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4A46" w:rsidRDefault="00244A46" w:rsidP="008A2044">
      <w:pPr>
        <w:spacing w:after="0" w:line="240" w:lineRule="auto"/>
        <w:rPr>
          <w:rFonts w:ascii="Arial" w:hAnsi="Arial" w:cs="Arial"/>
          <w:b/>
        </w:rPr>
      </w:pPr>
      <w:r>
        <w:rPr>
          <w:rFonts w:ascii="Arial" w:hAnsi="Arial" w:cs="Arial"/>
          <w:b/>
        </w:rPr>
        <w:t>Priloga 3</w:t>
      </w:r>
    </w:p>
    <w:p w:rsidR="008A2044" w:rsidRDefault="008A2044" w:rsidP="008A2044">
      <w:pPr>
        <w:spacing w:after="0" w:line="240" w:lineRule="auto"/>
        <w:rPr>
          <w:rFonts w:ascii="Arial" w:hAnsi="Arial" w:cs="Arial"/>
          <w:b/>
        </w:rPr>
      </w:pPr>
    </w:p>
    <w:p w:rsidR="00C45831" w:rsidRPr="00F300D9" w:rsidRDefault="00766657" w:rsidP="008A2044">
      <w:pPr>
        <w:spacing w:after="0" w:line="240" w:lineRule="auto"/>
        <w:jc w:val="center"/>
        <w:rPr>
          <w:rFonts w:ascii="Arial" w:hAnsi="Arial" w:cs="Arial"/>
          <w:b/>
        </w:rPr>
      </w:pPr>
      <w:r w:rsidRPr="00F300D9">
        <w:rPr>
          <w:rFonts w:ascii="Arial" w:hAnsi="Arial" w:cs="Arial"/>
          <w:b/>
        </w:rPr>
        <w:t xml:space="preserve">Ključni poudarki </w:t>
      </w:r>
      <w:r w:rsidR="00C45831" w:rsidRPr="00F300D9">
        <w:rPr>
          <w:rFonts w:ascii="Arial" w:hAnsi="Arial" w:cs="Arial"/>
          <w:b/>
        </w:rPr>
        <w:t>za pripravo neposredne potrditve operacije v skladu s Smernicami za pripravo projektnih predlogov za neposredne potrditve operacij v okviru prednostne osi 3.1 dogovor za razvoj regij</w:t>
      </w:r>
    </w:p>
    <w:p w:rsidR="00C0080F" w:rsidRPr="000A4088" w:rsidRDefault="00C0080F" w:rsidP="008A2044">
      <w:pPr>
        <w:spacing w:after="0" w:line="240" w:lineRule="auto"/>
        <w:jc w:val="cente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3"/>
        <w:gridCol w:w="6675"/>
      </w:tblGrid>
      <w:tr w:rsidR="00C45831" w:rsidRPr="008A2044" w:rsidTr="008A2044">
        <w:tc>
          <w:tcPr>
            <w:tcW w:w="2613" w:type="dxa"/>
            <w:shd w:val="pct12" w:color="auto" w:fill="auto"/>
          </w:tcPr>
          <w:p w:rsidR="00C45831" w:rsidRPr="008A2044" w:rsidRDefault="00C45831" w:rsidP="008A2044">
            <w:pPr>
              <w:spacing w:after="0" w:line="240" w:lineRule="auto"/>
              <w:rPr>
                <w:rFonts w:ascii="Arial" w:hAnsi="Arial" w:cs="Arial"/>
                <w:b/>
              </w:rPr>
            </w:pPr>
            <w:r w:rsidRPr="008A2044">
              <w:rPr>
                <w:rFonts w:ascii="Arial" w:hAnsi="Arial" w:cs="Arial"/>
                <w:b/>
              </w:rPr>
              <w:t>Pojem</w:t>
            </w:r>
          </w:p>
        </w:tc>
        <w:tc>
          <w:tcPr>
            <w:tcW w:w="6675" w:type="dxa"/>
            <w:shd w:val="pct12" w:color="auto" w:fill="auto"/>
          </w:tcPr>
          <w:p w:rsidR="00C45831" w:rsidRPr="008A2044" w:rsidRDefault="00C45831" w:rsidP="008A2044">
            <w:pPr>
              <w:spacing w:after="0" w:line="240" w:lineRule="auto"/>
              <w:jc w:val="both"/>
              <w:rPr>
                <w:rFonts w:ascii="Arial" w:hAnsi="Arial" w:cs="Arial"/>
                <w:b/>
              </w:rPr>
            </w:pPr>
            <w:r w:rsidRPr="008A2044">
              <w:rPr>
                <w:rFonts w:ascii="Arial" w:hAnsi="Arial" w:cs="Arial"/>
                <w:b/>
              </w:rPr>
              <w:t>Obrazložitev</w:t>
            </w:r>
          </w:p>
        </w:tc>
      </w:tr>
      <w:tr w:rsidR="00C45831" w:rsidRPr="00F06743" w:rsidTr="00846D87">
        <w:tc>
          <w:tcPr>
            <w:tcW w:w="2613" w:type="dxa"/>
            <w:shd w:val="clear" w:color="auto" w:fill="auto"/>
          </w:tcPr>
          <w:p w:rsidR="00C45831" w:rsidRPr="00B6346C" w:rsidRDefault="00C30D4F" w:rsidP="008A2044">
            <w:pPr>
              <w:spacing w:after="0" w:line="240" w:lineRule="auto"/>
              <w:rPr>
                <w:rFonts w:ascii="Arial" w:hAnsi="Arial" w:cs="Arial"/>
                <w:b/>
              </w:rPr>
            </w:pPr>
            <w:r w:rsidRPr="00B6346C">
              <w:rPr>
                <w:rFonts w:ascii="Arial" w:eastAsia="MS Mincho" w:hAnsi="Arial" w:cs="Arial"/>
                <w:b/>
              </w:rPr>
              <w:t xml:space="preserve">Ekonomsko </w:t>
            </w:r>
            <w:r w:rsidR="00C45831" w:rsidRPr="00B6346C">
              <w:rPr>
                <w:rFonts w:ascii="Arial" w:eastAsia="MS Mincho" w:hAnsi="Arial" w:cs="Arial"/>
                <w:b/>
              </w:rPr>
              <w:t>– poslovna infrastruktura EPI</w:t>
            </w:r>
          </w:p>
        </w:tc>
        <w:tc>
          <w:tcPr>
            <w:tcW w:w="6675" w:type="dxa"/>
            <w:tcBorders>
              <w:bottom w:val="single" w:sz="4" w:space="0" w:color="auto"/>
            </w:tcBorders>
            <w:shd w:val="clear" w:color="auto" w:fill="auto"/>
          </w:tcPr>
          <w:p w:rsidR="00C45831" w:rsidRDefault="00C30D4F" w:rsidP="008A2044">
            <w:pPr>
              <w:spacing w:after="0" w:line="240" w:lineRule="auto"/>
              <w:jc w:val="both"/>
              <w:rPr>
                <w:rFonts w:ascii="Arial" w:hAnsi="Arial" w:cs="Arial"/>
                <w:b/>
              </w:rPr>
            </w:pPr>
            <w:r>
              <w:rPr>
                <w:rFonts w:ascii="Arial" w:hAnsi="Arial" w:cs="Arial"/>
              </w:rPr>
              <w:t>J</w:t>
            </w:r>
            <w:r w:rsidRPr="00F06743">
              <w:rPr>
                <w:rFonts w:ascii="Arial" w:hAnsi="Arial" w:cs="Arial"/>
              </w:rPr>
              <w:t xml:space="preserve">avna </w:t>
            </w:r>
            <w:r w:rsidR="00231C66" w:rsidRPr="00F06743">
              <w:rPr>
                <w:rFonts w:ascii="Arial" w:hAnsi="Arial" w:cs="Arial"/>
              </w:rPr>
              <w:t>gospodarska infrastruktura</w:t>
            </w:r>
            <w:r w:rsidR="00FA425B">
              <w:rPr>
                <w:rFonts w:ascii="Arial" w:hAnsi="Arial" w:cs="Arial"/>
              </w:rPr>
              <w:t xml:space="preserve"> sestavlja lahko ekonomsko poslovno cono (EPC) ali/in inkubator.</w:t>
            </w:r>
          </w:p>
          <w:p w:rsidR="0025693E" w:rsidRPr="0025693E" w:rsidRDefault="0025693E" w:rsidP="008A2044">
            <w:pPr>
              <w:pStyle w:val="Odstavekseznama"/>
              <w:numPr>
                <w:ilvl w:val="0"/>
                <w:numId w:val="0"/>
              </w:numPr>
              <w:ind w:left="720"/>
              <w:rPr>
                <w:rFonts w:ascii="Arial" w:hAnsi="Arial" w:cs="Arial"/>
                <w:b w:val="0"/>
                <w:sz w:val="22"/>
                <w:szCs w:val="22"/>
              </w:rPr>
            </w:pPr>
          </w:p>
        </w:tc>
      </w:tr>
      <w:tr w:rsidR="00617686" w:rsidRPr="00F06743" w:rsidTr="00846D87">
        <w:tc>
          <w:tcPr>
            <w:tcW w:w="2613" w:type="dxa"/>
            <w:shd w:val="clear" w:color="auto" w:fill="auto"/>
          </w:tcPr>
          <w:p w:rsidR="00617686" w:rsidRPr="00B6346C" w:rsidRDefault="00617686" w:rsidP="008A2044">
            <w:pPr>
              <w:spacing w:after="0" w:line="240" w:lineRule="auto"/>
              <w:rPr>
                <w:rFonts w:ascii="Arial" w:eastAsia="MS Mincho" w:hAnsi="Arial" w:cs="Arial"/>
                <w:b/>
              </w:rPr>
            </w:pPr>
            <w:r w:rsidRPr="00B6346C">
              <w:rPr>
                <w:rFonts w:ascii="Arial" w:eastAsia="MS Mincho" w:hAnsi="Arial" w:cs="Arial"/>
                <w:b/>
              </w:rPr>
              <w:t>Vlagatelj</w:t>
            </w:r>
          </w:p>
        </w:tc>
        <w:tc>
          <w:tcPr>
            <w:tcW w:w="6675" w:type="dxa"/>
            <w:shd w:val="clear" w:color="auto" w:fill="auto"/>
          </w:tcPr>
          <w:p w:rsidR="00617686" w:rsidRPr="00F06743" w:rsidRDefault="00932ECB" w:rsidP="00932ECB">
            <w:pPr>
              <w:spacing w:after="0" w:line="240" w:lineRule="auto"/>
              <w:jc w:val="both"/>
              <w:rPr>
                <w:rFonts w:ascii="Arial" w:eastAsia="MS Mincho" w:hAnsi="Arial" w:cs="Arial"/>
              </w:rPr>
            </w:pPr>
            <w:r>
              <w:rPr>
                <w:rFonts w:ascii="Arial" w:eastAsia="MS Mincho" w:hAnsi="Arial" w:cs="Arial"/>
              </w:rPr>
              <w:t>O</w:t>
            </w:r>
            <w:r w:rsidR="00846D87">
              <w:rPr>
                <w:rFonts w:ascii="Arial" w:eastAsia="MS Mincho" w:hAnsi="Arial" w:cs="Arial"/>
              </w:rPr>
              <w:t xml:space="preserve">bčina ali </w:t>
            </w:r>
            <w:r>
              <w:rPr>
                <w:rFonts w:ascii="Arial" w:eastAsia="MS Mincho" w:hAnsi="Arial" w:cs="Arial"/>
              </w:rPr>
              <w:t>več občin</w:t>
            </w:r>
            <w:r w:rsidR="00846D87">
              <w:rPr>
                <w:rFonts w:ascii="Arial" w:eastAsia="MS Mincho" w:hAnsi="Arial" w:cs="Arial"/>
              </w:rPr>
              <w:t xml:space="preserve">.  </w:t>
            </w:r>
          </w:p>
        </w:tc>
      </w:tr>
      <w:tr w:rsidR="00C45831" w:rsidRPr="00F06743" w:rsidTr="00846D87">
        <w:tc>
          <w:tcPr>
            <w:tcW w:w="2613" w:type="dxa"/>
            <w:shd w:val="clear" w:color="auto" w:fill="auto"/>
          </w:tcPr>
          <w:p w:rsidR="00C45831" w:rsidRPr="00B6346C" w:rsidRDefault="0026436A" w:rsidP="008A2044">
            <w:pPr>
              <w:spacing w:after="0" w:line="240" w:lineRule="auto"/>
              <w:rPr>
                <w:rFonts w:ascii="Arial" w:eastAsia="MS Mincho" w:hAnsi="Arial" w:cs="Arial"/>
                <w:b/>
              </w:rPr>
            </w:pPr>
            <w:r w:rsidRPr="00B6346C">
              <w:rPr>
                <w:rFonts w:ascii="Arial" w:eastAsia="MS Mincho" w:hAnsi="Arial" w:cs="Arial"/>
                <w:b/>
              </w:rPr>
              <w:t>Podjetniški i</w:t>
            </w:r>
            <w:r w:rsidR="00C45831" w:rsidRPr="00B6346C">
              <w:rPr>
                <w:rFonts w:ascii="Arial" w:eastAsia="MS Mincho" w:hAnsi="Arial" w:cs="Arial"/>
                <w:b/>
              </w:rPr>
              <w:t>nkubator</w:t>
            </w:r>
          </w:p>
        </w:tc>
        <w:tc>
          <w:tcPr>
            <w:tcW w:w="6675" w:type="dxa"/>
            <w:shd w:val="clear" w:color="auto" w:fill="auto"/>
          </w:tcPr>
          <w:p w:rsidR="006D03F5" w:rsidRPr="00F06743" w:rsidRDefault="006D03F5" w:rsidP="008A2044">
            <w:pPr>
              <w:spacing w:after="0" w:line="240" w:lineRule="auto"/>
              <w:jc w:val="both"/>
              <w:rPr>
                <w:rFonts w:ascii="Arial" w:eastAsia="MS Mincho" w:hAnsi="Arial" w:cs="Arial"/>
              </w:rPr>
            </w:pPr>
            <w:r w:rsidRPr="00F06743">
              <w:rPr>
                <w:rFonts w:ascii="Arial" w:eastAsia="MS Mincho" w:hAnsi="Arial" w:cs="Arial"/>
              </w:rPr>
              <w:t xml:space="preserve">Kraj, kjer so locirana novonastala podjetja na relativno omejenem prostoru. Osnovni namen inkubatorjev je povečanje možnosti rasti in stopnje preživetja teh podjetij z zagotovitvijo modularnih poslopij,  skupne tehnične infrastrukture, </w:t>
            </w:r>
            <w:proofErr w:type="spellStart"/>
            <w:r w:rsidR="009F2FD6">
              <w:rPr>
                <w:rFonts w:ascii="Arial" w:eastAsia="MS Mincho" w:hAnsi="Arial" w:cs="Arial"/>
              </w:rPr>
              <w:t>managerske</w:t>
            </w:r>
            <w:proofErr w:type="spellEnd"/>
            <w:r w:rsidRPr="00F06743">
              <w:rPr>
                <w:rFonts w:ascii="Arial" w:eastAsia="MS Mincho" w:hAnsi="Arial" w:cs="Arial"/>
              </w:rPr>
              <w:t xml:space="preserve"> podpore in podpornih storitev.</w:t>
            </w:r>
          </w:p>
        </w:tc>
      </w:tr>
      <w:tr w:rsidR="00C45831" w:rsidRPr="00F06743" w:rsidTr="00846D87">
        <w:tc>
          <w:tcPr>
            <w:tcW w:w="2613" w:type="dxa"/>
            <w:shd w:val="clear" w:color="auto" w:fill="auto"/>
          </w:tcPr>
          <w:p w:rsidR="00C45831" w:rsidRPr="00B6346C" w:rsidRDefault="00846D87" w:rsidP="008A2044">
            <w:pPr>
              <w:spacing w:after="0" w:line="240" w:lineRule="auto"/>
              <w:rPr>
                <w:rFonts w:ascii="Arial" w:eastAsia="MS Mincho" w:hAnsi="Arial" w:cs="Arial"/>
                <w:b/>
              </w:rPr>
            </w:pPr>
            <w:r w:rsidRPr="00B6346C">
              <w:rPr>
                <w:rFonts w:ascii="Arial" w:eastAsia="MS Mincho" w:hAnsi="Arial" w:cs="Arial"/>
                <w:b/>
              </w:rPr>
              <w:t>E</w:t>
            </w:r>
            <w:r w:rsidR="00C45831" w:rsidRPr="00B6346C">
              <w:rPr>
                <w:rFonts w:ascii="Arial" w:eastAsia="MS Mincho" w:hAnsi="Arial" w:cs="Arial"/>
                <w:b/>
              </w:rPr>
              <w:t>konomsko - poslovna cona EPC</w:t>
            </w:r>
          </w:p>
        </w:tc>
        <w:tc>
          <w:tcPr>
            <w:tcW w:w="6675" w:type="dxa"/>
            <w:shd w:val="clear" w:color="auto" w:fill="auto"/>
          </w:tcPr>
          <w:p w:rsidR="009F2FD6" w:rsidRDefault="00932ECB" w:rsidP="008A2044">
            <w:pPr>
              <w:pStyle w:val="Default"/>
              <w:jc w:val="both"/>
              <w:rPr>
                <w:rFonts w:ascii="Arial" w:hAnsi="Arial" w:cs="Arial"/>
                <w:color w:val="auto"/>
                <w:sz w:val="22"/>
                <w:szCs w:val="22"/>
              </w:rPr>
            </w:pPr>
            <w:r>
              <w:rPr>
                <w:rFonts w:ascii="Arial" w:hAnsi="Arial" w:cs="Arial"/>
                <w:color w:val="auto"/>
                <w:sz w:val="22"/>
                <w:szCs w:val="22"/>
              </w:rPr>
              <w:t>O</w:t>
            </w:r>
            <w:r w:rsidR="00231C66" w:rsidRPr="00F06743">
              <w:rPr>
                <w:rFonts w:ascii="Arial" w:hAnsi="Arial" w:cs="Arial"/>
                <w:color w:val="auto"/>
                <w:sz w:val="22"/>
                <w:szCs w:val="22"/>
              </w:rPr>
              <w:t xml:space="preserve">bmočje več stavbnih zemljišč, ki so v </w:t>
            </w:r>
            <w:r w:rsidR="009F2FD6">
              <w:rPr>
                <w:rFonts w:ascii="Arial" w:hAnsi="Arial" w:cs="Arial"/>
                <w:color w:val="auto"/>
                <w:sz w:val="22"/>
                <w:szCs w:val="22"/>
              </w:rPr>
              <w:t xml:space="preserve">veljavnih </w:t>
            </w:r>
            <w:r w:rsidR="00231C66" w:rsidRPr="00F06743">
              <w:rPr>
                <w:rFonts w:ascii="Arial" w:hAnsi="Arial" w:cs="Arial"/>
                <w:color w:val="auto"/>
                <w:sz w:val="22"/>
                <w:szCs w:val="22"/>
              </w:rPr>
              <w:t xml:space="preserve">prostorskih aktih </w:t>
            </w:r>
            <w:r w:rsidR="009F2FD6">
              <w:rPr>
                <w:rFonts w:ascii="Arial" w:hAnsi="Arial" w:cs="Arial"/>
                <w:color w:val="auto"/>
                <w:sz w:val="22"/>
                <w:szCs w:val="22"/>
              </w:rPr>
              <w:t>vlagatelj</w:t>
            </w:r>
            <w:r w:rsidR="00231C66" w:rsidRPr="00F06743">
              <w:rPr>
                <w:rFonts w:ascii="Arial" w:hAnsi="Arial" w:cs="Arial"/>
                <w:color w:val="auto"/>
                <w:sz w:val="22"/>
                <w:szCs w:val="22"/>
              </w:rPr>
              <w:t xml:space="preserve"> opredeljena kot območja proizvodnih dejavnosti, površine za industrijo in / ali gospodarske cone</w:t>
            </w:r>
            <w:r w:rsidR="009F2FD6">
              <w:rPr>
                <w:rFonts w:ascii="Arial" w:hAnsi="Arial" w:cs="Arial"/>
                <w:color w:val="auto"/>
                <w:sz w:val="22"/>
                <w:szCs w:val="22"/>
              </w:rPr>
              <w:t>, lahko pa so opredeljena tudi kot področja, namenjena mešanim dejavnostim, kot na primer poslovno-storitvena, servisna in obrtna vsebina ipd., pri čemer mora biti območje, ki je predmet vloge za NPO, namenjeno zagotavljanju prostih površin prvenstven malim in srednjim podjetjem (MSP), upoštevajoč smernice glede minimalne zasedenosti prostih površin s strani MSP</w:t>
            </w:r>
            <w:r w:rsidR="00231C66" w:rsidRPr="00F06743">
              <w:rPr>
                <w:rFonts w:ascii="Arial" w:hAnsi="Arial" w:cs="Arial"/>
                <w:color w:val="auto"/>
                <w:sz w:val="22"/>
                <w:szCs w:val="22"/>
              </w:rPr>
              <w:t xml:space="preserve">. </w:t>
            </w:r>
          </w:p>
          <w:p w:rsidR="009F2FD6" w:rsidRDefault="009F2FD6" w:rsidP="008A2044">
            <w:pPr>
              <w:pStyle w:val="Default"/>
              <w:jc w:val="both"/>
              <w:rPr>
                <w:rFonts w:ascii="Arial" w:hAnsi="Arial" w:cs="Arial"/>
                <w:color w:val="auto"/>
                <w:sz w:val="22"/>
                <w:szCs w:val="22"/>
              </w:rPr>
            </w:pPr>
          </w:p>
          <w:p w:rsidR="00C45831" w:rsidRPr="009F2FD6" w:rsidRDefault="00231C66" w:rsidP="008A2044">
            <w:pPr>
              <w:pStyle w:val="Default"/>
              <w:jc w:val="both"/>
              <w:rPr>
                <w:rFonts w:ascii="Arial" w:hAnsi="Arial" w:cs="Arial"/>
                <w:color w:val="auto"/>
                <w:sz w:val="22"/>
                <w:szCs w:val="22"/>
              </w:rPr>
            </w:pPr>
            <w:r w:rsidRPr="00F06743">
              <w:rPr>
                <w:rFonts w:ascii="Arial" w:hAnsi="Arial" w:cs="Arial"/>
                <w:color w:val="auto"/>
                <w:sz w:val="22"/>
                <w:szCs w:val="22"/>
              </w:rPr>
              <w:t xml:space="preserve">Območje mora biti </w:t>
            </w:r>
            <w:r w:rsidR="009F2FD6">
              <w:rPr>
                <w:rFonts w:ascii="Arial" w:hAnsi="Arial" w:cs="Arial"/>
                <w:color w:val="auto"/>
                <w:sz w:val="22"/>
                <w:szCs w:val="22"/>
              </w:rPr>
              <w:t>v prostorskih aktih opredeljeno kot enotna ekonomsko-poslovna ali gospodarska cona.</w:t>
            </w:r>
            <w:r w:rsidRPr="00F06743">
              <w:rPr>
                <w:rFonts w:ascii="Arial" w:hAnsi="Arial" w:cs="Arial"/>
                <w:color w:val="auto"/>
                <w:sz w:val="22"/>
                <w:szCs w:val="22"/>
              </w:rPr>
              <w:t xml:space="preserve"> Za ekonomsko - poslovno cono se v nobenem primeru ne šteje posamezna stavba, četudi je namenjena oprav</w:t>
            </w:r>
            <w:r w:rsidR="009F2FD6">
              <w:rPr>
                <w:rFonts w:ascii="Arial" w:hAnsi="Arial" w:cs="Arial"/>
                <w:color w:val="auto"/>
                <w:sz w:val="22"/>
                <w:szCs w:val="22"/>
              </w:rPr>
              <w:t xml:space="preserve">ljanju gospodarske dejavnosti. </w:t>
            </w:r>
          </w:p>
        </w:tc>
      </w:tr>
      <w:tr w:rsidR="00C45831" w:rsidRPr="00F06743" w:rsidTr="00846D87">
        <w:tc>
          <w:tcPr>
            <w:tcW w:w="2613" w:type="dxa"/>
            <w:shd w:val="clear" w:color="auto" w:fill="auto"/>
          </w:tcPr>
          <w:p w:rsidR="00C45831" w:rsidRPr="00B6346C" w:rsidRDefault="00C45831" w:rsidP="008A2044">
            <w:pPr>
              <w:spacing w:after="0" w:line="240" w:lineRule="auto"/>
              <w:rPr>
                <w:rFonts w:ascii="Arial" w:eastAsia="MS Mincho" w:hAnsi="Arial" w:cs="Arial"/>
                <w:b/>
              </w:rPr>
            </w:pPr>
            <w:r w:rsidRPr="00B6346C">
              <w:rPr>
                <w:rFonts w:ascii="Arial" w:eastAsia="MS Mincho" w:hAnsi="Arial" w:cs="Arial"/>
                <w:b/>
              </w:rPr>
              <w:t>Ureditev</w:t>
            </w:r>
            <w:r w:rsidR="00FA425B" w:rsidRPr="00B6346C">
              <w:rPr>
                <w:rFonts w:ascii="Arial" w:eastAsia="MS Mincho" w:hAnsi="Arial" w:cs="Arial"/>
                <w:b/>
              </w:rPr>
              <w:t xml:space="preserve"> EPC</w:t>
            </w:r>
          </w:p>
        </w:tc>
        <w:tc>
          <w:tcPr>
            <w:tcW w:w="6675" w:type="dxa"/>
            <w:shd w:val="clear" w:color="auto" w:fill="auto"/>
          </w:tcPr>
          <w:p w:rsidR="00C45831" w:rsidRPr="00F06743" w:rsidRDefault="00846D87" w:rsidP="00932ECB">
            <w:pPr>
              <w:spacing w:after="0" w:line="240" w:lineRule="auto"/>
              <w:jc w:val="both"/>
              <w:rPr>
                <w:rFonts w:ascii="Arial" w:hAnsi="Arial" w:cs="Arial"/>
              </w:rPr>
            </w:pPr>
            <w:r>
              <w:rPr>
                <w:rFonts w:ascii="Arial" w:hAnsi="Arial" w:cs="Arial"/>
              </w:rPr>
              <w:t>U</w:t>
            </w:r>
            <w:r w:rsidR="0026436A" w:rsidRPr="00F06743">
              <w:rPr>
                <w:rFonts w:ascii="Arial" w:hAnsi="Arial" w:cs="Arial"/>
              </w:rPr>
              <w:t>reditev površin EPC in izgradnj</w:t>
            </w:r>
            <w:r w:rsidR="00932ECB">
              <w:rPr>
                <w:rFonts w:ascii="Arial" w:hAnsi="Arial" w:cs="Arial"/>
              </w:rPr>
              <w:t>a</w:t>
            </w:r>
            <w:r w:rsidR="0026436A" w:rsidRPr="00F06743">
              <w:rPr>
                <w:rFonts w:ascii="Arial" w:hAnsi="Arial" w:cs="Arial"/>
              </w:rPr>
              <w:t xml:space="preserve"> infrastrukture na teh površinah</w:t>
            </w:r>
            <w:r w:rsidR="0025693E">
              <w:rPr>
                <w:rFonts w:ascii="Arial" w:hAnsi="Arial" w:cs="Arial"/>
              </w:rPr>
              <w:t>.</w:t>
            </w:r>
          </w:p>
        </w:tc>
      </w:tr>
      <w:tr w:rsidR="00C45831" w:rsidRPr="00F06743" w:rsidTr="00846D87">
        <w:tc>
          <w:tcPr>
            <w:tcW w:w="2613" w:type="dxa"/>
            <w:shd w:val="clear" w:color="auto" w:fill="auto"/>
          </w:tcPr>
          <w:p w:rsidR="00C45831" w:rsidRPr="00B6346C" w:rsidRDefault="00C45831" w:rsidP="008A2044">
            <w:pPr>
              <w:spacing w:after="0" w:line="240" w:lineRule="auto"/>
              <w:rPr>
                <w:rFonts w:ascii="Arial" w:eastAsia="MS Mincho" w:hAnsi="Arial" w:cs="Arial"/>
                <w:b/>
              </w:rPr>
            </w:pPr>
            <w:r w:rsidRPr="00B6346C">
              <w:rPr>
                <w:rFonts w:ascii="Arial" w:eastAsia="MS Mincho" w:hAnsi="Arial" w:cs="Arial"/>
                <w:b/>
              </w:rPr>
              <w:t>Razširitev</w:t>
            </w:r>
            <w:r w:rsidR="00FA425B" w:rsidRPr="00B6346C">
              <w:rPr>
                <w:rFonts w:ascii="Arial" w:eastAsia="MS Mincho" w:hAnsi="Arial" w:cs="Arial"/>
                <w:b/>
              </w:rPr>
              <w:t xml:space="preserve"> EPC</w:t>
            </w:r>
          </w:p>
        </w:tc>
        <w:tc>
          <w:tcPr>
            <w:tcW w:w="6675" w:type="dxa"/>
            <w:shd w:val="clear" w:color="auto" w:fill="auto"/>
          </w:tcPr>
          <w:p w:rsidR="00C45831" w:rsidRPr="00F06743" w:rsidRDefault="00846D87" w:rsidP="00932ECB">
            <w:pPr>
              <w:spacing w:after="0" w:line="240" w:lineRule="auto"/>
              <w:jc w:val="both"/>
              <w:rPr>
                <w:rFonts w:ascii="Arial" w:hAnsi="Arial" w:cs="Arial"/>
              </w:rPr>
            </w:pPr>
            <w:r>
              <w:rPr>
                <w:rFonts w:ascii="Arial" w:hAnsi="Arial" w:cs="Arial"/>
              </w:rPr>
              <w:t>P</w:t>
            </w:r>
            <w:r w:rsidR="00C45831" w:rsidRPr="00F06743">
              <w:rPr>
                <w:rFonts w:ascii="Arial" w:hAnsi="Arial" w:cs="Arial"/>
              </w:rPr>
              <w:t>ovečanje površin EPC in izgradnj</w:t>
            </w:r>
            <w:r w:rsidR="00932ECB">
              <w:rPr>
                <w:rFonts w:ascii="Arial" w:hAnsi="Arial" w:cs="Arial"/>
              </w:rPr>
              <w:t>a</w:t>
            </w:r>
            <w:r w:rsidR="00C45831" w:rsidRPr="00F06743">
              <w:rPr>
                <w:rFonts w:ascii="Arial" w:hAnsi="Arial" w:cs="Arial"/>
              </w:rPr>
              <w:t xml:space="preserve"> infrastrukture na teh površinah</w:t>
            </w:r>
            <w:r w:rsidR="0025693E">
              <w:rPr>
                <w:rFonts w:ascii="Arial" w:hAnsi="Arial" w:cs="Arial"/>
              </w:rPr>
              <w:t>.</w:t>
            </w:r>
          </w:p>
        </w:tc>
      </w:tr>
      <w:tr w:rsidR="00C45831" w:rsidRPr="00F06743" w:rsidTr="00846D87">
        <w:tc>
          <w:tcPr>
            <w:tcW w:w="2613" w:type="dxa"/>
            <w:shd w:val="clear" w:color="auto" w:fill="auto"/>
          </w:tcPr>
          <w:p w:rsidR="00C45831" w:rsidRPr="00B6346C" w:rsidRDefault="00C45831" w:rsidP="008A2044">
            <w:pPr>
              <w:spacing w:after="0" w:line="240" w:lineRule="auto"/>
              <w:rPr>
                <w:rFonts w:ascii="Arial" w:eastAsia="MS Mincho" w:hAnsi="Arial" w:cs="Arial"/>
                <w:b/>
              </w:rPr>
            </w:pPr>
            <w:r w:rsidRPr="00B6346C">
              <w:rPr>
                <w:rFonts w:ascii="Arial" w:eastAsia="MS Mincho" w:hAnsi="Arial" w:cs="Arial"/>
                <w:b/>
              </w:rPr>
              <w:t>Dograditev</w:t>
            </w:r>
            <w:r w:rsidR="00FA425B" w:rsidRPr="00B6346C">
              <w:rPr>
                <w:rFonts w:ascii="Arial" w:eastAsia="MS Mincho" w:hAnsi="Arial" w:cs="Arial"/>
                <w:b/>
              </w:rPr>
              <w:t xml:space="preserve"> EPC</w:t>
            </w:r>
          </w:p>
        </w:tc>
        <w:tc>
          <w:tcPr>
            <w:tcW w:w="6675" w:type="dxa"/>
            <w:shd w:val="clear" w:color="auto" w:fill="auto"/>
          </w:tcPr>
          <w:p w:rsidR="00C45831" w:rsidRPr="00F06743" w:rsidRDefault="00846D87" w:rsidP="008A2044">
            <w:pPr>
              <w:spacing w:after="0" w:line="240" w:lineRule="auto"/>
              <w:jc w:val="both"/>
              <w:rPr>
                <w:rFonts w:ascii="Arial" w:hAnsi="Arial" w:cs="Arial"/>
              </w:rPr>
            </w:pPr>
            <w:r>
              <w:rPr>
                <w:rFonts w:ascii="Arial" w:hAnsi="Arial" w:cs="Arial"/>
              </w:rPr>
              <w:t>D</w:t>
            </w:r>
            <w:r w:rsidR="00C45831" w:rsidRPr="00F06743">
              <w:rPr>
                <w:rFonts w:ascii="Arial" w:hAnsi="Arial" w:cs="Arial"/>
              </w:rPr>
              <w:t>ograditev že obstoječe EPI, kar vključuje EPC in inkubatorje. Področje, kjer je potrebna dograditev, nima vse potrebne infrastrukture, ki bi omogočala normalno delovanje EPC oz. inkubatorja</w:t>
            </w:r>
            <w:r w:rsidR="0025693E">
              <w:rPr>
                <w:rFonts w:ascii="Arial" w:hAnsi="Arial" w:cs="Arial"/>
              </w:rPr>
              <w:t>.</w:t>
            </w:r>
          </w:p>
        </w:tc>
      </w:tr>
      <w:tr w:rsidR="00C45831" w:rsidRPr="00F06743" w:rsidTr="00846D87">
        <w:tc>
          <w:tcPr>
            <w:tcW w:w="2613" w:type="dxa"/>
            <w:shd w:val="clear" w:color="auto" w:fill="auto"/>
          </w:tcPr>
          <w:p w:rsidR="00C45831" w:rsidRPr="00B6346C" w:rsidRDefault="00C45831" w:rsidP="008A2044">
            <w:pPr>
              <w:spacing w:after="0" w:line="240" w:lineRule="auto"/>
              <w:rPr>
                <w:rFonts w:ascii="Arial" w:eastAsia="MS Mincho" w:hAnsi="Arial" w:cs="Arial"/>
                <w:b/>
              </w:rPr>
            </w:pPr>
            <w:r w:rsidRPr="00B6346C">
              <w:rPr>
                <w:rFonts w:ascii="Arial" w:eastAsia="MS Mincho" w:hAnsi="Arial" w:cs="Arial"/>
                <w:b/>
              </w:rPr>
              <w:t>Funkcionalno degradirano območje FDO</w:t>
            </w:r>
          </w:p>
        </w:tc>
        <w:tc>
          <w:tcPr>
            <w:tcW w:w="6675" w:type="dxa"/>
            <w:shd w:val="clear" w:color="auto" w:fill="auto"/>
          </w:tcPr>
          <w:p w:rsidR="00C45831" w:rsidRPr="00F06743" w:rsidRDefault="00846D87" w:rsidP="008A2044">
            <w:pPr>
              <w:spacing w:after="0" w:line="240" w:lineRule="auto"/>
              <w:jc w:val="both"/>
              <w:rPr>
                <w:rFonts w:ascii="Arial" w:hAnsi="Arial" w:cs="Arial"/>
              </w:rPr>
            </w:pPr>
            <w:r>
              <w:rPr>
                <w:rFonts w:ascii="Arial" w:hAnsi="Arial" w:cs="Arial"/>
              </w:rPr>
              <w:t>N</w:t>
            </w:r>
            <w:r w:rsidR="00C45831" w:rsidRPr="00F06743">
              <w:rPr>
                <w:rFonts w:ascii="Arial" w:hAnsi="Arial" w:cs="Arial"/>
              </w:rPr>
              <w:t>ezadostno izkoriščeno ali zapuščeno območje z vidnim vplivom predhodne rabe in zmanjšano uporabno vrednostjo, ki lahko predstavlja potencial za razvoj</w:t>
            </w:r>
            <w:r w:rsidR="0025693E">
              <w:rPr>
                <w:rFonts w:ascii="Arial" w:hAnsi="Arial" w:cs="Arial"/>
              </w:rPr>
              <w:t>.</w:t>
            </w:r>
          </w:p>
        </w:tc>
      </w:tr>
      <w:tr w:rsidR="00846D87" w:rsidRPr="00F06743" w:rsidTr="00846D87">
        <w:tc>
          <w:tcPr>
            <w:tcW w:w="2613" w:type="dxa"/>
            <w:shd w:val="clear" w:color="auto" w:fill="auto"/>
          </w:tcPr>
          <w:p w:rsidR="00846D87" w:rsidRPr="00B6346C" w:rsidRDefault="00846D87" w:rsidP="008A2044">
            <w:pPr>
              <w:spacing w:after="0" w:line="240" w:lineRule="auto"/>
              <w:rPr>
                <w:rFonts w:ascii="Arial" w:eastAsia="MS Mincho" w:hAnsi="Arial" w:cs="Arial"/>
                <w:b/>
              </w:rPr>
            </w:pPr>
            <w:r w:rsidRPr="00B6346C">
              <w:rPr>
                <w:rFonts w:ascii="Arial" w:hAnsi="Arial" w:cs="Arial"/>
                <w:b/>
              </w:rPr>
              <w:t>Upravičena investicija v EPC</w:t>
            </w:r>
          </w:p>
        </w:tc>
        <w:tc>
          <w:tcPr>
            <w:tcW w:w="6675" w:type="dxa"/>
            <w:shd w:val="clear" w:color="auto" w:fill="auto"/>
          </w:tcPr>
          <w:p w:rsidR="009F2FD6" w:rsidRPr="009F2FD6" w:rsidRDefault="00932ECB" w:rsidP="008A2044">
            <w:pPr>
              <w:spacing w:after="0" w:line="240" w:lineRule="auto"/>
              <w:jc w:val="both"/>
              <w:rPr>
                <w:rFonts w:ascii="Arial" w:hAnsi="Arial" w:cs="Arial"/>
              </w:rPr>
            </w:pPr>
            <w:r>
              <w:rPr>
                <w:rFonts w:ascii="Arial" w:hAnsi="Arial" w:cs="Arial"/>
              </w:rPr>
              <w:t>J</w:t>
            </w:r>
            <w:r w:rsidR="009F2FD6" w:rsidRPr="009F2FD6">
              <w:rPr>
                <w:rFonts w:ascii="Arial" w:hAnsi="Arial" w:cs="Arial"/>
              </w:rPr>
              <w:t xml:space="preserve">avna gospodarska infrastruktura, ki je navedena v Prilogi 5 Pravilnika o vsebini in načinu vodenja zbirke podatkov o dejanski rabi prostora (Uradni list RS, št. 9/04 in 7/18-ZEN-A), in sicer: </w:t>
            </w:r>
          </w:p>
          <w:p w:rsidR="009F2FD6" w:rsidRPr="009F2FD6" w:rsidRDefault="009F2FD6" w:rsidP="008A2044">
            <w:pPr>
              <w:numPr>
                <w:ilvl w:val="0"/>
                <w:numId w:val="5"/>
              </w:numPr>
              <w:spacing w:after="0" w:line="240" w:lineRule="auto"/>
              <w:jc w:val="both"/>
              <w:rPr>
                <w:rFonts w:ascii="Arial" w:hAnsi="Arial" w:cs="Arial"/>
              </w:rPr>
            </w:pPr>
            <w:r w:rsidRPr="009F2FD6">
              <w:rPr>
                <w:rFonts w:ascii="Arial" w:hAnsi="Arial" w:cs="Arial"/>
              </w:rPr>
              <w:t xml:space="preserve">prometna infrastruktura (izgradnja cest znotraj EPC in cest za namen delovanja  EPC s pripadajočo infrastrukturo, </w:t>
            </w:r>
          </w:p>
          <w:p w:rsidR="009F2FD6" w:rsidRPr="009F2FD6" w:rsidRDefault="009F2FD6" w:rsidP="008A2044">
            <w:pPr>
              <w:numPr>
                <w:ilvl w:val="0"/>
                <w:numId w:val="5"/>
              </w:numPr>
              <w:spacing w:after="0" w:line="240" w:lineRule="auto"/>
              <w:jc w:val="both"/>
              <w:rPr>
                <w:rFonts w:ascii="Arial" w:hAnsi="Arial" w:cs="Arial"/>
              </w:rPr>
            </w:pPr>
            <w:r w:rsidRPr="009F2FD6">
              <w:rPr>
                <w:rFonts w:ascii="Arial" w:hAnsi="Arial" w:cs="Arial"/>
              </w:rPr>
              <w:t xml:space="preserve">energetska infrastruktura, potrebna za delovanje EPC, </w:t>
            </w:r>
          </w:p>
          <w:p w:rsidR="009F2FD6" w:rsidRPr="009F2FD6" w:rsidRDefault="009F2FD6" w:rsidP="008A2044">
            <w:pPr>
              <w:numPr>
                <w:ilvl w:val="0"/>
                <w:numId w:val="5"/>
              </w:numPr>
              <w:spacing w:after="0" w:line="240" w:lineRule="auto"/>
              <w:jc w:val="both"/>
              <w:rPr>
                <w:rFonts w:ascii="Arial" w:hAnsi="Arial" w:cs="Arial"/>
              </w:rPr>
            </w:pPr>
            <w:r w:rsidRPr="009F2FD6">
              <w:rPr>
                <w:rFonts w:ascii="Arial" w:hAnsi="Arial" w:cs="Arial"/>
              </w:rPr>
              <w:t>komunalna infrastruktura, potrebna za delovanje EPC,</w:t>
            </w:r>
          </w:p>
          <w:p w:rsidR="009F2FD6" w:rsidRPr="009F2FD6" w:rsidRDefault="009F2FD6" w:rsidP="008A2044">
            <w:pPr>
              <w:numPr>
                <w:ilvl w:val="0"/>
                <w:numId w:val="5"/>
              </w:numPr>
              <w:spacing w:after="0" w:line="240" w:lineRule="auto"/>
              <w:jc w:val="both"/>
              <w:rPr>
                <w:rFonts w:ascii="Arial" w:hAnsi="Arial" w:cs="Arial"/>
              </w:rPr>
            </w:pPr>
            <w:r w:rsidRPr="009F2FD6">
              <w:rPr>
                <w:rFonts w:ascii="Arial" w:hAnsi="Arial" w:cs="Arial"/>
              </w:rPr>
              <w:t>infrastruktura za telekomunikacije in</w:t>
            </w:r>
          </w:p>
          <w:p w:rsidR="009F2FD6" w:rsidRDefault="009F2FD6" w:rsidP="008A2044">
            <w:pPr>
              <w:numPr>
                <w:ilvl w:val="0"/>
                <w:numId w:val="5"/>
              </w:numPr>
              <w:spacing w:after="0" w:line="240" w:lineRule="auto"/>
              <w:jc w:val="both"/>
              <w:rPr>
                <w:rFonts w:ascii="Arial" w:hAnsi="Arial" w:cs="Arial"/>
              </w:rPr>
            </w:pPr>
            <w:r w:rsidRPr="009F2FD6">
              <w:rPr>
                <w:rFonts w:ascii="Arial" w:hAnsi="Arial" w:cs="Arial"/>
              </w:rPr>
              <w:t>vodna infrastruktura (samo protipoplavni ukrepi), potrebna za delovanje EPC.</w:t>
            </w:r>
          </w:p>
          <w:p w:rsidR="00932ECB" w:rsidRPr="009F2FD6" w:rsidRDefault="00932ECB" w:rsidP="00932ECB">
            <w:pPr>
              <w:spacing w:after="0" w:line="240" w:lineRule="auto"/>
              <w:ind w:left="720"/>
              <w:jc w:val="both"/>
              <w:rPr>
                <w:rFonts w:ascii="Arial" w:hAnsi="Arial" w:cs="Arial"/>
              </w:rPr>
            </w:pPr>
          </w:p>
          <w:p w:rsidR="009F2FD6" w:rsidRDefault="009F2FD6" w:rsidP="008A2044">
            <w:pPr>
              <w:spacing w:after="0" w:line="240" w:lineRule="auto"/>
              <w:jc w:val="both"/>
              <w:rPr>
                <w:rFonts w:ascii="Arial" w:hAnsi="Arial" w:cs="Arial"/>
              </w:rPr>
            </w:pPr>
            <w:r w:rsidRPr="009F2FD6">
              <w:rPr>
                <w:rFonts w:ascii="Arial" w:hAnsi="Arial" w:cs="Arial"/>
              </w:rPr>
              <w:lastRenderedPageBreak/>
              <w:t>Pri investiciji v vodno infrastrukturo se kot upravičeni stroški štejejo samo protipoplavni ukrepi, ki so v neposredni (fizični) povezavi z delovanjem EPC. Pri tem velja: sofinancira se lahko do 30 % vrednosti upravičenih stroškov protipoplavnih ukrepov, hkrati pa protipoplavni ukrepi ne smejo predstavljati več kot 50 % u</w:t>
            </w:r>
            <w:r>
              <w:rPr>
                <w:rFonts w:ascii="Arial" w:hAnsi="Arial" w:cs="Arial"/>
              </w:rPr>
              <w:t>p</w:t>
            </w:r>
            <w:r w:rsidRPr="009F2FD6">
              <w:rPr>
                <w:rFonts w:ascii="Arial" w:hAnsi="Arial" w:cs="Arial"/>
              </w:rPr>
              <w:t xml:space="preserve">ravičenih stroškov operacije. </w:t>
            </w:r>
          </w:p>
          <w:p w:rsidR="00B6346C" w:rsidRPr="009F2FD6" w:rsidRDefault="00B6346C" w:rsidP="008A2044">
            <w:pPr>
              <w:spacing w:after="0" w:line="240" w:lineRule="auto"/>
              <w:jc w:val="both"/>
              <w:rPr>
                <w:rFonts w:ascii="Arial" w:hAnsi="Arial" w:cs="Arial"/>
              </w:rPr>
            </w:pPr>
          </w:p>
          <w:p w:rsidR="00846D87" w:rsidRPr="00F06743" w:rsidRDefault="009F2FD6" w:rsidP="008A2044">
            <w:pPr>
              <w:spacing w:after="0" w:line="240" w:lineRule="auto"/>
              <w:jc w:val="both"/>
              <w:rPr>
                <w:rFonts w:ascii="Arial" w:hAnsi="Arial" w:cs="Arial"/>
              </w:rPr>
            </w:pPr>
            <w:r w:rsidRPr="009F2FD6">
              <w:rPr>
                <w:rFonts w:ascii="Arial" w:hAnsi="Arial" w:cs="Arial"/>
              </w:rPr>
              <w:t xml:space="preserve">Do sofinanciranja so upravičene tudi tiste aktivnosti, ki se nanašajo na ureditev uporabnih površin, na katerih se bo izvajala poslovna dejavnosti, ob pogoju, da je lastnica teh površin občina in da je izvedba teh aktivnosti skladna z dopisom ministrstva št. 012-7/2018/226 z dne 11. 3. 2019 (potencialni elementi državnih pomoči – objavljeno na spletni strani ministrstva ). Gre za možnost sofinanciranja na primer: gradnje opornih zidov (če je gradnja potrebna za zaščito uporabnih površin in/ali po smernicah za NPO upravičene javne gospodarske infrastrukture), čiščenja in odvoza odpadkov iz uporabnih površin, </w:t>
            </w:r>
            <w:proofErr w:type="spellStart"/>
            <w:r w:rsidRPr="009F2FD6">
              <w:rPr>
                <w:rFonts w:ascii="Arial" w:hAnsi="Arial" w:cs="Arial"/>
              </w:rPr>
              <w:t>niveliranja</w:t>
            </w:r>
            <w:proofErr w:type="spellEnd"/>
            <w:r w:rsidRPr="009F2FD6">
              <w:rPr>
                <w:rFonts w:ascii="Arial" w:hAnsi="Arial" w:cs="Arial"/>
              </w:rPr>
              <w:t xml:space="preserve"> uporabnih površin, rušenja morebitnih obstoječih objektov na uporabnih p</w:t>
            </w:r>
            <w:r>
              <w:rPr>
                <w:rFonts w:ascii="Arial" w:hAnsi="Arial" w:cs="Arial"/>
              </w:rPr>
              <w:t>o</w:t>
            </w:r>
            <w:r w:rsidRPr="009F2FD6">
              <w:rPr>
                <w:rFonts w:ascii="Arial" w:hAnsi="Arial" w:cs="Arial"/>
              </w:rPr>
              <w:t>vršinah in drugo.</w:t>
            </w:r>
          </w:p>
        </w:tc>
      </w:tr>
      <w:tr w:rsidR="00C45831" w:rsidRPr="00F06743" w:rsidTr="00846D87">
        <w:tc>
          <w:tcPr>
            <w:tcW w:w="2613" w:type="dxa"/>
            <w:shd w:val="clear" w:color="auto" w:fill="auto"/>
          </w:tcPr>
          <w:p w:rsidR="00C45831" w:rsidRPr="00B6346C" w:rsidRDefault="00C30D4F" w:rsidP="008A2044">
            <w:pPr>
              <w:spacing w:after="0" w:line="240" w:lineRule="auto"/>
              <w:rPr>
                <w:rFonts w:ascii="Arial" w:eastAsia="MS Mincho" w:hAnsi="Arial" w:cs="Arial"/>
                <w:b/>
              </w:rPr>
            </w:pPr>
            <w:r w:rsidRPr="00B6346C">
              <w:rPr>
                <w:rFonts w:ascii="Arial" w:hAnsi="Arial" w:cs="Arial"/>
                <w:b/>
              </w:rPr>
              <w:lastRenderedPageBreak/>
              <w:t xml:space="preserve">Upravičena investicija v </w:t>
            </w:r>
            <w:r w:rsidR="00846D87" w:rsidRPr="00B6346C">
              <w:rPr>
                <w:rFonts w:ascii="Arial" w:hAnsi="Arial" w:cs="Arial"/>
                <w:b/>
              </w:rPr>
              <w:t>inkubator</w:t>
            </w:r>
          </w:p>
        </w:tc>
        <w:tc>
          <w:tcPr>
            <w:tcW w:w="6675" w:type="dxa"/>
            <w:shd w:val="clear" w:color="auto" w:fill="auto"/>
          </w:tcPr>
          <w:p w:rsidR="0025693E" w:rsidRDefault="00932ECB" w:rsidP="00932ECB">
            <w:pPr>
              <w:pStyle w:val="Odstavekseznama"/>
              <w:numPr>
                <w:ilvl w:val="0"/>
                <w:numId w:val="0"/>
              </w:numPr>
              <w:rPr>
                <w:rFonts w:ascii="Arial" w:eastAsia="Calibri" w:hAnsi="Arial" w:cs="Arial"/>
                <w:b w:val="0"/>
                <w:sz w:val="22"/>
                <w:szCs w:val="22"/>
                <w:lang w:eastAsia="en-US"/>
              </w:rPr>
            </w:pPr>
            <w:r>
              <w:rPr>
                <w:rFonts w:ascii="Arial" w:eastAsia="Calibri" w:hAnsi="Arial" w:cs="Arial"/>
                <w:b w:val="0"/>
                <w:sz w:val="22"/>
                <w:szCs w:val="22"/>
                <w:lang w:eastAsia="en-US"/>
              </w:rPr>
              <w:t>G</w:t>
            </w:r>
            <w:r w:rsidR="00B6346C">
              <w:rPr>
                <w:rFonts w:ascii="Arial" w:eastAsia="Calibri" w:hAnsi="Arial" w:cs="Arial"/>
                <w:b w:val="0"/>
                <w:sz w:val="22"/>
                <w:szCs w:val="22"/>
                <w:lang w:eastAsia="en-US"/>
              </w:rPr>
              <w:t>radnja</w:t>
            </w:r>
            <w:r w:rsidR="00B6346C">
              <w:rPr>
                <w:rStyle w:val="Sprotnaopomba-sklic"/>
                <w:rFonts w:ascii="Arial" w:eastAsia="Calibri" w:hAnsi="Arial" w:cs="Arial"/>
                <w:b w:val="0"/>
                <w:sz w:val="22"/>
                <w:szCs w:val="22"/>
                <w:lang w:eastAsia="en-US"/>
              </w:rPr>
              <w:footnoteReference w:id="1"/>
            </w:r>
            <w:r>
              <w:rPr>
                <w:rFonts w:ascii="Arial" w:eastAsia="Calibri" w:hAnsi="Arial" w:cs="Arial"/>
                <w:b w:val="0"/>
                <w:sz w:val="22"/>
                <w:szCs w:val="22"/>
                <w:lang w:eastAsia="en-US"/>
              </w:rPr>
              <w:t xml:space="preserve"> ter o</w:t>
            </w:r>
            <w:r w:rsidR="009F2FD6">
              <w:rPr>
                <w:rFonts w:ascii="Arial" w:eastAsia="Calibri" w:hAnsi="Arial" w:cs="Arial"/>
                <w:b w:val="0"/>
                <w:sz w:val="22"/>
                <w:szCs w:val="22"/>
                <w:lang w:eastAsia="en-US"/>
              </w:rPr>
              <w:t>prema</w:t>
            </w:r>
            <w:r w:rsidR="00846D87" w:rsidRPr="00942AAF">
              <w:rPr>
                <w:rFonts w:ascii="Arial" w:eastAsia="Calibri" w:hAnsi="Arial" w:cs="Arial"/>
                <w:b w:val="0"/>
                <w:sz w:val="22"/>
                <w:szCs w:val="22"/>
                <w:lang w:eastAsia="en-US"/>
              </w:rPr>
              <w:t xml:space="preserve">. </w:t>
            </w:r>
            <w:r w:rsidR="0025693E">
              <w:rPr>
                <w:rFonts w:ascii="Arial" w:eastAsia="Calibri" w:hAnsi="Arial" w:cs="Arial"/>
                <w:b w:val="0"/>
                <w:sz w:val="22"/>
                <w:szCs w:val="22"/>
                <w:lang w:eastAsia="en-US"/>
              </w:rPr>
              <w:t xml:space="preserve">   </w:t>
            </w:r>
          </w:p>
          <w:p w:rsidR="0025693E" w:rsidRPr="0025693E" w:rsidRDefault="0025693E" w:rsidP="008A2044">
            <w:pPr>
              <w:pStyle w:val="Odstavekseznama"/>
              <w:numPr>
                <w:ilvl w:val="0"/>
                <w:numId w:val="0"/>
              </w:numPr>
              <w:ind w:left="1065"/>
              <w:rPr>
                <w:rFonts w:ascii="Arial" w:eastAsia="Calibri" w:hAnsi="Arial" w:cs="Arial"/>
                <w:b w:val="0"/>
                <w:sz w:val="22"/>
                <w:szCs w:val="22"/>
                <w:lang w:eastAsia="en-US"/>
              </w:rPr>
            </w:pPr>
          </w:p>
          <w:p w:rsidR="00C45831" w:rsidRPr="00942AAF" w:rsidRDefault="00846D87" w:rsidP="008A2044">
            <w:pPr>
              <w:spacing w:after="0" w:line="240" w:lineRule="auto"/>
              <w:jc w:val="both"/>
              <w:rPr>
                <w:rFonts w:ascii="Arial" w:hAnsi="Arial" w:cs="Arial"/>
              </w:rPr>
            </w:pPr>
            <w:r w:rsidRPr="00942AAF">
              <w:rPr>
                <w:rFonts w:ascii="Arial" w:hAnsi="Arial" w:cs="Arial"/>
              </w:rPr>
              <w:t>Zgolj gradnja ali nakup opreme ni upravičena investicija.</w:t>
            </w:r>
          </w:p>
        </w:tc>
      </w:tr>
      <w:tr w:rsidR="00C45831" w:rsidRPr="00F06743" w:rsidTr="00846D87">
        <w:tc>
          <w:tcPr>
            <w:tcW w:w="2613" w:type="dxa"/>
            <w:shd w:val="clear" w:color="auto" w:fill="auto"/>
          </w:tcPr>
          <w:p w:rsidR="00C45831" w:rsidRPr="00B6346C" w:rsidRDefault="00C30D4F" w:rsidP="008A2044">
            <w:pPr>
              <w:spacing w:after="0" w:line="240" w:lineRule="auto"/>
              <w:rPr>
                <w:rFonts w:ascii="Arial" w:hAnsi="Arial" w:cs="Arial"/>
                <w:b/>
              </w:rPr>
            </w:pPr>
            <w:r w:rsidRPr="00B6346C">
              <w:rPr>
                <w:rFonts w:ascii="Arial" w:hAnsi="Arial" w:cs="Arial"/>
                <w:b/>
              </w:rPr>
              <w:t>C</w:t>
            </w:r>
            <w:r w:rsidR="00C45831" w:rsidRPr="00B6346C">
              <w:rPr>
                <w:rFonts w:ascii="Arial" w:hAnsi="Arial" w:cs="Arial"/>
                <w:b/>
              </w:rPr>
              <w:t>elovita investicija</w:t>
            </w:r>
          </w:p>
        </w:tc>
        <w:tc>
          <w:tcPr>
            <w:tcW w:w="6675" w:type="dxa"/>
            <w:shd w:val="clear" w:color="auto" w:fill="auto"/>
          </w:tcPr>
          <w:p w:rsidR="00C45831" w:rsidRPr="00F06743" w:rsidRDefault="00B6346C" w:rsidP="008A2044">
            <w:pPr>
              <w:spacing w:after="0" w:line="240" w:lineRule="auto"/>
              <w:jc w:val="both"/>
              <w:rPr>
                <w:rFonts w:ascii="Arial" w:hAnsi="Arial" w:cs="Arial"/>
              </w:rPr>
            </w:pPr>
            <w:r>
              <w:rPr>
                <w:rFonts w:ascii="Arial" w:hAnsi="Arial" w:cs="Arial"/>
              </w:rPr>
              <w:t>P</w:t>
            </w:r>
            <w:r w:rsidR="00C45831" w:rsidRPr="00F06743">
              <w:rPr>
                <w:rFonts w:ascii="Arial" w:hAnsi="Arial" w:cs="Arial"/>
              </w:rPr>
              <w:t xml:space="preserve">o zaključeni operaciji </w:t>
            </w:r>
            <w:r>
              <w:rPr>
                <w:rFonts w:ascii="Arial" w:hAnsi="Arial" w:cs="Arial"/>
              </w:rPr>
              <w:t xml:space="preserve">ima </w:t>
            </w:r>
            <w:r w:rsidR="00C45831" w:rsidRPr="00F06743">
              <w:rPr>
                <w:rFonts w:ascii="Arial" w:hAnsi="Arial" w:cs="Arial"/>
              </w:rPr>
              <w:t>EPC vso potrebno infrastrukturo za nemoteno delovanje in nadaljnje investicije niso potrebne.</w:t>
            </w:r>
          </w:p>
        </w:tc>
      </w:tr>
      <w:tr w:rsidR="00C45831" w:rsidRPr="00F06743" w:rsidTr="00846D87">
        <w:tc>
          <w:tcPr>
            <w:tcW w:w="2613" w:type="dxa"/>
            <w:shd w:val="clear" w:color="auto" w:fill="auto"/>
          </w:tcPr>
          <w:p w:rsidR="00C45831" w:rsidRPr="00B6346C" w:rsidRDefault="00846D87" w:rsidP="008A2044">
            <w:pPr>
              <w:spacing w:after="0" w:line="240" w:lineRule="auto"/>
              <w:rPr>
                <w:rFonts w:ascii="Arial" w:hAnsi="Arial" w:cs="Arial"/>
                <w:b/>
              </w:rPr>
            </w:pPr>
            <w:r w:rsidRPr="00B6346C">
              <w:rPr>
                <w:rFonts w:ascii="Arial" w:hAnsi="Arial" w:cs="Arial"/>
                <w:b/>
              </w:rPr>
              <w:t>C</w:t>
            </w:r>
            <w:r w:rsidR="00C45831" w:rsidRPr="00B6346C">
              <w:rPr>
                <w:rFonts w:ascii="Arial" w:hAnsi="Arial" w:cs="Arial"/>
                <w:b/>
              </w:rPr>
              <w:t>esta za namen delovanja EPC</w:t>
            </w:r>
          </w:p>
        </w:tc>
        <w:tc>
          <w:tcPr>
            <w:tcW w:w="6675" w:type="dxa"/>
            <w:shd w:val="clear" w:color="auto" w:fill="auto"/>
          </w:tcPr>
          <w:p w:rsidR="00C45831" w:rsidRPr="00F06743" w:rsidRDefault="00B6346C" w:rsidP="008A2044">
            <w:pPr>
              <w:spacing w:after="0" w:line="240" w:lineRule="auto"/>
              <w:jc w:val="both"/>
              <w:rPr>
                <w:rFonts w:ascii="Arial" w:hAnsi="Arial" w:cs="Arial"/>
              </w:rPr>
            </w:pPr>
            <w:r>
              <w:rPr>
                <w:rFonts w:ascii="Arial" w:hAnsi="Arial" w:cs="Arial"/>
              </w:rPr>
              <w:t>C</w:t>
            </w:r>
            <w:r w:rsidR="00C45831" w:rsidRPr="00F06743">
              <w:rPr>
                <w:rFonts w:ascii="Arial" w:hAnsi="Arial" w:cs="Arial"/>
              </w:rPr>
              <w:t xml:space="preserve">esta, ki se nahaja znotraj območja EPC in </w:t>
            </w:r>
            <w:r w:rsidR="00C30D4F">
              <w:rPr>
                <w:rFonts w:ascii="Arial" w:hAnsi="Arial" w:cs="Arial"/>
              </w:rPr>
              <w:t xml:space="preserve">je </w:t>
            </w:r>
            <w:r w:rsidR="00C45831" w:rsidRPr="00F06743">
              <w:rPr>
                <w:rFonts w:ascii="Arial" w:hAnsi="Arial" w:cs="Arial"/>
              </w:rPr>
              <w:t>prvenstveno namenjena delovanju EPC. Mora imeti priključke / neposredno navezavo na ceste znotraj EPC in vpliva na prometni režim v EPC</w:t>
            </w:r>
            <w:r w:rsidR="00BA42A1">
              <w:rPr>
                <w:rFonts w:ascii="Arial" w:hAnsi="Arial" w:cs="Arial"/>
              </w:rPr>
              <w:t>.</w:t>
            </w:r>
          </w:p>
        </w:tc>
      </w:tr>
      <w:tr w:rsidR="00C45831" w:rsidRPr="00F06743" w:rsidTr="00846D87">
        <w:tc>
          <w:tcPr>
            <w:tcW w:w="2613" w:type="dxa"/>
            <w:shd w:val="clear" w:color="auto" w:fill="auto"/>
          </w:tcPr>
          <w:p w:rsidR="00C45831" w:rsidRPr="00B6346C" w:rsidRDefault="00C45831" w:rsidP="008A2044">
            <w:pPr>
              <w:spacing w:after="0" w:line="240" w:lineRule="auto"/>
              <w:rPr>
                <w:rFonts w:ascii="Arial" w:hAnsi="Arial" w:cs="Arial"/>
                <w:b/>
              </w:rPr>
            </w:pPr>
            <w:r w:rsidRPr="00B6346C">
              <w:rPr>
                <w:rFonts w:ascii="Arial" w:hAnsi="Arial" w:cs="Arial"/>
                <w:b/>
              </w:rPr>
              <w:t>Uporabne površine</w:t>
            </w:r>
          </w:p>
        </w:tc>
        <w:tc>
          <w:tcPr>
            <w:tcW w:w="6675" w:type="dxa"/>
            <w:shd w:val="clear" w:color="auto" w:fill="auto"/>
          </w:tcPr>
          <w:p w:rsidR="00C45831" w:rsidRPr="00F06743" w:rsidRDefault="00846D87" w:rsidP="008A2044">
            <w:pPr>
              <w:spacing w:after="0" w:line="240" w:lineRule="auto"/>
              <w:jc w:val="both"/>
              <w:rPr>
                <w:rFonts w:ascii="Arial" w:hAnsi="Arial" w:cs="Arial"/>
              </w:rPr>
            </w:pPr>
            <w:r>
              <w:rPr>
                <w:rFonts w:ascii="Arial" w:hAnsi="Arial" w:cs="Arial"/>
              </w:rPr>
              <w:t>P</w:t>
            </w:r>
            <w:r w:rsidR="00C45831" w:rsidRPr="00F06743">
              <w:rPr>
                <w:rFonts w:ascii="Arial" w:hAnsi="Arial" w:cs="Arial"/>
              </w:rPr>
              <w:t>ovršine, ki so namenjene izvajanju podjetniške dejavnosti (parcela poslovnega objekta s pripadajočimi zunanjimi ureditvami in infrastrukturo, poslovni prostori inkubatorja). Med te površine se ne štejejo parcele / površine, na katerih ni opredeljeno opravljanje podjetniške dejavnosti oz. niso na voljo za investicije (npr. vodotoki, zelenice, avtobusna postajališča, ceste, skupni prostori, hodniki, avle,…)</w:t>
            </w:r>
            <w:r>
              <w:rPr>
                <w:rFonts w:ascii="Arial" w:hAnsi="Arial" w:cs="Arial"/>
              </w:rPr>
              <w:t>.</w:t>
            </w:r>
          </w:p>
        </w:tc>
      </w:tr>
      <w:tr w:rsidR="00115D91" w:rsidRPr="00115D91" w:rsidTr="00846D87">
        <w:tc>
          <w:tcPr>
            <w:tcW w:w="2613" w:type="dxa"/>
            <w:shd w:val="clear" w:color="auto" w:fill="auto"/>
          </w:tcPr>
          <w:p w:rsidR="00115D91" w:rsidRPr="00B6346C" w:rsidRDefault="00115D91" w:rsidP="008A2044">
            <w:pPr>
              <w:spacing w:after="0" w:line="240" w:lineRule="auto"/>
              <w:rPr>
                <w:rFonts w:ascii="Arial" w:hAnsi="Arial" w:cs="Arial"/>
                <w:b/>
              </w:rPr>
            </w:pPr>
            <w:r w:rsidRPr="00B6346C">
              <w:rPr>
                <w:rFonts w:ascii="Arial" w:hAnsi="Arial" w:cs="Arial"/>
                <w:b/>
              </w:rPr>
              <w:t>Kazalnik</w:t>
            </w:r>
          </w:p>
        </w:tc>
        <w:tc>
          <w:tcPr>
            <w:tcW w:w="6675" w:type="dxa"/>
            <w:shd w:val="clear" w:color="auto" w:fill="auto"/>
          </w:tcPr>
          <w:p w:rsidR="00115D91" w:rsidRDefault="00B6346C" w:rsidP="008A2044">
            <w:pPr>
              <w:autoSpaceDE w:val="0"/>
              <w:autoSpaceDN w:val="0"/>
              <w:adjustRightInd w:val="0"/>
              <w:spacing w:after="0" w:line="240" w:lineRule="auto"/>
              <w:jc w:val="both"/>
              <w:rPr>
                <w:rFonts w:ascii="Arial" w:hAnsi="Arial" w:cs="Arial"/>
              </w:rPr>
            </w:pPr>
            <w:r>
              <w:rPr>
                <w:rFonts w:ascii="Arial" w:hAnsi="Arial" w:cs="Arial"/>
              </w:rPr>
              <w:t>Merilno</w:t>
            </w:r>
            <w:r w:rsidR="00115D91" w:rsidRPr="00115D91">
              <w:rPr>
                <w:rFonts w:ascii="Arial" w:hAnsi="Arial" w:cs="Arial"/>
              </w:rPr>
              <w:t xml:space="preserve"> orodje za ovrednotenje fizičnih ciljev instrumenta, ki opisno in številčno določi načrt instrumenta in kaže na izid projektov ter se uporablja kot vodilo za spremljanje, ocenjevanje in poročanje o instrumentu in projektih</w:t>
            </w:r>
            <w:r w:rsidR="0025693E">
              <w:rPr>
                <w:rFonts w:ascii="Arial" w:hAnsi="Arial" w:cs="Arial"/>
              </w:rPr>
              <w:t>.</w:t>
            </w:r>
          </w:p>
          <w:p w:rsidR="00B6346C" w:rsidRDefault="00B6346C" w:rsidP="008A2044">
            <w:pPr>
              <w:autoSpaceDE w:val="0"/>
              <w:autoSpaceDN w:val="0"/>
              <w:adjustRightInd w:val="0"/>
              <w:spacing w:after="0" w:line="240" w:lineRule="auto"/>
              <w:jc w:val="both"/>
              <w:rPr>
                <w:rFonts w:ascii="Arial" w:hAnsi="Arial" w:cs="Arial"/>
              </w:rPr>
            </w:pPr>
          </w:p>
          <w:p w:rsidR="0025693E" w:rsidRPr="00115D91" w:rsidRDefault="0025693E" w:rsidP="008A2044">
            <w:pPr>
              <w:spacing w:after="0" w:line="240" w:lineRule="auto"/>
              <w:jc w:val="both"/>
              <w:rPr>
                <w:rFonts w:ascii="Arial" w:hAnsi="Arial" w:cs="Arial"/>
              </w:rPr>
            </w:pPr>
            <w:r w:rsidRPr="0025693E">
              <w:rPr>
                <w:rFonts w:ascii="Arial" w:hAnsi="Arial" w:cs="Arial"/>
              </w:rPr>
              <w:t xml:space="preserve">Vlagatelj mora v vlogi realno prikazati načrtovane </w:t>
            </w:r>
            <w:r w:rsidR="008A2044">
              <w:rPr>
                <w:rFonts w:ascii="Arial" w:hAnsi="Arial" w:cs="Arial"/>
              </w:rPr>
              <w:t>kazalnikov</w:t>
            </w:r>
            <w:r w:rsidRPr="0025693E">
              <w:rPr>
                <w:rFonts w:ascii="Arial" w:hAnsi="Arial" w:cs="Arial"/>
              </w:rPr>
              <w:t xml:space="preserve"> operacije. Preveč optimistična pričakovanja lahko privedejo do nedoseganja zastavljenih </w:t>
            </w:r>
            <w:r w:rsidR="008A2044">
              <w:rPr>
                <w:rFonts w:ascii="Arial" w:hAnsi="Arial" w:cs="Arial"/>
              </w:rPr>
              <w:t>kazalnikov</w:t>
            </w:r>
            <w:r w:rsidRPr="0025693E">
              <w:rPr>
                <w:rFonts w:ascii="Arial" w:hAnsi="Arial" w:cs="Arial"/>
              </w:rPr>
              <w:t xml:space="preserve"> in so lahko podlaga za zahtevo za vračilo prejetih sredstev. Podatki iz vloge za NPO (prejete dokumentacije) bodo osnova za spremljanje pričakovanih rezultatov in bodo kot takšni tudi priloga pogodbe o sofinanciranju.</w:t>
            </w:r>
          </w:p>
        </w:tc>
      </w:tr>
      <w:tr w:rsidR="00115D91" w:rsidRPr="00F06743" w:rsidTr="00846D87">
        <w:tc>
          <w:tcPr>
            <w:tcW w:w="2613" w:type="dxa"/>
            <w:shd w:val="clear" w:color="auto" w:fill="auto"/>
          </w:tcPr>
          <w:p w:rsidR="00115D91" w:rsidRPr="00B6346C" w:rsidRDefault="00115D91" w:rsidP="008A2044">
            <w:pPr>
              <w:spacing w:after="0" w:line="240" w:lineRule="auto"/>
              <w:rPr>
                <w:rFonts w:ascii="Arial" w:hAnsi="Arial" w:cs="Arial"/>
                <w:b/>
              </w:rPr>
            </w:pPr>
            <w:r w:rsidRPr="00B6346C">
              <w:rPr>
                <w:rFonts w:ascii="Arial" w:hAnsi="Arial" w:cs="Arial"/>
                <w:b/>
              </w:rPr>
              <w:t xml:space="preserve">Kazalnik rezultata </w:t>
            </w:r>
            <w:r w:rsidR="00144784" w:rsidRPr="00B6346C">
              <w:rPr>
                <w:rFonts w:ascii="Arial" w:hAnsi="Arial" w:cs="Arial"/>
                <w:b/>
              </w:rPr>
              <w:t>»</w:t>
            </w:r>
            <w:r w:rsidRPr="00B6346C">
              <w:rPr>
                <w:rFonts w:ascii="Arial" w:hAnsi="Arial" w:cs="Arial"/>
                <w:b/>
              </w:rPr>
              <w:t xml:space="preserve">zasedenost površin </w:t>
            </w:r>
            <w:r w:rsidRPr="00B6346C">
              <w:rPr>
                <w:rFonts w:ascii="Arial" w:hAnsi="Arial" w:cs="Arial"/>
                <w:b/>
              </w:rPr>
              <w:lastRenderedPageBreak/>
              <w:t>urejene / dograjene / razširjene EPC ali inkubatorja s podjetniškimi dejavnostmi</w:t>
            </w:r>
            <w:r w:rsidR="00144784" w:rsidRPr="00B6346C">
              <w:rPr>
                <w:rFonts w:ascii="Arial" w:hAnsi="Arial" w:cs="Arial"/>
                <w:b/>
              </w:rPr>
              <w:t>«</w:t>
            </w:r>
          </w:p>
        </w:tc>
        <w:tc>
          <w:tcPr>
            <w:tcW w:w="6675" w:type="dxa"/>
            <w:shd w:val="clear" w:color="auto" w:fill="auto"/>
          </w:tcPr>
          <w:p w:rsidR="00115D91" w:rsidRDefault="00115D91" w:rsidP="008A2044">
            <w:pPr>
              <w:autoSpaceDE w:val="0"/>
              <w:autoSpaceDN w:val="0"/>
              <w:adjustRightInd w:val="0"/>
              <w:spacing w:after="0" w:line="240" w:lineRule="auto"/>
              <w:jc w:val="both"/>
              <w:rPr>
                <w:rFonts w:ascii="Arial" w:hAnsi="Arial" w:cs="Arial"/>
              </w:rPr>
            </w:pPr>
            <w:r w:rsidRPr="0025693E">
              <w:rPr>
                <w:rFonts w:ascii="Arial" w:hAnsi="Arial" w:cs="Arial"/>
              </w:rPr>
              <w:lastRenderedPageBreak/>
              <w:t xml:space="preserve">Doseganje kazalnika rezultata pomeni, da izvedena operacija po preteku dveh let od zaključka izkazuje rezultat vsaj 70 % </w:t>
            </w:r>
            <w:r w:rsidRPr="0025693E">
              <w:rPr>
                <w:rFonts w:ascii="Arial" w:hAnsi="Arial" w:cs="Arial"/>
              </w:rPr>
              <w:lastRenderedPageBreak/>
              <w:t xml:space="preserve">zasedenosti novo opremljenih uporabnih površin EPC ali inkubatorja, namenjenih podjetniški dejavnosti. Pri kazalniku rezultata se upoštevajo le površine, namenjene podjetniški dejavnosti, ne pa tudi ceste, pločniki, parki, zelenice ipd. </w:t>
            </w:r>
          </w:p>
          <w:p w:rsidR="00B6346C" w:rsidRPr="0025693E" w:rsidRDefault="00B6346C" w:rsidP="008A2044">
            <w:pPr>
              <w:autoSpaceDE w:val="0"/>
              <w:autoSpaceDN w:val="0"/>
              <w:adjustRightInd w:val="0"/>
              <w:spacing w:after="0" w:line="240" w:lineRule="auto"/>
              <w:jc w:val="both"/>
              <w:rPr>
                <w:rFonts w:ascii="Arial" w:hAnsi="Arial" w:cs="Arial"/>
              </w:rPr>
            </w:pPr>
          </w:p>
          <w:p w:rsidR="008A2044" w:rsidRPr="00F300D9" w:rsidRDefault="0025693E" w:rsidP="008A2044">
            <w:pPr>
              <w:autoSpaceDE w:val="0"/>
              <w:autoSpaceDN w:val="0"/>
              <w:adjustRightInd w:val="0"/>
              <w:spacing w:after="0" w:line="240" w:lineRule="auto"/>
              <w:jc w:val="both"/>
              <w:rPr>
                <w:rFonts w:ascii="Arial" w:hAnsi="Arial" w:cs="Arial"/>
                <w:color w:val="000000"/>
              </w:rPr>
            </w:pPr>
            <w:r w:rsidRPr="0025693E">
              <w:rPr>
                <w:rFonts w:ascii="Arial" w:hAnsi="Arial" w:cs="Arial"/>
              </w:rPr>
              <w:t xml:space="preserve">Kazalnik </w:t>
            </w:r>
            <w:r w:rsidR="00115D91" w:rsidRPr="0025693E">
              <w:rPr>
                <w:rFonts w:ascii="Arial" w:hAnsi="Arial" w:cs="Arial"/>
              </w:rPr>
              <w:t>se meri kot odstotek uporabljenih novo opremljenih površin v EPC ali inkubatorju za podjetniško dejavnost (najem ali nakup zemljišča v EPC v m</w:t>
            </w:r>
            <w:r w:rsidR="00115D91" w:rsidRPr="0025693E">
              <w:rPr>
                <w:rFonts w:ascii="Arial" w:hAnsi="Arial" w:cs="Arial"/>
                <w:vertAlign w:val="superscript"/>
              </w:rPr>
              <w:t>2</w:t>
            </w:r>
            <w:r w:rsidR="00115D91" w:rsidRPr="0025693E">
              <w:rPr>
                <w:rFonts w:ascii="Arial" w:hAnsi="Arial" w:cs="Arial"/>
              </w:rPr>
              <w:t>, inkubator stopnja zasedenosti) glede na vse novo opremljene uporabne površine EPC ali inkubatorja, namenjene podjetniški dejavnosti. Šteje se, da se podjetniška dejavnost izvaja, v kolikor MSP izvaja običajne poslovne procese</w:t>
            </w:r>
            <w:r w:rsidR="00115D91" w:rsidRPr="0025693E">
              <w:rPr>
                <w:rFonts w:ascii="Arial" w:hAnsi="Arial" w:cs="Arial"/>
                <w:color w:val="000000"/>
              </w:rPr>
              <w:t>. Površine, na katerih se podjetniška dejavnost že izvaja ob oddaji vloge, se ne štejej</w:t>
            </w:r>
            <w:r w:rsidR="00F300D9">
              <w:rPr>
                <w:rFonts w:ascii="Arial" w:hAnsi="Arial" w:cs="Arial"/>
                <w:color w:val="000000"/>
              </w:rPr>
              <w:t xml:space="preserve">o za novo opremljene površine. </w:t>
            </w:r>
          </w:p>
        </w:tc>
      </w:tr>
      <w:tr w:rsidR="00156F53" w:rsidRPr="00F06743" w:rsidTr="00846D87">
        <w:tc>
          <w:tcPr>
            <w:tcW w:w="2613" w:type="dxa"/>
            <w:shd w:val="clear" w:color="auto" w:fill="auto"/>
          </w:tcPr>
          <w:p w:rsidR="00156F53" w:rsidRPr="00B6346C" w:rsidRDefault="00156F53" w:rsidP="008A2044">
            <w:pPr>
              <w:spacing w:after="0" w:line="240" w:lineRule="auto"/>
              <w:rPr>
                <w:rFonts w:ascii="Arial" w:hAnsi="Arial" w:cs="Arial"/>
                <w:b/>
              </w:rPr>
            </w:pPr>
            <w:r w:rsidRPr="00B6346C">
              <w:rPr>
                <w:rFonts w:ascii="Arial" w:hAnsi="Arial" w:cs="Arial"/>
                <w:b/>
              </w:rPr>
              <w:lastRenderedPageBreak/>
              <w:t>Kazalnik učinka</w:t>
            </w:r>
          </w:p>
          <w:p w:rsidR="008A2044" w:rsidRPr="00B6346C" w:rsidRDefault="008A2044" w:rsidP="008A2044">
            <w:pPr>
              <w:spacing w:after="0" w:line="240" w:lineRule="auto"/>
              <w:rPr>
                <w:rFonts w:ascii="Arial" w:hAnsi="Arial" w:cs="Arial"/>
                <w:b/>
              </w:rPr>
            </w:pPr>
            <w:r w:rsidRPr="00B6346C">
              <w:rPr>
                <w:rFonts w:ascii="Arial" w:hAnsi="Arial" w:cs="Arial"/>
                <w:b/>
              </w:rPr>
              <w:t>»število podprtih investicijskih projektov«</w:t>
            </w:r>
          </w:p>
        </w:tc>
        <w:tc>
          <w:tcPr>
            <w:tcW w:w="6675" w:type="dxa"/>
            <w:shd w:val="clear" w:color="auto" w:fill="auto"/>
          </w:tcPr>
          <w:p w:rsidR="0025693E" w:rsidRPr="008A2044" w:rsidRDefault="008A2044" w:rsidP="008A2044">
            <w:pPr>
              <w:spacing w:after="0" w:line="240" w:lineRule="auto"/>
              <w:jc w:val="both"/>
              <w:rPr>
                <w:rFonts w:ascii="Arial" w:hAnsi="Arial" w:cs="Arial"/>
              </w:rPr>
            </w:pPr>
            <w:r>
              <w:rPr>
                <w:rFonts w:ascii="Arial" w:hAnsi="Arial" w:cs="Arial"/>
              </w:rPr>
              <w:t>Kazalnik</w:t>
            </w:r>
            <w:r w:rsidRPr="00156F53">
              <w:rPr>
                <w:rFonts w:ascii="Arial" w:hAnsi="Arial" w:cs="Arial"/>
              </w:rPr>
              <w:t xml:space="preserve"> učinka </w:t>
            </w:r>
            <w:r>
              <w:rPr>
                <w:rFonts w:ascii="Arial" w:hAnsi="Arial" w:cs="Arial"/>
              </w:rPr>
              <w:t>meri</w:t>
            </w:r>
            <w:r w:rsidRPr="00156F53">
              <w:rPr>
                <w:rFonts w:ascii="Arial" w:hAnsi="Arial" w:cs="Arial"/>
              </w:rPr>
              <w:t xml:space="preserve"> neposred</w:t>
            </w:r>
            <w:r>
              <w:rPr>
                <w:rFonts w:ascii="Arial" w:hAnsi="Arial" w:cs="Arial"/>
              </w:rPr>
              <w:t>en</w:t>
            </w:r>
            <w:r w:rsidRPr="00156F53">
              <w:rPr>
                <w:rFonts w:ascii="Arial" w:hAnsi="Arial" w:cs="Arial"/>
              </w:rPr>
              <w:t xml:space="preserve"> učin</w:t>
            </w:r>
            <w:r>
              <w:rPr>
                <w:rFonts w:ascii="Arial" w:hAnsi="Arial" w:cs="Arial"/>
              </w:rPr>
              <w:t>ek</w:t>
            </w:r>
            <w:r w:rsidRPr="00156F53">
              <w:rPr>
                <w:rFonts w:ascii="Arial" w:hAnsi="Arial" w:cs="Arial"/>
              </w:rPr>
              <w:t xml:space="preserve"> izvedene operacije</w:t>
            </w:r>
            <w:r>
              <w:rPr>
                <w:rFonts w:ascii="Arial" w:hAnsi="Arial" w:cs="Arial"/>
              </w:rPr>
              <w:t xml:space="preserve">, ki v tem primeru </w:t>
            </w:r>
            <w:r w:rsidR="00156F53" w:rsidRPr="00156F53">
              <w:rPr>
                <w:rFonts w:ascii="Arial" w:hAnsi="Arial" w:cs="Arial"/>
              </w:rPr>
              <w:t>predstavl</w:t>
            </w:r>
            <w:r>
              <w:rPr>
                <w:rFonts w:ascii="Arial" w:hAnsi="Arial" w:cs="Arial"/>
              </w:rPr>
              <w:t xml:space="preserve">ja število zaključenih operacij. Če je operacija uspešno zaključen, je ta kazalnik </w:t>
            </w:r>
            <w:r w:rsidR="00156F53" w:rsidRPr="00156F53">
              <w:rPr>
                <w:rFonts w:ascii="Arial" w:hAnsi="Arial" w:cs="Arial"/>
              </w:rPr>
              <w:t>enak 1.</w:t>
            </w:r>
          </w:p>
        </w:tc>
      </w:tr>
      <w:tr w:rsidR="00115D91" w:rsidRPr="00156F53" w:rsidTr="00846D87">
        <w:tc>
          <w:tcPr>
            <w:tcW w:w="2613" w:type="dxa"/>
            <w:shd w:val="clear" w:color="auto" w:fill="auto"/>
          </w:tcPr>
          <w:p w:rsidR="00115D91" w:rsidRPr="00B6346C" w:rsidRDefault="008A2044" w:rsidP="008A2044">
            <w:pPr>
              <w:spacing w:after="0" w:line="240" w:lineRule="auto"/>
              <w:rPr>
                <w:rFonts w:ascii="Arial" w:hAnsi="Arial" w:cs="Arial"/>
                <w:b/>
              </w:rPr>
            </w:pPr>
            <w:r w:rsidRPr="00B6346C">
              <w:rPr>
                <w:rFonts w:ascii="Arial" w:hAnsi="Arial" w:cs="Arial"/>
                <w:b/>
              </w:rPr>
              <w:t>K</w:t>
            </w:r>
            <w:r w:rsidR="00115D91" w:rsidRPr="00B6346C">
              <w:rPr>
                <w:rFonts w:ascii="Arial" w:hAnsi="Arial" w:cs="Arial"/>
                <w:b/>
              </w:rPr>
              <w:t>azalnik</w:t>
            </w:r>
            <w:r w:rsidR="00156F53" w:rsidRPr="00B6346C">
              <w:rPr>
                <w:rFonts w:ascii="Arial" w:hAnsi="Arial" w:cs="Arial"/>
                <w:b/>
              </w:rPr>
              <w:t>a</w:t>
            </w:r>
            <w:r w:rsidR="00115D91" w:rsidRPr="00B6346C">
              <w:rPr>
                <w:rFonts w:ascii="Arial" w:hAnsi="Arial" w:cs="Arial"/>
                <w:b/>
              </w:rPr>
              <w:t xml:space="preserve"> učinka »površina urejene / dograjene / razširjene / zgrajene EPC (v ha)</w:t>
            </w:r>
            <w:r w:rsidR="00144784" w:rsidRPr="00B6346C">
              <w:rPr>
                <w:rFonts w:ascii="Arial" w:hAnsi="Arial" w:cs="Arial"/>
                <w:b/>
              </w:rPr>
              <w:t>«</w:t>
            </w:r>
          </w:p>
          <w:p w:rsidR="008A2044" w:rsidRPr="00B6346C" w:rsidRDefault="008A2044" w:rsidP="008A2044">
            <w:pPr>
              <w:spacing w:after="0" w:line="240" w:lineRule="auto"/>
              <w:rPr>
                <w:rFonts w:ascii="Arial" w:hAnsi="Arial" w:cs="Arial"/>
                <w:b/>
              </w:rPr>
            </w:pPr>
            <w:r w:rsidRPr="00B6346C">
              <w:rPr>
                <w:rFonts w:ascii="Arial" w:hAnsi="Arial" w:cs="Arial"/>
                <w:b/>
              </w:rPr>
              <w:t>ter</w:t>
            </w:r>
          </w:p>
          <w:p w:rsidR="008A2044" w:rsidRPr="00B6346C" w:rsidRDefault="008A2044" w:rsidP="008A2044">
            <w:pPr>
              <w:spacing w:after="0" w:line="240" w:lineRule="auto"/>
              <w:rPr>
                <w:rFonts w:ascii="Arial" w:hAnsi="Arial" w:cs="Arial"/>
                <w:b/>
              </w:rPr>
            </w:pPr>
            <w:r w:rsidRPr="00B6346C">
              <w:rPr>
                <w:rFonts w:ascii="Arial" w:hAnsi="Arial" w:cs="Arial"/>
                <w:b/>
              </w:rPr>
              <w:t>»površina urejenega / zgrajenega inkubatorja (v m</w:t>
            </w:r>
            <w:r w:rsidRPr="00B6346C">
              <w:rPr>
                <w:rFonts w:ascii="Arial" w:hAnsi="Arial" w:cs="Arial"/>
                <w:b/>
                <w:vertAlign w:val="superscript"/>
              </w:rPr>
              <w:t>2</w:t>
            </w:r>
            <w:r w:rsidRPr="00B6346C">
              <w:rPr>
                <w:rFonts w:ascii="Arial" w:hAnsi="Arial" w:cs="Arial"/>
                <w:b/>
              </w:rPr>
              <w:t>)«</w:t>
            </w:r>
          </w:p>
          <w:p w:rsidR="008A2044" w:rsidRPr="00B6346C" w:rsidRDefault="008A2044" w:rsidP="008A2044">
            <w:pPr>
              <w:spacing w:after="0" w:line="240" w:lineRule="auto"/>
              <w:rPr>
                <w:rFonts w:ascii="Arial" w:hAnsi="Arial" w:cs="Arial"/>
                <w:b/>
              </w:rPr>
            </w:pPr>
          </w:p>
        </w:tc>
        <w:tc>
          <w:tcPr>
            <w:tcW w:w="6675" w:type="dxa"/>
            <w:shd w:val="clear" w:color="auto" w:fill="auto"/>
          </w:tcPr>
          <w:p w:rsidR="008A2044" w:rsidRDefault="008A2044" w:rsidP="008A2044">
            <w:pPr>
              <w:spacing w:after="0" w:line="240" w:lineRule="auto"/>
              <w:jc w:val="both"/>
              <w:rPr>
                <w:rFonts w:ascii="Arial" w:hAnsi="Arial" w:cs="Arial"/>
              </w:rPr>
            </w:pPr>
            <w:r>
              <w:rPr>
                <w:rFonts w:ascii="Arial" w:hAnsi="Arial" w:cs="Arial"/>
              </w:rPr>
              <w:t>Kazalnik</w:t>
            </w:r>
            <w:r w:rsidRPr="00156F53">
              <w:rPr>
                <w:rFonts w:ascii="Arial" w:hAnsi="Arial" w:cs="Arial"/>
              </w:rPr>
              <w:t xml:space="preserve"> učinka </w:t>
            </w:r>
            <w:r>
              <w:rPr>
                <w:rFonts w:ascii="Arial" w:hAnsi="Arial" w:cs="Arial"/>
              </w:rPr>
              <w:t>meri</w:t>
            </w:r>
            <w:r w:rsidRPr="00156F53">
              <w:rPr>
                <w:rFonts w:ascii="Arial" w:hAnsi="Arial" w:cs="Arial"/>
              </w:rPr>
              <w:t xml:space="preserve"> neposred</w:t>
            </w:r>
            <w:r>
              <w:rPr>
                <w:rFonts w:ascii="Arial" w:hAnsi="Arial" w:cs="Arial"/>
              </w:rPr>
              <w:t>en</w:t>
            </w:r>
            <w:r w:rsidRPr="00156F53">
              <w:rPr>
                <w:rFonts w:ascii="Arial" w:hAnsi="Arial" w:cs="Arial"/>
              </w:rPr>
              <w:t xml:space="preserve"> učin</w:t>
            </w:r>
            <w:r>
              <w:rPr>
                <w:rFonts w:ascii="Arial" w:hAnsi="Arial" w:cs="Arial"/>
              </w:rPr>
              <w:t>ek</w:t>
            </w:r>
            <w:r w:rsidRPr="00156F53">
              <w:rPr>
                <w:rFonts w:ascii="Arial" w:hAnsi="Arial" w:cs="Arial"/>
              </w:rPr>
              <w:t xml:space="preserve"> izvedene operacije</w:t>
            </w:r>
            <w:r>
              <w:rPr>
                <w:rFonts w:ascii="Arial" w:hAnsi="Arial" w:cs="Arial"/>
              </w:rPr>
              <w:t>, ki v primeru EPC p</w:t>
            </w:r>
            <w:r w:rsidR="00115D91" w:rsidRPr="00156F53">
              <w:rPr>
                <w:rFonts w:ascii="Arial" w:hAnsi="Arial" w:cs="Arial"/>
              </w:rPr>
              <w:t xml:space="preserve">redstavlja celotno površino urejene / dograjene / razširjene / zgrajene oz. novo opremljene cone, ki je predmet operacije. Pri kazalniku učinka  se upoštevajo vse površine urejenega / dograjenega / razširjenega območja s podjetniškimi dejavnostmi, vključno s površinami cest, pločnikov, parkov, zelenic ipd.  </w:t>
            </w:r>
            <w:r>
              <w:rPr>
                <w:rFonts w:ascii="Arial" w:hAnsi="Arial" w:cs="Arial"/>
              </w:rPr>
              <w:t xml:space="preserve">V primeru inkubatorja kazalnik predstavlja </w:t>
            </w:r>
            <w:r w:rsidRPr="008A2044">
              <w:rPr>
                <w:rFonts w:ascii="Arial" w:hAnsi="Arial" w:cs="Arial"/>
              </w:rPr>
              <w:t>celotno površino urejenega / zgrajenega inkubatorja, ki je predmet operacije.</w:t>
            </w:r>
          </w:p>
          <w:p w:rsidR="00B6346C" w:rsidRDefault="00B6346C" w:rsidP="008A2044">
            <w:pPr>
              <w:spacing w:after="0" w:line="240" w:lineRule="auto"/>
              <w:jc w:val="both"/>
              <w:rPr>
                <w:rFonts w:ascii="Arial" w:hAnsi="Arial" w:cs="Arial"/>
              </w:rPr>
            </w:pPr>
          </w:p>
          <w:p w:rsidR="008A2044" w:rsidRPr="008A2044" w:rsidRDefault="008A2044" w:rsidP="008A2044">
            <w:pPr>
              <w:spacing w:after="0" w:line="240" w:lineRule="auto"/>
              <w:jc w:val="both"/>
              <w:rPr>
                <w:rFonts w:ascii="Arial" w:hAnsi="Arial" w:cs="Arial"/>
              </w:rPr>
            </w:pPr>
            <w:r w:rsidRPr="00156F53">
              <w:rPr>
                <w:rFonts w:ascii="Arial" w:hAnsi="Arial" w:cs="Arial"/>
              </w:rPr>
              <w:t>Površina urejene/dograjene/razširjene EPC ali inkubatorja se meri v ha oz. v m</w:t>
            </w:r>
            <w:r w:rsidRPr="00BA42A1">
              <w:rPr>
                <w:rFonts w:ascii="Arial" w:hAnsi="Arial" w:cs="Arial"/>
                <w:vertAlign w:val="superscript"/>
              </w:rPr>
              <w:t>2</w:t>
            </w:r>
            <w:r>
              <w:rPr>
                <w:rFonts w:ascii="Arial" w:hAnsi="Arial" w:cs="Arial"/>
              </w:rPr>
              <w:t>.</w:t>
            </w:r>
          </w:p>
        </w:tc>
      </w:tr>
      <w:tr w:rsidR="00115D91" w:rsidRPr="00F06743" w:rsidTr="00846D87">
        <w:tc>
          <w:tcPr>
            <w:tcW w:w="2613" w:type="dxa"/>
            <w:shd w:val="clear" w:color="auto" w:fill="auto"/>
          </w:tcPr>
          <w:p w:rsidR="00115D91" w:rsidRPr="00B6346C" w:rsidRDefault="00115D91" w:rsidP="008A2044">
            <w:pPr>
              <w:spacing w:after="0" w:line="240" w:lineRule="auto"/>
              <w:rPr>
                <w:rFonts w:ascii="Arial" w:hAnsi="Arial" w:cs="Arial"/>
                <w:b/>
              </w:rPr>
            </w:pPr>
            <w:r w:rsidRPr="00B6346C">
              <w:rPr>
                <w:rFonts w:ascii="Arial" w:hAnsi="Arial" w:cs="Arial"/>
                <w:b/>
              </w:rPr>
              <w:t>MSP</w:t>
            </w:r>
          </w:p>
        </w:tc>
        <w:tc>
          <w:tcPr>
            <w:tcW w:w="6675" w:type="dxa"/>
            <w:shd w:val="clear" w:color="auto" w:fill="auto"/>
          </w:tcPr>
          <w:p w:rsidR="00115D91" w:rsidRPr="00F300D9" w:rsidRDefault="00115D91" w:rsidP="008A2044">
            <w:pPr>
              <w:spacing w:after="0" w:line="240" w:lineRule="auto"/>
              <w:jc w:val="both"/>
              <w:rPr>
                <w:rFonts w:ascii="Arial" w:eastAsia="Times New Roman" w:hAnsi="Arial" w:cs="Arial"/>
                <w:lang w:eastAsia="sl-SI"/>
              </w:rPr>
            </w:pPr>
            <w:r w:rsidRPr="00F06743">
              <w:rPr>
                <w:rFonts w:ascii="Arial" w:eastAsia="Times New Roman" w:hAnsi="Arial" w:cs="Arial"/>
                <w:lang w:eastAsia="sl-SI"/>
              </w:rPr>
              <w:t>Za opredelitev MSP in določitev velikosti podjetja se upošteva določila iz Priloge I Uredbe Komisije 651/2014/EU. Za povezane družbe se štejejo tudi podjetja, ki so povezana prek lastniških deležev fizičnih oseb z upoštevanjem določil Priloge</w:t>
            </w:r>
            <w:r w:rsidR="00F300D9">
              <w:rPr>
                <w:rFonts w:ascii="Arial" w:eastAsia="Times New Roman" w:hAnsi="Arial" w:cs="Arial"/>
                <w:lang w:eastAsia="sl-SI"/>
              </w:rPr>
              <w:t xml:space="preserve"> I Uredba Komisije 651/2014/EU.</w:t>
            </w:r>
          </w:p>
        </w:tc>
      </w:tr>
    </w:tbl>
    <w:p w:rsidR="00156F53" w:rsidRDefault="00156F53" w:rsidP="008A2044">
      <w:pPr>
        <w:spacing w:after="0" w:line="240" w:lineRule="auto"/>
        <w:rPr>
          <w:rFonts w:ascii="Arial" w:hAnsi="Arial" w:cs="Arial"/>
        </w:rPr>
      </w:pPr>
    </w:p>
    <w:sectPr w:rsidR="00156F53" w:rsidSect="00244A46">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0A32" w:rsidRDefault="00D70A32" w:rsidP="00C45831">
      <w:pPr>
        <w:spacing w:after="0" w:line="240" w:lineRule="auto"/>
      </w:pPr>
      <w:r>
        <w:separator/>
      </w:r>
    </w:p>
  </w:endnote>
  <w:endnote w:type="continuationSeparator" w:id="0">
    <w:p w:rsidR="00D70A32" w:rsidRDefault="00D70A32" w:rsidP="00C458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Trebuchet MS">
    <w:panose1 w:val="020B0603020202020204"/>
    <w:charset w:val="EE"/>
    <w:family w:val="swiss"/>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044" w:rsidRDefault="008A2044">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044" w:rsidRDefault="008A2044">
    <w:pPr>
      <w:pStyle w:val="Nog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044" w:rsidRDefault="008A2044">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0A32" w:rsidRDefault="00D70A32" w:rsidP="00C45831">
      <w:pPr>
        <w:spacing w:after="0" w:line="240" w:lineRule="auto"/>
      </w:pPr>
      <w:r>
        <w:separator/>
      </w:r>
    </w:p>
  </w:footnote>
  <w:footnote w:type="continuationSeparator" w:id="0">
    <w:p w:rsidR="00D70A32" w:rsidRDefault="00D70A32" w:rsidP="00C45831">
      <w:pPr>
        <w:spacing w:after="0" w:line="240" w:lineRule="auto"/>
      </w:pPr>
      <w:r>
        <w:continuationSeparator/>
      </w:r>
    </w:p>
  </w:footnote>
  <w:footnote w:id="1">
    <w:p w:rsidR="00B6346C" w:rsidRDefault="00B6346C">
      <w:pPr>
        <w:pStyle w:val="Sprotnaopomba-besedilo"/>
      </w:pPr>
      <w:r>
        <w:rPr>
          <w:rStyle w:val="Sprotnaopomba-sklic"/>
        </w:rPr>
        <w:footnoteRef/>
      </w:r>
      <w:r>
        <w:t xml:space="preserve"> K</w:t>
      </w:r>
      <w:r w:rsidRPr="00B6346C">
        <w:t>ot gradnja se praviloma šteje obnova oz. rekonstrukcija obstoječega objekta. Samo v izjemnih primerih, opredeljenih v poglavju 3 smernic,</w:t>
      </w:r>
      <w:r>
        <w:t xml:space="preserve"> je upravičena tudi novogradnja.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044" w:rsidRDefault="008A2044">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044" w:rsidRDefault="00C45DD0" w:rsidP="00244A46">
    <w:pPr>
      <w:pStyle w:val="Glava"/>
      <w:tabs>
        <w:tab w:val="clear" w:pos="4536"/>
      </w:tabs>
      <w:ind w:left="-709"/>
      <w:jc w:val="right"/>
    </w:pPr>
    <w:r>
      <w:rPr>
        <w:noProof/>
        <w:lang w:eastAsia="sl-SI"/>
      </w:rPr>
      <w:drawing>
        <wp:inline distT="0" distB="0" distL="0" distR="0">
          <wp:extent cx="2473570" cy="509955"/>
          <wp:effectExtent l="0" t="0" r="3175" b="4445"/>
          <wp:docPr id="1" name="Slika 1" descr="Logotip Ministrstva za gospodarski razvoj in tehnologijo" title="Logo MG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3337" cy="509907"/>
                  </a:xfrm>
                  <a:prstGeom prst="rect">
                    <a:avLst/>
                  </a:prstGeom>
                  <a:noFill/>
                  <a:ln>
                    <a:noFill/>
                  </a:ln>
                </pic:spPr>
              </pic:pic>
            </a:graphicData>
          </a:graphic>
        </wp:inline>
      </w:drawing>
    </w:r>
    <w:r w:rsidR="008A2044" w:rsidRPr="00244A46">
      <w:t xml:space="preserve"> </w:t>
    </w:r>
    <w:r w:rsidR="008A2044">
      <w:t xml:space="preserve">     </w:t>
    </w:r>
    <w:r w:rsidR="008A2044">
      <w:tab/>
    </w:r>
    <w:bookmarkStart w:id="0" w:name="_GoBack"/>
    <w:r>
      <w:rPr>
        <w:noProof/>
        <w:lang w:eastAsia="sl-SI"/>
      </w:rPr>
      <w:drawing>
        <wp:inline distT="0" distB="0" distL="0" distR="0">
          <wp:extent cx="2233295" cy="773430"/>
          <wp:effectExtent l="0" t="0" r="0" b="7620"/>
          <wp:docPr id="2" name="Slika 2" descr="Logotip evropskega sklada za regionalni razvoj" title="Logo 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33295" cy="773430"/>
                  </a:xfrm>
                  <a:prstGeom prst="rect">
                    <a:avLst/>
                  </a:prstGeom>
                  <a:noFill/>
                  <a:ln>
                    <a:noFill/>
                  </a:ln>
                </pic:spPr>
              </pic:pic>
            </a:graphicData>
          </a:graphic>
        </wp:inline>
      </w:drawing>
    </w:r>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044" w:rsidRDefault="008A2044">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EB3283"/>
    <w:multiLevelType w:val="multilevel"/>
    <w:tmpl w:val="9014DB78"/>
    <w:lvl w:ilvl="0">
      <w:start w:val="5"/>
      <w:numFmt w:val="decimal"/>
      <w:lvlText w:val="%1"/>
      <w:lvlJc w:val="left"/>
      <w:pPr>
        <w:ind w:left="360" w:hanging="360"/>
      </w:pPr>
      <w:rPr>
        <w:rFonts w:hint="default"/>
      </w:rPr>
    </w:lvl>
    <w:lvl w:ilvl="1">
      <w:start w:val="1"/>
      <w:numFmt w:val="decimal"/>
      <w:pStyle w:val="Odstavekseznama"/>
      <w:lvlText w:val="%1.%2"/>
      <w:lvlJc w:val="left"/>
      <w:pPr>
        <w:ind w:left="2062"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124" w:hanging="72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037" w:hanging="1080"/>
      </w:pPr>
      <w:rPr>
        <w:rFonts w:hint="default"/>
      </w:rPr>
    </w:lvl>
    <w:lvl w:ilvl="8">
      <w:start w:val="1"/>
      <w:numFmt w:val="decimal"/>
      <w:lvlText w:val="%1.%2.%3.%4.%5.%6.%7.%8.%9"/>
      <w:lvlJc w:val="left"/>
      <w:pPr>
        <w:ind w:left="8248" w:hanging="1440"/>
      </w:pPr>
      <w:rPr>
        <w:rFonts w:hint="default"/>
      </w:rPr>
    </w:lvl>
  </w:abstractNum>
  <w:abstractNum w:abstractNumId="1">
    <w:nsid w:val="41E66699"/>
    <w:multiLevelType w:val="hybridMultilevel"/>
    <w:tmpl w:val="AE2E8C76"/>
    <w:lvl w:ilvl="0" w:tplc="1214CE74">
      <w:start w:val="2"/>
      <w:numFmt w:val="bullet"/>
      <w:lvlText w:val="-"/>
      <w:lvlJc w:val="left"/>
      <w:pPr>
        <w:ind w:left="1065" w:hanging="360"/>
      </w:pPr>
      <w:rPr>
        <w:rFonts w:ascii="Arial" w:eastAsia="MS Mincho" w:hAnsi="Arial" w:cs="Arial" w:hint="default"/>
      </w:rPr>
    </w:lvl>
    <w:lvl w:ilvl="1" w:tplc="04240003" w:tentative="1">
      <w:start w:val="1"/>
      <w:numFmt w:val="bullet"/>
      <w:lvlText w:val="o"/>
      <w:lvlJc w:val="left"/>
      <w:pPr>
        <w:ind w:left="1785" w:hanging="360"/>
      </w:pPr>
      <w:rPr>
        <w:rFonts w:ascii="Courier New" w:hAnsi="Courier New" w:cs="Courier New" w:hint="default"/>
      </w:rPr>
    </w:lvl>
    <w:lvl w:ilvl="2" w:tplc="04240005" w:tentative="1">
      <w:start w:val="1"/>
      <w:numFmt w:val="bullet"/>
      <w:lvlText w:val=""/>
      <w:lvlJc w:val="left"/>
      <w:pPr>
        <w:ind w:left="2505" w:hanging="360"/>
      </w:pPr>
      <w:rPr>
        <w:rFonts w:ascii="Wingdings" w:hAnsi="Wingdings" w:hint="default"/>
      </w:rPr>
    </w:lvl>
    <w:lvl w:ilvl="3" w:tplc="04240001" w:tentative="1">
      <w:start w:val="1"/>
      <w:numFmt w:val="bullet"/>
      <w:lvlText w:val=""/>
      <w:lvlJc w:val="left"/>
      <w:pPr>
        <w:ind w:left="3225" w:hanging="360"/>
      </w:pPr>
      <w:rPr>
        <w:rFonts w:ascii="Symbol" w:hAnsi="Symbol" w:hint="default"/>
      </w:rPr>
    </w:lvl>
    <w:lvl w:ilvl="4" w:tplc="04240003" w:tentative="1">
      <w:start w:val="1"/>
      <w:numFmt w:val="bullet"/>
      <w:lvlText w:val="o"/>
      <w:lvlJc w:val="left"/>
      <w:pPr>
        <w:ind w:left="3945" w:hanging="360"/>
      </w:pPr>
      <w:rPr>
        <w:rFonts w:ascii="Courier New" w:hAnsi="Courier New" w:cs="Courier New" w:hint="default"/>
      </w:rPr>
    </w:lvl>
    <w:lvl w:ilvl="5" w:tplc="04240005" w:tentative="1">
      <w:start w:val="1"/>
      <w:numFmt w:val="bullet"/>
      <w:lvlText w:val=""/>
      <w:lvlJc w:val="left"/>
      <w:pPr>
        <w:ind w:left="4665" w:hanging="360"/>
      </w:pPr>
      <w:rPr>
        <w:rFonts w:ascii="Wingdings" w:hAnsi="Wingdings" w:hint="default"/>
      </w:rPr>
    </w:lvl>
    <w:lvl w:ilvl="6" w:tplc="04240001" w:tentative="1">
      <w:start w:val="1"/>
      <w:numFmt w:val="bullet"/>
      <w:lvlText w:val=""/>
      <w:lvlJc w:val="left"/>
      <w:pPr>
        <w:ind w:left="5385" w:hanging="360"/>
      </w:pPr>
      <w:rPr>
        <w:rFonts w:ascii="Symbol" w:hAnsi="Symbol" w:hint="default"/>
      </w:rPr>
    </w:lvl>
    <w:lvl w:ilvl="7" w:tplc="04240003" w:tentative="1">
      <w:start w:val="1"/>
      <w:numFmt w:val="bullet"/>
      <w:lvlText w:val="o"/>
      <w:lvlJc w:val="left"/>
      <w:pPr>
        <w:ind w:left="6105" w:hanging="360"/>
      </w:pPr>
      <w:rPr>
        <w:rFonts w:ascii="Courier New" w:hAnsi="Courier New" w:cs="Courier New" w:hint="default"/>
      </w:rPr>
    </w:lvl>
    <w:lvl w:ilvl="8" w:tplc="04240005" w:tentative="1">
      <w:start w:val="1"/>
      <w:numFmt w:val="bullet"/>
      <w:lvlText w:val=""/>
      <w:lvlJc w:val="left"/>
      <w:pPr>
        <w:ind w:left="6825" w:hanging="360"/>
      </w:pPr>
      <w:rPr>
        <w:rFonts w:ascii="Wingdings" w:hAnsi="Wingdings" w:hint="default"/>
      </w:rPr>
    </w:lvl>
  </w:abstractNum>
  <w:abstractNum w:abstractNumId="2">
    <w:nsid w:val="47246988"/>
    <w:multiLevelType w:val="hybridMultilevel"/>
    <w:tmpl w:val="B2E0F1CA"/>
    <w:lvl w:ilvl="0" w:tplc="A9C80E04">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58126710"/>
    <w:multiLevelType w:val="hybridMultilevel"/>
    <w:tmpl w:val="3C34E3E6"/>
    <w:lvl w:ilvl="0" w:tplc="A50C56EC">
      <w:numFmt w:val="bullet"/>
      <w:lvlText w:val="-"/>
      <w:lvlJc w:val="left"/>
      <w:pPr>
        <w:ind w:left="1065" w:hanging="705"/>
      </w:pPr>
      <w:rPr>
        <w:rFonts w:ascii="Tahoma" w:eastAsia="Calibri" w:hAnsi="Tahoma" w:cs="Tahoma" w:hint="default"/>
      </w:rPr>
    </w:lvl>
    <w:lvl w:ilvl="1" w:tplc="04240001">
      <w:start w:val="1"/>
      <w:numFmt w:val="bullet"/>
      <w:lvlText w:val=""/>
      <w:lvlJc w:val="left"/>
      <w:pPr>
        <w:ind w:left="1440"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74912E0E"/>
    <w:multiLevelType w:val="hybridMultilevel"/>
    <w:tmpl w:val="2DD0F75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5831"/>
    <w:rsid w:val="00051D68"/>
    <w:rsid w:val="000A4088"/>
    <w:rsid w:val="00115D91"/>
    <w:rsid w:val="001207D3"/>
    <w:rsid w:val="0014431A"/>
    <w:rsid w:val="00144784"/>
    <w:rsid w:val="00156F53"/>
    <w:rsid w:val="00231C66"/>
    <w:rsid w:val="00233A4A"/>
    <w:rsid w:val="002345AC"/>
    <w:rsid w:val="00244A46"/>
    <w:rsid w:val="0025693E"/>
    <w:rsid w:val="0026436A"/>
    <w:rsid w:val="00270BBC"/>
    <w:rsid w:val="002B529F"/>
    <w:rsid w:val="002D156E"/>
    <w:rsid w:val="00530654"/>
    <w:rsid w:val="00617686"/>
    <w:rsid w:val="00617F69"/>
    <w:rsid w:val="006C505D"/>
    <w:rsid w:val="006D03F5"/>
    <w:rsid w:val="00736A40"/>
    <w:rsid w:val="00766657"/>
    <w:rsid w:val="00846D87"/>
    <w:rsid w:val="0089466A"/>
    <w:rsid w:val="008A2044"/>
    <w:rsid w:val="008D3B7F"/>
    <w:rsid w:val="008F3169"/>
    <w:rsid w:val="008F6878"/>
    <w:rsid w:val="00932ECB"/>
    <w:rsid w:val="00942AAF"/>
    <w:rsid w:val="00974E44"/>
    <w:rsid w:val="009F2FD6"/>
    <w:rsid w:val="00AF26E3"/>
    <w:rsid w:val="00B6346C"/>
    <w:rsid w:val="00B75B66"/>
    <w:rsid w:val="00BA28DE"/>
    <w:rsid w:val="00BA42A1"/>
    <w:rsid w:val="00C0080F"/>
    <w:rsid w:val="00C04F6A"/>
    <w:rsid w:val="00C05FDF"/>
    <w:rsid w:val="00C30D4F"/>
    <w:rsid w:val="00C45831"/>
    <w:rsid w:val="00C45DD0"/>
    <w:rsid w:val="00C80852"/>
    <w:rsid w:val="00D11660"/>
    <w:rsid w:val="00D16332"/>
    <w:rsid w:val="00D237B4"/>
    <w:rsid w:val="00D70A32"/>
    <w:rsid w:val="00DC0C92"/>
    <w:rsid w:val="00E1003D"/>
    <w:rsid w:val="00E44571"/>
    <w:rsid w:val="00F06743"/>
    <w:rsid w:val="00F300D9"/>
    <w:rsid w:val="00FA425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pPr>
      <w:spacing w:after="200" w:line="276" w:lineRule="auto"/>
    </w:pPr>
    <w:rPr>
      <w:sz w:val="22"/>
      <w:szCs w:val="22"/>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59"/>
    <w:rsid w:val="00C458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otnaopomba-besedilo">
    <w:name w:val="footnote text"/>
    <w:basedOn w:val="Navaden"/>
    <w:link w:val="Sprotnaopomba-besediloZnak"/>
    <w:uiPriority w:val="99"/>
    <w:unhideWhenUsed/>
    <w:rsid w:val="00C45831"/>
    <w:pPr>
      <w:spacing w:after="0" w:line="264" w:lineRule="auto"/>
      <w:jc w:val="both"/>
    </w:pPr>
    <w:rPr>
      <w:rFonts w:ascii="Trebuchet MS" w:eastAsia="Times New Roman" w:hAnsi="Trebuchet MS"/>
      <w:sz w:val="20"/>
      <w:szCs w:val="20"/>
      <w:lang w:eastAsia="sl-SI"/>
    </w:rPr>
  </w:style>
  <w:style w:type="character" w:customStyle="1" w:styleId="Sprotnaopomba-besediloZnak">
    <w:name w:val="Sprotna opomba - besedilo Znak"/>
    <w:link w:val="Sprotnaopomba-besedilo"/>
    <w:uiPriority w:val="99"/>
    <w:rsid w:val="00C45831"/>
    <w:rPr>
      <w:rFonts w:ascii="Trebuchet MS" w:eastAsia="Times New Roman" w:hAnsi="Trebuchet MS"/>
    </w:rPr>
  </w:style>
  <w:style w:type="character" w:customStyle="1" w:styleId="OdstavekseznamaZnak">
    <w:name w:val="Odstavek seznama Znak"/>
    <w:link w:val="Odstavekseznama"/>
    <w:uiPriority w:val="34"/>
    <w:locked/>
    <w:rsid w:val="00C45831"/>
    <w:rPr>
      <w:rFonts w:ascii="Arial Narrow" w:eastAsia="MS Mincho" w:hAnsi="Arial Narrow"/>
      <w:b/>
    </w:rPr>
  </w:style>
  <w:style w:type="paragraph" w:styleId="Odstavekseznama">
    <w:name w:val="List Paragraph"/>
    <w:basedOn w:val="Navaden"/>
    <w:link w:val="OdstavekseznamaZnak"/>
    <w:uiPriority w:val="34"/>
    <w:qFormat/>
    <w:rsid w:val="00C45831"/>
    <w:pPr>
      <w:numPr>
        <w:ilvl w:val="1"/>
        <w:numId w:val="1"/>
      </w:numPr>
      <w:spacing w:after="0" w:line="240" w:lineRule="auto"/>
      <w:contextualSpacing/>
      <w:jc w:val="both"/>
    </w:pPr>
    <w:rPr>
      <w:rFonts w:ascii="Arial Narrow" w:eastAsia="MS Mincho" w:hAnsi="Arial Narrow"/>
      <w:b/>
      <w:sz w:val="20"/>
      <w:szCs w:val="20"/>
      <w:lang w:eastAsia="sl-SI"/>
    </w:rPr>
  </w:style>
  <w:style w:type="character" w:styleId="Sprotnaopomba-sklic">
    <w:name w:val="footnote reference"/>
    <w:aliases w:val="Footnote symbol"/>
    <w:uiPriority w:val="99"/>
    <w:semiHidden/>
    <w:unhideWhenUsed/>
    <w:rsid w:val="00C45831"/>
    <w:rPr>
      <w:vertAlign w:val="superscript"/>
    </w:rPr>
  </w:style>
  <w:style w:type="paragraph" w:customStyle="1" w:styleId="Default">
    <w:name w:val="Default"/>
    <w:rsid w:val="00231C66"/>
    <w:pPr>
      <w:autoSpaceDE w:val="0"/>
      <w:autoSpaceDN w:val="0"/>
      <w:adjustRightInd w:val="0"/>
    </w:pPr>
    <w:rPr>
      <w:rFonts w:eastAsia="Times New Roman" w:cs="Calibri"/>
      <w:color w:val="000000"/>
      <w:sz w:val="24"/>
      <w:szCs w:val="24"/>
    </w:rPr>
  </w:style>
  <w:style w:type="paragraph" w:styleId="Glava">
    <w:name w:val="header"/>
    <w:basedOn w:val="Navaden"/>
    <w:link w:val="GlavaZnak"/>
    <w:uiPriority w:val="99"/>
    <w:unhideWhenUsed/>
    <w:rsid w:val="00C30D4F"/>
    <w:pPr>
      <w:tabs>
        <w:tab w:val="center" w:pos="4536"/>
        <w:tab w:val="right" w:pos="9072"/>
      </w:tabs>
    </w:pPr>
  </w:style>
  <w:style w:type="character" w:customStyle="1" w:styleId="GlavaZnak">
    <w:name w:val="Glava Znak"/>
    <w:link w:val="Glava"/>
    <w:uiPriority w:val="99"/>
    <w:rsid w:val="00C30D4F"/>
    <w:rPr>
      <w:sz w:val="22"/>
      <w:szCs w:val="22"/>
      <w:lang w:eastAsia="en-US"/>
    </w:rPr>
  </w:style>
  <w:style w:type="paragraph" w:styleId="Noga">
    <w:name w:val="footer"/>
    <w:basedOn w:val="Navaden"/>
    <w:link w:val="NogaZnak"/>
    <w:uiPriority w:val="99"/>
    <w:unhideWhenUsed/>
    <w:rsid w:val="00C30D4F"/>
    <w:pPr>
      <w:tabs>
        <w:tab w:val="center" w:pos="4536"/>
        <w:tab w:val="right" w:pos="9072"/>
      </w:tabs>
    </w:pPr>
  </w:style>
  <w:style w:type="character" w:customStyle="1" w:styleId="NogaZnak">
    <w:name w:val="Noga Znak"/>
    <w:link w:val="Noga"/>
    <w:uiPriority w:val="99"/>
    <w:rsid w:val="00C30D4F"/>
    <w:rPr>
      <w:sz w:val="22"/>
      <w:szCs w:val="22"/>
      <w:lang w:eastAsia="en-US"/>
    </w:rPr>
  </w:style>
  <w:style w:type="character" w:styleId="Pripombasklic">
    <w:name w:val="annotation reference"/>
    <w:uiPriority w:val="99"/>
    <w:semiHidden/>
    <w:unhideWhenUsed/>
    <w:rsid w:val="00C30D4F"/>
    <w:rPr>
      <w:sz w:val="16"/>
      <w:szCs w:val="16"/>
    </w:rPr>
  </w:style>
  <w:style w:type="paragraph" w:styleId="Pripombabesedilo">
    <w:name w:val="annotation text"/>
    <w:basedOn w:val="Navaden"/>
    <w:link w:val="PripombabesediloZnak"/>
    <w:uiPriority w:val="99"/>
    <w:semiHidden/>
    <w:unhideWhenUsed/>
    <w:rsid w:val="00C30D4F"/>
    <w:rPr>
      <w:sz w:val="20"/>
      <w:szCs w:val="20"/>
    </w:rPr>
  </w:style>
  <w:style w:type="character" w:customStyle="1" w:styleId="PripombabesediloZnak">
    <w:name w:val="Pripomba – besedilo Znak"/>
    <w:link w:val="Pripombabesedilo"/>
    <w:uiPriority w:val="99"/>
    <w:semiHidden/>
    <w:rsid w:val="00C30D4F"/>
    <w:rPr>
      <w:lang w:eastAsia="en-US"/>
    </w:rPr>
  </w:style>
  <w:style w:type="paragraph" w:styleId="Zadevapripombe">
    <w:name w:val="annotation subject"/>
    <w:basedOn w:val="Pripombabesedilo"/>
    <w:next w:val="Pripombabesedilo"/>
    <w:link w:val="ZadevapripombeZnak"/>
    <w:uiPriority w:val="99"/>
    <w:semiHidden/>
    <w:unhideWhenUsed/>
    <w:rsid w:val="00C30D4F"/>
    <w:rPr>
      <w:b/>
      <w:bCs/>
    </w:rPr>
  </w:style>
  <w:style w:type="character" w:customStyle="1" w:styleId="ZadevapripombeZnak">
    <w:name w:val="Zadeva pripombe Znak"/>
    <w:link w:val="Zadevapripombe"/>
    <w:uiPriority w:val="99"/>
    <w:semiHidden/>
    <w:rsid w:val="00C30D4F"/>
    <w:rPr>
      <w:b/>
      <w:bCs/>
      <w:lang w:eastAsia="en-US"/>
    </w:rPr>
  </w:style>
  <w:style w:type="paragraph" w:styleId="Besedilooblaka">
    <w:name w:val="Balloon Text"/>
    <w:basedOn w:val="Navaden"/>
    <w:link w:val="BesedilooblakaZnak"/>
    <w:uiPriority w:val="99"/>
    <w:semiHidden/>
    <w:unhideWhenUsed/>
    <w:rsid w:val="00C30D4F"/>
    <w:pPr>
      <w:spacing w:after="0" w:line="240" w:lineRule="auto"/>
    </w:pPr>
    <w:rPr>
      <w:rFonts w:ascii="Tahoma" w:hAnsi="Tahoma" w:cs="Tahoma"/>
      <w:sz w:val="16"/>
      <w:szCs w:val="16"/>
    </w:rPr>
  </w:style>
  <w:style w:type="character" w:customStyle="1" w:styleId="BesedilooblakaZnak">
    <w:name w:val="Besedilo oblačka Znak"/>
    <w:link w:val="Besedilooblaka"/>
    <w:uiPriority w:val="99"/>
    <w:semiHidden/>
    <w:rsid w:val="00C30D4F"/>
    <w:rPr>
      <w:rFonts w:ascii="Tahoma" w:hAnsi="Tahoma" w:cs="Tahoma"/>
      <w:sz w:val="16"/>
      <w:szCs w:val="16"/>
      <w:lang w:eastAsia="en-US"/>
    </w:rPr>
  </w:style>
  <w:style w:type="character" w:styleId="Krepko">
    <w:name w:val="Strong"/>
    <w:uiPriority w:val="22"/>
    <w:qFormat/>
    <w:rsid w:val="00115D91"/>
    <w:rPr>
      <w:rFonts w:ascii="Calibri" w:hAnsi="Calibri"/>
      <w:b/>
      <w:bCs/>
      <w:sz w:val="22"/>
    </w:rPr>
  </w:style>
  <w:style w:type="character" w:styleId="Hiperpovezava">
    <w:name w:val="Hyperlink"/>
    <w:uiPriority w:val="99"/>
    <w:unhideWhenUsed/>
    <w:rsid w:val="008F316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pPr>
      <w:spacing w:after="200" w:line="276" w:lineRule="auto"/>
    </w:pPr>
    <w:rPr>
      <w:sz w:val="22"/>
      <w:szCs w:val="22"/>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59"/>
    <w:rsid w:val="00C458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otnaopomba-besedilo">
    <w:name w:val="footnote text"/>
    <w:basedOn w:val="Navaden"/>
    <w:link w:val="Sprotnaopomba-besediloZnak"/>
    <w:uiPriority w:val="99"/>
    <w:unhideWhenUsed/>
    <w:rsid w:val="00C45831"/>
    <w:pPr>
      <w:spacing w:after="0" w:line="264" w:lineRule="auto"/>
      <w:jc w:val="both"/>
    </w:pPr>
    <w:rPr>
      <w:rFonts w:ascii="Trebuchet MS" w:eastAsia="Times New Roman" w:hAnsi="Trebuchet MS"/>
      <w:sz w:val="20"/>
      <w:szCs w:val="20"/>
      <w:lang w:eastAsia="sl-SI"/>
    </w:rPr>
  </w:style>
  <w:style w:type="character" w:customStyle="1" w:styleId="Sprotnaopomba-besediloZnak">
    <w:name w:val="Sprotna opomba - besedilo Znak"/>
    <w:link w:val="Sprotnaopomba-besedilo"/>
    <w:uiPriority w:val="99"/>
    <w:rsid w:val="00C45831"/>
    <w:rPr>
      <w:rFonts w:ascii="Trebuchet MS" w:eastAsia="Times New Roman" w:hAnsi="Trebuchet MS"/>
    </w:rPr>
  </w:style>
  <w:style w:type="character" w:customStyle="1" w:styleId="OdstavekseznamaZnak">
    <w:name w:val="Odstavek seznama Znak"/>
    <w:link w:val="Odstavekseznama"/>
    <w:uiPriority w:val="34"/>
    <w:locked/>
    <w:rsid w:val="00C45831"/>
    <w:rPr>
      <w:rFonts w:ascii="Arial Narrow" w:eastAsia="MS Mincho" w:hAnsi="Arial Narrow"/>
      <w:b/>
    </w:rPr>
  </w:style>
  <w:style w:type="paragraph" w:styleId="Odstavekseznama">
    <w:name w:val="List Paragraph"/>
    <w:basedOn w:val="Navaden"/>
    <w:link w:val="OdstavekseznamaZnak"/>
    <w:uiPriority w:val="34"/>
    <w:qFormat/>
    <w:rsid w:val="00C45831"/>
    <w:pPr>
      <w:numPr>
        <w:ilvl w:val="1"/>
        <w:numId w:val="1"/>
      </w:numPr>
      <w:spacing w:after="0" w:line="240" w:lineRule="auto"/>
      <w:contextualSpacing/>
      <w:jc w:val="both"/>
    </w:pPr>
    <w:rPr>
      <w:rFonts w:ascii="Arial Narrow" w:eastAsia="MS Mincho" w:hAnsi="Arial Narrow"/>
      <w:b/>
      <w:sz w:val="20"/>
      <w:szCs w:val="20"/>
      <w:lang w:eastAsia="sl-SI"/>
    </w:rPr>
  </w:style>
  <w:style w:type="character" w:styleId="Sprotnaopomba-sklic">
    <w:name w:val="footnote reference"/>
    <w:aliases w:val="Footnote symbol"/>
    <w:uiPriority w:val="99"/>
    <w:semiHidden/>
    <w:unhideWhenUsed/>
    <w:rsid w:val="00C45831"/>
    <w:rPr>
      <w:vertAlign w:val="superscript"/>
    </w:rPr>
  </w:style>
  <w:style w:type="paragraph" w:customStyle="1" w:styleId="Default">
    <w:name w:val="Default"/>
    <w:rsid w:val="00231C66"/>
    <w:pPr>
      <w:autoSpaceDE w:val="0"/>
      <w:autoSpaceDN w:val="0"/>
      <w:adjustRightInd w:val="0"/>
    </w:pPr>
    <w:rPr>
      <w:rFonts w:eastAsia="Times New Roman" w:cs="Calibri"/>
      <w:color w:val="000000"/>
      <w:sz w:val="24"/>
      <w:szCs w:val="24"/>
    </w:rPr>
  </w:style>
  <w:style w:type="paragraph" w:styleId="Glava">
    <w:name w:val="header"/>
    <w:basedOn w:val="Navaden"/>
    <w:link w:val="GlavaZnak"/>
    <w:uiPriority w:val="99"/>
    <w:unhideWhenUsed/>
    <w:rsid w:val="00C30D4F"/>
    <w:pPr>
      <w:tabs>
        <w:tab w:val="center" w:pos="4536"/>
        <w:tab w:val="right" w:pos="9072"/>
      </w:tabs>
    </w:pPr>
  </w:style>
  <w:style w:type="character" w:customStyle="1" w:styleId="GlavaZnak">
    <w:name w:val="Glava Znak"/>
    <w:link w:val="Glava"/>
    <w:uiPriority w:val="99"/>
    <w:rsid w:val="00C30D4F"/>
    <w:rPr>
      <w:sz w:val="22"/>
      <w:szCs w:val="22"/>
      <w:lang w:eastAsia="en-US"/>
    </w:rPr>
  </w:style>
  <w:style w:type="paragraph" w:styleId="Noga">
    <w:name w:val="footer"/>
    <w:basedOn w:val="Navaden"/>
    <w:link w:val="NogaZnak"/>
    <w:uiPriority w:val="99"/>
    <w:unhideWhenUsed/>
    <w:rsid w:val="00C30D4F"/>
    <w:pPr>
      <w:tabs>
        <w:tab w:val="center" w:pos="4536"/>
        <w:tab w:val="right" w:pos="9072"/>
      </w:tabs>
    </w:pPr>
  </w:style>
  <w:style w:type="character" w:customStyle="1" w:styleId="NogaZnak">
    <w:name w:val="Noga Znak"/>
    <w:link w:val="Noga"/>
    <w:uiPriority w:val="99"/>
    <w:rsid w:val="00C30D4F"/>
    <w:rPr>
      <w:sz w:val="22"/>
      <w:szCs w:val="22"/>
      <w:lang w:eastAsia="en-US"/>
    </w:rPr>
  </w:style>
  <w:style w:type="character" w:styleId="Pripombasklic">
    <w:name w:val="annotation reference"/>
    <w:uiPriority w:val="99"/>
    <w:semiHidden/>
    <w:unhideWhenUsed/>
    <w:rsid w:val="00C30D4F"/>
    <w:rPr>
      <w:sz w:val="16"/>
      <w:szCs w:val="16"/>
    </w:rPr>
  </w:style>
  <w:style w:type="paragraph" w:styleId="Pripombabesedilo">
    <w:name w:val="annotation text"/>
    <w:basedOn w:val="Navaden"/>
    <w:link w:val="PripombabesediloZnak"/>
    <w:uiPriority w:val="99"/>
    <w:semiHidden/>
    <w:unhideWhenUsed/>
    <w:rsid w:val="00C30D4F"/>
    <w:rPr>
      <w:sz w:val="20"/>
      <w:szCs w:val="20"/>
    </w:rPr>
  </w:style>
  <w:style w:type="character" w:customStyle="1" w:styleId="PripombabesediloZnak">
    <w:name w:val="Pripomba – besedilo Znak"/>
    <w:link w:val="Pripombabesedilo"/>
    <w:uiPriority w:val="99"/>
    <w:semiHidden/>
    <w:rsid w:val="00C30D4F"/>
    <w:rPr>
      <w:lang w:eastAsia="en-US"/>
    </w:rPr>
  </w:style>
  <w:style w:type="paragraph" w:styleId="Zadevapripombe">
    <w:name w:val="annotation subject"/>
    <w:basedOn w:val="Pripombabesedilo"/>
    <w:next w:val="Pripombabesedilo"/>
    <w:link w:val="ZadevapripombeZnak"/>
    <w:uiPriority w:val="99"/>
    <w:semiHidden/>
    <w:unhideWhenUsed/>
    <w:rsid w:val="00C30D4F"/>
    <w:rPr>
      <w:b/>
      <w:bCs/>
    </w:rPr>
  </w:style>
  <w:style w:type="character" w:customStyle="1" w:styleId="ZadevapripombeZnak">
    <w:name w:val="Zadeva pripombe Znak"/>
    <w:link w:val="Zadevapripombe"/>
    <w:uiPriority w:val="99"/>
    <w:semiHidden/>
    <w:rsid w:val="00C30D4F"/>
    <w:rPr>
      <w:b/>
      <w:bCs/>
      <w:lang w:eastAsia="en-US"/>
    </w:rPr>
  </w:style>
  <w:style w:type="paragraph" w:styleId="Besedilooblaka">
    <w:name w:val="Balloon Text"/>
    <w:basedOn w:val="Navaden"/>
    <w:link w:val="BesedilooblakaZnak"/>
    <w:uiPriority w:val="99"/>
    <w:semiHidden/>
    <w:unhideWhenUsed/>
    <w:rsid w:val="00C30D4F"/>
    <w:pPr>
      <w:spacing w:after="0" w:line="240" w:lineRule="auto"/>
    </w:pPr>
    <w:rPr>
      <w:rFonts w:ascii="Tahoma" w:hAnsi="Tahoma" w:cs="Tahoma"/>
      <w:sz w:val="16"/>
      <w:szCs w:val="16"/>
    </w:rPr>
  </w:style>
  <w:style w:type="character" w:customStyle="1" w:styleId="BesedilooblakaZnak">
    <w:name w:val="Besedilo oblačka Znak"/>
    <w:link w:val="Besedilooblaka"/>
    <w:uiPriority w:val="99"/>
    <w:semiHidden/>
    <w:rsid w:val="00C30D4F"/>
    <w:rPr>
      <w:rFonts w:ascii="Tahoma" w:hAnsi="Tahoma" w:cs="Tahoma"/>
      <w:sz w:val="16"/>
      <w:szCs w:val="16"/>
      <w:lang w:eastAsia="en-US"/>
    </w:rPr>
  </w:style>
  <w:style w:type="character" w:styleId="Krepko">
    <w:name w:val="Strong"/>
    <w:uiPriority w:val="22"/>
    <w:qFormat/>
    <w:rsid w:val="00115D91"/>
    <w:rPr>
      <w:rFonts w:ascii="Calibri" w:hAnsi="Calibri"/>
      <w:b/>
      <w:bCs/>
      <w:sz w:val="22"/>
    </w:rPr>
  </w:style>
  <w:style w:type="character" w:styleId="Hiperpovezava">
    <w:name w:val="Hyperlink"/>
    <w:uiPriority w:val="99"/>
    <w:unhideWhenUsed/>
    <w:rsid w:val="008F316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140108">
      <w:bodyDiv w:val="1"/>
      <w:marLeft w:val="0"/>
      <w:marRight w:val="0"/>
      <w:marTop w:val="0"/>
      <w:marBottom w:val="0"/>
      <w:divBdr>
        <w:top w:val="none" w:sz="0" w:space="0" w:color="auto"/>
        <w:left w:val="none" w:sz="0" w:space="0" w:color="auto"/>
        <w:bottom w:val="none" w:sz="0" w:space="0" w:color="auto"/>
        <w:right w:val="none" w:sz="0" w:space="0" w:color="auto"/>
      </w:divBdr>
      <w:divsChild>
        <w:div w:id="1511067840">
          <w:marLeft w:val="0"/>
          <w:marRight w:val="0"/>
          <w:marTop w:val="0"/>
          <w:marBottom w:val="0"/>
          <w:divBdr>
            <w:top w:val="none" w:sz="0" w:space="0" w:color="auto"/>
            <w:left w:val="none" w:sz="0" w:space="0" w:color="auto"/>
            <w:bottom w:val="none" w:sz="0" w:space="0" w:color="auto"/>
            <w:right w:val="none" w:sz="0" w:space="0" w:color="auto"/>
          </w:divBdr>
          <w:divsChild>
            <w:div w:id="1537500833">
              <w:marLeft w:val="0"/>
              <w:marRight w:val="0"/>
              <w:marTop w:val="0"/>
              <w:marBottom w:val="0"/>
              <w:divBdr>
                <w:top w:val="none" w:sz="0" w:space="0" w:color="auto"/>
                <w:left w:val="none" w:sz="0" w:space="0" w:color="auto"/>
                <w:bottom w:val="none" w:sz="0" w:space="0" w:color="auto"/>
                <w:right w:val="none" w:sz="0" w:space="0" w:color="auto"/>
              </w:divBdr>
              <w:divsChild>
                <w:div w:id="145561020">
                  <w:marLeft w:val="0"/>
                  <w:marRight w:val="0"/>
                  <w:marTop w:val="0"/>
                  <w:marBottom w:val="0"/>
                  <w:divBdr>
                    <w:top w:val="none" w:sz="0" w:space="0" w:color="auto"/>
                    <w:left w:val="none" w:sz="0" w:space="0" w:color="auto"/>
                    <w:bottom w:val="none" w:sz="0" w:space="0" w:color="auto"/>
                    <w:right w:val="none" w:sz="0" w:space="0" w:color="auto"/>
                  </w:divBdr>
                  <w:divsChild>
                    <w:div w:id="15231430">
                      <w:marLeft w:val="0"/>
                      <w:marRight w:val="0"/>
                      <w:marTop w:val="0"/>
                      <w:marBottom w:val="0"/>
                      <w:divBdr>
                        <w:top w:val="none" w:sz="0" w:space="0" w:color="auto"/>
                        <w:left w:val="none" w:sz="0" w:space="0" w:color="auto"/>
                        <w:bottom w:val="none" w:sz="0" w:space="0" w:color="auto"/>
                        <w:right w:val="none" w:sz="0" w:space="0" w:color="auto"/>
                      </w:divBdr>
                      <w:divsChild>
                        <w:div w:id="838272494">
                          <w:marLeft w:val="0"/>
                          <w:marRight w:val="0"/>
                          <w:marTop w:val="0"/>
                          <w:marBottom w:val="0"/>
                          <w:divBdr>
                            <w:top w:val="none" w:sz="0" w:space="0" w:color="auto"/>
                            <w:left w:val="none" w:sz="0" w:space="0" w:color="auto"/>
                            <w:bottom w:val="none" w:sz="0" w:space="0" w:color="auto"/>
                            <w:right w:val="none" w:sz="0" w:space="0" w:color="auto"/>
                          </w:divBdr>
                          <w:divsChild>
                            <w:div w:id="1033535198">
                              <w:marLeft w:val="105"/>
                              <w:marRight w:val="0"/>
                              <w:marTop w:val="0"/>
                              <w:marBottom w:val="0"/>
                              <w:divBdr>
                                <w:top w:val="none" w:sz="0" w:space="0" w:color="auto"/>
                                <w:left w:val="none" w:sz="0" w:space="0" w:color="auto"/>
                                <w:bottom w:val="none" w:sz="0" w:space="0" w:color="auto"/>
                                <w:right w:val="none" w:sz="0" w:space="0" w:color="auto"/>
                              </w:divBdr>
                              <w:divsChild>
                                <w:div w:id="1577089468">
                                  <w:marLeft w:val="0"/>
                                  <w:marRight w:val="0"/>
                                  <w:marTop w:val="0"/>
                                  <w:marBottom w:val="0"/>
                                  <w:divBdr>
                                    <w:top w:val="none" w:sz="0" w:space="0" w:color="auto"/>
                                    <w:left w:val="none" w:sz="0" w:space="0" w:color="auto"/>
                                    <w:bottom w:val="none" w:sz="0" w:space="0" w:color="auto"/>
                                    <w:right w:val="none" w:sz="0" w:space="0" w:color="auto"/>
                                  </w:divBdr>
                                  <w:divsChild>
                                    <w:div w:id="174144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05350B-5DF2-4267-AA73-DD8EFCD2E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1115</Words>
  <Characters>6357</Characters>
  <Application>Microsoft Office Word</Application>
  <DocSecurity>0</DocSecurity>
  <Lines>52</Lines>
  <Paragraphs>14</Paragraphs>
  <ScaleCrop>false</ScaleCrop>
  <HeadingPairs>
    <vt:vector size="2" baseType="variant">
      <vt:variant>
        <vt:lpstr>Naslov</vt:lpstr>
      </vt:variant>
      <vt:variant>
        <vt:i4>1</vt:i4>
      </vt:variant>
    </vt:vector>
  </HeadingPairs>
  <TitlesOfParts>
    <vt:vector size="1" baseType="lpstr">
      <vt:lpstr/>
    </vt:vector>
  </TitlesOfParts>
  <Company>MGRT</Company>
  <LinksUpToDate>false</LinksUpToDate>
  <CharactersWithSpaces>7458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Janja Sever Gombač</dc:creator>
  <cp:lastModifiedBy>Martin Štiglic</cp:lastModifiedBy>
  <cp:revision>3</cp:revision>
  <cp:lastPrinted>2018-07-30T08:51:00Z</cp:lastPrinted>
  <dcterms:created xsi:type="dcterms:W3CDTF">2020-12-22T10:16:00Z</dcterms:created>
  <dcterms:modified xsi:type="dcterms:W3CDTF">2020-12-22T10:19:00Z</dcterms:modified>
</cp:coreProperties>
</file>