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167A" w14:textId="1286A9DC" w:rsidR="006E6CD0" w:rsidRDefault="007F02C7" w:rsidP="00100EC9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bookmarkStart w:id="0" w:name="_Toc144298439"/>
      <w:r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Priloga 3: </w:t>
      </w:r>
      <w:r w:rsidR="006E6CD0" w:rsidRPr="006E6CD0">
        <w:rPr>
          <w:rFonts w:ascii="Arial" w:hAnsi="Arial" w:cs="Arial"/>
          <w:b/>
          <w:color w:val="000000"/>
          <w:sz w:val="20"/>
          <w:szCs w:val="20"/>
          <w:lang w:eastAsia="sl-SI"/>
        </w:rPr>
        <w:t>OCEN</w:t>
      </w:r>
      <w:r w:rsidR="006E6CD0">
        <w:rPr>
          <w:rFonts w:ascii="Arial" w:hAnsi="Arial" w:cs="Arial"/>
          <w:b/>
          <w:color w:val="000000"/>
          <w:sz w:val="20"/>
          <w:szCs w:val="20"/>
          <w:lang w:eastAsia="sl-SI"/>
        </w:rPr>
        <w:t>A</w:t>
      </w:r>
      <w:r w:rsidR="006E6CD0" w:rsidRPr="006E6CD0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SKLADNOSTI Z </w:t>
      </w:r>
      <w:r w:rsidR="006E6CD0">
        <w:rPr>
          <w:rFonts w:ascii="Arial" w:hAnsi="Arial" w:cs="Arial"/>
          <w:b/>
          <w:color w:val="000000"/>
          <w:sz w:val="20"/>
          <w:szCs w:val="20"/>
          <w:lang w:eastAsia="sl-SI"/>
        </w:rPr>
        <w:t>»</w:t>
      </w:r>
      <w:r w:rsidR="006E6CD0" w:rsidRPr="006E6CD0">
        <w:rPr>
          <w:rFonts w:ascii="Arial" w:hAnsi="Arial" w:cs="Arial"/>
          <w:b/>
          <w:color w:val="000000"/>
          <w:sz w:val="20"/>
          <w:szCs w:val="20"/>
          <w:lang w:eastAsia="sl-SI"/>
        </w:rPr>
        <w:t>NAČELOM, DA SE NE ŠKODUJE BISTVENO</w:t>
      </w:r>
      <w:bookmarkEnd w:id="0"/>
      <w:r w:rsidR="006E6CD0">
        <w:rPr>
          <w:rFonts w:ascii="Arial" w:hAnsi="Arial" w:cs="Arial"/>
          <w:b/>
          <w:color w:val="000000"/>
          <w:sz w:val="20"/>
          <w:szCs w:val="20"/>
          <w:lang w:eastAsia="sl-SI"/>
        </w:rPr>
        <w:t>«</w:t>
      </w:r>
    </w:p>
    <w:p w14:paraId="2A6834C2" w14:textId="3E008E9F" w:rsidR="00410EC2" w:rsidRPr="006E6CD0" w:rsidRDefault="00410EC2" w:rsidP="00100EC9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hAnsi="Arial" w:cs="Arial"/>
          <w:b/>
          <w:color w:val="000000"/>
          <w:sz w:val="20"/>
          <w:szCs w:val="20"/>
          <w:lang w:eastAsia="sl-SI"/>
        </w:rPr>
        <w:t>(angl. Do-No-Significant-Harm, DNSH)</w:t>
      </w:r>
    </w:p>
    <w:p w14:paraId="1C961084" w14:textId="7383CFFE" w:rsidR="006E6CD0" w:rsidRDefault="006E6CD0" w:rsidP="0010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 skladu s Smernicami</w:t>
      </w:r>
      <w:r w:rsidRPr="006E6CD0">
        <w:rPr>
          <w:rFonts w:ascii="Arial" w:hAnsi="Arial" w:cs="Arial"/>
          <w:b/>
          <w:sz w:val="20"/>
          <w:szCs w:val="20"/>
        </w:rPr>
        <w:t xml:space="preserve"> organa upravljanja za uporabo »načela, da se ne škoduje bistveno« pri izvajanju Programa evropske kohezijske politike v obdobju 2021-2027 v Sloveniji</w:t>
      </w:r>
    </w:p>
    <w:p w14:paraId="28DEA92E" w14:textId="77777777" w:rsidR="006E6CD0" w:rsidRDefault="006E6CD0" w:rsidP="0010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Fonts w:ascii="Arial" w:hAnsi="Arial" w:cs="Arial"/>
          <w:b/>
          <w:sz w:val="20"/>
          <w:szCs w:val="20"/>
        </w:rPr>
      </w:pPr>
    </w:p>
    <w:p w14:paraId="37F01A2A" w14:textId="4362302B" w:rsidR="006E6CD0" w:rsidRPr="008777C9" w:rsidRDefault="006E6CD0" w:rsidP="0010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Poenostavljen pristop</w:t>
      </w:r>
    </w:p>
    <w:p w14:paraId="1128A0EA" w14:textId="77777777" w:rsidR="006E6CD0" w:rsidRPr="008777C9" w:rsidRDefault="006E6CD0" w:rsidP="006E6CD0">
      <w:pPr>
        <w:jc w:val="both"/>
        <w:rPr>
          <w:rFonts w:ascii="Arial" w:hAnsi="Arial" w:cs="Arial"/>
          <w:b/>
          <w:sz w:val="20"/>
          <w:szCs w:val="20"/>
        </w:rPr>
      </w:pPr>
    </w:p>
    <w:p w14:paraId="2480160B" w14:textId="76235EB8" w:rsidR="006E6CD0" w:rsidRPr="006E6CD0" w:rsidRDefault="006E6CD0" w:rsidP="006E6CD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6CD0">
        <w:rPr>
          <w:rFonts w:ascii="Arial" w:hAnsi="Arial" w:cs="Arial"/>
          <w:sz w:val="20"/>
          <w:szCs w:val="20"/>
        </w:rPr>
        <w:t>Skladno z določbami člena 17 Uredbe o taksonomiji</w:t>
      </w:r>
      <w:r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Pr="006E6CD0">
        <w:rPr>
          <w:rFonts w:ascii="Arial" w:hAnsi="Arial" w:cs="Arial"/>
          <w:sz w:val="20"/>
          <w:szCs w:val="20"/>
        </w:rPr>
        <w:t xml:space="preserve"> se ob upoštevanju življenjskega cikla proizvodov in</w:t>
      </w:r>
      <w:r>
        <w:rPr>
          <w:rFonts w:ascii="Arial" w:hAnsi="Arial" w:cs="Arial"/>
          <w:sz w:val="20"/>
          <w:szCs w:val="20"/>
        </w:rPr>
        <w:t xml:space="preserve"> </w:t>
      </w:r>
      <w:r w:rsidRPr="006E6CD0">
        <w:rPr>
          <w:rFonts w:ascii="Arial" w:hAnsi="Arial" w:cs="Arial"/>
          <w:sz w:val="20"/>
          <w:szCs w:val="20"/>
        </w:rPr>
        <w:t>storitev, ki se zagotavljajo z gospodarsko dejavnostjo, »načelo, da se ne škoduje bistveno« lahko razlaga</w:t>
      </w:r>
      <w:r>
        <w:rPr>
          <w:rFonts w:ascii="Arial" w:hAnsi="Arial" w:cs="Arial"/>
          <w:sz w:val="20"/>
          <w:szCs w:val="20"/>
        </w:rPr>
        <w:t xml:space="preserve"> </w:t>
      </w:r>
      <w:r w:rsidRPr="006E6CD0">
        <w:rPr>
          <w:rFonts w:ascii="Arial" w:hAnsi="Arial" w:cs="Arial"/>
          <w:sz w:val="20"/>
          <w:szCs w:val="20"/>
        </w:rPr>
        <w:t>v smislu bistvenega škodovanja šestim okoljskim ciljem, in sicer:</w:t>
      </w:r>
    </w:p>
    <w:p w14:paraId="60DA7810" w14:textId="374283C0" w:rsidR="006E6CD0" w:rsidRPr="006E6CD0" w:rsidRDefault="006E6CD0" w:rsidP="000B6313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6CD0">
        <w:rPr>
          <w:rFonts w:ascii="Arial" w:hAnsi="Arial" w:cs="Arial"/>
          <w:b/>
          <w:sz w:val="20"/>
          <w:szCs w:val="20"/>
        </w:rPr>
        <w:t>blažitvi podnebnih sprememb</w:t>
      </w:r>
      <w:r w:rsidRPr="006E6CD0">
        <w:rPr>
          <w:rFonts w:ascii="Arial" w:hAnsi="Arial" w:cs="Arial"/>
          <w:sz w:val="20"/>
          <w:szCs w:val="20"/>
        </w:rPr>
        <w:t>, kadar ta dejavnost privede do znatnih emisij toplogrednih plinov;</w:t>
      </w:r>
    </w:p>
    <w:p w14:paraId="2E2EC12B" w14:textId="497A68FF" w:rsidR="006E6CD0" w:rsidRPr="006E6CD0" w:rsidRDefault="006E6CD0" w:rsidP="000B6313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6CD0">
        <w:rPr>
          <w:rFonts w:ascii="Arial" w:hAnsi="Arial" w:cs="Arial"/>
          <w:b/>
          <w:sz w:val="20"/>
          <w:szCs w:val="20"/>
        </w:rPr>
        <w:t>prilagajanju podnebnim spremembam</w:t>
      </w:r>
      <w:r w:rsidRPr="006E6CD0">
        <w:rPr>
          <w:rFonts w:ascii="Arial" w:hAnsi="Arial" w:cs="Arial"/>
          <w:sz w:val="20"/>
          <w:szCs w:val="20"/>
        </w:rPr>
        <w:t>, kadar ta dejavnost privede do povečanega škodljivega</w:t>
      </w:r>
      <w:r>
        <w:rPr>
          <w:rFonts w:ascii="Arial" w:hAnsi="Arial" w:cs="Arial"/>
          <w:sz w:val="20"/>
          <w:szCs w:val="20"/>
        </w:rPr>
        <w:t xml:space="preserve"> </w:t>
      </w:r>
      <w:r w:rsidRPr="006E6CD0">
        <w:rPr>
          <w:rFonts w:ascii="Arial" w:hAnsi="Arial" w:cs="Arial"/>
          <w:sz w:val="20"/>
          <w:szCs w:val="20"/>
        </w:rPr>
        <w:t>vpliva na sedanje podnebje in pričakovano prihodnje podnebje, na dejavnost samo ali na ljudi,</w:t>
      </w:r>
      <w:r>
        <w:rPr>
          <w:rFonts w:ascii="Arial" w:hAnsi="Arial" w:cs="Arial"/>
          <w:sz w:val="20"/>
          <w:szCs w:val="20"/>
        </w:rPr>
        <w:t xml:space="preserve"> </w:t>
      </w:r>
      <w:r w:rsidRPr="006E6CD0">
        <w:rPr>
          <w:rFonts w:ascii="Arial" w:hAnsi="Arial" w:cs="Arial"/>
          <w:sz w:val="20"/>
          <w:szCs w:val="20"/>
        </w:rPr>
        <w:t>naravo ali sredstva;</w:t>
      </w:r>
    </w:p>
    <w:p w14:paraId="0A576641" w14:textId="15F10943" w:rsidR="006E6CD0" w:rsidRPr="006E6CD0" w:rsidRDefault="006E6CD0" w:rsidP="000B6313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6CD0">
        <w:rPr>
          <w:rFonts w:ascii="Arial" w:hAnsi="Arial" w:cs="Arial"/>
          <w:b/>
          <w:sz w:val="20"/>
          <w:szCs w:val="20"/>
        </w:rPr>
        <w:t>trajnostni uporabi in varstvu vodnih in morskih virov</w:t>
      </w:r>
      <w:r w:rsidRPr="006E6CD0">
        <w:rPr>
          <w:rFonts w:ascii="Arial" w:hAnsi="Arial" w:cs="Arial"/>
          <w:sz w:val="20"/>
          <w:szCs w:val="20"/>
        </w:rPr>
        <w:t>, kadar ta dejavnost škoduje dobremu stanju ali dobremu ekološkemu potencialu vodnih teles, vključno s površinskimi in podzemnimi vodami, ali</w:t>
      </w:r>
      <w:r>
        <w:rPr>
          <w:rFonts w:ascii="Arial" w:hAnsi="Arial" w:cs="Arial"/>
          <w:sz w:val="20"/>
          <w:szCs w:val="20"/>
        </w:rPr>
        <w:t xml:space="preserve"> </w:t>
      </w:r>
      <w:r w:rsidRPr="006E6CD0">
        <w:rPr>
          <w:rFonts w:ascii="Arial" w:hAnsi="Arial" w:cs="Arial"/>
          <w:sz w:val="20"/>
          <w:szCs w:val="20"/>
        </w:rPr>
        <w:t>dobremu okoljskemu stanju morskih voda;</w:t>
      </w:r>
    </w:p>
    <w:p w14:paraId="62514423" w14:textId="6DBB1268" w:rsidR="006E6CD0" w:rsidRPr="006E6CD0" w:rsidRDefault="006E6CD0" w:rsidP="000B6313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6CD0">
        <w:rPr>
          <w:rFonts w:ascii="Arial" w:hAnsi="Arial" w:cs="Arial"/>
          <w:b/>
          <w:sz w:val="20"/>
          <w:szCs w:val="20"/>
        </w:rPr>
        <w:t>krožnemu gospodarstvu, vključno s preprečevanjem odpadkov in recikliranjem</w:t>
      </w:r>
      <w:r w:rsidRPr="006E6CD0">
        <w:rPr>
          <w:rFonts w:ascii="Arial" w:hAnsi="Arial" w:cs="Arial"/>
          <w:sz w:val="20"/>
          <w:szCs w:val="20"/>
        </w:rPr>
        <w:t>, kadar ta dejavnost privede do znatne neučinkovitosti pri uporabi materialov ali neposredne ali posredne rabe naravnih virov ali do znatnega povečanja nastajanja, sežiganja ali odlaganja odpadkov ali kadar lahko</w:t>
      </w:r>
      <w:r>
        <w:rPr>
          <w:rFonts w:ascii="Arial" w:hAnsi="Arial" w:cs="Arial"/>
          <w:sz w:val="20"/>
          <w:szCs w:val="20"/>
        </w:rPr>
        <w:t xml:space="preserve"> </w:t>
      </w:r>
      <w:r w:rsidRPr="006E6CD0">
        <w:rPr>
          <w:rFonts w:ascii="Arial" w:hAnsi="Arial" w:cs="Arial"/>
          <w:sz w:val="20"/>
          <w:szCs w:val="20"/>
        </w:rPr>
        <w:t>dolgoročno odlaganje odpadkov bistveno in dolgoročno škoduje okolju;</w:t>
      </w:r>
    </w:p>
    <w:p w14:paraId="73ED318D" w14:textId="655E2DBD" w:rsidR="006E6CD0" w:rsidRPr="006E6CD0" w:rsidRDefault="006E6CD0" w:rsidP="000B6313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6CD0">
        <w:rPr>
          <w:rFonts w:ascii="Arial" w:hAnsi="Arial" w:cs="Arial"/>
          <w:b/>
          <w:sz w:val="20"/>
          <w:szCs w:val="20"/>
        </w:rPr>
        <w:t>preprečevanju in nadzorovanju onesnaževanja</w:t>
      </w:r>
      <w:r w:rsidRPr="006E6CD0">
        <w:rPr>
          <w:rFonts w:ascii="Arial" w:hAnsi="Arial" w:cs="Arial"/>
          <w:sz w:val="20"/>
          <w:szCs w:val="20"/>
        </w:rPr>
        <w:t xml:space="preserve">, kadar ta dejavnost privede do znatnega povečanja emisij onesnaževal v zrak, vodo ali </w:t>
      </w:r>
      <w:r>
        <w:rPr>
          <w:rFonts w:ascii="Arial" w:hAnsi="Arial" w:cs="Arial"/>
          <w:sz w:val="20"/>
          <w:szCs w:val="20"/>
        </w:rPr>
        <w:t>zemljo</w:t>
      </w:r>
      <w:r w:rsidRPr="006E6CD0">
        <w:rPr>
          <w:rFonts w:ascii="Arial" w:hAnsi="Arial" w:cs="Arial"/>
          <w:sz w:val="20"/>
          <w:szCs w:val="20"/>
        </w:rPr>
        <w:t xml:space="preserve"> v primerjavi s stanjem pred začetkom izvajanja te</w:t>
      </w:r>
      <w:r>
        <w:rPr>
          <w:rFonts w:ascii="Arial" w:hAnsi="Arial" w:cs="Arial"/>
          <w:sz w:val="20"/>
          <w:szCs w:val="20"/>
        </w:rPr>
        <w:t xml:space="preserve"> </w:t>
      </w:r>
      <w:r w:rsidRPr="006E6CD0">
        <w:rPr>
          <w:rFonts w:ascii="Arial" w:hAnsi="Arial" w:cs="Arial"/>
          <w:sz w:val="20"/>
          <w:szCs w:val="20"/>
        </w:rPr>
        <w:t>dejavnosti, ali</w:t>
      </w:r>
    </w:p>
    <w:p w14:paraId="54339309" w14:textId="0BBDDB25" w:rsidR="00100EC9" w:rsidRDefault="006E6CD0" w:rsidP="000B6313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6CD0">
        <w:rPr>
          <w:rFonts w:ascii="Arial" w:hAnsi="Arial" w:cs="Arial"/>
          <w:b/>
          <w:sz w:val="20"/>
          <w:szCs w:val="20"/>
        </w:rPr>
        <w:t>varstvu in obnovi biotske raznovrstnosti in ekosistemov</w:t>
      </w:r>
      <w:r w:rsidRPr="006E6CD0">
        <w:rPr>
          <w:rFonts w:ascii="Arial" w:hAnsi="Arial" w:cs="Arial"/>
          <w:sz w:val="20"/>
          <w:szCs w:val="20"/>
        </w:rPr>
        <w:t>, kadar je ta dejavnost bistveno škodljiva za dobro stanje in odpornost ekosistemov ali škodljiva za stanje ohranjenosti habitatov in vrst, vključno</w:t>
      </w:r>
      <w:r>
        <w:rPr>
          <w:rFonts w:ascii="Arial" w:hAnsi="Arial" w:cs="Arial"/>
          <w:sz w:val="20"/>
          <w:szCs w:val="20"/>
        </w:rPr>
        <w:t xml:space="preserve"> </w:t>
      </w:r>
      <w:r w:rsidRPr="006E6CD0">
        <w:rPr>
          <w:rFonts w:ascii="Arial" w:hAnsi="Arial" w:cs="Arial"/>
          <w:sz w:val="20"/>
          <w:szCs w:val="20"/>
        </w:rPr>
        <w:t>s tistimi, ki so v interesu Unije.</w:t>
      </w:r>
    </w:p>
    <w:p w14:paraId="0D8CC35B" w14:textId="5A8B3E7D" w:rsidR="00100EC9" w:rsidRDefault="00100EC9" w:rsidP="00100EC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0CFB5D" w14:textId="7BB3731A" w:rsidR="00B939B0" w:rsidRPr="00B939B0" w:rsidRDefault="00B939B0" w:rsidP="00100EC9">
      <w:pPr>
        <w:spacing w:line="276" w:lineRule="auto"/>
        <w:jc w:val="both"/>
        <w:rPr>
          <w:rFonts w:ascii="Arial" w:hAnsi="Arial" w:cs="Arial"/>
          <w:b/>
          <w:i/>
          <w:sz w:val="18"/>
          <w:szCs w:val="20"/>
          <w:u w:val="single"/>
        </w:rPr>
      </w:pPr>
      <w:r w:rsidRPr="00B939B0">
        <w:rPr>
          <w:rFonts w:ascii="Arial" w:hAnsi="Arial" w:cs="Arial"/>
          <w:b/>
          <w:i/>
          <w:sz w:val="18"/>
          <w:szCs w:val="20"/>
          <w:u w:val="single"/>
        </w:rPr>
        <w:t>Navodilo:</w:t>
      </w:r>
    </w:p>
    <w:p w14:paraId="0A0B5B1C" w14:textId="77777777" w:rsidR="0022493D" w:rsidRPr="0022493D" w:rsidRDefault="0022493D" w:rsidP="0022493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493D">
        <w:rPr>
          <w:rFonts w:asciiTheme="minorHAnsi" w:hAnsiTheme="minorHAnsi" w:cstheme="minorHAnsi"/>
          <w:sz w:val="20"/>
          <w:szCs w:val="20"/>
        </w:rPr>
        <w:t>Pri pripravi ocene skladnosti z DNSH je treba izhajati iz vodilnih načel, ki so opredeljena v Tehničnih smernicah EK</w:t>
      </w:r>
      <w:r w:rsidRPr="0022493D">
        <w:rPr>
          <w:rFonts w:asciiTheme="minorHAnsi" w:hAnsiTheme="minorHAnsi" w:cstheme="minorHAnsi"/>
          <w:vertAlign w:val="superscript"/>
        </w:rPr>
        <w:footnoteReference w:id="2"/>
      </w:r>
      <w:r w:rsidRPr="0022493D">
        <w:rPr>
          <w:rFonts w:asciiTheme="minorHAnsi" w:hAnsiTheme="minorHAnsi" w:cstheme="minorHAnsi"/>
          <w:sz w:val="20"/>
          <w:szCs w:val="20"/>
        </w:rPr>
        <w:t>. V skladu s Tehničnimi smernicami EK se za ukrepe, ki nimajo predvidljivega vpliva na vse ali nekatere od šestih okoljskih ciljev oziroma je ta vpliv nepomemben, lahko uporabi poenostavljeni pristop.</w:t>
      </w:r>
    </w:p>
    <w:p w14:paraId="70B30115" w14:textId="77777777" w:rsidR="0022493D" w:rsidRPr="0022493D" w:rsidRDefault="0022493D" w:rsidP="0022493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3D8083" w14:textId="77777777" w:rsidR="0022493D" w:rsidRPr="0022493D" w:rsidRDefault="0022493D" w:rsidP="0022493D">
      <w:pPr>
        <w:spacing w:line="276" w:lineRule="auto"/>
        <w:jc w:val="both"/>
        <w:rPr>
          <w:rFonts w:asciiTheme="minorHAnsi" w:hAnsiTheme="minorHAnsi" w:cstheme="minorHAnsi"/>
          <w:i/>
          <w:sz w:val="18"/>
          <w:szCs w:val="20"/>
          <w:u w:val="single"/>
        </w:rPr>
      </w:pPr>
      <w:r w:rsidRPr="0022493D">
        <w:rPr>
          <w:rFonts w:asciiTheme="minorHAnsi" w:hAnsiTheme="minorHAnsi" w:cstheme="minorHAnsi"/>
          <w:i/>
          <w:sz w:val="18"/>
          <w:szCs w:val="20"/>
          <w:u w:val="single"/>
        </w:rPr>
        <w:t>Poenostavljen pristop se lahko uporablja, če je izpolnjen vsaj eden od naslednjih kriterijev:</w:t>
      </w:r>
    </w:p>
    <w:p w14:paraId="3877DB10" w14:textId="77777777" w:rsidR="0022493D" w:rsidRPr="0022493D" w:rsidRDefault="0022493D" w:rsidP="0022493D">
      <w:pPr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 w:cstheme="minorHAnsi"/>
          <w:i/>
          <w:sz w:val="18"/>
          <w:szCs w:val="20"/>
        </w:rPr>
      </w:pPr>
      <w:r w:rsidRPr="0022493D">
        <w:rPr>
          <w:rFonts w:asciiTheme="minorHAnsi" w:hAnsiTheme="minorHAnsi" w:cstheme="minorHAnsi"/>
          <w:i/>
          <w:sz w:val="18"/>
          <w:szCs w:val="20"/>
        </w:rPr>
        <w:t>ukrep zaradi svoje narave nima predvidljivega vpliva na vse od šestih okoljskih ciljev oziroma je ta vpliv nepomemben,</w:t>
      </w:r>
    </w:p>
    <w:p w14:paraId="691BB480" w14:textId="77777777" w:rsidR="0022493D" w:rsidRPr="0022493D" w:rsidRDefault="0022493D" w:rsidP="0022493D">
      <w:pPr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 w:cstheme="minorHAnsi"/>
          <w:i/>
          <w:sz w:val="18"/>
          <w:szCs w:val="20"/>
        </w:rPr>
      </w:pPr>
      <w:r w:rsidRPr="0022493D">
        <w:rPr>
          <w:rFonts w:asciiTheme="minorHAnsi" w:hAnsiTheme="minorHAnsi" w:cstheme="minorHAnsi"/>
          <w:i/>
          <w:sz w:val="18"/>
          <w:szCs w:val="20"/>
        </w:rPr>
        <w:t>ukrep se spremlja kot ukrep, ki 100-odstotno podpira cilje na področju podnebnih sprememb ali okoljske cilje v skladu s Prilogo I Uredbe (EU) 2021/1060 o skupnih določbah,</w:t>
      </w:r>
    </w:p>
    <w:p w14:paraId="66E87B79" w14:textId="77777777" w:rsidR="0022493D" w:rsidRPr="0022493D" w:rsidRDefault="0022493D" w:rsidP="0022493D">
      <w:pPr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 w:cstheme="minorHAnsi"/>
          <w:i/>
          <w:sz w:val="18"/>
          <w:szCs w:val="20"/>
        </w:rPr>
      </w:pPr>
      <w:r w:rsidRPr="0022493D">
        <w:rPr>
          <w:rFonts w:asciiTheme="minorHAnsi" w:hAnsiTheme="minorHAnsi" w:cstheme="minorHAnsi"/>
          <w:i/>
          <w:sz w:val="18"/>
          <w:szCs w:val="20"/>
        </w:rPr>
        <w:t>ukrep bodisi 100-odstotno podpira enega od šestih okoljskih ciljev ali bistveno prispeva k enemu od šestih okoljskih ciljev v skladu z določbami Uredbe o taksonomiji in Delegirane uredbe Komisije,</w:t>
      </w:r>
    </w:p>
    <w:p w14:paraId="7FD5BD26" w14:textId="77777777" w:rsidR="0022493D" w:rsidRPr="0022493D" w:rsidRDefault="0022493D" w:rsidP="0022493D">
      <w:pPr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 w:cstheme="minorHAnsi"/>
          <w:i/>
          <w:sz w:val="18"/>
          <w:szCs w:val="20"/>
        </w:rPr>
      </w:pPr>
      <w:r w:rsidRPr="0022493D">
        <w:rPr>
          <w:rFonts w:asciiTheme="minorHAnsi" w:hAnsiTheme="minorHAnsi" w:cstheme="minorHAnsi"/>
          <w:i/>
          <w:sz w:val="18"/>
          <w:szCs w:val="20"/>
        </w:rPr>
        <w:t>ukrep je po vsebini enak ukrepu, ki je bil ocenjen v okviru predhodne ocene PEKP in je opredeljen z morebitnimi omilitvenimi ukrepi v Tehničnih merilih za izbor projektov za ocenjevanje DNSH,</w:t>
      </w:r>
    </w:p>
    <w:p w14:paraId="45C66619" w14:textId="77777777" w:rsidR="0022493D" w:rsidRPr="0022493D" w:rsidRDefault="0022493D" w:rsidP="0022493D">
      <w:pPr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 w:cstheme="minorHAnsi"/>
          <w:i/>
          <w:sz w:val="18"/>
          <w:szCs w:val="20"/>
        </w:rPr>
      </w:pPr>
      <w:r w:rsidRPr="0022493D">
        <w:rPr>
          <w:rFonts w:asciiTheme="minorHAnsi" w:hAnsiTheme="minorHAnsi" w:cstheme="minorHAnsi"/>
          <w:i/>
          <w:sz w:val="18"/>
          <w:szCs w:val="20"/>
        </w:rPr>
        <w:t>ukrep je po vsebini enak ukrepu, ki je že bil vsebinsko ocenjen v okviru Načrta za okrevanje in odpornost (v nadaljevanju NOO), zanj pa so določeni morebitni omilitveni ukrepi, ki se upoštevajo pri njegovi implementaciji.</w:t>
      </w:r>
    </w:p>
    <w:tbl>
      <w:tblPr>
        <w:tblStyle w:val="Tabelamrea"/>
        <w:tblW w:w="9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2700"/>
        <w:gridCol w:w="4736"/>
      </w:tblGrid>
      <w:tr w:rsidR="00100EC9" w:rsidRPr="000B2CC8" w14:paraId="18DC063C" w14:textId="77777777" w:rsidTr="009A4ED9">
        <w:tc>
          <w:tcPr>
            <w:tcW w:w="2088" w:type="dxa"/>
            <w:vAlign w:val="bottom"/>
          </w:tcPr>
          <w:p w14:paraId="5442606E" w14:textId="77777777" w:rsidR="00100EC9" w:rsidRPr="000B2CC8" w:rsidRDefault="00100EC9" w:rsidP="009A4ED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0B2CC8">
              <w:rPr>
                <w:rFonts w:ascii="Arial" w:hAnsi="Arial" w:cs="Arial"/>
                <w:b/>
                <w:sz w:val="20"/>
                <w:szCs w:val="20"/>
              </w:rPr>
              <w:lastRenderedPageBreak/>
              <w:t>Naziv operacije:</w:t>
            </w:r>
          </w:p>
        </w:tc>
        <w:tc>
          <w:tcPr>
            <w:tcW w:w="7436" w:type="dxa"/>
            <w:gridSpan w:val="2"/>
            <w:tcBorders>
              <w:bottom w:val="single" w:sz="4" w:space="0" w:color="auto"/>
            </w:tcBorders>
            <w:vAlign w:val="bottom"/>
          </w:tcPr>
          <w:p w14:paraId="117A38A7" w14:textId="77777777" w:rsidR="00100EC9" w:rsidRPr="000B2CC8" w:rsidRDefault="00100EC9" w:rsidP="009A4ED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C9" w:rsidRPr="000B2CC8" w14:paraId="64BFAE15" w14:textId="77777777" w:rsidTr="009A4ED9">
        <w:tc>
          <w:tcPr>
            <w:tcW w:w="2088" w:type="dxa"/>
            <w:vAlign w:val="bottom"/>
          </w:tcPr>
          <w:p w14:paraId="4BE7DBAD" w14:textId="77777777" w:rsidR="00100EC9" w:rsidRPr="000B2CC8" w:rsidRDefault="00100EC9" w:rsidP="009A4ED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0B2CC8">
              <w:rPr>
                <w:rFonts w:ascii="Arial" w:hAnsi="Arial" w:cs="Arial"/>
                <w:b/>
                <w:snapToGrid w:val="0"/>
                <w:sz w:val="20"/>
                <w:szCs w:val="20"/>
              </w:rPr>
              <w:t>Naziv vlagatelja:</w:t>
            </w:r>
          </w:p>
        </w:tc>
        <w:tc>
          <w:tcPr>
            <w:tcW w:w="74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E35850" w14:textId="77777777" w:rsidR="00100EC9" w:rsidRPr="000B2CC8" w:rsidRDefault="00100EC9" w:rsidP="009A4ED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C9" w:rsidRPr="000B2CC8" w14:paraId="5F64854C" w14:textId="77777777" w:rsidTr="009A4ED9">
        <w:trPr>
          <w:trHeight w:val="263"/>
        </w:trPr>
        <w:tc>
          <w:tcPr>
            <w:tcW w:w="4788" w:type="dxa"/>
            <w:gridSpan w:val="2"/>
            <w:vAlign w:val="bottom"/>
          </w:tcPr>
          <w:p w14:paraId="28863E3C" w14:textId="77777777" w:rsidR="00100EC9" w:rsidRPr="000B2CC8" w:rsidRDefault="00100EC9" w:rsidP="009A4ED9">
            <w:pPr>
              <w:spacing w:before="80" w:after="8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0B2CC8">
              <w:rPr>
                <w:rFonts w:ascii="Arial" w:hAnsi="Arial" w:cs="Arial"/>
                <w:b/>
                <w:snapToGrid w:val="0"/>
                <w:sz w:val="20"/>
                <w:szCs w:val="20"/>
              </w:rPr>
              <w:t>Ime in priimek odgovorne osebe vlagatelja:</w:t>
            </w:r>
          </w:p>
        </w:tc>
        <w:tc>
          <w:tcPr>
            <w:tcW w:w="4736" w:type="dxa"/>
            <w:tcBorders>
              <w:bottom w:val="single" w:sz="4" w:space="0" w:color="auto"/>
            </w:tcBorders>
            <w:vAlign w:val="bottom"/>
          </w:tcPr>
          <w:p w14:paraId="410E5F22" w14:textId="77777777" w:rsidR="00100EC9" w:rsidRPr="000B2CC8" w:rsidRDefault="00100EC9" w:rsidP="009A4ED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9C6621" w14:textId="0306E778" w:rsidR="00100EC9" w:rsidRDefault="00100EC9" w:rsidP="006E6CD0">
      <w:pPr>
        <w:jc w:val="both"/>
        <w:rPr>
          <w:rFonts w:ascii="Arial" w:hAnsi="Arial" w:cs="Arial"/>
          <w:sz w:val="20"/>
          <w:szCs w:val="20"/>
        </w:rPr>
      </w:pPr>
    </w:p>
    <w:p w14:paraId="2DFD5A31" w14:textId="7EA83CFD" w:rsidR="000930AD" w:rsidRDefault="000930AD" w:rsidP="00F862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Arial" w:hAnsi="Arial" w:cs="Arial"/>
          <w:b/>
          <w:bCs/>
          <w:sz w:val="20"/>
          <w:szCs w:val="20"/>
        </w:rPr>
      </w:pPr>
      <w:r w:rsidRPr="000930AD">
        <w:rPr>
          <w:rFonts w:ascii="Arial" w:hAnsi="Arial" w:cs="Arial"/>
          <w:b/>
          <w:bCs/>
          <w:sz w:val="20"/>
          <w:szCs w:val="20"/>
        </w:rPr>
        <w:t xml:space="preserve">Specifični cilj </w:t>
      </w:r>
      <w:r w:rsidR="00194899" w:rsidRPr="00194899">
        <w:rPr>
          <w:rFonts w:ascii="Arial" w:hAnsi="Arial" w:cs="Arial"/>
          <w:b/>
          <w:bCs/>
          <w:sz w:val="20"/>
          <w:szCs w:val="20"/>
        </w:rPr>
        <w:t>RSO3.2 Razvoj in krepitev trajnostne, pametne in intermodalne nacionalne, regionalne in lokalne mobilnosti, odporne proti podnebnim spremembam, vključno z boljšim dostopom do omrežja TEN-T in čezmejno mobilnostjo (Kohezijski sklad)</w:t>
      </w:r>
    </w:p>
    <w:p w14:paraId="093F7F2F" w14:textId="77777777" w:rsidR="00194899" w:rsidRDefault="00194899" w:rsidP="00F862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Arial" w:hAnsi="Arial" w:cs="Arial"/>
          <w:b/>
          <w:bCs/>
          <w:sz w:val="20"/>
          <w:szCs w:val="20"/>
        </w:rPr>
      </w:pPr>
    </w:p>
    <w:p w14:paraId="775B94EF" w14:textId="665FAE9E" w:rsidR="00194899" w:rsidRDefault="00C168A0" w:rsidP="00F862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 u</w:t>
      </w:r>
      <w:r w:rsidR="00194899" w:rsidRPr="00194899">
        <w:rPr>
          <w:rFonts w:ascii="Arial" w:hAnsi="Arial" w:cs="Arial"/>
          <w:sz w:val="20"/>
          <w:szCs w:val="20"/>
        </w:rPr>
        <w:t>krep</w:t>
      </w:r>
      <w:r>
        <w:rPr>
          <w:rFonts w:ascii="Arial" w:hAnsi="Arial" w:cs="Arial"/>
          <w:sz w:val="20"/>
          <w:szCs w:val="20"/>
        </w:rPr>
        <w:t>a</w:t>
      </w:r>
      <w:r w:rsidR="00194899" w:rsidRPr="00194899">
        <w:rPr>
          <w:rFonts w:ascii="Arial" w:hAnsi="Arial" w:cs="Arial"/>
          <w:sz w:val="20"/>
          <w:szCs w:val="20"/>
        </w:rPr>
        <w:t xml:space="preserve">: Neinfrastrukturni ukrepi trajnostne mobilnosti na horizontalni ravni </w:t>
      </w:r>
      <w:r w:rsidR="00B32577">
        <w:rPr>
          <w:rFonts w:ascii="Arial" w:hAnsi="Arial" w:cs="Arial"/>
          <w:sz w:val="20"/>
          <w:szCs w:val="20"/>
        </w:rPr>
        <w:t>–</w:t>
      </w:r>
      <w:r w:rsidR="00194899" w:rsidRPr="00194899">
        <w:rPr>
          <w:rFonts w:ascii="Arial" w:hAnsi="Arial" w:cs="Arial"/>
          <w:sz w:val="20"/>
          <w:szCs w:val="20"/>
        </w:rPr>
        <w:t xml:space="preserve"> Regionaln</w:t>
      </w:r>
      <w:r w:rsidR="00B32577">
        <w:rPr>
          <w:rFonts w:ascii="Arial" w:hAnsi="Arial" w:cs="Arial"/>
          <w:sz w:val="20"/>
          <w:szCs w:val="20"/>
        </w:rPr>
        <w:t>e celostne prometne strategije (RCPS)</w:t>
      </w:r>
    </w:p>
    <w:p w14:paraId="39E8F2B7" w14:textId="30C96B55" w:rsidR="00C168A0" w:rsidRDefault="00C168A0" w:rsidP="006E6CD0">
      <w:pPr>
        <w:jc w:val="both"/>
        <w:rPr>
          <w:rFonts w:ascii="Arial" w:hAnsi="Arial" w:cs="Arial"/>
          <w:i/>
          <w:color w:val="808080" w:themeColor="background1" w:themeShade="80"/>
          <w:sz w:val="18"/>
          <w:szCs w:val="20"/>
        </w:rPr>
      </w:pPr>
    </w:p>
    <w:p w14:paraId="137BF06A" w14:textId="575110BC" w:rsidR="00C168A0" w:rsidRPr="00F86281" w:rsidRDefault="00C168A0" w:rsidP="00C168A0">
      <w:pPr>
        <w:jc w:val="both"/>
        <w:rPr>
          <w:rFonts w:ascii="Arial" w:hAnsi="Arial" w:cs="Arial"/>
          <w:i/>
          <w:sz w:val="20"/>
          <w:szCs w:val="20"/>
        </w:rPr>
      </w:pPr>
      <w:r w:rsidRPr="00F86281">
        <w:rPr>
          <w:rFonts w:ascii="Arial" w:hAnsi="Arial" w:cs="Arial"/>
          <w:b/>
          <w:bCs/>
          <w:iCs/>
          <w:sz w:val="20"/>
          <w:szCs w:val="22"/>
        </w:rPr>
        <w:t xml:space="preserve">Opis ukrepa: </w:t>
      </w:r>
    </w:p>
    <w:p w14:paraId="53244EB1" w14:textId="01F39667" w:rsidR="002145F2" w:rsidRDefault="00B32577" w:rsidP="002145F2">
      <w:pPr>
        <w:suppressAutoHyphens w:val="0"/>
        <w:ind w:left="3"/>
        <w:rPr>
          <w:rFonts w:ascii="Arial" w:hAnsi="Arial" w:cs="Arial"/>
          <w:sz w:val="20"/>
          <w:szCs w:val="20"/>
        </w:rPr>
      </w:pPr>
      <w:r w:rsidRPr="00B32577">
        <w:rPr>
          <w:rFonts w:ascii="Arial" w:hAnsi="Arial" w:cs="Arial"/>
          <w:sz w:val="20"/>
          <w:szCs w:val="20"/>
        </w:rPr>
        <w:t>V okviru ukrepa neinfrastrukturnih ukrepov trajnostne mobilnosti na horizontalni ravni je predvidena priprava regionalnih celostnih prometnih strategij (v nadaljnjem besedilu: RCPS), s pomočjo katerih bodo regije pristopile k načrtovanju trajnostnega prometa na regionalni ravni.</w:t>
      </w:r>
    </w:p>
    <w:p w14:paraId="6ACB3358" w14:textId="77777777" w:rsidR="00B32577" w:rsidRDefault="00B32577" w:rsidP="002145F2">
      <w:pPr>
        <w:suppressAutoHyphens w:val="0"/>
        <w:ind w:left="3"/>
        <w:rPr>
          <w:rFonts w:ascii="Arial" w:hAnsi="Arial" w:cs="Arial"/>
          <w:b/>
          <w:bCs/>
          <w:iCs/>
          <w:sz w:val="20"/>
          <w:szCs w:val="22"/>
        </w:rPr>
      </w:pPr>
    </w:p>
    <w:p w14:paraId="43A4E404" w14:textId="5BFBDD1A" w:rsidR="00440C88" w:rsidRDefault="009C3FC6" w:rsidP="009C3FC6">
      <w:pPr>
        <w:suppressAutoHyphens w:val="0"/>
        <w:ind w:left="3"/>
        <w:jc w:val="both"/>
        <w:rPr>
          <w:rFonts w:ascii="Arial" w:hAnsi="Arial" w:cs="Arial"/>
          <w:i/>
          <w:sz w:val="20"/>
          <w:szCs w:val="20"/>
        </w:rPr>
      </w:pPr>
      <w:r w:rsidRPr="00F86281">
        <w:rPr>
          <w:rFonts w:ascii="Arial" w:hAnsi="Arial" w:cs="Arial"/>
          <w:i/>
          <w:sz w:val="20"/>
          <w:szCs w:val="20"/>
        </w:rPr>
        <w:t>Ukrep zaradi svoje narave nima predvidljivega vpliva na vse od šestih okoljskih ciljev oziroma je ta vpliv nepomemben. Ukrep izpolnjuje kriterij (a) iz poglavja 2 Splošne usmeritve za ocenjevanje skladnosti ukrepov z DNSH (Smernice OU za uporabo načela DNSH pri izvajanju Programa EKP 2021-2027).</w:t>
      </w:r>
    </w:p>
    <w:p w14:paraId="126473AB" w14:textId="77777777" w:rsidR="009C3FC6" w:rsidRPr="00996265" w:rsidRDefault="009C3FC6" w:rsidP="00440C88">
      <w:pPr>
        <w:suppressAutoHyphens w:val="0"/>
        <w:ind w:left="3"/>
        <w:rPr>
          <w:rFonts w:ascii="Arial" w:hAnsi="Arial" w:cs="Arial"/>
          <w:b/>
          <w:bCs/>
          <w:iCs/>
          <w:sz w:val="20"/>
          <w:szCs w:val="22"/>
        </w:rPr>
      </w:pPr>
    </w:p>
    <w:p w14:paraId="2B914FE9" w14:textId="784D185E" w:rsidR="00A76497" w:rsidRPr="00BA6FD9" w:rsidRDefault="00BA6FD9" w:rsidP="006E6CD0">
      <w:pPr>
        <w:jc w:val="both"/>
        <w:rPr>
          <w:rFonts w:ascii="Arial" w:hAnsi="Arial" w:cs="Arial"/>
          <w:sz w:val="20"/>
          <w:szCs w:val="20"/>
        </w:rPr>
      </w:pPr>
      <w:r w:rsidRPr="00BA6FD9">
        <w:rPr>
          <w:rFonts w:ascii="Arial" w:hAnsi="Arial" w:cs="Arial"/>
          <w:sz w:val="20"/>
          <w:szCs w:val="20"/>
        </w:rPr>
        <w:t>Tabela 1: Povzetek ocene skladnosti operacije z načelom DNSH</w:t>
      </w:r>
    </w:p>
    <w:tbl>
      <w:tblPr>
        <w:tblStyle w:val="Tabelamrea"/>
        <w:tblW w:w="5159" w:type="pct"/>
        <w:tblLook w:val="04A0" w:firstRow="1" w:lastRow="0" w:firstColumn="1" w:lastColumn="0" w:noHBand="0" w:noVBand="1"/>
      </w:tblPr>
      <w:tblGrid>
        <w:gridCol w:w="3396"/>
        <w:gridCol w:w="851"/>
        <w:gridCol w:w="851"/>
        <w:gridCol w:w="4250"/>
      </w:tblGrid>
      <w:tr w:rsidR="003361E0" w:rsidRPr="007C4D81" w14:paraId="2C59D912" w14:textId="77777777" w:rsidTr="0049154D">
        <w:trPr>
          <w:tblHeader/>
        </w:trPr>
        <w:tc>
          <w:tcPr>
            <w:tcW w:w="1816" w:type="pct"/>
            <w:shd w:val="clear" w:color="auto" w:fill="E2EFD9" w:themeFill="accent6" w:themeFillTint="33"/>
            <w:hideMark/>
          </w:tcPr>
          <w:p w14:paraId="273B4FC4" w14:textId="77777777" w:rsidR="006E6CD0" w:rsidRPr="007C4D81" w:rsidRDefault="006E6CD0" w:rsidP="003361E0">
            <w:pPr>
              <w:spacing w:line="240" w:lineRule="atLeast"/>
              <w:ind w:right="193"/>
              <w:jc w:val="center"/>
              <w:rPr>
                <w:rFonts w:ascii="Arial" w:hAnsi="Arial" w:cs="Arial"/>
                <w:bCs/>
                <w:i/>
                <w:color w:val="333333"/>
                <w:sz w:val="18"/>
                <w:szCs w:val="18"/>
                <w:lang w:eastAsia="sl-SI"/>
              </w:rPr>
            </w:pPr>
            <w:r w:rsidRPr="007C4D81">
              <w:rPr>
                <w:rFonts w:ascii="Arial" w:hAnsi="Arial" w:cs="Arial"/>
                <w:bCs/>
                <w:i/>
                <w:color w:val="333333"/>
                <w:sz w:val="18"/>
                <w:szCs w:val="18"/>
                <w:lang w:eastAsia="sl-SI"/>
              </w:rPr>
              <w:t>Ali je za okoljske cilje v nadaljevanju potrebna vsebinska ocena skladnosti ukrepa z načelom, da se ne škoduje bistveno?</w:t>
            </w:r>
          </w:p>
        </w:tc>
        <w:tc>
          <w:tcPr>
            <w:tcW w:w="455" w:type="pct"/>
            <w:shd w:val="clear" w:color="auto" w:fill="E2EFD9" w:themeFill="accent6" w:themeFillTint="33"/>
            <w:hideMark/>
          </w:tcPr>
          <w:p w14:paraId="296FD7D0" w14:textId="77777777" w:rsidR="006E6CD0" w:rsidRPr="007C4D81" w:rsidRDefault="006E6CD0" w:rsidP="003361E0">
            <w:pPr>
              <w:spacing w:line="240" w:lineRule="atLeast"/>
              <w:ind w:right="193"/>
              <w:jc w:val="center"/>
              <w:rPr>
                <w:rFonts w:ascii="Arial" w:hAnsi="Arial" w:cs="Arial"/>
                <w:bCs/>
                <w:i/>
                <w:color w:val="333333"/>
                <w:sz w:val="18"/>
                <w:szCs w:val="18"/>
                <w:lang w:eastAsia="sl-SI"/>
              </w:rPr>
            </w:pPr>
            <w:r w:rsidRPr="007C4D81">
              <w:rPr>
                <w:rFonts w:ascii="Arial" w:hAnsi="Arial" w:cs="Arial"/>
                <w:bCs/>
                <w:i/>
                <w:color w:val="333333"/>
                <w:sz w:val="18"/>
                <w:szCs w:val="18"/>
                <w:lang w:eastAsia="sl-SI"/>
              </w:rPr>
              <w:t>DA</w:t>
            </w:r>
          </w:p>
        </w:tc>
        <w:tc>
          <w:tcPr>
            <w:tcW w:w="455" w:type="pct"/>
            <w:shd w:val="clear" w:color="auto" w:fill="E2EFD9" w:themeFill="accent6" w:themeFillTint="33"/>
            <w:hideMark/>
          </w:tcPr>
          <w:p w14:paraId="42B71696" w14:textId="77777777" w:rsidR="006E6CD0" w:rsidRPr="007C4D81" w:rsidRDefault="006E6CD0" w:rsidP="003361E0">
            <w:pPr>
              <w:spacing w:line="240" w:lineRule="atLeast"/>
              <w:ind w:right="193"/>
              <w:jc w:val="center"/>
              <w:rPr>
                <w:rFonts w:ascii="Arial" w:hAnsi="Arial" w:cs="Arial"/>
                <w:bCs/>
                <w:i/>
                <w:color w:val="333333"/>
                <w:sz w:val="18"/>
                <w:szCs w:val="18"/>
                <w:lang w:eastAsia="sl-SI"/>
              </w:rPr>
            </w:pPr>
            <w:r w:rsidRPr="007C4D81">
              <w:rPr>
                <w:rFonts w:ascii="Arial" w:hAnsi="Arial" w:cs="Arial"/>
                <w:bCs/>
                <w:i/>
                <w:color w:val="333333"/>
                <w:sz w:val="18"/>
                <w:szCs w:val="18"/>
                <w:lang w:eastAsia="sl-SI"/>
              </w:rPr>
              <w:t>NE</w:t>
            </w:r>
          </w:p>
        </w:tc>
        <w:tc>
          <w:tcPr>
            <w:tcW w:w="2273" w:type="pct"/>
            <w:shd w:val="clear" w:color="auto" w:fill="E2EFD9" w:themeFill="accent6" w:themeFillTint="33"/>
            <w:hideMark/>
          </w:tcPr>
          <w:p w14:paraId="04EA5209" w14:textId="0342609E" w:rsidR="006E6CD0" w:rsidRPr="007C4D81" w:rsidRDefault="006E6CD0" w:rsidP="003361E0">
            <w:pPr>
              <w:spacing w:line="240" w:lineRule="atLeast"/>
              <w:ind w:right="193"/>
              <w:jc w:val="center"/>
              <w:rPr>
                <w:rFonts w:ascii="Arial" w:hAnsi="Arial" w:cs="Arial"/>
                <w:bCs/>
                <w:i/>
                <w:color w:val="333333"/>
                <w:sz w:val="18"/>
                <w:szCs w:val="18"/>
                <w:lang w:eastAsia="sl-SI"/>
              </w:rPr>
            </w:pPr>
            <w:r w:rsidRPr="007C4D81">
              <w:rPr>
                <w:rFonts w:ascii="Arial" w:hAnsi="Arial" w:cs="Arial"/>
                <w:bCs/>
                <w:i/>
                <w:color w:val="333333"/>
                <w:sz w:val="18"/>
                <w:szCs w:val="18"/>
                <w:lang w:eastAsia="sl-SI"/>
              </w:rPr>
              <w:t>Utemeljitev, če ste izbrali odgovor »NE«</w:t>
            </w:r>
          </w:p>
        </w:tc>
      </w:tr>
      <w:tr w:rsidR="00440C88" w:rsidRPr="007C4D81" w14:paraId="1F7021EE" w14:textId="77777777" w:rsidTr="00FD626C">
        <w:tc>
          <w:tcPr>
            <w:tcW w:w="1816" w:type="pct"/>
            <w:vAlign w:val="center"/>
            <w:hideMark/>
          </w:tcPr>
          <w:p w14:paraId="0DE94B0E" w14:textId="77777777" w:rsidR="00440C88" w:rsidRPr="007C4D81" w:rsidRDefault="00440C88" w:rsidP="00440C88">
            <w:pPr>
              <w:spacing w:line="312" w:lineRule="atLeast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  <w:r w:rsidRPr="007C4D81"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  <w:t>Blažitev podnebnih sprememb</w:t>
            </w:r>
          </w:p>
        </w:tc>
        <w:tc>
          <w:tcPr>
            <w:tcW w:w="455" w:type="pct"/>
            <w:vAlign w:val="center"/>
            <w:hideMark/>
          </w:tcPr>
          <w:p w14:paraId="49F0FE73" w14:textId="3F406C72" w:rsidR="00440C88" w:rsidRPr="007C4D81" w:rsidRDefault="00440C88" w:rsidP="00440C88">
            <w:pPr>
              <w:spacing w:line="312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  <w:tc>
          <w:tcPr>
            <w:tcW w:w="455" w:type="pct"/>
          </w:tcPr>
          <w:p w14:paraId="3D5E5B9E" w14:textId="195E0EF5" w:rsidR="00440C88" w:rsidRPr="007C4D81" w:rsidRDefault="00440C88" w:rsidP="00440C88">
            <w:pPr>
              <w:spacing w:line="312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  <w:r w:rsidRPr="00E7733A">
              <w:rPr>
                <w:rFonts w:ascii="Arial" w:hAnsi="Arial" w:cs="Arial"/>
                <w:sz w:val="18"/>
                <w:szCs w:val="18"/>
                <w:lang w:eastAsia="sl-SI"/>
              </w:rPr>
              <w:t>X</w:t>
            </w:r>
          </w:p>
        </w:tc>
        <w:tc>
          <w:tcPr>
            <w:tcW w:w="2273" w:type="pct"/>
            <w:vMerge w:val="restart"/>
            <w:vAlign w:val="center"/>
            <w:hideMark/>
          </w:tcPr>
          <w:p w14:paraId="4DE0792D" w14:textId="77777777" w:rsidR="00440C88" w:rsidRDefault="008F2B41" w:rsidP="00287088">
            <w:pPr>
              <w:spacing w:line="24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  <w:t>Gre za neinfrastrukturni u</w:t>
            </w:r>
            <w:r w:rsidRPr="008F2B41"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  <w:t>krep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  <w:t xml:space="preserve"> v okviru specifičnega cilja RSO3.2, za katerega se pričakuje, da že</w:t>
            </w:r>
            <w:r w:rsidRPr="008F2B41"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  <w:t xml:space="preserve"> po svoji naravi nima predvidljivega negativnega vpliva na okoljske cilje, ki bi bil povezan z neposrednimi in primarnimi posrednimi učinki ukrepa v življenjskem ciklu, oziroma je ta vpliv nepomemben.</w:t>
            </w:r>
          </w:p>
          <w:p w14:paraId="7FE8D583" w14:textId="77777777" w:rsidR="0092279D" w:rsidRDefault="0092279D" w:rsidP="00287088">
            <w:pPr>
              <w:spacing w:line="24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  <w:p w14:paraId="67ED8E11" w14:textId="3084A814" w:rsidR="0092279D" w:rsidRPr="007C4D81" w:rsidRDefault="0092279D" w:rsidP="00287088">
            <w:pPr>
              <w:spacing w:line="24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</w:tr>
      <w:tr w:rsidR="00440C88" w:rsidRPr="007C4D81" w14:paraId="1DF3735F" w14:textId="77777777" w:rsidTr="00FD626C">
        <w:tc>
          <w:tcPr>
            <w:tcW w:w="1816" w:type="pct"/>
            <w:vAlign w:val="center"/>
            <w:hideMark/>
          </w:tcPr>
          <w:p w14:paraId="2BD275B0" w14:textId="77777777" w:rsidR="00440C88" w:rsidRPr="007C4D81" w:rsidRDefault="00440C88" w:rsidP="00440C88">
            <w:pPr>
              <w:spacing w:line="312" w:lineRule="atLeast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  <w:r w:rsidRPr="007C4D81"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  <w:t>Prilagajanje podnebnim spremembam</w:t>
            </w:r>
          </w:p>
        </w:tc>
        <w:tc>
          <w:tcPr>
            <w:tcW w:w="455" w:type="pct"/>
            <w:vAlign w:val="center"/>
            <w:hideMark/>
          </w:tcPr>
          <w:p w14:paraId="43F9ACB1" w14:textId="258D1A52" w:rsidR="00440C88" w:rsidRPr="007C4D81" w:rsidRDefault="00440C88" w:rsidP="00440C88">
            <w:pPr>
              <w:spacing w:line="312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  <w:tc>
          <w:tcPr>
            <w:tcW w:w="455" w:type="pct"/>
          </w:tcPr>
          <w:p w14:paraId="5C62CE47" w14:textId="48709635" w:rsidR="00440C88" w:rsidRPr="007C4D81" w:rsidRDefault="00440C88" w:rsidP="00440C88">
            <w:pPr>
              <w:spacing w:line="312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  <w:r w:rsidRPr="00E7733A">
              <w:rPr>
                <w:rFonts w:ascii="Arial" w:hAnsi="Arial" w:cs="Arial"/>
                <w:sz w:val="18"/>
                <w:szCs w:val="18"/>
                <w:lang w:eastAsia="sl-SI"/>
              </w:rPr>
              <w:t>X</w:t>
            </w:r>
          </w:p>
        </w:tc>
        <w:tc>
          <w:tcPr>
            <w:tcW w:w="2273" w:type="pct"/>
            <w:vMerge/>
            <w:vAlign w:val="center"/>
          </w:tcPr>
          <w:p w14:paraId="55905AAD" w14:textId="099729BA" w:rsidR="00440C88" w:rsidRPr="007C4D81" w:rsidRDefault="00440C88" w:rsidP="00287088">
            <w:pPr>
              <w:spacing w:line="24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</w:tr>
      <w:tr w:rsidR="00440C88" w:rsidRPr="007C4D81" w14:paraId="07AA4189" w14:textId="77777777" w:rsidTr="00FD626C">
        <w:tc>
          <w:tcPr>
            <w:tcW w:w="1816" w:type="pct"/>
            <w:vAlign w:val="center"/>
            <w:hideMark/>
          </w:tcPr>
          <w:p w14:paraId="1F9DB2CB" w14:textId="77777777" w:rsidR="00440C88" w:rsidRPr="007C4D81" w:rsidRDefault="00440C88" w:rsidP="00440C88">
            <w:pPr>
              <w:spacing w:line="312" w:lineRule="atLeast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  <w:r w:rsidRPr="007C4D81"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  <w:t xml:space="preserve">Trajnostna raba ter varstvo vodnih in morskih virov </w:t>
            </w:r>
          </w:p>
        </w:tc>
        <w:tc>
          <w:tcPr>
            <w:tcW w:w="455" w:type="pct"/>
            <w:vAlign w:val="center"/>
            <w:hideMark/>
          </w:tcPr>
          <w:p w14:paraId="7FE0E0D2" w14:textId="31378B84" w:rsidR="00440C88" w:rsidRPr="007C4D81" w:rsidRDefault="00440C88" w:rsidP="00440C88">
            <w:pPr>
              <w:spacing w:line="312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  <w:tc>
          <w:tcPr>
            <w:tcW w:w="455" w:type="pct"/>
          </w:tcPr>
          <w:p w14:paraId="711DD8A3" w14:textId="223F5ADA" w:rsidR="00440C88" w:rsidRPr="007C4D81" w:rsidRDefault="00440C88" w:rsidP="00440C88">
            <w:pPr>
              <w:spacing w:line="312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  <w:r w:rsidRPr="00E7733A">
              <w:rPr>
                <w:rFonts w:ascii="Arial" w:hAnsi="Arial" w:cs="Arial"/>
                <w:sz w:val="18"/>
                <w:szCs w:val="18"/>
                <w:lang w:eastAsia="sl-SI"/>
              </w:rPr>
              <w:t>X</w:t>
            </w:r>
          </w:p>
        </w:tc>
        <w:tc>
          <w:tcPr>
            <w:tcW w:w="2273" w:type="pct"/>
            <w:vMerge/>
            <w:vAlign w:val="center"/>
          </w:tcPr>
          <w:p w14:paraId="210CEB44" w14:textId="07286F49" w:rsidR="00440C88" w:rsidRPr="007C4D81" w:rsidRDefault="00440C88" w:rsidP="00287088">
            <w:pPr>
              <w:spacing w:line="24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</w:tr>
      <w:tr w:rsidR="00440C88" w:rsidRPr="007C4D81" w14:paraId="1DCC2EA7" w14:textId="77777777" w:rsidTr="00FD626C">
        <w:tc>
          <w:tcPr>
            <w:tcW w:w="1816" w:type="pct"/>
            <w:vAlign w:val="center"/>
            <w:hideMark/>
          </w:tcPr>
          <w:p w14:paraId="29A0D03B" w14:textId="77777777" w:rsidR="00440C88" w:rsidRPr="007C4D81" w:rsidRDefault="00440C88" w:rsidP="00440C88">
            <w:pPr>
              <w:spacing w:line="312" w:lineRule="atLeast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  <w:r w:rsidRPr="007C4D81"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  <w:t xml:space="preserve">Krožno gospodarstvo, vključno s preprečevanjem odpadkov in recikliranjem </w:t>
            </w:r>
          </w:p>
        </w:tc>
        <w:tc>
          <w:tcPr>
            <w:tcW w:w="455" w:type="pct"/>
            <w:vAlign w:val="center"/>
            <w:hideMark/>
          </w:tcPr>
          <w:p w14:paraId="19612866" w14:textId="3AF0049F" w:rsidR="00440C88" w:rsidRPr="007C4D81" w:rsidRDefault="00440C88" w:rsidP="00440C88">
            <w:pPr>
              <w:spacing w:line="312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  <w:tc>
          <w:tcPr>
            <w:tcW w:w="455" w:type="pct"/>
          </w:tcPr>
          <w:p w14:paraId="3F57970A" w14:textId="738D30BD" w:rsidR="00440C88" w:rsidRPr="007C4D81" w:rsidRDefault="00440C88" w:rsidP="00440C88">
            <w:pPr>
              <w:spacing w:line="312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  <w:r w:rsidRPr="00E7733A">
              <w:rPr>
                <w:rFonts w:ascii="Arial" w:hAnsi="Arial" w:cs="Arial"/>
                <w:sz w:val="18"/>
                <w:szCs w:val="18"/>
                <w:lang w:eastAsia="sl-SI"/>
              </w:rPr>
              <w:t>X</w:t>
            </w:r>
          </w:p>
        </w:tc>
        <w:tc>
          <w:tcPr>
            <w:tcW w:w="2273" w:type="pct"/>
            <w:vMerge/>
            <w:vAlign w:val="center"/>
          </w:tcPr>
          <w:p w14:paraId="1E4A2723" w14:textId="73F9C009" w:rsidR="00440C88" w:rsidRPr="007C4D81" w:rsidRDefault="00440C88" w:rsidP="00287088">
            <w:pPr>
              <w:spacing w:line="24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</w:tr>
      <w:tr w:rsidR="00440C88" w:rsidRPr="007C4D81" w14:paraId="0623DC93" w14:textId="77777777" w:rsidTr="00FD626C">
        <w:tc>
          <w:tcPr>
            <w:tcW w:w="1816" w:type="pct"/>
            <w:vAlign w:val="center"/>
            <w:hideMark/>
          </w:tcPr>
          <w:p w14:paraId="3D267457" w14:textId="77777777" w:rsidR="00440C88" w:rsidRPr="007C4D81" w:rsidRDefault="00440C88" w:rsidP="00440C88">
            <w:pPr>
              <w:spacing w:line="312" w:lineRule="atLeast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  <w:r w:rsidRPr="007C4D81"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  <w:t xml:space="preserve">Preprečevanje in nadzorovanje onesnaževanja zraka, vode ali tal </w:t>
            </w:r>
          </w:p>
        </w:tc>
        <w:tc>
          <w:tcPr>
            <w:tcW w:w="455" w:type="pct"/>
            <w:vAlign w:val="center"/>
            <w:hideMark/>
          </w:tcPr>
          <w:p w14:paraId="074A05E0" w14:textId="24EE0E0C" w:rsidR="00440C88" w:rsidRPr="007C4D81" w:rsidRDefault="00440C88" w:rsidP="00440C88">
            <w:pPr>
              <w:spacing w:line="312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  <w:tc>
          <w:tcPr>
            <w:tcW w:w="455" w:type="pct"/>
          </w:tcPr>
          <w:p w14:paraId="3DD014CD" w14:textId="0A93B0CF" w:rsidR="00440C88" w:rsidRPr="007C4D81" w:rsidRDefault="00440C88" w:rsidP="00440C88">
            <w:pPr>
              <w:spacing w:line="312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  <w:r w:rsidRPr="00E7733A">
              <w:rPr>
                <w:rFonts w:ascii="Arial" w:hAnsi="Arial" w:cs="Arial"/>
                <w:sz w:val="18"/>
                <w:szCs w:val="18"/>
                <w:lang w:eastAsia="sl-SI"/>
              </w:rPr>
              <w:t>X</w:t>
            </w:r>
          </w:p>
        </w:tc>
        <w:tc>
          <w:tcPr>
            <w:tcW w:w="2273" w:type="pct"/>
            <w:vMerge/>
            <w:vAlign w:val="center"/>
          </w:tcPr>
          <w:p w14:paraId="72BADFAD" w14:textId="4F49040B" w:rsidR="00440C88" w:rsidRPr="007C4D81" w:rsidRDefault="00440C88" w:rsidP="00287088">
            <w:pPr>
              <w:spacing w:line="24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</w:tr>
      <w:tr w:rsidR="00440C88" w:rsidRPr="007C4D81" w14:paraId="6585A0BB" w14:textId="77777777" w:rsidTr="00287088">
        <w:tc>
          <w:tcPr>
            <w:tcW w:w="1816" w:type="pct"/>
            <w:vAlign w:val="center"/>
            <w:hideMark/>
          </w:tcPr>
          <w:p w14:paraId="28D19619" w14:textId="77777777" w:rsidR="00440C88" w:rsidRPr="007C4D81" w:rsidRDefault="00440C88" w:rsidP="00287088">
            <w:pPr>
              <w:spacing w:line="312" w:lineRule="atLeast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  <w:r w:rsidRPr="007C4D81"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  <w:t xml:space="preserve">Varstvo in ohranjanje biotske raznovrstnosti in ekosistemov </w:t>
            </w:r>
          </w:p>
        </w:tc>
        <w:tc>
          <w:tcPr>
            <w:tcW w:w="455" w:type="pct"/>
            <w:vAlign w:val="center"/>
            <w:hideMark/>
          </w:tcPr>
          <w:p w14:paraId="0B77F462" w14:textId="05D00235" w:rsidR="00440C88" w:rsidRPr="007C4D81" w:rsidRDefault="00440C88" w:rsidP="003361E0">
            <w:pPr>
              <w:spacing w:line="312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  <w:tc>
          <w:tcPr>
            <w:tcW w:w="455" w:type="pct"/>
            <w:vAlign w:val="center"/>
            <w:hideMark/>
          </w:tcPr>
          <w:p w14:paraId="13E70907" w14:textId="4D1C8D55" w:rsidR="00440C88" w:rsidRPr="007C4D81" w:rsidRDefault="00440C88" w:rsidP="003361E0">
            <w:pPr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7C4D81">
              <w:rPr>
                <w:rFonts w:ascii="Arial" w:hAnsi="Arial" w:cs="Arial"/>
                <w:sz w:val="18"/>
                <w:szCs w:val="18"/>
                <w:lang w:eastAsia="sl-SI"/>
              </w:rPr>
              <w:t>X</w:t>
            </w:r>
          </w:p>
        </w:tc>
        <w:tc>
          <w:tcPr>
            <w:tcW w:w="2273" w:type="pct"/>
            <w:vMerge/>
            <w:vAlign w:val="center"/>
            <w:hideMark/>
          </w:tcPr>
          <w:p w14:paraId="21521894" w14:textId="41C1BDA8" w:rsidR="00440C88" w:rsidRPr="007C4D81" w:rsidRDefault="00440C88" w:rsidP="00287088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</w:tr>
    </w:tbl>
    <w:p w14:paraId="7C0119E2" w14:textId="70A536F7" w:rsidR="000F462F" w:rsidRPr="00B939B0" w:rsidRDefault="000F462F" w:rsidP="000F462F">
      <w:pPr>
        <w:jc w:val="both"/>
        <w:rPr>
          <w:rFonts w:ascii="Arial" w:hAnsi="Arial" w:cs="Arial"/>
          <w:i/>
          <w:color w:val="808080" w:themeColor="background1" w:themeShade="80"/>
          <w:sz w:val="18"/>
          <w:szCs w:val="20"/>
        </w:rPr>
      </w:pPr>
      <w:r>
        <w:rPr>
          <w:rFonts w:ascii="Arial" w:hAnsi="Arial" w:cs="Arial"/>
          <w:i/>
          <w:color w:val="808080" w:themeColor="background1" w:themeShade="80"/>
          <w:sz w:val="18"/>
          <w:szCs w:val="20"/>
        </w:rPr>
        <w:t xml:space="preserve">Oceno skladnosti </w:t>
      </w:r>
      <w:r w:rsidR="00287088" w:rsidRPr="00287088">
        <w:rPr>
          <w:rFonts w:ascii="Arial" w:hAnsi="Arial" w:cs="Arial"/>
          <w:i/>
          <w:color w:val="808080" w:themeColor="background1" w:themeShade="80"/>
          <w:sz w:val="18"/>
          <w:szCs w:val="20"/>
        </w:rPr>
        <w:t>operacije z načelom DNSH</w:t>
      </w:r>
      <w:r w:rsidR="00287088">
        <w:rPr>
          <w:rFonts w:ascii="Arial" w:hAnsi="Arial" w:cs="Arial"/>
          <w:i/>
          <w:color w:val="808080" w:themeColor="background1" w:themeShade="80"/>
          <w:sz w:val="18"/>
          <w:szCs w:val="20"/>
        </w:rPr>
        <w:t xml:space="preserve"> </w:t>
      </w:r>
      <w:r>
        <w:rPr>
          <w:rFonts w:ascii="Arial" w:hAnsi="Arial" w:cs="Arial"/>
          <w:i/>
          <w:color w:val="808080" w:themeColor="background1" w:themeShade="80"/>
          <w:sz w:val="18"/>
          <w:szCs w:val="20"/>
        </w:rPr>
        <w:t xml:space="preserve">z navedbo omilitvenih ukrepov v tabeli </w:t>
      </w:r>
      <w:r w:rsidR="007037F1">
        <w:rPr>
          <w:rFonts w:ascii="Arial" w:hAnsi="Arial" w:cs="Arial"/>
          <w:i/>
          <w:color w:val="808080" w:themeColor="background1" w:themeShade="80"/>
          <w:sz w:val="18"/>
          <w:szCs w:val="20"/>
        </w:rPr>
        <w:t>1</w:t>
      </w:r>
      <w:r>
        <w:rPr>
          <w:rFonts w:ascii="Arial" w:hAnsi="Arial" w:cs="Arial"/>
          <w:i/>
          <w:color w:val="808080" w:themeColor="background1" w:themeShade="80"/>
          <w:sz w:val="18"/>
          <w:szCs w:val="20"/>
        </w:rPr>
        <w:t xml:space="preserve"> </w:t>
      </w:r>
      <w:r w:rsidR="007037F1">
        <w:rPr>
          <w:rFonts w:ascii="Arial" w:hAnsi="Arial" w:cs="Arial"/>
          <w:i/>
          <w:color w:val="808080" w:themeColor="background1" w:themeShade="80"/>
          <w:sz w:val="18"/>
          <w:szCs w:val="20"/>
        </w:rPr>
        <w:t xml:space="preserve">po potrebi </w:t>
      </w:r>
      <w:r>
        <w:rPr>
          <w:rFonts w:ascii="Arial" w:hAnsi="Arial" w:cs="Arial"/>
          <w:i/>
          <w:color w:val="808080" w:themeColor="background1" w:themeShade="80"/>
          <w:sz w:val="18"/>
          <w:szCs w:val="20"/>
        </w:rPr>
        <w:t>ustrezno prilagodite</w:t>
      </w:r>
      <w:r w:rsidR="007037F1">
        <w:rPr>
          <w:rFonts w:ascii="Arial" w:hAnsi="Arial" w:cs="Arial"/>
          <w:i/>
          <w:color w:val="808080" w:themeColor="background1" w:themeShade="80"/>
          <w:sz w:val="18"/>
          <w:szCs w:val="20"/>
        </w:rPr>
        <w:t>/dopolnite</w:t>
      </w:r>
      <w:r>
        <w:rPr>
          <w:rFonts w:ascii="Arial" w:hAnsi="Arial" w:cs="Arial"/>
          <w:i/>
          <w:color w:val="808080" w:themeColor="background1" w:themeShade="80"/>
          <w:sz w:val="18"/>
          <w:szCs w:val="20"/>
        </w:rPr>
        <w:t xml:space="preserve"> glede na ukrepe, ki se bodo izvedli v okviru operacije. </w:t>
      </w:r>
    </w:p>
    <w:p w14:paraId="25EC1F97" w14:textId="77777777" w:rsidR="00EC672B" w:rsidRDefault="00EC672B" w:rsidP="00EC672B">
      <w:pPr>
        <w:pStyle w:val="Glav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bCs/>
          <w:color w:val="000000"/>
          <w:sz w:val="20"/>
        </w:rPr>
      </w:pPr>
    </w:p>
    <w:tbl>
      <w:tblPr>
        <w:tblStyle w:val="Tabelamrea"/>
        <w:tblW w:w="5161" w:type="pct"/>
        <w:tblLook w:val="04A0" w:firstRow="1" w:lastRow="0" w:firstColumn="1" w:lastColumn="0" w:noHBand="0" w:noVBand="1"/>
      </w:tblPr>
      <w:tblGrid>
        <w:gridCol w:w="9352"/>
      </w:tblGrid>
      <w:tr w:rsidR="00EC672B" w14:paraId="72CEA193" w14:textId="77777777" w:rsidTr="00EC672B">
        <w:trPr>
          <w:trHeight w:val="914"/>
        </w:trPr>
        <w:tc>
          <w:tcPr>
            <w:tcW w:w="5000" w:type="pct"/>
          </w:tcPr>
          <w:p w14:paraId="0D28D70C" w14:textId="107DABA3" w:rsidR="00EC672B" w:rsidRDefault="00EC672B" w:rsidP="00A52C3F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EC672B">
              <w:rPr>
                <w:rFonts w:ascii="Arial" w:hAnsi="Arial" w:cs="Arial"/>
                <w:b/>
                <w:bCs/>
                <w:color w:val="000000"/>
                <w:sz w:val="20"/>
              </w:rPr>
              <w:t>Informacije o razpoložljivi dokumentaciji:</w:t>
            </w:r>
          </w:p>
        </w:tc>
      </w:tr>
    </w:tbl>
    <w:p w14:paraId="69897F52" w14:textId="77777777" w:rsidR="002327FA" w:rsidRDefault="002327FA" w:rsidP="00B939B0">
      <w:pPr>
        <w:pStyle w:val="Glav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color w:val="000000"/>
          <w:sz w:val="20"/>
        </w:rPr>
      </w:pPr>
    </w:p>
    <w:p w14:paraId="3157DB0D" w14:textId="77777777" w:rsidR="002327FA" w:rsidRDefault="002327FA" w:rsidP="00B939B0">
      <w:pPr>
        <w:pStyle w:val="Glav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color w:val="000000"/>
          <w:sz w:val="20"/>
        </w:rPr>
      </w:pPr>
    </w:p>
    <w:tbl>
      <w:tblPr>
        <w:tblW w:w="9162" w:type="dxa"/>
        <w:tblLook w:val="01E0" w:firstRow="1" w:lastRow="1" w:firstColumn="1" w:lastColumn="1" w:noHBand="0" w:noVBand="0"/>
      </w:tblPr>
      <w:tblGrid>
        <w:gridCol w:w="3037"/>
        <w:gridCol w:w="2261"/>
        <w:gridCol w:w="3864"/>
      </w:tblGrid>
      <w:tr w:rsidR="00B939B0" w:rsidRPr="006F6E84" w14:paraId="01669401" w14:textId="77777777" w:rsidTr="00B32577">
        <w:trPr>
          <w:trHeight w:val="785"/>
        </w:trPr>
        <w:tc>
          <w:tcPr>
            <w:tcW w:w="3037" w:type="dxa"/>
          </w:tcPr>
          <w:p w14:paraId="40E92EA9" w14:textId="77777777" w:rsidR="00B939B0" w:rsidRPr="006F6E84" w:rsidRDefault="00B939B0" w:rsidP="009A4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E84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2261" w:type="dxa"/>
          </w:tcPr>
          <w:p w14:paraId="4CAFDB24" w14:textId="77777777" w:rsidR="00B939B0" w:rsidRPr="006F6E84" w:rsidRDefault="00B939B0" w:rsidP="009A4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E84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3864" w:type="dxa"/>
          </w:tcPr>
          <w:p w14:paraId="59FF1AD4" w14:textId="5D388A45" w:rsidR="00B939B0" w:rsidRDefault="00B939B0" w:rsidP="009A4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E84">
              <w:rPr>
                <w:rFonts w:ascii="Arial" w:hAnsi="Arial" w:cs="Arial"/>
                <w:sz w:val="20"/>
                <w:szCs w:val="20"/>
              </w:rPr>
              <w:t xml:space="preserve">Podpis odgovorne osebe </w:t>
            </w:r>
            <w:r w:rsidRPr="006F6E84">
              <w:rPr>
                <w:rFonts w:ascii="Arial" w:eastAsia="Arial Unicode MS" w:hAnsi="Arial" w:cs="Arial"/>
                <w:sz w:val="20"/>
                <w:szCs w:val="20"/>
              </w:rPr>
              <w:t>vlagatelja</w:t>
            </w:r>
            <w:r w:rsidRPr="006F6E8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AB529BC" w14:textId="77777777" w:rsidR="00B939B0" w:rsidRDefault="00B939B0" w:rsidP="009A4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0EC84C" w14:textId="77777777" w:rsidR="00B939B0" w:rsidRDefault="00B939B0" w:rsidP="009A4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26CB85" w14:textId="77777777" w:rsidR="00B939B0" w:rsidRDefault="00B939B0" w:rsidP="009A4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5AAB34" w14:textId="17EDE6C0" w:rsidR="00B939B0" w:rsidRPr="006F6E84" w:rsidRDefault="00B939B0" w:rsidP="009A4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604EA4" w14:textId="463D74A3" w:rsidR="0022715E" w:rsidRPr="0022715E" w:rsidRDefault="0022715E" w:rsidP="00B939B0">
      <w:pPr>
        <w:pStyle w:val="Glav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color w:val="000000"/>
          <w:sz w:val="20"/>
        </w:rPr>
      </w:pPr>
    </w:p>
    <w:sectPr w:rsidR="0022715E" w:rsidRPr="0022715E" w:rsidSect="00506716">
      <w:headerReference w:type="default" r:id="rId8"/>
      <w:footerReference w:type="default" r:id="rId9"/>
      <w:headerReference w:type="first" r:id="rId10"/>
      <w:type w:val="evenPage"/>
      <w:pgSz w:w="11906" w:h="16838" w:code="9"/>
      <w:pgMar w:top="1666" w:right="1418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EB9A" w14:textId="77777777" w:rsidR="000B6313" w:rsidRDefault="000B6313">
      <w:r>
        <w:separator/>
      </w:r>
    </w:p>
  </w:endnote>
  <w:endnote w:type="continuationSeparator" w:id="0">
    <w:p w14:paraId="2BB2DB53" w14:textId="77777777" w:rsidR="000B6313" w:rsidRDefault="000B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530177713"/>
      <w:docPartObj>
        <w:docPartGallery w:val="Page Numbers (Bottom of Page)"/>
        <w:docPartUnique/>
      </w:docPartObj>
    </w:sdtPr>
    <w:sdtEndPr/>
    <w:sdtContent>
      <w:p w14:paraId="58E6921F" w14:textId="049200C3" w:rsidR="00EC672B" w:rsidRPr="00EC672B" w:rsidRDefault="00EC672B">
        <w:pPr>
          <w:pStyle w:val="Noga"/>
          <w:jc w:val="center"/>
          <w:rPr>
            <w:rFonts w:ascii="Arial" w:hAnsi="Arial" w:cs="Arial"/>
            <w:sz w:val="20"/>
            <w:szCs w:val="20"/>
          </w:rPr>
        </w:pPr>
        <w:r w:rsidRPr="00EC672B">
          <w:rPr>
            <w:rFonts w:ascii="Arial" w:hAnsi="Arial" w:cs="Arial"/>
            <w:sz w:val="20"/>
            <w:szCs w:val="20"/>
          </w:rPr>
          <w:fldChar w:fldCharType="begin"/>
        </w:r>
        <w:r w:rsidRPr="00EC672B">
          <w:rPr>
            <w:rFonts w:ascii="Arial" w:hAnsi="Arial" w:cs="Arial"/>
            <w:sz w:val="20"/>
            <w:szCs w:val="20"/>
          </w:rPr>
          <w:instrText>PAGE   \* MERGEFORMAT</w:instrText>
        </w:r>
        <w:r w:rsidRPr="00EC672B">
          <w:rPr>
            <w:rFonts w:ascii="Arial" w:hAnsi="Arial" w:cs="Arial"/>
            <w:sz w:val="20"/>
            <w:szCs w:val="20"/>
          </w:rPr>
          <w:fldChar w:fldCharType="separate"/>
        </w:r>
        <w:r w:rsidRPr="00EC672B">
          <w:rPr>
            <w:rFonts w:ascii="Arial" w:hAnsi="Arial" w:cs="Arial"/>
            <w:sz w:val="20"/>
            <w:szCs w:val="20"/>
          </w:rPr>
          <w:t>2</w:t>
        </w:r>
        <w:r w:rsidRPr="00EC672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4AC17B9" w14:textId="77777777" w:rsidR="00EC672B" w:rsidRDefault="00EC672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B542D" w14:textId="77777777" w:rsidR="000B6313" w:rsidRDefault="000B6313">
      <w:r>
        <w:separator/>
      </w:r>
    </w:p>
  </w:footnote>
  <w:footnote w:type="continuationSeparator" w:id="0">
    <w:p w14:paraId="0A9FEBB2" w14:textId="77777777" w:rsidR="000B6313" w:rsidRDefault="000B6313">
      <w:r>
        <w:continuationSeparator/>
      </w:r>
    </w:p>
  </w:footnote>
  <w:footnote w:id="1">
    <w:p w14:paraId="45F5BAFF" w14:textId="4C2A2DFA" w:rsidR="006E6CD0" w:rsidRPr="00100EC9" w:rsidRDefault="006E6CD0" w:rsidP="00100EC9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 w:rsidRPr="00100EC9">
        <w:rPr>
          <w:rStyle w:val="Sprotnaopomba-sklic"/>
          <w:rFonts w:ascii="Arial" w:hAnsi="Arial" w:cs="Arial"/>
          <w:sz w:val="16"/>
          <w:szCs w:val="18"/>
        </w:rPr>
        <w:footnoteRef/>
      </w:r>
      <w:r w:rsidRPr="00100EC9">
        <w:rPr>
          <w:rFonts w:ascii="Arial" w:hAnsi="Arial" w:cs="Arial"/>
          <w:sz w:val="16"/>
          <w:szCs w:val="18"/>
        </w:rPr>
        <w:t xml:space="preserve"> </w:t>
      </w:r>
      <w:hyperlink r:id="rId1" w:history="1">
        <w:r w:rsidRPr="00100EC9">
          <w:rPr>
            <w:rStyle w:val="Hiperpovezava"/>
            <w:rFonts w:ascii="Arial" w:hAnsi="Arial" w:cs="Arial"/>
            <w:sz w:val="16"/>
            <w:szCs w:val="18"/>
          </w:rPr>
          <w:t>UREDBA (EU) 2020/852 EVROPSKEGA PARLAMENTA IN SVETA z dne 18. junija 2020 o vzpostavitvi okvira za spodbujanje trajnostnih naložb ter spremembi Uredbe (EU) 2019/2088</w:t>
        </w:r>
      </w:hyperlink>
    </w:p>
  </w:footnote>
  <w:footnote w:id="2">
    <w:p w14:paraId="67479A55" w14:textId="77777777" w:rsidR="0022493D" w:rsidRPr="005E7234" w:rsidRDefault="0022493D" w:rsidP="0022493D">
      <w:pPr>
        <w:pStyle w:val="Sprotnaopomba-besedilo"/>
        <w:spacing w:line="259" w:lineRule="auto"/>
        <w:jc w:val="both"/>
        <w:rPr>
          <w:rFonts w:ascii="Arial" w:hAnsi="Arial" w:cs="Arial"/>
        </w:rPr>
      </w:pPr>
      <w:r w:rsidRPr="008C27AB">
        <w:rPr>
          <w:rStyle w:val="Sprotnaopomba-sklic"/>
          <w:rFonts w:ascii="Calibri" w:hAnsi="Calibri" w:cs="Calibri"/>
          <w:sz w:val="16"/>
          <w:szCs w:val="16"/>
        </w:rPr>
        <w:footnoteRef/>
      </w:r>
      <w:r w:rsidRPr="008C27AB">
        <w:rPr>
          <w:rFonts w:ascii="Calibri" w:hAnsi="Calibri" w:cs="Calibri"/>
          <w:sz w:val="16"/>
          <w:szCs w:val="16"/>
        </w:rPr>
        <w:t xml:space="preserve"> </w:t>
      </w:r>
      <w:hyperlink r:id="rId2" w:history="1">
        <w:r w:rsidRPr="00CB302B">
          <w:rPr>
            <w:rStyle w:val="Hiperpovezava"/>
            <w:rFonts w:ascii="Calibri" w:hAnsi="Calibri" w:cs="Calibri"/>
            <w:sz w:val="16"/>
            <w:szCs w:val="16"/>
          </w:rPr>
          <w:t>Obvestilo Komisije - Tehnične smernice za uporabo „načela, da se ne škoduje bistveno“ v skladu z uredbo o vzpostavitvi mehanizma za okrevanje in odpornost 2021/C 58/01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DBF2" w14:textId="77777777" w:rsidR="00870B9F" w:rsidRDefault="00870B9F">
    <w:pPr>
      <w:pStyle w:val="Glava"/>
      <w:tabs>
        <w:tab w:val="clear" w:pos="4536"/>
        <w:tab w:val="clear" w:pos="9072"/>
        <w:tab w:val="center" w:pos="4860"/>
        <w:tab w:val="right" w:pos="8640"/>
      </w:tabs>
      <w:ind w:right="-11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2F8E" w14:textId="6DC7D422" w:rsidR="00602012" w:rsidRPr="00BE34CB" w:rsidRDefault="008B0381" w:rsidP="008B0381">
    <w:pPr>
      <w:pStyle w:val="Glava"/>
      <w:tabs>
        <w:tab w:val="left" w:pos="5112"/>
      </w:tabs>
      <w:spacing w:before="120" w:after="120" w:line="240" w:lineRule="exact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7B4DF68F" wp14:editId="458A29D1">
          <wp:simplePos x="0" y="0"/>
          <wp:positionH relativeFrom="column">
            <wp:posOffset>4255770</wp:posOffset>
          </wp:positionH>
          <wp:positionV relativeFrom="paragraph">
            <wp:posOffset>24765</wp:posOffset>
          </wp:positionV>
          <wp:extent cx="1873250" cy="487680"/>
          <wp:effectExtent l="0" t="0" r="0" b="7620"/>
          <wp:wrapThrough wrapText="bothSides">
            <wp:wrapPolygon edited="0">
              <wp:start x="0" y="0"/>
              <wp:lineTo x="0" y="21094"/>
              <wp:lineTo x="21307" y="21094"/>
              <wp:lineTo x="21307" y="0"/>
              <wp:lineTo x="0" y="0"/>
            </wp:wrapPolygon>
          </wp:wrapThrough>
          <wp:docPr id="12" name="Slika 2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Y:\SL Sofinancira Evropska unija_PO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399"/>
                  <a:stretch/>
                </pic:blipFill>
                <pic:spPr bwMode="auto">
                  <a:xfrm>
                    <a:off x="0" y="0"/>
                    <a:ext cx="187325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02F956A8" wp14:editId="5D65436E">
          <wp:simplePos x="0" y="0"/>
          <wp:positionH relativeFrom="column">
            <wp:posOffset>3382645</wp:posOffset>
          </wp:positionH>
          <wp:positionV relativeFrom="paragraph">
            <wp:posOffset>37465</wp:posOffset>
          </wp:positionV>
          <wp:extent cx="856615" cy="476250"/>
          <wp:effectExtent l="0" t="0" r="0" b="0"/>
          <wp:wrapThrough wrapText="bothSides">
            <wp:wrapPolygon edited="0">
              <wp:start x="0" y="0"/>
              <wp:lineTo x="0" y="20736"/>
              <wp:lineTo x="21136" y="20736"/>
              <wp:lineTo x="21136" y="0"/>
              <wp:lineTo x="0" y="0"/>
            </wp:wrapPolygon>
          </wp:wrapThrough>
          <wp:docPr id="13" name="Slika 1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19544AE" wp14:editId="1B632F6F">
          <wp:simplePos x="0" y="0"/>
          <wp:positionH relativeFrom="column">
            <wp:posOffset>-525780</wp:posOffset>
          </wp:positionH>
          <wp:positionV relativeFrom="paragraph">
            <wp:posOffset>121285</wp:posOffset>
          </wp:positionV>
          <wp:extent cx="3810000" cy="396240"/>
          <wp:effectExtent l="0" t="0" r="0" b="0"/>
          <wp:wrapSquare wrapText="bothSides"/>
          <wp:docPr id="11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35D9"/>
    <w:multiLevelType w:val="hybridMultilevel"/>
    <w:tmpl w:val="94423C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27AF4"/>
    <w:multiLevelType w:val="hybridMultilevel"/>
    <w:tmpl w:val="7A0C97A6"/>
    <w:lvl w:ilvl="0" w:tplc="D46A8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23000C"/>
    <w:multiLevelType w:val="hybridMultilevel"/>
    <w:tmpl w:val="330A8666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6315CA"/>
    <w:multiLevelType w:val="hybridMultilevel"/>
    <w:tmpl w:val="0C36BD46"/>
    <w:lvl w:ilvl="0" w:tplc="0424001B">
      <w:start w:val="1"/>
      <w:numFmt w:val="low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983858"/>
    <w:multiLevelType w:val="hybridMultilevel"/>
    <w:tmpl w:val="F8D0FAE2"/>
    <w:lvl w:ilvl="0" w:tplc="64F6CB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B818AA"/>
    <w:multiLevelType w:val="hybridMultilevel"/>
    <w:tmpl w:val="E0CA25D8"/>
    <w:lvl w:ilvl="0" w:tplc="27D8FA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D60F1"/>
    <w:multiLevelType w:val="hybridMultilevel"/>
    <w:tmpl w:val="716CC29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B235A"/>
    <w:multiLevelType w:val="hybridMultilevel"/>
    <w:tmpl w:val="E14A7E86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3F6469A"/>
    <w:multiLevelType w:val="hybridMultilevel"/>
    <w:tmpl w:val="96801822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963EB6"/>
    <w:multiLevelType w:val="hybridMultilevel"/>
    <w:tmpl w:val="3112E51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F05D55"/>
    <w:multiLevelType w:val="hybridMultilevel"/>
    <w:tmpl w:val="9970E5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63508"/>
    <w:multiLevelType w:val="hybridMultilevel"/>
    <w:tmpl w:val="429EFF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9039B"/>
    <w:multiLevelType w:val="hybridMultilevel"/>
    <w:tmpl w:val="0AEE880A"/>
    <w:lvl w:ilvl="0" w:tplc="04240017">
      <w:start w:val="1"/>
      <w:numFmt w:val="lowerLetter"/>
      <w:lvlText w:val="%1)"/>
      <w:lvlJc w:val="left"/>
      <w:pPr>
        <w:ind w:left="723" w:hanging="360"/>
      </w:pPr>
    </w:lvl>
    <w:lvl w:ilvl="1" w:tplc="04240019" w:tentative="1">
      <w:start w:val="1"/>
      <w:numFmt w:val="lowerLetter"/>
      <w:lvlText w:val="%2."/>
      <w:lvlJc w:val="left"/>
      <w:pPr>
        <w:ind w:left="1443" w:hanging="360"/>
      </w:pPr>
    </w:lvl>
    <w:lvl w:ilvl="2" w:tplc="0424001B" w:tentative="1">
      <w:start w:val="1"/>
      <w:numFmt w:val="lowerRoman"/>
      <w:lvlText w:val="%3."/>
      <w:lvlJc w:val="right"/>
      <w:pPr>
        <w:ind w:left="2163" w:hanging="180"/>
      </w:pPr>
    </w:lvl>
    <w:lvl w:ilvl="3" w:tplc="0424000F" w:tentative="1">
      <w:start w:val="1"/>
      <w:numFmt w:val="decimal"/>
      <w:lvlText w:val="%4."/>
      <w:lvlJc w:val="left"/>
      <w:pPr>
        <w:ind w:left="2883" w:hanging="360"/>
      </w:pPr>
    </w:lvl>
    <w:lvl w:ilvl="4" w:tplc="04240019" w:tentative="1">
      <w:start w:val="1"/>
      <w:numFmt w:val="lowerLetter"/>
      <w:lvlText w:val="%5."/>
      <w:lvlJc w:val="left"/>
      <w:pPr>
        <w:ind w:left="3603" w:hanging="360"/>
      </w:pPr>
    </w:lvl>
    <w:lvl w:ilvl="5" w:tplc="0424001B" w:tentative="1">
      <w:start w:val="1"/>
      <w:numFmt w:val="lowerRoman"/>
      <w:lvlText w:val="%6."/>
      <w:lvlJc w:val="right"/>
      <w:pPr>
        <w:ind w:left="4323" w:hanging="180"/>
      </w:pPr>
    </w:lvl>
    <w:lvl w:ilvl="6" w:tplc="0424000F" w:tentative="1">
      <w:start w:val="1"/>
      <w:numFmt w:val="decimal"/>
      <w:lvlText w:val="%7."/>
      <w:lvlJc w:val="left"/>
      <w:pPr>
        <w:ind w:left="5043" w:hanging="360"/>
      </w:pPr>
    </w:lvl>
    <w:lvl w:ilvl="7" w:tplc="04240019" w:tentative="1">
      <w:start w:val="1"/>
      <w:numFmt w:val="lowerLetter"/>
      <w:lvlText w:val="%8."/>
      <w:lvlJc w:val="left"/>
      <w:pPr>
        <w:ind w:left="5763" w:hanging="360"/>
      </w:pPr>
    </w:lvl>
    <w:lvl w:ilvl="8" w:tplc="0424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1330207142">
    <w:abstractNumId w:val="11"/>
  </w:num>
  <w:num w:numId="2" w16cid:durableId="1509641460">
    <w:abstractNumId w:val="6"/>
  </w:num>
  <w:num w:numId="3" w16cid:durableId="18164874">
    <w:abstractNumId w:val="1"/>
  </w:num>
  <w:num w:numId="4" w16cid:durableId="237325674">
    <w:abstractNumId w:val="0"/>
  </w:num>
  <w:num w:numId="5" w16cid:durableId="603805451">
    <w:abstractNumId w:val="5"/>
  </w:num>
  <w:num w:numId="6" w16cid:durableId="256452775">
    <w:abstractNumId w:val="4"/>
  </w:num>
  <w:num w:numId="7" w16cid:durableId="1609966322">
    <w:abstractNumId w:val="7"/>
  </w:num>
  <w:num w:numId="8" w16cid:durableId="1812870119">
    <w:abstractNumId w:val="8"/>
  </w:num>
  <w:num w:numId="9" w16cid:durableId="383061399">
    <w:abstractNumId w:val="3"/>
  </w:num>
  <w:num w:numId="10" w16cid:durableId="104887747">
    <w:abstractNumId w:val="2"/>
  </w:num>
  <w:num w:numId="11" w16cid:durableId="392192383">
    <w:abstractNumId w:val="9"/>
  </w:num>
  <w:num w:numId="12" w16cid:durableId="1984500966">
    <w:abstractNumId w:val="12"/>
  </w:num>
  <w:num w:numId="13" w16cid:durableId="135993771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CF8"/>
    <w:rsid w:val="000024C6"/>
    <w:rsid w:val="000043CB"/>
    <w:rsid w:val="0000532C"/>
    <w:rsid w:val="0003130D"/>
    <w:rsid w:val="00032B9D"/>
    <w:rsid w:val="000401F3"/>
    <w:rsid w:val="00041E9E"/>
    <w:rsid w:val="0004665E"/>
    <w:rsid w:val="0004796F"/>
    <w:rsid w:val="00070851"/>
    <w:rsid w:val="00072340"/>
    <w:rsid w:val="00081EB0"/>
    <w:rsid w:val="0008394E"/>
    <w:rsid w:val="000930AD"/>
    <w:rsid w:val="000A3B29"/>
    <w:rsid w:val="000A510C"/>
    <w:rsid w:val="000A7444"/>
    <w:rsid w:val="000B6313"/>
    <w:rsid w:val="000B7C46"/>
    <w:rsid w:val="000C45C2"/>
    <w:rsid w:val="000C7207"/>
    <w:rsid w:val="000C75D3"/>
    <w:rsid w:val="000D2B4C"/>
    <w:rsid w:val="000D3988"/>
    <w:rsid w:val="000F151A"/>
    <w:rsid w:val="000F462F"/>
    <w:rsid w:val="00100EC9"/>
    <w:rsid w:val="00110097"/>
    <w:rsid w:val="00111212"/>
    <w:rsid w:val="00113967"/>
    <w:rsid w:val="00117701"/>
    <w:rsid w:val="00121BCD"/>
    <w:rsid w:val="001246B7"/>
    <w:rsid w:val="0014151A"/>
    <w:rsid w:val="00143E5B"/>
    <w:rsid w:val="0014546D"/>
    <w:rsid w:val="00146496"/>
    <w:rsid w:val="001557D6"/>
    <w:rsid w:val="00162F9B"/>
    <w:rsid w:val="00175DE3"/>
    <w:rsid w:val="00183B66"/>
    <w:rsid w:val="001879EB"/>
    <w:rsid w:val="00190489"/>
    <w:rsid w:val="00194899"/>
    <w:rsid w:val="001A2323"/>
    <w:rsid w:val="001A24AA"/>
    <w:rsid w:val="001A40EA"/>
    <w:rsid w:val="001B1B87"/>
    <w:rsid w:val="001B4B7A"/>
    <w:rsid w:val="001C0C00"/>
    <w:rsid w:val="001C43DC"/>
    <w:rsid w:val="001C4F62"/>
    <w:rsid w:val="001C5B21"/>
    <w:rsid w:val="001D5DB2"/>
    <w:rsid w:val="001E4756"/>
    <w:rsid w:val="0020396E"/>
    <w:rsid w:val="00204D95"/>
    <w:rsid w:val="00207EF5"/>
    <w:rsid w:val="002112BE"/>
    <w:rsid w:val="002145F2"/>
    <w:rsid w:val="002178BD"/>
    <w:rsid w:val="002242A3"/>
    <w:rsid w:val="0022493D"/>
    <w:rsid w:val="0022715E"/>
    <w:rsid w:val="002327FA"/>
    <w:rsid w:val="00243476"/>
    <w:rsid w:val="00245C77"/>
    <w:rsid w:val="00272F7C"/>
    <w:rsid w:val="00274A99"/>
    <w:rsid w:val="00286FCA"/>
    <w:rsid w:val="00287088"/>
    <w:rsid w:val="002A1CE1"/>
    <w:rsid w:val="002B0F61"/>
    <w:rsid w:val="002B27FF"/>
    <w:rsid w:val="002B62CF"/>
    <w:rsid w:val="002C3D3B"/>
    <w:rsid w:val="002E649F"/>
    <w:rsid w:val="002E7452"/>
    <w:rsid w:val="002F190C"/>
    <w:rsid w:val="002F29AB"/>
    <w:rsid w:val="002F2C51"/>
    <w:rsid w:val="002F358E"/>
    <w:rsid w:val="003072B1"/>
    <w:rsid w:val="00316B7F"/>
    <w:rsid w:val="00321F58"/>
    <w:rsid w:val="00327EAE"/>
    <w:rsid w:val="003361E0"/>
    <w:rsid w:val="00340F79"/>
    <w:rsid w:val="003448BC"/>
    <w:rsid w:val="0035347C"/>
    <w:rsid w:val="00354AEA"/>
    <w:rsid w:val="00362416"/>
    <w:rsid w:val="003631BA"/>
    <w:rsid w:val="00364A6F"/>
    <w:rsid w:val="00365149"/>
    <w:rsid w:val="003723F3"/>
    <w:rsid w:val="003736C7"/>
    <w:rsid w:val="003753A2"/>
    <w:rsid w:val="003934A7"/>
    <w:rsid w:val="003A13A6"/>
    <w:rsid w:val="003A46F8"/>
    <w:rsid w:val="003D6B8B"/>
    <w:rsid w:val="003E4DF7"/>
    <w:rsid w:val="003F7D3C"/>
    <w:rsid w:val="00403918"/>
    <w:rsid w:val="00410EC2"/>
    <w:rsid w:val="00420AE1"/>
    <w:rsid w:val="00427F67"/>
    <w:rsid w:val="00440C88"/>
    <w:rsid w:val="00447E9F"/>
    <w:rsid w:val="00451720"/>
    <w:rsid w:val="00453CEF"/>
    <w:rsid w:val="0046271F"/>
    <w:rsid w:val="00467FA2"/>
    <w:rsid w:val="0047590B"/>
    <w:rsid w:val="004820F1"/>
    <w:rsid w:val="0049154D"/>
    <w:rsid w:val="004951A0"/>
    <w:rsid w:val="00495766"/>
    <w:rsid w:val="004B6E5F"/>
    <w:rsid w:val="004B7D96"/>
    <w:rsid w:val="004C3645"/>
    <w:rsid w:val="004C3C4D"/>
    <w:rsid w:val="004C45AA"/>
    <w:rsid w:val="004C78FE"/>
    <w:rsid w:val="004D6DE7"/>
    <w:rsid w:val="004F0748"/>
    <w:rsid w:val="004F09F8"/>
    <w:rsid w:val="004F721A"/>
    <w:rsid w:val="004F7CEC"/>
    <w:rsid w:val="004F7FC8"/>
    <w:rsid w:val="00502E56"/>
    <w:rsid w:val="00505EA1"/>
    <w:rsid w:val="00506716"/>
    <w:rsid w:val="00511FDE"/>
    <w:rsid w:val="00517717"/>
    <w:rsid w:val="00517CC3"/>
    <w:rsid w:val="005301FC"/>
    <w:rsid w:val="00537E19"/>
    <w:rsid w:val="00543293"/>
    <w:rsid w:val="005448EF"/>
    <w:rsid w:val="00544F2A"/>
    <w:rsid w:val="0054585A"/>
    <w:rsid w:val="005514B6"/>
    <w:rsid w:val="005533B5"/>
    <w:rsid w:val="00592837"/>
    <w:rsid w:val="00593C7B"/>
    <w:rsid w:val="00594CF9"/>
    <w:rsid w:val="005A5519"/>
    <w:rsid w:val="005B207F"/>
    <w:rsid w:val="005C3C3A"/>
    <w:rsid w:val="005C4C35"/>
    <w:rsid w:val="005C6C62"/>
    <w:rsid w:val="005D3E4D"/>
    <w:rsid w:val="005E003D"/>
    <w:rsid w:val="005E23C8"/>
    <w:rsid w:val="005E42F4"/>
    <w:rsid w:val="005E67B4"/>
    <w:rsid w:val="005F5014"/>
    <w:rsid w:val="005F790E"/>
    <w:rsid w:val="00602012"/>
    <w:rsid w:val="006172B1"/>
    <w:rsid w:val="00621AD7"/>
    <w:rsid w:val="0062611E"/>
    <w:rsid w:val="006367C1"/>
    <w:rsid w:val="00646E13"/>
    <w:rsid w:val="00653FFB"/>
    <w:rsid w:val="00654413"/>
    <w:rsid w:val="00661D10"/>
    <w:rsid w:val="00661EF8"/>
    <w:rsid w:val="00666F02"/>
    <w:rsid w:val="006737E4"/>
    <w:rsid w:val="00683A14"/>
    <w:rsid w:val="00684E4C"/>
    <w:rsid w:val="00690590"/>
    <w:rsid w:val="00690700"/>
    <w:rsid w:val="006A01C1"/>
    <w:rsid w:val="006A331E"/>
    <w:rsid w:val="006B04A4"/>
    <w:rsid w:val="006B222D"/>
    <w:rsid w:val="006B37DE"/>
    <w:rsid w:val="006B5D61"/>
    <w:rsid w:val="006D3173"/>
    <w:rsid w:val="006E4D21"/>
    <w:rsid w:val="006E6CD0"/>
    <w:rsid w:val="006F0569"/>
    <w:rsid w:val="006F0BBE"/>
    <w:rsid w:val="006F0CED"/>
    <w:rsid w:val="006F2CDA"/>
    <w:rsid w:val="007037F1"/>
    <w:rsid w:val="00704598"/>
    <w:rsid w:val="007054BB"/>
    <w:rsid w:val="007101DB"/>
    <w:rsid w:val="00723106"/>
    <w:rsid w:val="0072709E"/>
    <w:rsid w:val="007325EE"/>
    <w:rsid w:val="00743671"/>
    <w:rsid w:val="00743C8E"/>
    <w:rsid w:val="007460D3"/>
    <w:rsid w:val="00763CA9"/>
    <w:rsid w:val="00771427"/>
    <w:rsid w:val="007717E3"/>
    <w:rsid w:val="0078075F"/>
    <w:rsid w:val="00782A07"/>
    <w:rsid w:val="007A1773"/>
    <w:rsid w:val="007A3E4E"/>
    <w:rsid w:val="007A4080"/>
    <w:rsid w:val="007A4850"/>
    <w:rsid w:val="007B5754"/>
    <w:rsid w:val="007C1BB5"/>
    <w:rsid w:val="007C4D81"/>
    <w:rsid w:val="007D1DCD"/>
    <w:rsid w:val="007D6484"/>
    <w:rsid w:val="007F02C7"/>
    <w:rsid w:val="007F4CF6"/>
    <w:rsid w:val="007F689C"/>
    <w:rsid w:val="00802C54"/>
    <w:rsid w:val="0080327C"/>
    <w:rsid w:val="00810502"/>
    <w:rsid w:val="00811F9C"/>
    <w:rsid w:val="00814C92"/>
    <w:rsid w:val="00830D20"/>
    <w:rsid w:val="00832790"/>
    <w:rsid w:val="00841129"/>
    <w:rsid w:val="00843068"/>
    <w:rsid w:val="008609D0"/>
    <w:rsid w:val="00861612"/>
    <w:rsid w:val="00861C9C"/>
    <w:rsid w:val="00864E62"/>
    <w:rsid w:val="00865F4D"/>
    <w:rsid w:val="00870B9F"/>
    <w:rsid w:val="008730D9"/>
    <w:rsid w:val="008766E1"/>
    <w:rsid w:val="0087732E"/>
    <w:rsid w:val="00877573"/>
    <w:rsid w:val="0088135A"/>
    <w:rsid w:val="008843B4"/>
    <w:rsid w:val="0088601E"/>
    <w:rsid w:val="00887168"/>
    <w:rsid w:val="008930AE"/>
    <w:rsid w:val="008962B7"/>
    <w:rsid w:val="008A3FC2"/>
    <w:rsid w:val="008A5293"/>
    <w:rsid w:val="008A64E3"/>
    <w:rsid w:val="008B0381"/>
    <w:rsid w:val="008B21FF"/>
    <w:rsid w:val="008B5492"/>
    <w:rsid w:val="008B69F6"/>
    <w:rsid w:val="008C22FA"/>
    <w:rsid w:val="008C3CE4"/>
    <w:rsid w:val="008D2A3E"/>
    <w:rsid w:val="008E7D5C"/>
    <w:rsid w:val="008F2B41"/>
    <w:rsid w:val="008F7BBA"/>
    <w:rsid w:val="009176A2"/>
    <w:rsid w:val="0092279D"/>
    <w:rsid w:val="00924EF2"/>
    <w:rsid w:val="00927722"/>
    <w:rsid w:val="00930391"/>
    <w:rsid w:val="00930AC7"/>
    <w:rsid w:val="00932A25"/>
    <w:rsid w:val="009351E9"/>
    <w:rsid w:val="00937735"/>
    <w:rsid w:val="0094017F"/>
    <w:rsid w:val="00947046"/>
    <w:rsid w:val="00955102"/>
    <w:rsid w:val="009629F9"/>
    <w:rsid w:val="00977AF1"/>
    <w:rsid w:val="00977BA6"/>
    <w:rsid w:val="00982208"/>
    <w:rsid w:val="00982DE4"/>
    <w:rsid w:val="009849A2"/>
    <w:rsid w:val="00996265"/>
    <w:rsid w:val="009B28EF"/>
    <w:rsid w:val="009C3FC6"/>
    <w:rsid w:val="009D7D60"/>
    <w:rsid w:val="009D7DF9"/>
    <w:rsid w:val="009E0F46"/>
    <w:rsid w:val="00A00908"/>
    <w:rsid w:val="00A04521"/>
    <w:rsid w:val="00A0687C"/>
    <w:rsid w:val="00A10EA8"/>
    <w:rsid w:val="00A222FD"/>
    <w:rsid w:val="00A26FB5"/>
    <w:rsid w:val="00A31251"/>
    <w:rsid w:val="00A320DB"/>
    <w:rsid w:val="00A34808"/>
    <w:rsid w:val="00A34AA3"/>
    <w:rsid w:val="00A52A05"/>
    <w:rsid w:val="00A63163"/>
    <w:rsid w:val="00A76497"/>
    <w:rsid w:val="00AA6BCE"/>
    <w:rsid w:val="00AA726C"/>
    <w:rsid w:val="00AA7397"/>
    <w:rsid w:val="00AB44AD"/>
    <w:rsid w:val="00AC0371"/>
    <w:rsid w:val="00AC274C"/>
    <w:rsid w:val="00AC7377"/>
    <w:rsid w:val="00AD05BC"/>
    <w:rsid w:val="00AD256D"/>
    <w:rsid w:val="00AD4AFA"/>
    <w:rsid w:val="00AE5B11"/>
    <w:rsid w:val="00AF3B74"/>
    <w:rsid w:val="00AF44FB"/>
    <w:rsid w:val="00AF6EB7"/>
    <w:rsid w:val="00B22A43"/>
    <w:rsid w:val="00B32577"/>
    <w:rsid w:val="00B34F4C"/>
    <w:rsid w:val="00B510FD"/>
    <w:rsid w:val="00B5168E"/>
    <w:rsid w:val="00B57243"/>
    <w:rsid w:val="00B621BE"/>
    <w:rsid w:val="00B67D7E"/>
    <w:rsid w:val="00B7285B"/>
    <w:rsid w:val="00B838D2"/>
    <w:rsid w:val="00B92848"/>
    <w:rsid w:val="00B939B0"/>
    <w:rsid w:val="00BA6FD9"/>
    <w:rsid w:val="00BB1723"/>
    <w:rsid w:val="00BB2195"/>
    <w:rsid w:val="00BB6788"/>
    <w:rsid w:val="00BD38E3"/>
    <w:rsid w:val="00BD699D"/>
    <w:rsid w:val="00BE34CB"/>
    <w:rsid w:val="00BE48AA"/>
    <w:rsid w:val="00BE7B22"/>
    <w:rsid w:val="00BF5E54"/>
    <w:rsid w:val="00C051FB"/>
    <w:rsid w:val="00C14347"/>
    <w:rsid w:val="00C168A0"/>
    <w:rsid w:val="00C17D44"/>
    <w:rsid w:val="00C20591"/>
    <w:rsid w:val="00C31334"/>
    <w:rsid w:val="00C36C94"/>
    <w:rsid w:val="00C36DE0"/>
    <w:rsid w:val="00C377F0"/>
    <w:rsid w:val="00C4002B"/>
    <w:rsid w:val="00C42B37"/>
    <w:rsid w:val="00C71B19"/>
    <w:rsid w:val="00C74C84"/>
    <w:rsid w:val="00C8291D"/>
    <w:rsid w:val="00C82C79"/>
    <w:rsid w:val="00C878CE"/>
    <w:rsid w:val="00C92B27"/>
    <w:rsid w:val="00C97434"/>
    <w:rsid w:val="00C976CE"/>
    <w:rsid w:val="00CA5B48"/>
    <w:rsid w:val="00CB2712"/>
    <w:rsid w:val="00CC175D"/>
    <w:rsid w:val="00CC183F"/>
    <w:rsid w:val="00CC355B"/>
    <w:rsid w:val="00CC38EC"/>
    <w:rsid w:val="00CD5C1B"/>
    <w:rsid w:val="00CD6BDD"/>
    <w:rsid w:val="00CF02D1"/>
    <w:rsid w:val="00CF1FF8"/>
    <w:rsid w:val="00CF2F7F"/>
    <w:rsid w:val="00CF526E"/>
    <w:rsid w:val="00CF75FF"/>
    <w:rsid w:val="00D0020D"/>
    <w:rsid w:val="00D01C29"/>
    <w:rsid w:val="00D051F6"/>
    <w:rsid w:val="00D103D9"/>
    <w:rsid w:val="00D124B8"/>
    <w:rsid w:val="00D23D2F"/>
    <w:rsid w:val="00D31746"/>
    <w:rsid w:val="00D33116"/>
    <w:rsid w:val="00D340B1"/>
    <w:rsid w:val="00D401BF"/>
    <w:rsid w:val="00D4379E"/>
    <w:rsid w:val="00D43F67"/>
    <w:rsid w:val="00D455CA"/>
    <w:rsid w:val="00D539AA"/>
    <w:rsid w:val="00D56382"/>
    <w:rsid w:val="00D56AAB"/>
    <w:rsid w:val="00D6242C"/>
    <w:rsid w:val="00D63FBE"/>
    <w:rsid w:val="00D70772"/>
    <w:rsid w:val="00D84536"/>
    <w:rsid w:val="00D93FDE"/>
    <w:rsid w:val="00DA0F2F"/>
    <w:rsid w:val="00DB097D"/>
    <w:rsid w:val="00DB262B"/>
    <w:rsid w:val="00DB5FF4"/>
    <w:rsid w:val="00DD2079"/>
    <w:rsid w:val="00DD7B1A"/>
    <w:rsid w:val="00DE4761"/>
    <w:rsid w:val="00DE5EA8"/>
    <w:rsid w:val="00DF3C6E"/>
    <w:rsid w:val="00DF4C89"/>
    <w:rsid w:val="00E04D26"/>
    <w:rsid w:val="00E140A6"/>
    <w:rsid w:val="00E23077"/>
    <w:rsid w:val="00E2516D"/>
    <w:rsid w:val="00E410A1"/>
    <w:rsid w:val="00E43264"/>
    <w:rsid w:val="00E5089D"/>
    <w:rsid w:val="00E561B3"/>
    <w:rsid w:val="00E57B08"/>
    <w:rsid w:val="00E57CF8"/>
    <w:rsid w:val="00E701AB"/>
    <w:rsid w:val="00E77402"/>
    <w:rsid w:val="00E84195"/>
    <w:rsid w:val="00E92FD6"/>
    <w:rsid w:val="00EA1CA0"/>
    <w:rsid w:val="00EA66D7"/>
    <w:rsid w:val="00EA697D"/>
    <w:rsid w:val="00EB0D5E"/>
    <w:rsid w:val="00EB4273"/>
    <w:rsid w:val="00EC672B"/>
    <w:rsid w:val="00ED5711"/>
    <w:rsid w:val="00EE7E15"/>
    <w:rsid w:val="00EF50EF"/>
    <w:rsid w:val="00EF7F4A"/>
    <w:rsid w:val="00F02C53"/>
    <w:rsid w:val="00F0738C"/>
    <w:rsid w:val="00F1768A"/>
    <w:rsid w:val="00F20A68"/>
    <w:rsid w:val="00F30FDE"/>
    <w:rsid w:val="00F345F0"/>
    <w:rsid w:val="00F36779"/>
    <w:rsid w:val="00F376DF"/>
    <w:rsid w:val="00F41255"/>
    <w:rsid w:val="00F5211D"/>
    <w:rsid w:val="00F53505"/>
    <w:rsid w:val="00F60926"/>
    <w:rsid w:val="00F64151"/>
    <w:rsid w:val="00F73727"/>
    <w:rsid w:val="00F825E6"/>
    <w:rsid w:val="00F86281"/>
    <w:rsid w:val="00F90575"/>
    <w:rsid w:val="00F92DB8"/>
    <w:rsid w:val="00FB168C"/>
    <w:rsid w:val="00FB7E93"/>
    <w:rsid w:val="00FC35D3"/>
    <w:rsid w:val="00FC3C10"/>
    <w:rsid w:val="00FC6BDC"/>
    <w:rsid w:val="00FD0801"/>
    <w:rsid w:val="00FD097F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6BA44AF"/>
  <w15:chartTrackingRefBased/>
  <w15:docId w15:val="{CDC506C9-22C8-466C-9D6D-65067E3A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01AB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bCs/>
      <w:lang w:val="en-GB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E6C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semiHidden/>
    <w:rPr>
      <w:szCs w:val="20"/>
    </w:rPr>
  </w:style>
  <w:style w:type="paragraph" w:styleId="Telobesedila2">
    <w:name w:val="Body Text 2"/>
    <w:basedOn w:val="Navaden"/>
    <w:link w:val="Telobesedila2Znak"/>
    <w:semiHidden/>
    <w:pPr>
      <w:spacing w:after="120" w:line="480" w:lineRule="auto"/>
    </w:pPr>
    <w:rPr>
      <w:sz w:val="20"/>
      <w:szCs w:val="20"/>
      <w:lang w:val="en-GB"/>
    </w:rPr>
  </w:style>
  <w:style w:type="character" w:styleId="tevilkastrani">
    <w:name w:val="page number"/>
    <w:basedOn w:val="Privzetapisavaodstavka"/>
    <w:semiHidden/>
  </w:style>
  <w:style w:type="paragraph" w:customStyle="1" w:styleId="NavadenArial">
    <w:name w:val="Navaden + Arial"/>
    <w:aliases w:val="Obojestransko"/>
    <w:basedOn w:val="Telobesedila2"/>
    <w:rsid w:val="00E561B3"/>
    <w:pPr>
      <w:spacing w:line="240" w:lineRule="auto"/>
    </w:pPr>
    <w:rPr>
      <w:rFonts w:ascii="Arial" w:hAnsi="Arial" w:cs="Arial"/>
      <w:b/>
      <w:sz w:val="24"/>
      <w:szCs w:val="24"/>
      <w:lang w:val="sl-SI"/>
    </w:rPr>
  </w:style>
  <w:style w:type="paragraph" w:customStyle="1" w:styleId="Telobesedila2Arial">
    <w:name w:val="Telo besedila 2 + Arial"/>
    <w:aliases w:val="12 pt,rdeča"/>
    <w:basedOn w:val="NavadenArial"/>
    <w:rsid w:val="00E561B3"/>
  </w:style>
  <w:style w:type="character" w:styleId="Hiperpovezava">
    <w:name w:val="Hyperlink"/>
    <w:uiPriority w:val="99"/>
    <w:rsid w:val="00704598"/>
    <w:rPr>
      <w:color w:val="0000FF"/>
      <w:u w:val="single"/>
    </w:rPr>
  </w:style>
  <w:style w:type="paragraph" w:styleId="Golobesedilo">
    <w:name w:val="Plain Text"/>
    <w:basedOn w:val="Navaden"/>
    <w:rsid w:val="00D56382"/>
    <w:rPr>
      <w:rFonts w:ascii="Courier New" w:hAnsi="Courier New" w:cs="Courier New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1CB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FF1CBD"/>
    <w:rPr>
      <w:rFonts w:ascii="Tahoma" w:hAnsi="Tahoma" w:cs="Tahoma"/>
      <w:sz w:val="16"/>
      <w:szCs w:val="16"/>
    </w:rPr>
  </w:style>
  <w:style w:type="character" w:customStyle="1" w:styleId="Telobesedila2Znak">
    <w:name w:val="Telo besedila 2 Znak"/>
    <w:link w:val="Telobesedila2"/>
    <w:semiHidden/>
    <w:rsid w:val="002112BE"/>
    <w:rPr>
      <w:lang w:val="en-GB"/>
    </w:rPr>
  </w:style>
  <w:style w:type="table" w:styleId="Tabelamrea">
    <w:name w:val="Table Grid"/>
    <w:basedOn w:val="Navadnatabela"/>
    <w:uiPriority w:val="39"/>
    <w:rsid w:val="007C1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qFormat/>
    <w:rsid w:val="00E701AB"/>
    <w:pPr>
      <w:tabs>
        <w:tab w:val="left" w:pos="1701"/>
      </w:tabs>
    </w:pPr>
    <w:rPr>
      <w:szCs w:val="20"/>
      <w:lang w:eastAsia="sl-SI"/>
    </w:rPr>
  </w:style>
  <w:style w:type="character" w:customStyle="1" w:styleId="GlavaZnak">
    <w:name w:val="Glava Znak"/>
    <w:link w:val="Glava"/>
    <w:uiPriority w:val="99"/>
    <w:rsid w:val="00602012"/>
    <w:rPr>
      <w:sz w:val="24"/>
      <w:szCs w:val="24"/>
      <w:lang w:eastAsia="ar-SA"/>
    </w:rPr>
  </w:style>
  <w:style w:type="character" w:styleId="Pripombasklic">
    <w:name w:val="annotation reference"/>
    <w:uiPriority w:val="99"/>
    <w:semiHidden/>
    <w:unhideWhenUsed/>
    <w:rsid w:val="00AC274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C274C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AC274C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C274C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AC274C"/>
    <w:rPr>
      <w:b/>
      <w:bCs/>
      <w:lang w:eastAsia="ar-SA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E6C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Odstavekseznama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avaden"/>
    <w:link w:val="OdstavekseznamaZnak"/>
    <w:uiPriority w:val="34"/>
    <w:qFormat/>
    <w:rsid w:val="006E6CD0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E6CD0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E6CD0"/>
    <w:rPr>
      <w:lang w:eastAsia="ar-SA"/>
    </w:rPr>
  </w:style>
  <w:style w:type="character" w:styleId="Sprotnaopomba-sklic">
    <w:name w:val="footnote reference"/>
    <w:basedOn w:val="Privzetapisavaodstavka"/>
    <w:uiPriority w:val="99"/>
    <w:semiHidden/>
    <w:unhideWhenUsed/>
    <w:rsid w:val="006E6CD0"/>
    <w:rPr>
      <w:vertAlign w:val="superscript"/>
    </w:rPr>
  </w:style>
  <w:style w:type="character" w:customStyle="1" w:styleId="NogaZnak">
    <w:name w:val="Noga Znak"/>
    <w:basedOn w:val="Privzetapisavaodstavka"/>
    <w:link w:val="Noga"/>
    <w:uiPriority w:val="99"/>
    <w:rsid w:val="00EC672B"/>
    <w:rPr>
      <w:sz w:val="24"/>
      <w:szCs w:val="24"/>
      <w:lang w:eastAsia="ar-SA"/>
    </w:rPr>
  </w:style>
  <w:style w:type="character" w:styleId="SledenaHiperpovezava">
    <w:name w:val="FollowedHyperlink"/>
    <w:basedOn w:val="Privzetapisavaodstavka"/>
    <w:uiPriority w:val="99"/>
    <w:semiHidden/>
    <w:unhideWhenUsed/>
    <w:rsid w:val="00194899"/>
    <w:rPr>
      <w:color w:val="954F72" w:themeColor="followedHyperlink"/>
      <w:u w:val="single"/>
    </w:rPr>
  </w:style>
  <w:style w:type="character" w:customStyle="1" w:styleId="OdstavekseznamaZnak">
    <w:name w:val="Odstavek seznama Znak"/>
    <w:aliases w:val="List Paragraph compact Znak,Normal bullet 2 Znak,Paragraphe de liste 2 Znak,Reference list Znak,Bullet list Znak,Numbered List Znak,List Paragraph1 Znak,1st level - Bullet List Paragraph Znak,Lettre d'introduction Znak,List L1 Znak"/>
    <w:basedOn w:val="Privzetapisavaodstavka"/>
    <w:link w:val="Odstavekseznama"/>
    <w:uiPriority w:val="34"/>
    <w:qFormat/>
    <w:locked/>
    <w:rsid w:val="00440C8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SL/TXT/HTML/?uri=CELEX:52021XC0218(01)" TargetMode="External"/><Relationship Id="rId1" Type="http://schemas.openxmlformats.org/officeDocument/2006/relationships/hyperlink" Target="https://eur-lex.europa.eu/legal-content/SL/TXT/HTML/?uri=CELEX:02020R0852-20200622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0822A-8F29-4AC3-92A1-5C189E04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</Pages>
  <Words>769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Ministrstvo za kulturo RS</vt:lpstr>
    </vt:vector>
  </TitlesOfParts>
  <Company>MZIP</Company>
  <LinksUpToDate>false</LinksUpToDate>
  <CharactersWithSpaces>5439</CharactersWithSpaces>
  <SharedDoc>false</SharedDoc>
  <HLinks>
    <vt:vector size="6" baseType="variant"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http://www.pisrs.si/Pis.web/pregledPredpisa?id=URED6816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Ministrstvo za kulturo RS</dc:title>
  <dc:subject/>
  <dc:creator>Z</dc:creator>
  <cp:keywords/>
  <cp:lastModifiedBy>Rok Klemenčič</cp:lastModifiedBy>
  <cp:revision>23</cp:revision>
  <cp:lastPrinted>2019-03-18T14:39:00Z</cp:lastPrinted>
  <dcterms:created xsi:type="dcterms:W3CDTF">2024-04-26T10:52:00Z</dcterms:created>
  <dcterms:modified xsi:type="dcterms:W3CDTF">2025-06-11T08:27:00Z</dcterms:modified>
</cp:coreProperties>
</file>