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3C8" w14:textId="3B786610" w:rsidR="00385082" w:rsidRPr="00E15E63" w:rsidRDefault="008A2583" w:rsidP="00385082">
      <w:pPr>
        <w:spacing w:line="276" w:lineRule="auto"/>
        <w:jc w:val="both"/>
        <w:rPr>
          <w:rFonts w:ascii="Arial" w:hAnsi="Arial" w:cs="Arial"/>
          <w:sz w:val="20"/>
          <w:szCs w:val="20"/>
        </w:rPr>
      </w:pPr>
      <w:r w:rsidRPr="00E15E63">
        <w:rPr>
          <w:rFonts w:ascii="Arial" w:hAnsi="Arial" w:cs="Arial"/>
          <w:b/>
          <w:bCs/>
          <w:sz w:val="20"/>
          <w:szCs w:val="20"/>
        </w:rPr>
        <w:t>Priloga 2: TEHNIČNA MERILA za pregled bistvenega prispevka oz. nebistvenega škodovanja</w:t>
      </w:r>
      <w:r w:rsidR="00385082" w:rsidRPr="00E15E63">
        <w:rPr>
          <w:rFonts w:ascii="Arial" w:hAnsi="Arial" w:cs="Arial"/>
          <w:b/>
          <w:bCs/>
          <w:sz w:val="20"/>
          <w:szCs w:val="20"/>
        </w:rPr>
        <w:t xml:space="preserve"> </w:t>
      </w:r>
      <w:r w:rsidR="00385082" w:rsidRPr="00E15E63">
        <w:rPr>
          <w:rFonts w:ascii="Arial" w:hAnsi="Arial" w:cs="Arial"/>
          <w:sz w:val="20"/>
          <w:szCs w:val="20"/>
        </w:rPr>
        <w:t xml:space="preserve">za </w:t>
      </w:r>
      <w:r w:rsidR="00987483">
        <w:rPr>
          <w:rFonts w:ascii="Arial" w:hAnsi="Arial" w:cs="Arial"/>
          <w:sz w:val="20"/>
          <w:szCs w:val="20"/>
        </w:rPr>
        <w:t xml:space="preserve">ukrepe </w:t>
      </w:r>
      <w:r w:rsidR="00E15E63" w:rsidRPr="00E15E63">
        <w:rPr>
          <w:rFonts w:ascii="Arial" w:hAnsi="Arial" w:cs="Arial"/>
          <w:sz w:val="20"/>
          <w:szCs w:val="20"/>
        </w:rPr>
        <w:t>odprav</w:t>
      </w:r>
      <w:r w:rsidR="00987483">
        <w:rPr>
          <w:rFonts w:ascii="Arial" w:hAnsi="Arial" w:cs="Arial"/>
          <w:sz w:val="20"/>
          <w:szCs w:val="20"/>
        </w:rPr>
        <w:t>e</w:t>
      </w:r>
      <w:r w:rsidR="00E15E63" w:rsidRPr="00E15E63">
        <w:rPr>
          <w:rFonts w:ascii="Arial" w:hAnsi="Arial" w:cs="Arial"/>
          <w:sz w:val="20"/>
          <w:szCs w:val="20"/>
        </w:rPr>
        <w:t xml:space="preserve"> neskladij v aglomeracijah s skupno obremenitvijo, enako ali večjo od 2.000 PE v skladu z Direktivo o čiščenju komunalne odpadne vode (91/271/EGS) za področje odvajanja in čiščenja odpadnih voda </w:t>
      </w:r>
      <w:r w:rsidR="00385082" w:rsidRPr="00E15E63">
        <w:rPr>
          <w:rFonts w:ascii="Arial" w:hAnsi="Arial" w:cs="Arial"/>
          <w:sz w:val="20"/>
          <w:szCs w:val="20"/>
        </w:rPr>
        <w:t>v okviru specifičnega cilja RSO2.5</w:t>
      </w:r>
    </w:p>
    <w:p w14:paraId="19C64528" w14:textId="77777777" w:rsidR="00385082" w:rsidRPr="00E15E63" w:rsidRDefault="00385082" w:rsidP="008A2583">
      <w:pPr>
        <w:spacing w:line="276" w:lineRule="auto"/>
        <w:rPr>
          <w:rFonts w:ascii="Arial" w:hAnsi="Arial" w:cs="Arial"/>
          <w:b/>
          <w:bCs/>
          <w:color w:val="FF0000"/>
          <w:sz w:val="20"/>
          <w:szCs w:val="20"/>
        </w:rPr>
      </w:pPr>
    </w:p>
    <w:p w14:paraId="1FBA0333" w14:textId="43C115AF" w:rsidR="008A2583" w:rsidRPr="00F46D2D" w:rsidRDefault="008A2583" w:rsidP="00D675A8">
      <w:pPr>
        <w:pBdr>
          <w:top w:val="single" w:sz="4" w:space="1" w:color="auto"/>
          <w:left w:val="single" w:sz="4" w:space="4" w:color="auto"/>
          <w:bottom w:val="single" w:sz="4" w:space="1" w:color="auto"/>
          <w:right w:val="single" w:sz="4" w:space="4" w:color="auto"/>
        </w:pBdr>
        <w:spacing w:line="276" w:lineRule="auto"/>
        <w:jc w:val="both"/>
        <w:rPr>
          <w:rFonts w:ascii="Arial" w:hAnsi="Arial" w:cs="Arial"/>
          <w:b/>
          <w:bCs/>
          <w:sz w:val="20"/>
          <w:szCs w:val="20"/>
          <w:lang w:eastAsia="sl-SI"/>
        </w:rPr>
      </w:pPr>
      <w:r w:rsidRPr="00F46D2D">
        <w:rPr>
          <w:rFonts w:ascii="Arial" w:hAnsi="Arial" w:cs="Arial"/>
          <w:b/>
          <w:bCs/>
          <w:sz w:val="20"/>
          <w:szCs w:val="20"/>
          <w:lang w:eastAsia="sl-SI"/>
        </w:rPr>
        <w:t>Bistven prispevek</w:t>
      </w:r>
    </w:p>
    <w:p w14:paraId="589AD055" w14:textId="1FF84B47" w:rsidR="008A2583" w:rsidRPr="00F46D2D" w:rsidRDefault="008A2583" w:rsidP="00D675A8">
      <w:pPr>
        <w:pStyle w:val="Brezrazmikov"/>
        <w:rPr>
          <w:rFonts w:ascii="Arial" w:hAnsi="Arial" w:cs="Arial"/>
          <w:b/>
          <w:bCs/>
          <w:sz w:val="20"/>
          <w:szCs w:val="20"/>
          <w:lang w:eastAsia="sl-SI"/>
        </w:rPr>
      </w:pPr>
      <w:r w:rsidRPr="00F46D2D">
        <w:rPr>
          <w:rFonts w:ascii="Arial" w:hAnsi="Arial" w:cs="Arial"/>
          <w:b/>
          <w:bCs/>
          <w:sz w:val="20"/>
          <w:szCs w:val="20"/>
          <w:lang w:eastAsia="sl-SI"/>
        </w:rPr>
        <w:t>1 Blažitev podnebnih sprememb</w:t>
      </w:r>
      <w:bookmarkStart w:id="0" w:name="_Hlk195710904"/>
      <w:r w:rsidRPr="00F46D2D">
        <w:rPr>
          <w:rFonts w:ascii="Arial" w:hAnsi="Arial" w:cs="Arial"/>
          <w:b/>
          <w:bCs/>
          <w:sz w:val="20"/>
          <w:szCs w:val="20"/>
          <w:lang w:eastAsia="sl-SI"/>
        </w:rPr>
        <w:t xml:space="preserve"> </w:t>
      </w:r>
      <w:bookmarkEnd w:id="0"/>
    </w:p>
    <w:p w14:paraId="7D64FEDB" w14:textId="37A48FEC" w:rsidR="00E15E63" w:rsidRPr="00F46D2D" w:rsidRDefault="00E15E63" w:rsidP="00E15E63">
      <w:pPr>
        <w:spacing w:line="260" w:lineRule="exact"/>
        <w:jc w:val="both"/>
        <w:rPr>
          <w:rFonts w:ascii="Arial" w:hAnsi="Arial" w:cs="Arial"/>
          <w:sz w:val="20"/>
          <w:szCs w:val="20"/>
        </w:rPr>
      </w:pPr>
      <w:r w:rsidRPr="00F46D2D">
        <w:rPr>
          <w:rFonts w:ascii="Arial" w:hAnsi="Arial" w:cs="Arial"/>
          <w:sz w:val="20"/>
          <w:szCs w:val="20"/>
        </w:rPr>
        <w:t xml:space="preserve">tehnična merila iz poglavja 5.3. </w:t>
      </w:r>
      <w:r w:rsidRPr="00F46D2D">
        <w:rPr>
          <w:rFonts w:ascii="Arial" w:hAnsi="Arial" w:cs="Arial"/>
          <w:i/>
          <w:iCs/>
          <w:sz w:val="20"/>
          <w:szCs w:val="20"/>
        </w:rPr>
        <w:t xml:space="preserve">Gradnja, razširitev in upravljanje sistemov za zbiranje in čiščenje odpadnih voda </w:t>
      </w:r>
      <w:r w:rsidRPr="00F46D2D">
        <w:rPr>
          <w:rFonts w:ascii="Arial" w:hAnsi="Arial" w:cs="Arial"/>
          <w:sz w:val="20"/>
          <w:szCs w:val="20"/>
        </w:rPr>
        <w:t>, Priloge I, Delegirane uredbe komisije (EU) 2021/2139:</w:t>
      </w:r>
    </w:p>
    <w:p w14:paraId="22539E2A" w14:textId="77777777" w:rsidR="00F46D2D" w:rsidRDefault="00E15E63" w:rsidP="00E15E63">
      <w:pPr>
        <w:pStyle w:val="CM1"/>
        <w:spacing w:line="260" w:lineRule="exact"/>
        <w:ind w:left="708"/>
        <w:jc w:val="both"/>
        <w:rPr>
          <w:rFonts w:ascii="Arial" w:hAnsi="Arial"/>
          <w:sz w:val="18"/>
          <w:szCs w:val="18"/>
          <w:lang w:eastAsia="en-US"/>
        </w:rPr>
      </w:pPr>
      <w:r w:rsidRPr="00E15E63">
        <w:rPr>
          <w:rFonts w:ascii="Arial" w:hAnsi="Arial"/>
          <w:sz w:val="18"/>
          <w:szCs w:val="18"/>
          <w:lang w:eastAsia="en-US"/>
        </w:rPr>
        <w:t xml:space="preserve">5.3. – 1. </w:t>
      </w:r>
      <w:r w:rsidRPr="00F46D2D">
        <w:rPr>
          <w:rFonts w:ascii="Arial" w:hAnsi="Arial"/>
          <w:b/>
          <w:bCs/>
          <w:sz w:val="18"/>
          <w:szCs w:val="18"/>
          <w:lang w:eastAsia="en-US"/>
        </w:rPr>
        <w:t>Neto poraba energije čistilne naprave za odpadne vode</w:t>
      </w:r>
      <w:r w:rsidRPr="00E15E63">
        <w:rPr>
          <w:rFonts w:ascii="Arial" w:hAnsi="Arial"/>
          <w:sz w:val="18"/>
          <w:szCs w:val="18"/>
          <w:lang w:eastAsia="en-US"/>
        </w:rPr>
        <w:t xml:space="preserve"> je enaka ali manjša od: (a) 35 kWh na populacijski ekvivalent (PE) na leto za zmogljivost čistilne naprave, manjšo od 10 000 PE; (b) 25 kWh na populacijski ekvivalent (PE) na leto za zmogljivost čistilne naprave med 10 000 in 100 000 PE; (c) 20 kWh na populacijski ekvivalent (PE) na leto za zmogljivost čistilne naprave, večjo od 100 000 PE. Neto poraba energije za delovanje čistilne naprave za odpadne vode lahko upošteva ukrepe, ki zmanjšujejo porabo energije, povezane z nadzorom pri viru (zmanjšanje vhodne meteorne vode ali vhodnih obremenitev z onesnaževali), in po potrebi proizvodnjo energije znotraj sistema (na primer hidravlične, sončne, toplotne in vetrne energije). </w:t>
      </w:r>
    </w:p>
    <w:p w14:paraId="74E3B361" w14:textId="33E44EBD" w:rsidR="00E15E63" w:rsidRDefault="00E15E63" w:rsidP="00F46D2D">
      <w:pPr>
        <w:pStyle w:val="CM1"/>
        <w:spacing w:line="260" w:lineRule="exact"/>
        <w:ind w:left="708" w:firstLine="708"/>
        <w:jc w:val="both"/>
        <w:rPr>
          <w:rFonts w:ascii="Arial" w:hAnsi="Arial"/>
          <w:sz w:val="18"/>
          <w:szCs w:val="18"/>
          <w:lang w:eastAsia="en-US"/>
        </w:rPr>
      </w:pPr>
      <w:r w:rsidRPr="00E15E63">
        <w:rPr>
          <w:rFonts w:ascii="Arial" w:hAnsi="Arial"/>
          <w:sz w:val="18"/>
          <w:szCs w:val="18"/>
          <w:lang w:eastAsia="en-US"/>
        </w:rPr>
        <w:t xml:space="preserve">2. </w:t>
      </w:r>
      <w:r w:rsidRPr="00F46D2D">
        <w:rPr>
          <w:rFonts w:ascii="Arial" w:hAnsi="Arial"/>
          <w:b/>
          <w:bCs/>
          <w:sz w:val="18"/>
          <w:szCs w:val="18"/>
          <w:lang w:eastAsia="en-US"/>
        </w:rPr>
        <w:t>Za gradnjo in razširitev čistilne naprave za odpadne vode</w:t>
      </w:r>
      <w:r w:rsidRPr="00E15E63">
        <w:rPr>
          <w:rFonts w:ascii="Arial" w:hAnsi="Arial"/>
          <w:sz w:val="18"/>
          <w:szCs w:val="18"/>
          <w:lang w:eastAsia="en-US"/>
        </w:rPr>
        <w:t xml:space="preserve"> ali čistilne naprave za odpadne vode z zbiralnim sistemom, ki nadomešča čistilne sisteme, ki povzročajo večje emisije toplogrednih plinov (kot so greznice in anaerobne lagune), se izvede ocena neposrednih emisij toplogrednih plinov</w:t>
      </w:r>
      <w:r w:rsidR="00282912">
        <w:rPr>
          <w:rStyle w:val="Sprotnaopomba-sklic"/>
          <w:rFonts w:ascii="Arial" w:hAnsi="Arial"/>
          <w:sz w:val="18"/>
          <w:szCs w:val="18"/>
          <w:lang w:eastAsia="en-US"/>
        </w:rPr>
        <w:footnoteReference w:id="1"/>
      </w:r>
      <w:r w:rsidRPr="00E15E63">
        <w:rPr>
          <w:rFonts w:ascii="Arial" w:hAnsi="Arial"/>
          <w:sz w:val="18"/>
          <w:szCs w:val="18"/>
          <w:lang w:eastAsia="en-US"/>
        </w:rPr>
        <w:t>. Rezultati se vlagateljem in strankam razkrijejo na zahtevo.</w:t>
      </w:r>
    </w:p>
    <w:p w14:paraId="2B8140C6" w14:textId="77777777" w:rsidR="008A2583" w:rsidRDefault="008A2583" w:rsidP="00656535">
      <w:pPr>
        <w:spacing w:line="276" w:lineRule="auto"/>
        <w:jc w:val="both"/>
        <w:rPr>
          <w:rFonts w:ascii="Arial" w:eastAsia="Times New Roman" w:hAnsi="Arial" w:cs="Arial"/>
          <w:color w:val="FF0000"/>
          <w:kern w:val="0"/>
          <w:sz w:val="20"/>
          <w:szCs w:val="20"/>
          <w14:ligatures w14:val="none"/>
        </w:rPr>
      </w:pPr>
    </w:p>
    <w:p w14:paraId="3092629D" w14:textId="77777777" w:rsidR="00656535" w:rsidRPr="00E15E63" w:rsidRDefault="00656535" w:rsidP="00656535">
      <w:pPr>
        <w:spacing w:line="276" w:lineRule="auto"/>
        <w:jc w:val="both"/>
        <w:rPr>
          <w:rFonts w:ascii="Arial" w:eastAsia="Times New Roman" w:hAnsi="Arial" w:cs="Arial"/>
          <w:color w:val="FF0000"/>
          <w:kern w:val="0"/>
          <w:sz w:val="20"/>
          <w:szCs w:val="20"/>
          <w14:ligatures w14:val="none"/>
        </w:rPr>
      </w:pPr>
    </w:p>
    <w:p w14:paraId="189EB80F" w14:textId="64DA6D30" w:rsidR="008A2583"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3. Trajnostna raba ter varstvo vodnih in morskih virov</w:t>
      </w:r>
    </w:p>
    <w:p w14:paraId="08C0D2BE" w14:textId="77777777" w:rsidR="00CF3653" w:rsidRDefault="00CF3653" w:rsidP="00CF3653">
      <w:pPr>
        <w:spacing w:line="260" w:lineRule="exact"/>
        <w:jc w:val="both"/>
        <w:rPr>
          <w:rFonts w:ascii="Arial" w:eastAsia="Times New Roman" w:hAnsi="Arial" w:cs="Arial"/>
          <w:kern w:val="0"/>
          <w:sz w:val="20"/>
          <w:szCs w:val="20"/>
          <w:lang w:eastAsia="sl-SI"/>
          <w14:ligatures w14:val="none"/>
        </w:rPr>
      </w:pPr>
      <w:r w:rsidRPr="00CF3653">
        <w:rPr>
          <w:rFonts w:ascii="Arial" w:eastAsia="Times New Roman" w:hAnsi="Arial" w:cs="Arial"/>
          <w:kern w:val="0"/>
          <w:sz w:val="20"/>
          <w:szCs w:val="20"/>
          <w:lang w:eastAsia="sl-SI"/>
          <w14:ligatures w14:val="none"/>
        </w:rPr>
        <w:t xml:space="preserve">tehnična merila iz poglavja 2.2 Čiščenje komunalnih odpadnih </w:t>
      </w:r>
      <w:r w:rsidRPr="009A5DF7">
        <w:rPr>
          <w:rFonts w:ascii="Arial" w:eastAsia="Times New Roman" w:hAnsi="Arial" w:cs="Arial"/>
          <w:kern w:val="0"/>
          <w:sz w:val="20"/>
          <w:szCs w:val="20"/>
          <w:lang w:eastAsia="sl-SI"/>
          <w14:ligatures w14:val="none"/>
        </w:rPr>
        <w:t>voda, Priloge I, Delegirane uredbe komisije (EU) 2023/2486</w:t>
      </w:r>
      <w:r>
        <w:rPr>
          <w:rFonts w:ascii="Arial" w:eastAsia="Times New Roman" w:hAnsi="Arial" w:cs="Arial"/>
          <w:kern w:val="0"/>
          <w:sz w:val="20"/>
          <w:szCs w:val="20"/>
          <w:lang w:eastAsia="sl-SI"/>
          <w14:ligatures w14:val="none"/>
        </w:rPr>
        <w:t>:</w:t>
      </w:r>
    </w:p>
    <w:p w14:paraId="7397AA26"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sz w:val="18"/>
          <w:szCs w:val="18"/>
        </w:rPr>
        <w:t>1. Sistem za čiščenje odpadnih voda ne povzroči poslabšanja dobrega stanja in dobrega ekološkega potenciala katerega koli prizadetega vodnega telesa ter bistveno prispeva k doseganju dobrega stanja in potenciala prizadetih vodnih teles v skladu z Direktivo 2000/60/ES</w:t>
      </w:r>
      <w:r w:rsidRPr="00CF3653">
        <w:rPr>
          <w:rStyle w:val="Sprotnaopomba-sklic"/>
          <w:rFonts w:ascii="Arial" w:hAnsi="Arial" w:cs="Arial"/>
          <w:color w:val="000000"/>
          <w:sz w:val="18"/>
          <w:szCs w:val="18"/>
        </w:rPr>
        <w:footnoteReference w:id="2"/>
      </w:r>
      <w:r w:rsidRPr="00CF3653">
        <w:rPr>
          <w:rFonts w:ascii="Arial" w:hAnsi="Arial" w:cs="Arial"/>
          <w:color w:val="000000"/>
          <w:sz w:val="18"/>
          <w:szCs w:val="18"/>
        </w:rPr>
        <w:t>.</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Informacije v zvezi s stanjem vodnih teles, dejavnostmi, ki bi lahko vplivale na stanje, in ukrepi, sprejetimi za preprečevanje ali čim večje zmanjšanje takih vplivov, so vključene v načrt upravljanja povodja ali, pri dejavnostih v tretjih državah, v enakovreden načrt upravljanja rabe in varstva voda. Sistem za čiščenje odpadnih voda izpolnjuje zahteve glede izpustov, ki jih določijo pristojni lokalni organi. Sistem za čiščenje odpadnih voda tudi prispeva k doseganju ali ohranjanju dobrega </w:t>
      </w:r>
      <w:proofErr w:type="spellStart"/>
      <w:r w:rsidRPr="00CF3653">
        <w:rPr>
          <w:rFonts w:ascii="Arial" w:hAnsi="Arial" w:cs="Arial"/>
          <w:color w:val="000000"/>
          <w:kern w:val="0"/>
          <w:sz w:val="18"/>
          <w:szCs w:val="18"/>
        </w:rPr>
        <w:t>okoljskega</w:t>
      </w:r>
      <w:proofErr w:type="spellEnd"/>
      <w:r w:rsidRPr="00CF3653">
        <w:rPr>
          <w:rFonts w:ascii="Arial" w:hAnsi="Arial" w:cs="Arial"/>
          <w:color w:val="000000"/>
          <w:kern w:val="0"/>
          <w:sz w:val="18"/>
          <w:szCs w:val="18"/>
        </w:rPr>
        <w:t xml:space="preserve"> stanja morskih voda v skladu z Direktivo 2008/56/ES, kadar je to ustrezno. </w:t>
      </w:r>
    </w:p>
    <w:p w14:paraId="48785B6F" w14:textId="77777777" w:rsidR="00CF3653" w:rsidRDefault="00CF3653" w:rsidP="00CF3653">
      <w:pPr>
        <w:spacing w:line="260" w:lineRule="exact"/>
        <w:ind w:left="708"/>
        <w:jc w:val="both"/>
        <w:rPr>
          <w:rFonts w:ascii="Arial" w:hAnsi="Arial" w:cs="Arial"/>
          <w:color w:val="000000"/>
          <w:kern w:val="0"/>
          <w:sz w:val="18"/>
          <w:szCs w:val="18"/>
        </w:rPr>
      </w:pPr>
      <w:r w:rsidRPr="00CF3653">
        <w:rPr>
          <w:rFonts w:ascii="Arial" w:hAnsi="Arial" w:cs="Arial"/>
          <w:color w:val="000000"/>
          <w:kern w:val="0"/>
          <w:sz w:val="18"/>
          <w:szCs w:val="18"/>
        </w:rPr>
        <w:t>2.</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 xml:space="preserve">Sistem za čiščenje odpadnih voda ima kanalizacijski sistem in zagotavlja sekundarno čiščenje. Sistem za čiščenje odpadnih voda izpolnjuje ustrezne zahteve, povezane z velikostjo, za izpuste iz komunalnih čistilnih naprav iz Direktive 91/271/EGS, zlasti členov 3 do 8 in člena 13 navedene direktive ter Priloge I k navedeni direktivi. </w:t>
      </w:r>
    </w:p>
    <w:p w14:paraId="68EF80D0" w14:textId="1C677821" w:rsidR="00CF3653" w:rsidRPr="00CF3653" w:rsidRDefault="00CF3653" w:rsidP="00CF3653">
      <w:pPr>
        <w:spacing w:line="260" w:lineRule="exact"/>
        <w:ind w:left="708"/>
        <w:jc w:val="both"/>
        <w:rPr>
          <w:rFonts w:ascii="Arial" w:eastAsia="Times New Roman" w:hAnsi="Arial" w:cs="Arial"/>
          <w:kern w:val="0"/>
          <w:sz w:val="18"/>
          <w:szCs w:val="18"/>
          <w:lang w:eastAsia="sl-SI"/>
          <w14:ligatures w14:val="none"/>
        </w:rPr>
      </w:pPr>
      <w:r w:rsidRPr="00CF3653">
        <w:rPr>
          <w:rFonts w:ascii="Arial" w:hAnsi="Arial" w:cs="Arial"/>
          <w:color w:val="000000"/>
          <w:kern w:val="0"/>
          <w:sz w:val="18"/>
          <w:szCs w:val="18"/>
        </w:rPr>
        <w:lastRenderedPageBreak/>
        <w:t>3.</w:t>
      </w:r>
      <w:r w:rsidRPr="00CF3653">
        <w:rPr>
          <w:rFonts w:ascii="Arial" w:eastAsia="Times New Roman" w:hAnsi="Arial" w:cs="Arial"/>
          <w:kern w:val="0"/>
          <w:sz w:val="18"/>
          <w:szCs w:val="18"/>
          <w:lang w:eastAsia="sl-SI"/>
          <w14:ligatures w14:val="none"/>
        </w:rPr>
        <w:t xml:space="preserve"> </w:t>
      </w:r>
      <w:r w:rsidRPr="00CF3653">
        <w:rPr>
          <w:rFonts w:ascii="Arial" w:hAnsi="Arial" w:cs="Arial"/>
          <w:color w:val="000000"/>
          <w:kern w:val="0"/>
          <w:sz w:val="18"/>
          <w:szCs w:val="18"/>
        </w:rPr>
        <w:t>Kadar ima čistilna naprava zmogljivost 100 000populacijskih ekvivalentov (PE)</w:t>
      </w:r>
      <w:r w:rsidRPr="00CF3653">
        <w:rPr>
          <w:rStyle w:val="Sprotnaopomba-sklic"/>
          <w:rFonts w:ascii="Arial" w:hAnsi="Arial" w:cs="Arial"/>
          <w:color w:val="000000"/>
          <w:kern w:val="0"/>
          <w:sz w:val="18"/>
          <w:szCs w:val="18"/>
        </w:rPr>
        <w:footnoteReference w:id="3"/>
      </w:r>
      <w:r w:rsidRPr="00CF3653">
        <w:rPr>
          <w:rFonts w:ascii="Arial" w:hAnsi="Arial" w:cs="Arial"/>
          <w:color w:val="000000"/>
          <w:kern w:val="0"/>
          <w:sz w:val="18"/>
          <w:szCs w:val="18"/>
        </w:rPr>
        <w:t>ali več ali za dnevni pritok bremena petdnevne biokemijske potrebe po kisiku (BPK5), večji od 6 000kg, za stabilizacijo blata uporablja obdelavo blata, kot je anaerobna razgradnja, ali tehnologijo z enako ali nižjo neto potrebo po energiji (ob upoštevanju proizvodnje in porabe energije).</w:t>
      </w:r>
    </w:p>
    <w:p w14:paraId="6E43B6CB" w14:textId="77777777" w:rsidR="00CF3653" w:rsidRDefault="00CF3653" w:rsidP="00D675A8">
      <w:pPr>
        <w:pStyle w:val="Brezrazmikov"/>
        <w:rPr>
          <w:rFonts w:ascii="Arial" w:eastAsia="Times New Roman" w:hAnsi="Arial" w:cs="Arial"/>
          <w:color w:val="FF0000"/>
          <w:kern w:val="0"/>
          <w:sz w:val="20"/>
          <w:szCs w:val="20"/>
          <w:lang w:eastAsia="sl-SI"/>
          <w14:ligatures w14:val="none"/>
        </w:rPr>
      </w:pPr>
    </w:p>
    <w:p w14:paraId="7C685A84" w14:textId="77777777" w:rsidR="008A2583" w:rsidRPr="00E15E63" w:rsidRDefault="008A2583" w:rsidP="008A2583">
      <w:pPr>
        <w:autoSpaceDE w:val="0"/>
        <w:autoSpaceDN w:val="0"/>
        <w:adjustRightInd w:val="0"/>
        <w:spacing w:line="276" w:lineRule="auto"/>
        <w:jc w:val="both"/>
        <w:rPr>
          <w:rFonts w:ascii="Arial" w:hAnsi="Arial" w:cs="Arial"/>
          <w:color w:val="FF0000"/>
          <w:sz w:val="18"/>
          <w:szCs w:val="18"/>
        </w:rPr>
      </w:pPr>
    </w:p>
    <w:p w14:paraId="313A0143" w14:textId="00D4BF4A" w:rsidR="008A2583" w:rsidRPr="00CF3653" w:rsidRDefault="008A2583" w:rsidP="00D675A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bCs/>
          <w:sz w:val="20"/>
          <w:szCs w:val="20"/>
        </w:rPr>
      </w:pPr>
      <w:r w:rsidRPr="00CF3653">
        <w:rPr>
          <w:rFonts w:ascii="Arial" w:hAnsi="Arial" w:cs="Arial"/>
          <w:b/>
          <w:bCs/>
          <w:sz w:val="20"/>
          <w:szCs w:val="20"/>
        </w:rPr>
        <w:t>Nebistveno škodovanje</w:t>
      </w:r>
    </w:p>
    <w:p w14:paraId="1776356C" w14:textId="470B9225" w:rsidR="00D675A8" w:rsidRPr="00CF3653" w:rsidRDefault="008A2583" w:rsidP="00D675A8">
      <w:pPr>
        <w:pStyle w:val="Brezrazmikov"/>
        <w:rPr>
          <w:rFonts w:ascii="Arial" w:hAnsi="Arial" w:cs="Arial"/>
          <w:b/>
          <w:bCs/>
          <w:sz w:val="20"/>
          <w:szCs w:val="20"/>
          <w:lang w:eastAsia="sl-SI"/>
        </w:rPr>
      </w:pPr>
      <w:r w:rsidRPr="00CF3653">
        <w:rPr>
          <w:rFonts w:ascii="Arial" w:hAnsi="Arial" w:cs="Arial"/>
          <w:b/>
          <w:bCs/>
          <w:sz w:val="20"/>
          <w:szCs w:val="20"/>
          <w:lang w:eastAsia="sl-SI"/>
        </w:rPr>
        <w:t>1 Blažitev podnebnih sprememb</w:t>
      </w:r>
    </w:p>
    <w:p w14:paraId="54263F66" w14:textId="77777777" w:rsidR="00747588" w:rsidRDefault="00E95F7A" w:rsidP="00747588">
      <w:pPr>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7FE5934B" w14:textId="127957B4" w:rsidR="00E95F7A" w:rsidRPr="00747588" w:rsidRDefault="00E95F7A" w:rsidP="00747588">
      <w:pPr>
        <w:spacing w:line="260" w:lineRule="exact"/>
        <w:ind w:left="708"/>
        <w:jc w:val="both"/>
        <w:rPr>
          <w:rFonts w:ascii="Arial" w:eastAsia="Times New Roman" w:hAnsi="Arial" w:cs="Arial"/>
          <w:kern w:val="0"/>
          <w:sz w:val="20"/>
          <w:szCs w:val="20"/>
          <w:lang w:eastAsia="sl-SI"/>
          <w14:ligatures w14:val="none"/>
        </w:rPr>
      </w:pPr>
      <w:r w:rsidRPr="00E95F7A">
        <w:rPr>
          <w:rFonts w:ascii="Arial" w:eastAsia="Times New Roman" w:hAnsi="Arial" w:cs="Arial"/>
          <w:kern w:val="0"/>
          <w:sz w:val="18"/>
          <w:szCs w:val="18"/>
          <w:lang w:eastAsia="sl-SI"/>
          <w14:ligatures w14:val="none"/>
        </w:rPr>
        <w:t>Izvedena je bila ocena neposrednih emisij toplogrednih plinov iz centraliziranega sistema odpadnih voda, vključno z zbiranjem (kanalizacijsko omrežje) in čiščenjem</w:t>
      </w:r>
      <w:r w:rsidRPr="00E95F7A">
        <w:rPr>
          <w:rStyle w:val="Sprotnaopomba-sklic"/>
          <w:rFonts w:ascii="Arial" w:eastAsia="Times New Roman" w:hAnsi="Arial"/>
          <w:kern w:val="0"/>
          <w:sz w:val="18"/>
          <w:szCs w:val="18"/>
          <w:lang w:eastAsia="sl-SI"/>
          <w14:ligatures w14:val="none"/>
        </w:rPr>
        <w:footnoteReference w:id="4"/>
      </w:r>
      <w:r w:rsidRPr="00E95F7A">
        <w:rPr>
          <w:rFonts w:ascii="Arial" w:eastAsia="Times New Roman" w:hAnsi="Arial" w:cs="Arial"/>
          <w:kern w:val="0"/>
          <w:sz w:val="18"/>
          <w:szCs w:val="18"/>
          <w:lang w:eastAsia="sl-SI"/>
          <w14:ligatures w14:val="none"/>
        </w:rPr>
        <w:t>. Rezultati se vlagateljem in strankam razkrijejo na zahtevo.</w:t>
      </w:r>
    </w:p>
    <w:p w14:paraId="255095FE" w14:textId="77777777" w:rsidR="00E95F7A" w:rsidRPr="00A36674" w:rsidRDefault="00E95F7A" w:rsidP="00E95F7A">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36674">
        <w:rPr>
          <w:rFonts w:ascii="Arial" w:eastAsia="Times New Roman" w:hAnsi="Arial" w:cs="Arial"/>
          <w:kern w:val="0"/>
          <w:sz w:val="20"/>
          <w:szCs w:val="20"/>
          <w:lang w:eastAsia="sl-SI"/>
          <w14:ligatures w14:val="none"/>
        </w:rPr>
        <w:t xml:space="preserve">Pri bistvenem prispevku k »trajnostni rabi ter varstvu vodnih in morskih virov« velja še </w:t>
      </w:r>
      <w:r w:rsidRPr="00A36674">
        <w:rPr>
          <w:rFonts w:ascii="Arial" w:eastAsia="Times New Roman" w:hAnsi="Arial" w:cs="Arial"/>
          <w:kern w:val="0"/>
          <w:sz w:val="20"/>
          <w:szCs w:val="20"/>
          <w:u w:val="single"/>
          <w:lang w:eastAsia="sl-SI"/>
          <w14:ligatures w14:val="none"/>
        </w:rPr>
        <w:t>dodatno merilo nebistvenega škodovanja k »</w:t>
      </w:r>
      <w:r>
        <w:rPr>
          <w:rFonts w:ascii="Arial" w:hAnsi="Arial" w:cs="Arial"/>
          <w:sz w:val="20"/>
          <w:szCs w:val="20"/>
          <w:u w:val="single"/>
          <w:lang w:eastAsia="sl-SI"/>
        </w:rPr>
        <w:t>b</w:t>
      </w:r>
      <w:r w:rsidRPr="00A36674">
        <w:rPr>
          <w:rFonts w:ascii="Arial" w:hAnsi="Arial" w:cs="Arial"/>
          <w:sz w:val="20"/>
          <w:szCs w:val="20"/>
          <w:u w:val="single"/>
          <w:lang w:eastAsia="sl-SI"/>
        </w:rPr>
        <w:t>lažitvi podnebnih sprememb«</w:t>
      </w:r>
      <w:r w:rsidRPr="00A36674">
        <w:rPr>
          <w:rFonts w:ascii="Arial" w:eastAsia="Times New Roman" w:hAnsi="Arial" w:cs="Arial"/>
          <w:kern w:val="0"/>
          <w:sz w:val="20"/>
          <w:szCs w:val="20"/>
          <w:lang w:eastAsia="sl-SI"/>
          <w14:ligatures w14:val="none"/>
        </w:rPr>
        <w:t xml:space="preserve"> glede na Uredbo EU 2023/2486: </w:t>
      </w:r>
    </w:p>
    <w:p w14:paraId="1F96E5F3" w14:textId="77777777" w:rsidR="00E95F7A" w:rsidRPr="00E95F7A" w:rsidRDefault="00E95F7A" w:rsidP="00E95F7A">
      <w:pPr>
        <w:pStyle w:val="Default"/>
        <w:ind w:left="705"/>
        <w:jc w:val="both"/>
        <w:rPr>
          <w:rFonts w:ascii="Arial" w:hAnsi="Arial" w:cs="Arial"/>
          <w:color w:val="auto"/>
          <w:sz w:val="18"/>
          <w:szCs w:val="18"/>
        </w:rPr>
      </w:pPr>
      <w:r w:rsidRPr="00E95F7A">
        <w:rPr>
          <w:rFonts w:ascii="Arial" w:hAnsi="Arial" w:cs="Arial"/>
          <w:color w:val="auto"/>
          <w:sz w:val="18"/>
          <w:szCs w:val="18"/>
        </w:rPr>
        <w:t>Za anaerobno razgradnjo blata iz čistilne naprave je vzpostavljen načrt spremljanja za uhajanje metana iz objekta.</w:t>
      </w:r>
    </w:p>
    <w:p w14:paraId="750AFBBD" w14:textId="77777777" w:rsidR="00D675A8" w:rsidRPr="00E15E63" w:rsidRDefault="00D675A8" w:rsidP="00D675A8">
      <w:pPr>
        <w:autoSpaceDE w:val="0"/>
        <w:autoSpaceDN w:val="0"/>
        <w:adjustRightInd w:val="0"/>
        <w:spacing w:line="276" w:lineRule="auto"/>
        <w:jc w:val="both"/>
        <w:rPr>
          <w:rFonts w:ascii="Arial" w:eastAsia="Times New Roman" w:hAnsi="Arial" w:cs="Arial"/>
          <w:color w:val="FF0000"/>
          <w:kern w:val="0"/>
          <w:sz w:val="20"/>
          <w:szCs w:val="20"/>
          <w:lang w:eastAsia="sl-SI"/>
          <w14:ligatures w14:val="none"/>
        </w:rPr>
      </w:pPr>
    </w:p>
    <w:p w14:paraId="4A657F1A" w14:textId="21F279D9"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2 Prilagajanje podnebnim spremembam</w:t>
      </w:r>
    </w:p>
    <w:p w14:paraId="32C9D9BE" w14:textId="77777777" w:rsidR="008A2583" w:rsidRPr="00D86EE6" w:rsidRDefault="008A2583" w:rsidP="00D675A8">
      <w:pPr>
        <w:pStyle w:val="Brezrazmikov"/>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u w:val="single"/>
          <w:lang w:eastAsia="sl-SI"/>
          <w14:ligatures w14:val="none"/>
        </w:rPr>
        <w:t>splošna merila iz Dodatka A</w:t>
      </w:r>
      <w:r w:rsidRPr="00D86EE6">
        <w:rPr>
          <w:rFonts w:ascii="Arial" w:eastAsia="Times New Roman" w:hAnsi="Arial" w:cs="Arial"/>
          <w:kern w:val="0"/>
          <w:sz w:val="20"/>
          <w:szCs w:val="20"/>
          <w:lang w:eastAsia="sl-SI"/>
          <w14:ligatures w14:val="none"/>
        </w:rPr>
        <w:t xml:space="preserve"> delegiranih uredb EU 2021/2139, 2023/2486: </w:t>
      </w:r>
      <w:r w:rsidRPr="00D86EE6">
        <w:rPr>
          <w:rFonts w:ascii="Arial" w:hAnsi="Arial" w:cs="Arial"/>
          <w:sz w:val="20"/>
          <w:szCs w:val="20"/>
          <w:lang w:eastAsia="sl-SI"/>
        </w:rPr>
        <w:t xml:space="preserve">I. Merila – </w:t>
      </w:r>
    </w:p>
    <w:p w14:paraId="04B32AF0" w14:textId="4F77F6A1" w:rsidR="008A2583" w:rsidRPr="00D86EE6" w:rsidRDefault="008A2583" w:rsidP="00747588">
      <w:pPr>
        <w:spacing w:line="276" w:lineRule="auto"/>
        <w:ind w:left="426"/>
        <w:jc w:val="both"/>
        <w:rPr>
          <w:rFonts w:ascii="Arial" w:hAnsi="Arial" w:cs="Arial"/>
          <w:sz w:val="18"/>
          <w:szCs w:val="18"/>
          <w:lang w:eastAsia="sl-SI"/>
        </w:rPr>
      </w:pPr>
      <w:r w:rsidRPr="00D86EE6">
        <w:rPr>
          <w:rFonts w:ascii="Arial" w:hAnsi="Arial" w:cs="Arial"/>
          <w:sz w:val="18"/>
          <w:szCs w:val="18"/>
          <w:lang w:eastAsia="sl-SI"/>
        </w:rPr>
        <w:t>Izmed tveganj, navedenih v preglednici iz oddelka II tega dodatka, so bila z izvedbo zanesljive ocene podnebnih tveganj in ranljivosti opredeljena fizična podnebna tveganja, ki so pomembna za zadevno dejavnost, in sicer z naslednjimi koraki: (a) pregledom dejavnosti za ugotovitev, katera fizična podnebna tveganja s seznama v oddelku II tega dodatka bi lahko vplivala na uspešnost gospodarske dejavnosti med njenim pričakovanim trajanjem; (b) kadar se oceni, da je dejavnost ogrožena zaradi enega ali več fizičnih podnebnih tveganj, navedenih v oddelku II tega dodatka, oceno podnebnih tveganj in ranljivosti, da se oceni pomembnost fizičnih podnebnih tveganj za gospodarsko dejavnost; (c)oceno prilagoditvenih rešitev, ki lahko zmanjšajo opredeljeno fizično podnebno tveganje.</w:t>
      </w:r>
    </w:p>
    <w:p w14:paraId="6882F5A7"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Ocena podnebnih tveganj in ranljivosti je sorazmerna z obsegom dejavnosti in njenim pričakovanim trajanjem, tako da: (a) </w:t>
      </w:r>
      <w:r w:rsidRPr="00D86EE6">
        <w:rPr>
          <w:rFonts w:ascii="Arial" w:hAnsi="Arial" w:cs="Arial"/>
          <w:sz w:val="18"/>
          <w:szCs w:val="18"/>
          <w:lang w:eastAsia="sl-SI"/>
        </w:rPr>
        <w:t>se za dejavnosti, za katere se pričakuje, da bodo trajale manj kot 10 let, ocena izvede, in sicer vsaj z uporabo podnebnih projekcij v najmanjšem primernem obsegu;</w:t>
      </w:r>
      <w:r w:rsidRPr="00D86EE6">
        <w:rPr>
          <w:rFonts w:ascii="Arial" w:eastAsia="Times New Roman" w:hAnsi="Arial" w:cs="Arial"/>
          <w:kern w:val="0"/>
          <w:sz w:val="18"/>
          <w:szCs w:val="18"/>
          <w:lang w:eastAsia="sl-SI"/>
          <w14:ligatures w14:val="none"/>
        </w:rPr>
        <w:t xml:space="preserve"> (b) </w:t>
      </w:r>
      <w:r w:rsidRPr="00D86EE6">
        <w:rPr>
          <w:rFonts w:ascii="Arial" w:hAnsi="Arial" w:cs="Arial"/>
          <w:sz w:val="18"/>
          <w:szCs w:val="18"/>
          <w:lang w:eastAsia="sl-SI"/>
        </w:rPr>
        <w:t>se za vse druge dejavnosti ocena izvede z uporabo najsodobnejših podnebnih projekcij z najvišjo ravnjo podrobnosti, ki je na voljo, za obstoječi razpon prihodnjih scenarijev</w:t>
      </w:r>
      <w:r w:rsidRPr="00D86EE6">
        <w:rPr>
          <w:rStyle w:val="Sprotnaopomba-sklic"/>
          <w:rFonts w:ascii="Arial" w:hAnsi="Arial" w:cs="Arial"/>
          <w:sz w:val="18"/>
          <w:szCs w:val="18"/>
          <w:lang w:eastAsia="sl-SI"/>
        </w:rPr>
        <w:footnoteReference w:id="5"/>
      </w:r>
      <w:r w:rsidRPr="00D86EE6">
        <w:rPr>
          <w:rFonts w:ascii="Arial" w:hAnsi="Arial" w:cs="Arial"/>
          <w:sz w:val="18"/>
          <w:szCs w:val="18"/>
          <w:lang w:eastAsia="sl-SI"/>
        </w:rPr>
        <w:t xml:space="preserve"> v skladu s pričakovanim trajanjem dejavnosti, vključno z vsaj 10- do 30-letnimi scenariji podnebnih projekcij za večje naložbe.</w:t>
      </w:r>
    </w:p>
    <w:p w14:paraId="0316F7EA"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Podnebne projekcije in presoja vplivov temeljijo na dobri praksi in razpoložljivih smernicah ter upoštevajo najsodobnejša znanstvena dognanja v zvezi z analizo ranljivosti in tveganja ter povezanimi metodologijami v skladu z najnovejšimi poročili Medvladnega panela za podnebne spremembe</w:t>
      </w:r>
      <w:r w:rsidRPr="00D86EE6">
        <w:rPr>
          <w:rStyle w:val="Sprotnaopomba-sklic"/>
          <w:rFonts w:ascii="Arial" w:eastAsia="Times New Roman" w:hAnsi="Arial" w:cs="Arial"/>
          <w:kern w:val="0"/>
          <w:sz w:val="18"/>
          <w:szCs w:val="18"/>
          <w:lang w:eastAsia="sl-SI"/>
          <w14:ligatures w14:val="none"/>
        </w:rPr>
        <w:footnoteReference w:id="6"/>
      </w:r>
      <w:r w:rsidRPr="00D86EE6">
        <w:rPr>
          <w:rFonts w:ascii="Arial" w:eastAsia="Times New Roman" w:hAnsi="Arial" w:cs="Arial"/>
          <w:kern w:val="0"/>
          <w:sz w:val="18"/>
          <w:szCs w:val="18"/>
          <w:lang w:eastAsia="sl-SI"/>
          <w14:ligatures w14:val="none"/>
        </w:rPr>
        <w:t>, strokovno pregledanimi znanstvenimi publikacijami ter odprtokodnimi</w:t>
      </w:r>
      <w:r w:rsidRPr="00D86EE6">
        <w:rPr>
          <w:rStyle w:val="Sprotnaopomba-sklic"/>
          <w:rFonts w:ascii="Arial" w:eastAsia="Times New Roman" w:hAnsi="Arial" w:cs="Arial"/>
          <w:kern w:val="0"/>
          <w:sz w:val="18"/>
          <w:szCs w:val="18"/>
          <w:lang w:eastAsia="sl-SI"/>
          <w14:ligatures w14:val="none"/>
        </w:rPr>
        <w:footnoteReference w:id="7"/>
      </w:r>
      <w:r w:rsidRPr="00D86EE6">
        <w:rPr>
          <w:rFonts w:ascii="Arial" w:eastAsia="Times New Roman" w:hAnsi="Arial" w:cs="Arial"/>
          <w:kern w:val="0"/>
          <w:sz w:val="18"/>
          <w:szCs w:val="18"/>
          <w:lang w:eastAsia="sl-SI"/>
          <w14:ligatures w14:val="none"/>
        </w:rPr>
        <w:t xml:space="preserve"> ali plačljivimi modeli.</w:t>
      </w:r>
    </w:p>
    <w:p w14:paraId="2331833B"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Za obstoječe dejavnosti in nove dejavnosti, ki uporabljajo obstoječa fizična sredstva, gospodarski subjekt v največ petih letih izvede fizične in nefizične rešitve (v nadaljnjem besedilu: prilagoditvene rešitve), ki </w:t>
      </w:r>
      <w:r w:rsidRPr="00D86EE6">
        <w:rPr>
          <w:rFonts w:ascii="Arial" w:eastAsia="Times New Roman" w:hAnsi="Arial" w:cs="Arial"/>
          <w:kern w:val="0"/>
          <w:sz w:val="18"/>
          <w:szCs w:val="18"/>
          <w:lang w:eastAsia="sl-SI"/>
          <w14:ligatures w14:val="none"/>
        </w:rPr>
        <w:lastRenderedPageBreak/>
        <w:t>zmanjšujejo največja opredeljena fizična podnebna tveganja, pomembna za navedeno dejavnost. Ustrezno se pripravi prilagoditveni načrt za izvedbo navedenih rešitev.</w:t>
      </w:r>
    </w:p>
    <w:p w14:paraId="3D844341"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Za nove dejavnosti in obstoječe dejavnosti, ki uporabljajo novozgrajena fizična sredstva, gospodarski subjekt vključi prilagoditvene rešitve, ki zmanjšujejo največja opredeljena fizična podnebna tveganja, pomembna za navedeno dejavnost, v fazi zasnove in gradnje ter jih izvede pred začetkom operacij.</w:t>
      </w:r>
    </w:p>
    <w:p w14:paraId="1614F6C6" w14:textId="77777777" w:rsidR="008A2583" w:rsidRPr="00D86EE6" w:rsidRDefault="008A2583" w:rsidP="008A2583">
      <w:pPr>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Izvedene prilagoditvene rešitve ne vplivajo škodljivo na prizadevanja za prilagajanje ali raven odpornosti drugih ljudi, narave, kulturne dediščine, sredstev in drugih gospodarskih dejavnosti na fizična podnebna tveganja, so skladne z lokalnimi, sektorskimi, regionalnimi ali nacionalnimi strategijami in načrti prilagajanja ter upoštevajo uporabo sonaravnih rešitev</w:t>
      </w:r>
      <w:r w:rsidRPr="00D86EE6">
        <w:rPr>
          <w:rStyle w:val="Sprotnaopomba-sklic"/>
          <w:rFonts w:ascii="Arial" w:eastAsia="Times New Roman" w:hAnsi="Arial" w:cs="Arial"/>
          <w:kern w:val="0"/>
          <w:sz w:val="18"/>
          <w:szCs w:val="18"/>
          <w:lang w:eastAsia="sl-SI"/>
          <w14:ligatures w14:val="none"/>
        </w:rPr>
        <w:footnoteReference w:id="8"/>
      </w:r>
      <w:r w:rsidRPr="00D86EE6">
        <w:rPr>
          <w:rFonts w:ascii="Arial" w:eastAsia="Times New Roman" w:hAnsi="Arial" w:cs="Arial"/>
          <w:kern w:val="0"/>
          <w:sz w:val="18"/>
          <w:szCs w:val="18"/>
          <w:lang w:eastAsia="sl-SI"/>
          <w14:ligatures w14:val="none"/>
        </w:rPr>
        <w:t xml:space="preserve"> ali se v največji možni meri opirajo na modro ali zeleno</w:t>
      </w:r>
      <w:r w:rsidRPr="00D86EE6">
        <w:rPr>
          <w:rStyle w:val="Sprotnaopomba-sklic"/>
          <w:rFonts w:ascii="Arial" w:eastAsia="Times New Roman" w:hAnsi="Arial" w:cs="Arial"/>
          <w:kern w:val="0"/>
          <w:sz w:val="18"/>
          <w:szCs w:val="18"/>
          <w:lang w:eastAsia="sl-SI"/>
          <w14:ligatures w14:val="none"/>
        </w:rPr>
        <w:footnoteReference w:id="9"/>
      </w:r>
      <w:r w:rsidRPr="00D86EE6">
        <w:rPr>
          <w:rFonts w:ascii="Arial" w:eastAsia="Times New Roman" w:hAnsi="Arial" w:cs="Arial"/>
          <w:kern w:val="0"/>
          <w:sz w:val="18"/>
          <w:szCs w:val="18"/>
          <w:lang w:eastAsia="sl-SI"/>
          <w14:ligatures w14:val="none"/>
        </w:rPr>
        <w:t xml:space="preserve"> infrastrukturo.</w:t>
      </w:r>
    </w:p>
    <w:p w14:paraId="1D6353D1" w14:textId="7ADDDFD2" w:rsidR="008A2583" w:rsidRDefault="008A2583" w:rsidP="00656535">
      <w:pPr>
        <w:spacing w:line="276" w:lineRule="auto"/>
        <w:jc w:val="both"/>
        <w:rPr>
          <w:rFonts w:ascii="Arial" w:eastAsia="Times New Roman" w:hAnsi="Arial" w:cs="Arial"/>
          <w:kern w:val="0"/>
          <w:sz w:val="20"/>
          <w:szCs w:val="20"/>
          <w:lang w:eastAsia="sl-SI"/>
          <w14:ligatures w14:val="none"/>
        </w:rPr>
      </w:pPr>
      <w:r w:rsidRPr="00D86EE6">
        <w:rPr>
          <w:rFonts w:ascii="Arial" w:eastAsia="Times New Roman" w:hAnsi="Arial" w:cs="Arial"/>
          <w:kern w:val="0"/>
          <w:sz w:val="20"/>
          <w:szCs w:val="20"/>
          <w:lang w:eastAsia="sl-SI"/>
          <w14:ligatures w14:val="none"/>
        </w:rPr>
        <w:t>II. Klasifikacija nevarnosti, povezanih s podnebjem</w:t>
      </w:r>
      <w:r w:rsidRPr="00D86EE6">
        <w:rPr>
          <w:rStyle w:val="Sprotnaopomba-sklic"/>
          <w:rFonts w:ascii="Arial" w:eastAsia="Times New Roman" w:hAnsi="Arial" w:cs="Arial"/>
          <w:kern w:val="0"/>
          <w:sz w:val="20"/>
          <w:szCs w:val="20"/>
          <w:lang w:eastAsia="sl-SI"/>
          <w14:ligatures w14:val="none"/>
        </w:rPr>
        <w:footnoteReference w:id="10"/>
      </w:r>
      <w:r w:rsidRPr="00D86EE6">
        <w:rPr>
          <w:rFonts w:ascii="Arial" w:eastAsia="Times New Roman" w:hAnsi="Arial" w:cs="Arial"/>
          <w:kern w:val="0"/>
          <w:sz w:val="20"/>
          <w:szCs w:val="20"/>
          <w:lang w:eastAsia="sl-SI"/>
          <w14:ligatures w14:val="none"/>
        </w:rPr>
        <w:t xml:space="preserve"> (tabela str. 24, Uredbe 2023/2486).</w:t>
      </w:r>
    </w:p>
    <w:p w14:paraId="1C295729" w14:textId="77777777" w:rsidR="00B77227" w:rsidRPr="00656535" w:rsidRDefault="00B77227" w:rsidP="00656535">
      <w:pPr>
        <w:spacing w:line="276" w:lineRule="auto"/>
        <w:jc w:val="both"/>
        <w:rPr>
          <w:rFonts w:ascii="Arial" w:eastAsia="Times New Roman" w:hAnsi="Arial" w:cs="Arial"/>
          <w:kern w:val="0"/>
          <w:sz w:val="20"/>
          <w:szCs w:val="20"/>
          <w:lang w:eastAsia="sl-SI"/>
          <w14:ligatures w14:val="none"/>
        </w:rPr>
      </w:pPr>
    </w:p>
    <w:p w14:paraId="06934A60" w14:textId="2F1056CF" w:rsidR="008A2583" w:rsidRPr="00D86EE6" w:rsidRDefault="008A2583" w:rsidP="00D675A8">
      <w:pPr>
        <w:pStyle w:val="Brezrazmikov"/>
        <w:rPr>
          <w:rFonts w:ascii="Arial" w:hAnsi="Arial" w:cs="Arial"/>
          <w:b/>
          <w:bCs/>
          <w:sz w:val="20"/>
          <w:szCs w:val="20"/>
        </w:rPr>
      </w:pPr>
      <w:r w:rsidRPr="00D86EE6">
        <w:rPr>
          <w:rFonts w:ascii="Arial" w:hAnsi="Arial" w:cs="Arial"/>
          <w:b/>
          <w:bCs/>
          <w:sz w:val="20"/>
          <w:szCs w:val="20"/>
          <w:lang w:eastAsia="sl-SI"/>
        </w:rPr>
        <w:t xml:space="preserve">3 Trajnostna raba ter varstvo vodnih in morskih virov </w:t>
      </w:r>
    </w:p>
    <w:p w14:paraId="5B99095C" w14:textId="77777777" w:rsidR="008A2583" w:rsidRPr="00D86EE6" w:rsidRDefault="008A2583" w:rsidP="00D675A8">
      <w:pPr>
        <w:pStyle w:val="Brezrazmikov"/>
        <w:rPr>
          <w:rFonts w:ascii="Arial" w:eastAsia="Times New Roman" w:hAnsi="Arial" w:cs="Arial"/>
          <w:kern w:val="0"/>
          <w:sz w:val="20"/>
          <w:szCs w:val="20"/>
          <w:u w:val="single"/>
          <w:lang w:eastAsia="sl-SI"/>
          <w14:ligatures w14:val="none"/>
        </w:rPr>
      </w:pPr>
      <w:r w:rsidRPr="00D86EE6">
        <w:rPr>
          <w:rFonts w:ascii="Arial" w:eastAsia="Times New Roman" w:hAnsi="Arial" w:cs="Arial"/>
          <w:kern w:val="0"/>
          <w:sz w:val="20"/>
          <w:szCs w:val="20"/>
          <w:u w:val="single"/>
          <w:lang w:eastAsia="sl-SI"/>
          <w14:ligatures w14:val="none"/>
        </w:rPr>
        <w:t>merila iz Dodatka B</w:t>
      </w:r>
      <w:r w:rsidRPr="00D86EE6">
        <w:rPr>
          <w:rFonts w:ascii="Arial" w:eastAsia="Times New Roman" w:hAnsi="Arial" w:cs="Arial"/>
          <w:kern w:val="0"/>
          <w:sz w:val="20"/>
          <w:szCs w:val="20"/>
          <w:lang w:eastAsia="sl-SI"/>
          <w14:ligatures w14:val="none"/>
        </w:rPr>
        <w:t xml:space="preserve"> delegiranih uredb EU 2021/2139, 2023/2485:</w:t>
      </w:r>
    </w:p>
    <w:p w14:paraId="1908E903" w14:textId="77D0B963" w:rsidR="008A2583" w:rsidRPr="00D86EE6" w:rsidRDefault="008A2583" w:rsidP="00747588">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Evropskega parlamenta in Sveta</w:t>
      </w:r>
      <w:r w:rsidRPr="00D86EE6">
        <w:rPr>
          <w:rStyle w:val="Sprotnaopomba-sklic"/>
          <w:rFonts w:ascii="Arial" w:eastAsia="Times New Roman" w:hAnsi="Arial" w:cs="Arial"/>
          <w:kern w:val="0"/>
          <w:sz w:val="18"/>
          <w:szCs w:val="18"/>
          <w:lang w:eastAsia="sl-SI"/>
          <w14:ligatures w14:val="none"/>
        </w:rPr>
        <w:footnoteReference w:id="11"/>
      </w:r>
      <w:r w:rsidRPr="00D86EE6">
        <w:rPr>
          <w:rFonts w:ascii="Arial" w:eastAsia="Times New Roman" w:hAnsi="Arial" w:cs="Arial"/>
          <w:kern w:val="0"/>
          <w:sz w:val="18"/>
          <w:szCs w:val="18"/>
          <w:lang w:eastAsia="sl-SI"/>
          <w14:ligatures w14:val="none"/>
        </w:rPr>
        <w:t xml:space="preserve"> ter načrtom upravljanja rabe in varstva voda, ki se na njeni podlagi pripravi za morebiti prizadeta vodna telesa v posvetovanju z ustreznimi deležniki. </w:t>
      </w:r>
    </w:p>
    <w:p w14:paraId="05DFE2B9"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se presoja vplivov na okolje izvede v skladu z Direktivo 2011/92/EU Evropskega parlamenta in Sveta</w:t>
      </w:r>
      <w:r w:rsidRPr="00D86EE6">
        <w:rPr>
          <w:rStyle w:val="Sprotnaopomba-sklic"/>
          <w:rFonts w:ascii="Arial" w:eastAsia="Times New Roman" w:hAnsi="Arial" w:cs="Arial"/>
          <w:kern w:val="0"/>
          <w:sz w:val="18"/>
          <w:szCs w:val="18"/>
          <w:lang w:eastAsia="sl-SI"/>
          <w14:ligatures w14:val="none"/>
        </w:rPr>
        <w:footnoteReference w:id="12"/>
      </w:r>
      <w:r w:rsidRPr="00D86EE6">
        <w:rPr>
          <w:rFonts w:ascii="Arial" w:eastAsia="Times New Roman" w:hAnsi="Arial" w:cs="Arial"/>
          <w:kern w:val="0"/>
          <w:sz w:val="18"/>
          <w:szCs w:val="18"/>
          <w:lang w:eastAsia="sl-SI"/>
          <w14:ligatures w14:val="none"/>
        </w:rPr>
        <w:t xml:space="preserve">  in vključuje presojo vpliva na vodo v skladu z Direktivo 2000/60/ES, se dodatna presoja vpliva na vodo ne zahteva, če so bila ugotovljena tveganja obravnavana.</w:t>
      </w:r>
    </w:p>
    <w:p w14:paraId="79098362" w14:textId="77777777" w:rsidR="008A2583" w:rsidRPr="00D86EE6" w:rsidRDefault="008A2583" w:rsidP="008A2583">
      <w:pPr>
        <w:autoSpaceDE w:val="0"/>
        <w:autoSpaceDN w:val="0"/>
        <w:adjustRightInd w:val="0"/>
        <w:spacing w:line="276" w:lineRule="auto"/>
        <w:ind w:left="426"/>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 xml:space="preserve">Dejavnost ne ovira doseganja dobrega </w:t>
      </w:r>
      <w:proofErr w:type="spellStart"/>
      <w:r w:rsidRPr="00D86EE6">
        <w:rPr>
          <w:rFonts w:ascii="Arial" w:eastAsia="Times New Roman" w:hAnsi="Arial" w:cs="Arial"/>
          <w:kern w:val="0"/>
          <w:sz w:val="18"/>
          <w:szCs w:val="18"/>
          <w:lang w:eastAsia="sl-SI"/>
          <w14:ligatures w14:val="none"/>
        </w:rPr>
        <w:t>okoljskega</w:t>
      </w:r>
      <w:proofErr w:type="spellEnd"/>
      <w:r w:rsidRPr="00D86EE6">
        <w:rPr>
          <w:rFonts w:ascii="Arial" w:eastAsia="Times New Roman" w:hAnsi="Arial" w:cs="Arial"/>
          <w:kern w:val="0"/>
          <w:sz w:val="18"/>
          <w:szCs w:val="18"/>
          <w:lang w:eastAsia="sl-SI"/>
          <w14:ligatures w14:val="none"/>
        </w:rPr>
        <w:t xml:space="preserve"> stanja morskih voda ali ne poslabša morskih voda, ki so že v dobrem </w:t>
      </w:r>
      <w:proofErr w:type="spellStart"/>
      <w:r w:rsidRPr="00D86EE6">
        <w:rPr>
          <w:rFonts w:ascii="Arial" w:eastAsia="Times New Roman" w:hAnsi="Arial" w:cs="Arial"/>
          <w:kern w:val="0"/>
          <w:sz w:val="18"/>
          <w:szCs w:val="18"/>
          <w:lang w:eastAsia="sl-SI"/>
          <w14:ligatures w14:val="none"/>
        </w:rPr>
        <w:t>okoljskem</w:t>
      </w:r>
      <w:proofErr w:type="spellEnd"/>
      <w:r w:rsidRPr="00D86EE6">
        <w:rPr>
          <w:rFonts w:ascii="Arial" w:eastAsia="Times New Roman" w:hAnsi="Arial" w:cs="Arial"/>
          <w:kern w:val="0"/>
          <w:sz w:val="18"/>
          <w:szCs w:val="18"/>
          <w:lang w:eastAsia="sl-SI"/>
          <w14:ligatures w14:val="none"/>
        </w:rPr>
        <w:t xml:space="preserve"> stanju, kot je opredeljeno v členu 3, točka 5, Direktive 2008/56/ES</w:t>
      </w:r>
      <w:r w:rsidRPr="00D86EE6">
        <w:rPr>
          <w:rStyle w:val="Sprotnaopomba-sklic"/>
          <w:rFonts w:ascii="Arial" w:eastAsia="Times New Roman" w:hAnsi="Arial" w:cs="Arial"/>
          <w:kern w:val="0"/>
          <w:sz w:val="18"/>
          <w:szCs w:val="18"/>
          <w:lang w:eastAsia="sl-SI"/>
          <w14:ligatures w14:val="none"/>
        </w:rPr>
        <w:footnoteReference w:id="13"/>
      </w:r>
      <w:r w:rsidRPr="00D86EE6">
        <w:rPr>
          <w:rFonts w:ascii="Arial" w:eastAsia="Times New Roman" w:hAnsi="Arial" w:cs="Arial"/>
          <w:kern w:val="0"/>
          <w:sz w:val="18"/>
          <w:szCs w:val="18"/>
          <w:lang w:eastAsia="sl-SI"/>
          <w14:ligatures w14:val="none"/>
        </w:rPr>
        <w:t xml:space="preserve"> Evropskega parlamenta in Sveta, ob upoštevanju Sklepa Komisije (EU) 2017/848 v zvezi z ustreznimi merili in metodološkimi standardi za navedene deskriptorje.</w:t>
      </w:r>
    </w:p>
    <w:p w14:paraId="4B88C7E1" w14:textId="77777777" w:rsidR="00D86EE6" w:rsidRDefault="00D86EE6" w:rsidP="00D86EE6">
      <w:pPr>
        <w:autoSpaceDE w:val="0"/>
        <w:autoSpaceDN w:val="0"/>
        <w:adjustRightInd w:val="0"/>
        <w:spacing w:line="260" w:lineRule="exact"/>
        <w:jc w:val="both"/>
        <w:rPr>
          <w:rFonts w:ascii="Arial" w:eastAsia="Times New Roman" w:hAnsi="Arial" w:cs="Arial"/>
          <w:kern w:val="0"/>
          <w:sz w:val="20"/>
          <w:szCs w:val="20"/>
          <w:lang w:eastAsia="sl-SI"/>
          <w14:ligatures w14:val="none"/>
        </w:rPr>
      </w:pPr>
      <w:r w:rsidRPr="00AF059B">
        <w:rPr>
          <w:rFonts w:ascii="Arial" w:eastAsia="Times New Roman" w:hAnsi="Arial" w:cs="Arial"/>
          <w:kern w:val="0"/>
          <w:sz w:val="20"/>
          <w:szCs w:val="20"/>
          <w:lang w:eastAsia="sl-SI"/>
          <w14:ligatures w14:val="none"/>
        </w:rPr>
        <w:t xml:space="preserve">Pri bistvenem prispevku k »blažitvi podnebnih sprememb« velja še </w:t>
      </w:r>
      <w:r w:rsidRPr="00AF059B">
        <w:rPr>
          <w:rFonts w:ascii="Arial" w:eastAsia="Times New Roman" w:hAnsi="Arial" w:cs="Arial"/>
          <w:kern w:val="0"/>
          <w:sz w:val="20"/>
          <w:szCs w:val="20"/>
          <w:u w:val="single"/>
          <w:lang w:eastAsia="sl-SI"/>
          <w14:ligatures w14:val="none"/>
        </w:rPr>
        <w:t xml:space="preserve">dodatno merilo nebistvenega škodovanja k »trajnostni rabi ter varstvu vodnih in morskih virov« </w:t>
      </w:r>
      <w:r w:rsidRPr="00AF059B">
        <w:rPr>
          <w:rFonts w:ascii="Arial" w:eastAsia="Times New Roman" w:hAnsi="Arial" w:cs="Arial"/>
          <w:kern w:val="0"/>
          <w:sz w:val="20"/>
          <w:szCs w:val="20"/>
          <w:lang w:eastAsia="sl-SI"/>
          <w14:ligatures w14:val="none"/>
        </w:rPr>
        <w:t xml:space="preserve">glede na Uredbo EU 2021/2139: </w:t>
      </w:r>
    </w:p>
    <w:p w14:paraId="5968E57E" w14:textId="77777777" w:rsidR="00D86EE6" w:rsidRPr="00D86EE6" w:rsidRDefault="00D86EE6" w:rsidP="00D86EE6">
      <w:pPr>
        <w:autoSpaceDE w:val="0"/>
        <w:autoSpaceDN w:val="0"/>
        <w:adjustRightInd w:val="0"/>
        <w:spacing w:line="260" w:lineRule="exact"/>
        <w:ind w:left="708"/>
        <w:jc w:val="both"/>
        <w:rPr>
          <w:rFonts w:ascii="Arial" w:eastAsia="Times New Roman" w:hAnsi="Arial" w:cs="Arial"/>
          <w:kern w:val="0"/>
          <w:sz w:val="18"/>
          <w:szCs w:val="18"/>
          <w:lang w:eastAsia="sl-SI"/>
          <w14:ligatures w14:val="none"/>
        </w:rPr>
      </w:pPr>
      <w:r w:rsidRPr="00D86EE6">
        <w:rPr>
          <w:rFonts w:ascii="Arial" w:eastAsia="Times New Roman" w:hAnsi="Arial" w:cs="Arial"/>
          <w:kern w:val="0"/>
          <w:sz w:val="18"/>
          <w:szCs w:val="18"/>
          <w:lang w:eastAsia="sl-SI"/>
          <w14:ligatures w14:val="none"/>
        </w:rPr>
        <w:t>Če so odpadne vode očiščene do stopnje, ki je primerna za ponovno uporabo pri namakanju v kmetijstvu, se določijo in izvajajo ukrepi za obvladovanje tveganja, da se preprečijo škodljivi vplivi na okolje</w:t>
      </w:r>
      <w:r w:rsidRPr="00D86EE6">
        <w:rPr>
          <w:rStyle w:val="Sprotnaopomba-sklic"/>
          <w:rFonts w:ascii="Arial" w:eastAsia="Times New Roman" w:hAnsi="Arial"/>
          <w:kern w:val="0"/>
          <w:sz w:val="18"/>
          <w:szCs w:val="18"/>
          <w:lang w:eastAsia="sl-SI"/>
          <w14:ligatures w14:val="none"/>
        </w:rPr>
        <w:footnoteReference w:id="14"/>
      </w:r>
      <w:r w:rsidRPr="00D86EE6">
        <w:rPr>
          <w:rFonts w:ascii="Arial" w:eastAsia="Times New Roman" w:hAnsi="Arial" w:cs="Arial"/>
          <w:kern w:val="0"/>
          <w:sz w:val="18"/>
          <w:szCs w:val="18"/>
          <w:lang w:eastAsia="sl-SI"/>
          <w14:ligatures w14:val="none"/>
        </w:rPr>
        <w:t>.</w:t>
      </w:r>
    </w:p>
    <w:p w14:paraId="293E066A" w14:textId="77777777" w:rsidR="00D86EE6" w:rsidRDefault="00D86EE6" w:rsidP="008A2583">
      <w:pPr>
        <w:pStyle w:val="Odstavekseznama"/>
        <w:spacing w:line="276" w:lineRule="auto"/>
        <w:ind w:left="0"/>
        <w:jc w:val="both"/>
        <w:rPr>
          <w:rFonts w:ascii="Arial" w:hAnsi="Arial" w:cs="Arial"/>
          <w:b/>
          <w:bCs/>
          <w:color w:val="FF0000"/>
          <w:sz w:val="20"/>
          <w:szCs w:val="20"/>
          <w:lang w:eastAsia="sl-SI"/>
        </w:rPr>
      </w:pPr>
    </w:p>
    <w:p w14:paraId="48A54A52" w14:textId="77777777" w:rsidR="00B77227" w:rsidRDefault="00B77227" w:rsidP="008A2583">
      <w:pPr>
        <w:pStyle w:val="Odstavekseznama"/>
        <w:spacing w:line="276" w:lineRule="auto"/>
        <w:ind w:left="0"/>
        <w:jc w:val="both"/>
        <w:rPr>
          <w:rFonts w:ascii="Arial" w:hAnsi="Arial" w:cs="Arial"/>
          <w:b/>
          <w:bCs/>
          <w:color w:val="FF0000"/>
          <w:sz w:val="20"/>
          <w:szCs w:val="20"/>
          <w:lang w:eastAsia="sl-SI"/>
        </w:rPr>
      </w:pPr>
    </w:p>
    <w:p w14:paraId="0092045B" w14:textId="283C3806"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hAnsi="Arial" w:cs="Arial"/>
          <w:b/>
          <w:bCs/>
          <w:sz w:val="20"/>
          <w:szCs w:val="20"/>
          <w:lang w:eastAsia="sl-SI"/>
        </w:rPr>
        <w:lastRenderedPageBreak/>
        <w:t>4 Prehod na krožno gospodarstvo</w:t>
      </w:r>
    </w:p>
    <w:p w14:paraId="7BC7A258" w14:textId="24197B0A" w:rsidR="008A2583" w:rsidRPr="00D86EE6" w:rsidRDefault="008A2583" w:rsidP="008A2583">
      <w:pPr>
        <w:pStyle w:val="Odstavekseznama"/>
        <w:spacing w:line="276" w:lineRule="auto"/>
        <w:ind w:left="0"/>
        <w:jc w:val="both"/>
        <w:rPr>
          <w:rFonts w:ascii="Arial" w:hAnsi="Arial" w:cs="Arial"/>
          <w:b/>
          <w:bCs/>
          <w:sz w:val="20"/>
          <w:szCs w:val="20"/>
          <w:lang w:eastAsia="sl-SI"/>
        </w:rPr>
      </w:pPr>
      <w:r w:rsidRPr="00D86EE6">
        <w:rPr>
          <w:rFonts w:ascii="Arial" w:eastAsia="Times New Roman" w:hAnsi="Arial" w:cs="Arial"/>
          <w:kern w:val="0"/>
          <w:sz w:val="20"/>
          <w:szCs w:val="20"/>
          <w:lang w:eastAsia="sl-SI"/>
          <w14:ligatures w14:val="none"/>
        </w:rPr>
        <w:t>Merila za nebistveno škodovanje delegiranih uredb EU 2021/2139, 2023/2486: Ni relevantno.</w:t>
      </w:r>
    </w:p>
    <w:p w14:paraId="79E25AF0" w14:textId="77777777" w:rsidR="008A2583" w:rsidRDefault="008A2583" w:rsidP="008A2583">
      <w:pPr>
        <w:pStyle w:val="Odstavekseznama"/>
        <w:spacing w:line="276" w:lineRule="auto"/>
        <w:ind w:left="0"/>
        <w:jc w:val="both"/>
        <w:rPr>
          <w:rFonts w:cs="Arial"/>
          <w:b/>
          <w:bCs/>
          <w:color w:val="FF0000"/>
          <w:szCs w:val="20"/>
          <w:lang w:eastAsia="sl-SI"/>
        </w:rPr>
      </w:pPr>
    </w:p>
    <w:p w14:paraId="75B3C53A" w14:textId="77777777" w:rsidR="00B77227" w:rsidRPr="00E15E63" w:rsidRDefault="00B77227" w:rsidP="008A2583">
      <w:pPr>
        <w:pStyle w:val="Odstavekseznama"/>
        <w:spacing w:line="276" w:lineRule="auto"/>
        <w:ind w:left="0"/>
        <w:jc w:val="both"/>
        <w:rPr>
          <w:rFonts w:cs="Arial"/>
          <w:b/>
          <w:bCs/>
          <w:color w:val="FF0000"/>
          <w:szCs w:val="20"/>
          <w:lang w:eastAsia="sl-SI"/>
        </w:rPr>
      </w:pPr>
    </w:p>
    <w:p w14:paraId="3E4DCD28" w14:textId="0AEE4123" w:rsidR="008A2583" w:rsidRPr="00D86EE6" w:rsidRDefault="008A2583" w:rsidP="008A2583">
      <w:pPr>
        <w:pStyle w:val="Odstavekseznama"/>
        <w:spacing w:after="0" w:line="260" w:lineRule="exact"/>
        <w:ind w:left="0"/>
        <w:jc w:val="both"/>
        <w:rPr>
          <w:rFonts w:ascii="Arial" w:hAnsi="Arial" w:cs="Arial"/>
          <w:b/>
          <w:bCs/>
          <w:sz w:val="20"/>
          <w:szCs w:val="20"/>
          <w:lang w:eastAsia="sl-SI"/>
        </w:rPr>
      </w:pPr>
      <w:r w:rsidRPr="00D86EE6">
        <w:rPr>
          <w:rFonts w:ascii="Arial" w:hAnsi="Arial" w:cs="Arial"/>
          <w:b/>
          <w:bCs/>
          <w:sz w:val="20"/>
          <w:szCs w:val="20"/>
          <w:lang w:eastAsia="sl-SI"/>
        </w:rPr>
        <w:t>5 Preprečevanje in nadzorovanje onesnaževanja</w:t>
      </w:r>
    </w:p>
    <w:p w14:paraId="08403C52" w14:textId="77777777" w:rsidR="00747588" w:rsidRDefault="008A2583" w:rsidP="00747588">
      <w:pPr>
        <w:spacing w:line="260" w:lineRule="exact"/>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20"/>
          <w:szCs w:val="20"/>
          <w:lang w:eastAsia="sl-SI"/>
          <w14:ligatures w14:val="none"/>
        </w:rPr>
        <w:t xml:space="preserve">Merila za nebistveno škodovanje delegiranih uredb EU 2021/2139, 2023/2486: </w:t>
      </w:r>
      <w:r w:rsidR="00747588">
        <w:rPr>
          <w:rFonts w:ascii="Arial" w:eastAsia="Times New Roman" w:hAnsi="Arial" w:cs="Arial"/>
          <w:kern w:val="0"/>
          <w:sz w:val="20"/>
          <w:szCs w:val="20"/>
          <w:lang w:eastAsia="sl-SI"/>
          <w14:ligatures w14:val="none"/>
        </w:rPr>
        <w:tab/>
      </w:r>
    </w:p>
    <w:p w14:paraId="1192465A" w14:textId="125CAC07" w:rsidR="00747588" w:rsidRPr="00747588" w:rsidRDefault="00747588" w:rsidP="00747588">
      <w:pPr>
        <w:spacing w:line="260" w:lineRule="exact"/>
        <w:ind w:left="708"/>
        <w:jc w:val="both"/>
        <w:rPr>
          <w:rFonts w:ascii="Arial" w:eastAsia="Times New Roman" w:hAnsi="Arial" w:cs="Arial"/>
          <w:kern w:val="0"/>
          <w:sz w:val="20"/>
          <w:szCs w:val="20"/>
          <w:lang w:eastAsia="sl-SI"/>
          <w14:ligatures w14:val="none"/>
        </w:rPr>
      </w:pPr>
      <w:r w:rsidRPr="00747588">
        <w:rPr>
          <w:rFonts w:ascii="Arial" w:eastAsia="Times New Roman" w:hAnsi="Arial" w:cs="Arial"/>
          <w:kern w:val="0"/>
          <w:sz w:val="18"/>
          <w:szCs w:val="18"/>
          <w:lang w:eastAsia="sl-SI"/>
          <w14:ligatures w14:val="none"/>
        </w:rPr>
        <w:t>Izpusti v sprejemne vode izpolnjujejo zahteve iz Direktive Sveta 91/271/EGS</w:t>
      </w:r>
      <w:r w:rsidRPr="00747588">
        <w:rPr>
          <w:rStyle w:val="Sprotnaopomba-sklic"/>
          <w:rFonts w:ascii="Arial" w:eastAsia="Times New Roman" w:hAnsi="Arial"/>
          <w:kern w:val="0"/>
          <w:sz w:val="18"/>
          <w:szCs w:val="18"/>
          <w:lang w:eastAsia="sl-SI"/>
          <w14:ligatures w14:val="none"/>
        </w:rPr>
        <w:footnoteReference w:id="15"/>
      </w:r>
      <w:r w:rsidRPr="00747588">
        <w:rPr>
          <w:rFonts w:ascii="Arial" w:eastAsia="Times New Roman" w:hAnsi="Arial" w:cs="Arial"/>
          <w:kern w:val="0"/>
          <w:sz w:val="18"/>
          <w:szCs w:val="18"/>
          <w:lang w:eastAsia="sl-SI"/>
          <w14:ligatures w14:val="none"/>
        </w:rPr>
        <w:t xml:space="preserve"> ali iz nacionalnih določb, ki navajajo najvišje dovoljene ravni onesnaževal za izpuste v sprejemne vode. </w:t>
      </w:r>
    </w:p>
    <w:p w14:paraId="58AAEB5D" w14:textId="3014306B" w:rsid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 xml:space="preserve">Izvajajo se ustrezni ukrepi za preprečevanje in ublažitev čezmernega prelivanja meteorne vode iz sistema za zbiranje odpadnih voda, kar lahko vključuje sonaravne rešitve, sisteme ločenega zbiranja meteorne vode, rezervoarje za zadrževanje in čiščenje vode iz začetnega izplakovanja. </w:t>
      </w:r>
    </w:p>
    <w:p w14:paraId="22E54C4F" w14:textId="0812EA15" w:rsidR="00747588" w:rsidRPr="00747588" w:rsidRDefault="00747588" w:rsidP="00747588">
      <w:pPr>
        <w:spacing w:line="260" w:lineRule="exact"/>
        <w:ind w:left="708"/>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Blato iz čistilne naprave se uporablja v skladu z Direktivo Sveta 86/278/EGS</w:t>
      </w:r>
      <w:r w:rsidRPr="00747588">
        <w:rPr>
          <w:rStyle w:val="Sprotnaopomba-sklic"/>
          <w:rFonts w:ascii="Arial" w:eastAsia="Times New Roman" w:hAnsi="Arial"/>
          <w:kern w:val="0"/>
          <w:sz w:val="18"/>
          <w:szCs w:val="18"/>
          <w:lang w:eastAsia="sl-SI"/>
          <w14:ligatures w14:val="none"/>
        </w:rPr>
        <w:footnoteReference w:id="16"/>
      </w:r>
      <w:r w:rsidRPr="00747588">
        <w:rPr>
          <w:rFonts w:ascii="Arial" w:eastAsia="Times New Roman" w:hAnsi="Arial" w:cs="Arial"/>
          <w:kern w:val="0"/>
          <w:sz w:val="18"/>
          <w:szCs w:val="18"/>
          <w:lang w:eastAsia="sl-SI"/>
          <w14:ligatures w14:val="none"/>
        </w:rPr>
        <w:t xml:space="preserve"> ali z zahtevami nacionalnega prava v zvezi z nanašanjem blata na tla ali kakršno koli drugo uporabo blata na in v tleh.</w:t>
      </w:r>
    </w:p>
    <w:p w14:paraId="740C9CB9" w14:textId="77777777" w:rsidR="00747588" w:rsidRPr="00747588" w:rsidRDefault="00747588" w:rsidP="00D675A8">
      <w:pPr>
        <w:spacing w:line="260" w:lineRule="exact"/>
        <w:jc w:val="both"/>
        <w:rPr>
          <w:rFonts w:ascii="Arial" w:eastAsia="Times New Roman" w:hAnsi="Arial" w:cs="Arial"/>
          <w:kern w:val="0"/>
          <w:sz w:val="20"/>
          <w:szCs w:val="20"/>
          <w:lang w:eastAsia="sl-SI"/>
          <w14:ligatures w14:val="none"/>
        </w:rPr>
      </w:pPr>
    </w:p>
    <w:p w14:paraId="61FBBE59" w14:textId="433516F7" w:rsidR="008A2583" w:rsidRPr="00747588" w:rsidRDefault="008A2583" w:rsidP="00D675A8">
      <w:pPr>
        <w:pStyle w:val="Brezrazmikov"/>
        <w:rPr>
          <w:rFonts w:ascii="Arial" w:hAnsi="Arial" w:cs="Arial"/>
          <w:b/>
          <w:bCs/>
          <w:sz w:val="20"/>
          <w:szCs w:val="20"/>
        </w:rPr>
      </w:pPr>
      <w:r w:rsidRPr="00747588">
        <w:rPr>
          <w:rFonts w:ascii="Arial" w:hAnsi="Arial" w:cs="Arial"/>
          <w:b/>
          <w:bCs/>
          <w:sz w:val="20"/>
          <w:szCs w:val="20"/>
          <w:lang w:eastAsia="sl-SI"/>
        </w:rPr>
        <w:t xml:space="preserve">6 Varstvo in obnova biotske raznovrstnosti in ekosistemov </w:t>
      </w:r>
    </w:p>
    <w:p w14:paraId="49BA8BEA" w14:textId="16E4C8E5" w:rsidR="008A2583" w:rsidRPr="00747588" w:rsidRDefault="008A2583" w:rsidP="00D675A8">
      <w:pPr>
        <w:pStyle w:val="Brezrazmikov"/>
        <w:rPr>
          <w:rFonts w:ascii="Arial" w:hAnsi="Arial" w:cs="Arial"/>
          <w:sz w:val="20"/>
          <w:szCs w:val="20"/>
        </w:rPr>
      </w:pPr>
      <w:r w:rsidRPr="00747588">
        <w:rPr>
          <w:rFonts w:ascii="Arial" w:eastAsia="Times New Roman" w:hAnsi="Arial" w:cs="Arial"/>
          <w:kern w:val="0"/>
          <w:sz w:val="20"/>
          <w:szCs w:val="20"/>
          <w:u w:val="single"/>
          <w:lang w:eastAsia="sl-SI"/>
          <w14:ligatures w14:val="none"/>
        </w:rPr>
        <w:t>merila iz Dodatka D</w:t>
      </w:r>
      <w:r w:rsidRPr="00747588">
        <w:rPr>
          <w:rFonts w:ascii="Arial" w:eastAsia="Times New Roman" w:hAnsi="Arial" w:cs="Arial"/>
          <w:kern w:val="0"/>
          <w:sz w:val="20"/>
          <w:szCs w:val="20"/>
          <w:lang w:eastAsia="sl-SI"/>
          <w14:ligatures w14:val="none"/>
        </w:rPr>
        <w:t xml:space="preserve"> delegiranih uredb EU delegiranih uredb EU 2021/2139, 2023/2486:</w:t>
      </w:r>
    </w:p>
    <w:p w14:paraId="24D666FE" w14:textId="77777777" w:rsidR="00D675A8" w:rsidRPr="00747588" w:rsidRDefault="00D675A8" w:rsidP="008A2583">
      <w:pPr>
        <w:spacing w:line="276" w:lineRule="auto"/>
        <w:ind w:left="567"/>
        <w:jc w:val="both"/>
        <w:rPr>
          <w:rFonts w:ascii="Arial" w:eastAsia="Times New Roman" w:hAnsi="Arial" w:cs="Arial"/>
          <w:kern w:val="0"/>
          <w:sz w:val="18"/>
          <w:szCs w:val="18"/>
          <w:lang w:eastAsia="sl-SI"/>
          <w14:ligatures w14:val="none"/>
        </w:rPr>
      </w:pPr>
    </w:p>
    <w:p w14:paraId="14965BFD" w14:textId="6E393C97" w:rsidR="008A2583" w:rsidRPr="00747588" w:rsidRDefault="008A2583" w:rsidP="008A2583">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Izvedena sta bila presoja vplivov na okolje ali pregled</w:t>
      </w:r>
      <w:r w:rsidRPr="00747588">
        <w:rPr>
          <w:rStyle w:val="Sprotnaopomba-sklic"/>
          <w:rFonts w:ascii="Arial" w:eastAsia="Times New Roman" w:hAnsi="Arial" w:cs="Arial"/>
          <w:kern w:val="0"/>
          <w:sz w:val="18"/>
          <w:szCs w:val="18"/>
          <w:lang w:eastAsia="sl-SI"/>
          <w14:ligatures w14:val="none"/>
        </w:rPr>
        <w:footnoteReference w:id="17"/>
      </w:r>
      <w:r w:rsidRPr="00747588">
        <w:rPr>
          <w:rFonts w:ascii="Arial" w:eastAsia="Times New Roman" w:hAnsi="Arial" w:cs="Arial"/>
          <w:kern w:val="0"/>
          <w:sz w:val="18"/>
          <w:szCs w:val="18"/>
          <w:lang w:eastAsia="sl-SI"/>
          <w14:ligatures w14:val="none"/>
        </w:rPr>
        <w:t xml:space="preserve"> v skladu z Direktivo 2011/92/EU</w:t>
      </w:r>
      <w:r w:rsidRPr="00747588">
        <w:rPr>
          <w:rStyle w:val="Sprotnaopomba-sklic"/>
          <w:rFonts w:ascii="Arial" w:eastAsia="Times New Roman" w:hAnsi="Arial" w:cs="Arial"/>
          <w:kern w:val="0"/>
          <w:sz w:val="18"/>
          <w:szCs w:val="18"/>
          <w:lang w:eastAsia="sl-SI"/>
          <w14:ligatures w14:val="none"/>
        </w:rPr>
        <w:footnoteReference w:id="18"/>
      </w:r>
      <w:r w:rsidRPr="00747588">
        <w:rPr>
          <w:rFonts w:ascii="Arial" w:eastAsia="Times New Roman" w:hAnsi="Arial" w:cs="Arial"/>
          <w:kern w:val="0"/>
          <w:sz w:val="18"/>
          <w:szCs w:val="18"/>
          <w:lang w:eastAsia="sl-SI"/>
          <w14:ligatures w14:val="none"/>
        </w:rPr>
        <w:t xml:space="preserve">. Če je bila izvedena presoja vplivov na okolje, se izvedejo zahtevani </w:t>
      </w:r>
      <w:proofErr w:type="spellStart"/>
      <w:r w:rsidRPr="00747588">
        <w:rPr>
          <w:rFonts w:ascii="Arial" w:eastAsia="Times New Roman" w:hAnsi="Arial" w:cs="Arial"/>
          <w:kern w:val="0"/>
          <w:sz w:val="18"/>
          <w:szCs w:val="18"/>
          <w:lang w:eastAsia="sl-SI"/>
          <w14:ligatures w14:val="none"/>
        </w:rPr>
        <w:t>blažitveni</w:t>
      </w:r>
      <w:proofErr w:type="spellEnd"/>
      <w:r w:rsidRPr="00747588">
        <w:rPr>
          <w:rFonts w:ascii="Arial" w:eastAsia="Times New Roman" w:hAnsi="Arial" w:cs="Arial"/>
          <w:kern w:val="0"/>
          <w:sz w:val="18"/>
          <w:szCs w:val="18"/>
          <w:lang w:eastAsia="sl-SI"/>
          <w14:ligatures w14:val="none"/>
        </w:rPr>
        <w:t xml:space="preserve"> in izravnalni ukrepi za varstvo okolja.</w:t>
      </w:r>
    </w:p>
    <w:p w14:paraId="56E593FA" w14:textId="3EEBC34C" w:rsidR="003976D5" w:rsidRPr="00D52A91" w:rsidRDefault="008A2583" w:rsidP="00D52A91">
      <w:pPr>
        <w:spacing w:line="276" w:lineRule="auto"/>
        <w:ind w:left="567"/>
        <w:jc w:val="both"/>
        <w:rPr>
          <w:rFonts w:ascii="Arial" w:eastAsia="Times New Roman" w:hAnsi="Arial" w:cs="Arial"/>
          <w:kern w:val="0"/>
          <w:sz w:val="18"/>
          <w:szCs w:val="18"/>
          <w:lang w:eastAsia="sl-SI"/>
          <w14:ligatures w14:val="none"/>
        </w:rPr>
      </w:pPr>
      <w:r w:rsidRPr="00747588">
        <w:rPr>
          <w:rFonts w:ascii="Arial" w:eastAsia="Times New Roman" w:hAnsi="Arial" w:cs="Arial"/>
          <w:kern w:val="0"/>
          <w:sz w:val="18"/>
          <w:szCs w:val="18"/>
          <w:lang w:eastAsia="sl-SI"/>
          <w14:ligatures w14:val="none"/>
        </w:rPr>
        <w:t>Za zemljišča/postopke na občutljivih območjih biotske raznovrstnosti (vključno z omrežjem zavarovanih območij Natura 2000, Unescovimi območji svetovne dediščine in ključnimi območji biotske raznovrstnosti ter drugimi zavarovanimi območji) ali v bližini takih območij je bila, kjer je bilo to potrebno, izvedena ustrezna presoja</w:t>
      </w:r>
      <w:r w:rsidRPr="00747588">
        <w:rPr>
          <w:rStyle w:val="Sprotnaopomba-sklic"/>
          <w:rFonts w:ascii="Arial" w:eastAsia="Times New Roman" w:hAnsi="Arial" w:cs="Arial"/>
          <w:kern w:val="0"/>
          <w:sz w:val="18"/>
          <w:szCs w:val="18"/>
          <w:lang w:eastAsia="sl-SI"/>
          <w14:ligatures w14:val="none"/>
        </w:rPr>
        <w:footnoteReference w:id="19"/>
      </w:r>
      <w:r w:rsidRPr="00747588">
        <w:rPr>
          <w:rFonts w:ascii="Arial" w:eastAsia="Times New Roman" w:hAnsi="Arial" w:cs="Arial"/>
          <w:kern w:val="0"/>
          <w:sz w:val="18"/>
          <w:szCs w:val="18"/>
          <w:lang w:eastAsia="sl-SI"/>
          <w14:ligatures w14:val="none"/>
        </w:rPr>
        <w:t xml:space="preserve">, na podlagi ugotovitev take presoje pa se izvajajo potrebni </w:t>
      </w:r>
      <w:proofErr w:type="spellStart"/>
      <w:r w:rsidRPr="00747588">
        <w:rPr>
          <w:rFonts w:ascii="Arial" w:eastAsia="Times New Roman" w:hAnsi="Arial" w:cs="Arial"/>
          <w:kern w:val="0"/>
          <w:sz w:val="18"/>
          <w:szCs w:val="18"/>
          <w:lang w:eastAsia="sl-SI"/>
          <w14:ligatures w14:val="none"/>
        </w:rPr>
        <w:t>blažitveni</w:t>
      </w:r>
      <w:proofErr w:type="spellEnd"/>
      <w:r w:rsidRPr="00747588">
        <w:rPr>
          <w:rFonts w:ascii="Arial" w:eastAsia="Times New Roman" w:hAnsi="Arial" w:cs="Arial"/>
          <w:kern w:val="0"/>
          <w:sz w:val="18"/>
          <w:szCs w:val="18"/>
          <w:lang w:eastAsia="sl-SI"/>
          <w14:ligatures w14:val="none"/>
        </w:rPr>
        <w:t xml:space="preserve"> ukrepi</w:t>
      </w:r>
      <w:r w:rsidRPr="00747588">
        <w:rPr>
          <w:rStyle w:val="Sprotnaopomba-sklic"/>
          <w:rFonts w:ascii="Arial" w:eastAsia="Times New Roman" w:hAnsi="Arial" w:cs="Arial"/>
          <w:kern w:val="0"/>
          <w:sz w:val="18"/>
          <w:szCs w:val="18"/>
          <w:lang w:eastAsia="sl-SI"/>
          <w14:ligatures w14:val="none"/>
        </w:rPr>
        <w:footnoteReference w:id="20"/>
      </w:r>
      <w:r w:rsidRPr="00747588">
        <w:rPr>
          <w:rFonts w:ascii="Arial" w:eastAsia="Times New Roman" w:hAnsi="Arial" w:cs="Arial"/>
          <w:kern w:val="0"/>
          <w:sz w:val="18"/>
          <w:szCs w:val="18"/>
          <w:lang w:eastAsia="sl-SI"/>
          <w14:ligatures w14:val="none"/>
        </w:rPr>
        <w:t xml:space="preserve">. </w:t>
      </w:r>
    </w:p>
    <w:sectPr w:rsidR="003976D5" w:rsidRPr="00D52A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71C4" w14:textId="77777777" w:rsidR="008A2583" w:rsidRDefault="008A2583" w:rsidP="008A2583">
      <w:pPr>
        <w:spacing w:after="0" w:line="240" w:lineRule="auto"/>
      </w:pPr>
      <w:r>
        <w:separator/>
      </w:r>
    </w:p>
  </w:endnote>
  <w:endnote w:type="continuationSeparator" w:id="0">
    <w:p w14:paraId="649C63FD" w14:textId="77777777" w:rsidR="008A2583" w:rsidRDefault="008A2583" w:rsidP="008A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UAlbertina">
    <w:altName w:val="Yu Gothic"/>
    <w:panose1 w:val="00000000000000000000"/>
    <w:charset w:val="00"/>
    <w:family w:val="swiss"/>
    <w:notTrueType/>
    <w:pitch w:val="default"/>
    <w:sig w:usb0="00000007" w:usb1="00000000" w:usb2="00000000" w:usb3="00000000" w:csb0="00000003"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92712"/>
      <w:docPartObj>
        <w:docPartGallery w:val="Page Numbers (Bottom of Page)"/>
        <w:docPartUnique/>
      </w:docPartObj>
    </w:sdtPr>
    <w:sdtEndPr/>
    <w:sdtContent>
      <w:p w14:paraId="16A1D487" w14:textId="471DC609" w:rsidR="00D675A8" w:rsidRDefault="00D675A8">
        <w:pPr>
          <w:pStyle w:val="Noga"/>
          <w:jc w:val="right"/>
        </w:pPr>
        <w:r>
          <w:fldChar w:fldCharType="begin"/>
        </w:r>
        <w:r>
          <w:instrText>PAGE   \* MERGEFORMAT</w:instrText>
        </w:r>
        <w:r>
          <w:fldChar w:fldCharType="separate"/>
        </w:r>
        <w:r>
          <w:t>2</w:t>
        </w:r>
        <w:r>
          <w:fldChar w:fldCharType="end"/>
        </w:r>
      </w:p>
    </w:sdtContent>
  </w:sdt>
  <w:p w14:paraId="66A91ACD" w14:textId="77777777" w:rsidR="00D675A8" w:rsidRDefault="00D675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FF5C" w14:textId="77777777" w:rsidR="008A2583" w:rsidRDefault="008A2583" w:rsidP="008A2583">
      <w:pPr>
        <w:spacing w:after="0" w:line="240" w:lineRule="auto"/>
      </w:pPr>
      <w:r>
        <w:separator/>
      </w:r>
    </w:p>
  </w:footnote>
  <w:footnote w:type="continuationSeparator" w:id="0">
    <w:p w14:paraId="65EED197" w14:textId="77777777" w:rsidR="008A2583" w:rsidRDefault="008A2583" w:rsidP="008A2583">
      <w:pPr>
        <w:spacing w:after="0" w:line="240" w:lineRule="auto"/>
      </w:pPr>
      <w:r>
        <w:continuationSeparator/>
      </w:r>
    </w:p>
  </w:footnote>
  <w:footnote w:id="1">
    <w:p w14:paraId="0DB89D7D" w14:textId="128A6293" w:rsidR="00282912" w:rsidRPr="00282912" w:rsidRDefault="00282912" w:rsidP="00282912">
      <w:pPr>
        <w:pStyle w:val="Sprotnaopomba-besedilo"/>
        <w:jc w:val="both"/>
        <w:rPr>
          <w:rFonts w:ascii="Arial" w:hAnsi="Arial" w:cs="Arial"/>
          <w:sz w:val="16"/>
          <w:szCs w:val="16"/>
        </w:rPr>
      </w:pPr>
      <w:r w:rsidRPr="00282912">
        <w:rPr>
          <w:rStyle w:val="Sprotnaopomba-sklic"/>
          <w:rFonts w:ascii="Arial" w:hAnsi="Arial" w:cs="Arial"/>
          <w:sz w:val="16"/>
          <w:szCs w:val="16"/>
        </w:rPr>
        <w:footnoteRef/>
      </w:r>
      <w:r w:rsidRPr="00282912">
        <w:rPr>
          <w:rFonts w:ascii="Arial" w:hAnsi="Arial" w:cs="Arial"/>
          <w:sz w:val="16"/>
          <w:szCs w:val="16"/>
        </w:rPr>
        <w:t xml:space="preserve"> Na primer v skladu s Smernicami IPCC za nacionalne evidence toplogrednih plinov za čiščenje odpadnih voda (različica z dne (različica z dne 4. junija 2021): https://www.ipcc-nggip.iges.or.jp/public/2019rf/pdf/5_Volume5/19R_V5_6_Ch06_Wastewater.pdf).</w:t>
      </w:r>
    </w:p>
  </w:footnote>
  <w:footnote w:id="2">
    <w:p w14:paraId="472D9343" w14:textId="77777777" w:rsidR="00CF3653" w:rsidRPr="008E5EE5" w:rsidRDefault="00CF3653" w:rsidP="00CF3653">
      <w:pPr>
        <w:pStyle w:val="Default"/>
        <w:jc w:val="both"/>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Pri dejavnostih v tretjih državah v skladu z veljavnim nacionalnim pravom ali mednarodnimi standardi, namenjenimi doseganju enakovrednih ciljev dobrega stanja voda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w:t>
      </w:r>
    </w:p>
    <w:p w14:paraId="3A775A2A" w14:textId="77777777" w:rsidR="00CF3653" w:rsidRPr="00DF4093" w:rsidRDefault="00CF3653" w:rsidP="00CF3653">
      <w:pPr>
        <w:pStyle w:val="Sprotnaopomba-besedilo"/>
        <w:rPr>
          <w:rFonts w:ascii="Arial" w:eastAsia="Times New Roman" w:hAnsi="Arial" w:cs="Arial"/>
          <w:color w:val="000000"/>
          <w:kern w:val="0"/>
          <w:sz w:val="18"/>
          <w:szCs w:val="18"/>
          <w:lang w:eastAsia="sl-SI"/>
          <w14:ligatures w14:val="none"/>
        </w:rPr>
      </w:pPr>
    </w:p>
  </w:footnote>
  <w:footnote w:id="3">
    <w:p w14:paraId="0FCADB85" w14:textId="77777777" w:rsidR="00CF3653" w:rsidRPr="008E5EE5" w:rsidRDefault="00CF3653" w:rsidP="00CF3653">
      <w:pPr>
        <w:pStyle w:val="Default"/>
        <w:rPr>
          <w:rFonts w:ascii="Arial" w:hAnsi="Arial" w:cs="Arial"/>
          <w:sz w:val="16"/>
          <w:szCs w:val="16"/>
        </w:rPr>
      </w:pPr>
      <w:r w:rsidRPr="008E5EE5">
        <w:rPr>
          <w:rStyle w:val="Sprotnaopomba-sklic"/>
          <w:rFonts w:eastAsiaTheme="majorEastAsia"/>
          <w:sz w:val="16"/>
          <w:szCs w:val="16"/>
        </w:rPr>
        <w:footnoteRef/>
      </w:r>
      <w:r w:rsidRPr="008E5EE5">
        <w:rPr>
          <w:sz w:val="16"/>
          <w:szCs w:val="16"/>
        </w:rPr>
        <w:t xml:space="preserve"> </w:t>
      </w:r>
      <w:r w:rsidRPr="008E5EE5">
        <w:rPr>
          <w:rFonts w:ascii="Arial" w:hAnsi="Arial" w:cs="Arial"/>
          <w:sz w:val="16"/>
          <w:szCs w:val="16"/>
        </w:rPr>
        <w:t>Populacijski ekvivalent (PE) pomeni organsko, biološko razgradljivo obremenitev, ki ima petdnevno biokemijsko potrebo po kisiku (BPK5) 60 g kisika na dan.</w:t>
      </w:r>
    </w:p>
    <w:p w14:paraId="7454441F" w14:textId="77777777" w:rsidR="00CF3653" w:rsidRPr="008E5EE5" w:rsidRDefault="00CF3653" w:rsidP="00CF3653">
      <w:pPr>
        <w:pStyle w:val="Sprotnaopomba-besedilo"/>
        <w:rPr>
          <w:rFonts w:ascii="Arial" w:eastAsia="Times New Roman" w:hAnsi="Arial" w:cs="Arial"/>
          <w:color w:val="000000"/>
          <w:kern w:val="0"/>
          <w:sz w:val="16"/>
          <w:szCs w:val="16"/>
          <w:lang w:eastAsia="sl-SI"/>
          <w14:ligatures w14:val="none"/>
        </w:rPr>
      </w:pPr>
    </w:p>
  </w:footnote>
  <w:footnote w:id="4">
    <w:p w14:paraId="7B006959" w14:textId="77777777" w:rsidR="00E95F7A" w:rsidRPr="008E5EE5" w:rsidRDefault="00E95F7A" w:rsidP="00E95F7A">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Na primer v skladu s smernicami IPCC za nacionalne evidence toplogrednih plinov za čiščenje odpadnih voda (različica z dne 4. junija 2021: https://www.ipccnggip.iges.or.jp/public/2019rf/pdf/5_Volume5/19R_V5_6_Ch06_Wastewater.pdf).</w:t>
      </w:r>
    </w:p>
  </w:footnote>
  <w:footnote w:id="5">
    <w:p w14:paraId="01B65041" w14:textId="77777777" w:rsidR="008A2583" w:rsidRPr="008E5EE5" w:rsidRDefault="008A2583" w:rsidP="008A2583">
      <w:pPr>
        <w:pStyle w:val="Sprotnaopomba-besedilo"/>
        <w:rPr>
          <w:rFonts w:ascii="Arial" w:hAnsi="Arial" w:cs="Arial"/>
          <w:color w:val="000000"/>
          <w:kern w:val="0"/>
          <w:sz w:val="16"/>
          <w:szCs w:val="16"/>
        </w:rPr>
      </w:pPr>
      <w:r w:rsidRPr="008E5EE5">
        <w:rPr>
          <w:rStyle w:val="Sprotnaopomba-sklic"/>
          <w:rFonts w:ascii="Arial" w:hAnsi="Arial" w:cs="Arial"/>
          <w:sz w:val="16"/>
          <w:szCs w:val="16"/>
        </w:rPr>
        <w:footnoteRef/>
      </w:r>
      <w:r w:rsidRPr="008E5EE5">
        <w:rPr>
          <w:rFonts w:ascii="Arial" w:hAnsi="Arial" w:cs="Arial"/>
          <w:sz w:val="16"/>
          <w:szCs w:val="16"/>
        </w:rPr>
        <w:t xml:space="preserve"> </w:t>
      </w:r>
      <w:r w:rsidRPr="008E5EE5">
        <w:rPr>
          <w:rFonts w:ascii="Arial" w:hAnsi="Arial" w:cs="Arial"/>
          <w:color w:val="000000"/>
          <w:kern w:val="0"/>
          <w:sz w:val="16"/>
          <w:szCs w:val="16"/>
        </w:rPr>
        <w:t>Prihodnji scenariji vključujejo značilne poteke vsebnosti (RCP) Medvladnega panela za podnebne spremembe RCP2.6, RCP4.5, RCP6.0 in RCP8.5.</w:t>
      </w:r>
    </w:p>
    <w:p w14:paraId="4A31782C" w14:textId="77777777" w:rsidR="008A2583" w:rsidRPr="00F1620D" w:rsidRDefault="008A2583" w:rsidP="008A2583">
      <w:pPr>
        <w:pStyle w:val="Sprotnaopomba-besedilo"/>
        <w:rPr>
          <w:rFonts w:ascii="Arial" w:hAnsi="Arial" w:cs="Arial"/>
          <w:sz w:val="16"/>
          <w:szCs w:val="16"/>
        </w:rPr>
      </w:pPr>
    </w:p>
  </w:footnote>
  <w:footnote w:id="6">
    <w:p w14:paraId="66DC106B"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Ocenjevalna poročila o podnebnih spremembah: vplivi, prilagoditev in ranljivost, ki jih redno objavlja Medvladni panel za podnebne spremembe, organ Združenih narodov za ocenjevanje znanstvenih dognanj v zvezi z učinki podnebnih sprememb, https://www.ipcc. </w:t>
      </w:r>
      <w:proofErr w:type="spellStart"/>
      <w:r w:rsidRPr="00F1620D">
        <w:rPr>
          <w:rFonts w:ascii="Arial" w:hAnsi="Arial" w:cs="Arial"/>
          <w:sz w:val="16"/>
          <w:szCs w:val="16"/>
        </w:rPr>
        <w:t>ch</w:t>
      </w:r>
      <w:proofErr w:type="spellEnd"/>
      <w:r w:rsidRPr="00F1620D">
        <w:rPr>
          <w:rFonts w:ascii="Arial" w:hAnsi="Arial" w:cs="Arial"/>
          <w:sz w:val="16"/>
          <w:szCs w:val="16"/>
        </w:rPr>
        <w:t>/</w:t>
      </w:r>
      <w:proofErr w:type="spellStart"/>
      <w:r w:rsidRPr="00F1620D">
        <w:rPr>
          <w:rFonts w:ascii="Arial" w:hAnsi="Arial" w:cs="Arial"/>
          <w:sz w:val="16"/>
          <w:szCs w:val="16"/>
        </w:rPr>
        <w:t>reports</w:t>
      </w:r>
      <w:proofErr w:type="spellEnd"/>
      <w:r w:rsidRPr="00F1620D">
        <w:rPr>
          <w:rFonts w:ascii="Arial" w:hAnsi="Arial" w:cs="Arial"/>
          <w:sz w:val="16"/>
          <w:szCs w:val="16"/>
        </w:rPr>
        <w:t>/.</w:t>
      </w:r>
    </w:p>
  </w:footnote>
  <w:footnote w:id="7">
    <w:p w14:paraId="236EC0F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Kot so na primer storitve programa </w:t>
      </w:r>
      <w:proofErr w:type="spellStart"/>
      <w:r w:rsidRPr="00F1620D">
        <w:rPr>
          <w:rFonts w:ascii="Arial" w:hAnsi="Arial" w:cs="Arial"/>
          <w:sz w:val="16"/>
          <w:szCs w:val="16"/>
        </w:rPr>
        <w:t>Copernicus</w:t>
      </w:r>
      <w:proofErr w:type="spellEnd"/>
      <w:r w:rsidRPr="00F1620D">
        <w:rPr>
          <w:rFonts w:ascii="Arial" w:hAnsi="Arial" w:cs="Arial"/>
          <w:sz w:val="16"/>
          <w:szCs w:val="16"/>
        </w:rPr>
        <w:t>, ki jih upravlja Evropska komisija.</w:t>
      </w:r>
    </w:p>
  </w:footnote>
  <w:footnote w:id="8">
    <w:p w14:paraId="6AECE937"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Sonaravne rešitve so opredeljene kot „[r]</w:t>
      </w:r>
      <w:proofErr w:type="spellStart"/>
      <w:r w:rsidRPr="00F1620D">
        <w:rPr>
          <w:rFonts w:ascii="Arial" w:hAnsi="Arial" w:cs="Arial"/>
          <w:sz w:val="16"/>
          <w:szCs w:val="16"/>
        </w:rPr>
        <w:t>ešitve</w:t>
      </w:r>
      <w:proofErr w:type="spellEnd"/>
      <w:r w:rsidRPr="00F1620D">
        <w:rPr>
          <w:rFonts w:ascii="Arial" w:hAnsi="Arial" w:cs="Arial"/>
          <w:sz w:val="16"/>
          <w:szCs w:val="16"/>
        </w:rPr>
        <w:t xml:space="preserve">, ki imajo navdih in podporo v naravi, so stroškovno učinkovite, sočasno zagotavljajo </w:t>
      </w:r>
      <w:proofErr w:type="spellStart"/>
      <w:r w:rsidRPr="00F1620D">
        <w:rPr>
          <w:rFonts w:ascii="Arial" w:hAnsi="Arial" w:cs="Arial"/>
          <w:sz w:val="16"/>
          <w:szCs w:val="16"/>
        </w:rPr>
        <w:t>okoljske</w:t>
      </w:r>
      <w:proofErr w:type="spellEnd"/>
      <w:r w:rsidRPr="00F1620D">
        <w:rPr>
          <w:rFonts w:ascii="Arial" w:hAnsi="Arial" w:cs="Arial"/>
          <w:sz w:val="16"/>
          <w:szCs w:val="16"/>
        </w:rPr>
        <w:t>, družbene in gospodarske koristi ter pomagajo krepiti odpornost. Take rešitve z lokalno prilagojenimi, z viri gospodarnimi in sistemskimi intervencijami prinašajo v mesta, krajine in morja več narave ter naravnih značilnosti in procesov, ki so obenem tudi bolj raznoliki.“ Zato sonaravne rešitve koristijo biotski raznovrstnosti in podpirajo izvajanje širokega nabora ekosistemskih storitev (različica z dne 27.6.2023: https://ec.europa.eu/research/environment/index.cfm?pg=nbs).</w:t>
      </w:r>
    </w:p>
  </w:footnote>
  <w:footnote w:id="9">
    <w:p w14:paraId="1DBBD300"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Glej Sporočilo Komisije Evropskemu parlamentu, Svetu, Evropskemu ekonomsko-socialnemu odboru in Odboru regij: Zelena infrastruktura – izboljšanje evropskega naravnega kapitala (COM(2013) 249 </w:t>
      </w:r>
      <w:proofErr w:type="spellStart"/>
      <w:r w:rsidRPr="00F1620D">
        <w:rPr>
          <w:rFonts w:ascii="Arial" w:hAnsi="Arial" w:cs="Arial"/>
          <w:sz w:val="16"/>
          <w:szCs w:val="16"/>
        </w:rPr>
        <w:t>final</w:t>
      </w:r>
      <w:proofErr w:type="spellEnd"/>
      <w:r w:rsidRPr="00F1620D">
        <w:rPr>
          <w:rFonts w:ascii="Arial" w:hAnsi="Arial" w:cs="Arial"/>
          <w:sz w:val="16"/>
          <w:szCs w:val="16"/>
        </w:rPr>
        <w:t>).</w:t>
      </w:r>
    </w:p>
  </w:footnote>
  <w:footnote w:id="10">
    <w:p w14:paraId="499A6FC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Seznam nevarnosti, povezanih s podnebjem, v tej preglednici ni izčrpen in je zgolj okvirni seznam najbolj razširjenih nevarnosti, ki predstavljajo minimalni nabor nevarnosti, ki jih je treba upoštevati pri oceni podnebnih tveganj in ranljivosti.</w:t>
      </w:r>
    </w:p>
  </w:footnote>
  <w:footnote w:id="11">
    <w:p w14:paraId="44BE2743"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Direktiva Evropskega parlamenta in Sveta 2000/60/ES z dne 23. oktobra 2000 o določitvi okvira za ukrepe Skupnosti na področju vodne politike (UL L 327, 22.12.2000, str. 1). Za dejavnosti v tretjih državah se to izvede v skladu z veljavnim nacionalnim pravom ali mednarodnimi standardi, namenjenimi doseganju enakovrednih ciljev dobrega vodnega stanja in dobrega ekološkega potenciala, z enakovrednimi postopkovnimi pravili in pravili materialnega prava, tj. z načrtom upravljanja rabe in varstva voda, pripravljenim v posvetovanju z ustreznimi deležniki, ki zagotavlja, da 1) se oceni vpliv dejavnosti na ugotovljeno stanje ali ekološki potencial morebiti prizadetih vodnih teles in 2) se prepreči poslabšanje ali onemogočitev dobrega stanja / ekološkega potenciala oziroma, kadar to ni mogoče, 3) se to utemelji s pomanjkanjem boljših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alternativ, ki niso nesorazmerno drage / tehnično neizvedljive, pri čemer so izvedeni vsi praktični koraki za ublažitev škodljivega vpliva na stanje vodnega telesa.</w:t>
      </w:r>
    </w:p>
  </w:footnote>
  <w:footnote w:id="12">
    <w:p w14:paraId="4DF5219C"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Direktiva 2011/92/EU Evropskega parlamenta in Sveta z dne 13. decembra 2011 o presoji vplivov nekaterih javnih in zasebnih projektov na okolje (UL L 26, 28.1.2012, str. 1).</w:t>
      </w:r>
    </w:p>
  </w:footnote>
  <w:footnote w:id="13">
    <w:p w14:paraId="50174991" w14:textId="77777777" w:rsidR="008A2583" w:rsidRPr="00F1620D" w:rsidRDefault="008A2583" w:rsidP="008A2583">
      <w:pPr>
        <w:pStyle w:val="Sprotnaopomba-besedilo"/>
        <w:jc w:val="both"/>
        <w:rPr>
          <w:rFonts w:ascii="Arial" w:hAnsi="Arial" w:cs="Arial"/>
          <w:sz w:val="16"/>
          <w:szCs w:val="16"/>
        </w:rPr>
      </w:pPr>
      <w:r w:rsidRPr="00F1620D">
        <w:rPr>
          <w:rStyle w:val="Sprotnaopomba-sklic"/>
          <w:rFonts w:ascii="Arial" w:hAnsi="Arial" w:cs="Arial"/>
          <w:sz w:val="16"/>
          <w:szCs w:val="16"/>
        </w:rPr>
        <w:footnoteRef/>
      </w:r>
      <w:r w:rsidRPr="00F1620D">
        <w:rPr>
          <w:rFonts w:ascii="Arial" w:hAnsi="Arial" w:cs="Arial"/>
          <w:sz w:val="16"/>
          <w:szCs w:val="16"/>
        </w:rPr>
        <w:t xml:space="preserve"> </w:t>
      </w:r>
      <w:r w:rsidRPr="00F1620D">
        <w:rPr>
          <w:rFonts w:ascii="Arial" w:hAnsi="Arial" w:cs="Arial"/>
          <w:sz w:val="16"/>
          <w:szCs w:val="16"/>
        </w:rPr>
        <w:t xml:space="preserve">Opredelitev iz člena 3, točka 5, Direktive 2008/56/ES zlasti določa, da se dobro </w:t>
      </w:r>
      <w:proofErr w:type="spellStart"/>
      <w:r w:rsidRPr="00F1620D">
        <w:rPr>
          <w:rFonts w:ascii="Arial" w:hAnsi="Arial" w:cs="Arial"/>
          <w:sz w:val="16"/>
          <w:szCs w:val="16"/>
        </w:rPr>
        <w:t>okoljsko</w:t>
      </w:r>
      <w:proofErr w:type="spellEnd"/>
      <w:r w:rsidRPr="00F1620D">
        <w:rPr>
          <w:rFonts w:ascii="Arial" w:hAnsi="Arial" w:cs="Arial"/>
          <w:sz w:val="16"/>
          <w:szCs w:val="16"/>
        </w:rPr>
        <w:t xml:space="preserve"> stanje določi na podlagi kakovostnih deskriptorjev iz Priloge I k navedeni direktivi.</w:t>
      </w:r>
    </w:p>
  </w:footnote>
  <w:footnote w:id="14">
    <w:p w14:paraId="2838FC0D" w14:textId="77777777" w:rsidR="00D86EE6" w:rsidRPr="008E5EE5" w:rsidRDefault="00D86EE6" w:rsidP="00D86EE6">
      <w:pPr>
        <w:pStyle w:val="Sprotnaopomba-besedilo"/>
        <w:rPr>
          <w:rFonts w:ascii="Arial" w:eastAsia="Times New Roman" w:hAnsi="Arial" w:cs="Arial"/>
          <w:color w:val="000000"/>
          <w:kern w:val="0"/>
          <w:sz w:val="16"/>
          <w:szCs w:val="16"/>
          <w:lang w:eastAsia="sl-SI"/>
          <w14:ligatures w14:val="none"/>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Kot je opredeljeno v Prilogi II k Uredbi (EU) 2020/741 Evropskega parlamenta in Sveta z dne 25. maja 2020 o minimalnih zahtevah za ponovno uporabo vode (UL L 177, 5.6.2020, str. 32).</w:t>
      </w:r>
    </w:p>
  </w:footnote>
  <w:footnote w:id="15">
    <w:p w14:paraId="51AD4A24"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91/271/EGS z dne 21. maja 1991 o čiščenju komunalne odpadne vode (UL L 135, 30.5.1991, str. 40).</w:t>
      </w:r>
    </w:p>
  </w:footnote>
  <w:footnote w:id="16">
    <w:p w14:paraId="00021FF3" w14:textId="77777777" w:rsidR="00747588" w:rsidRPr="008E5EE5" w:rsidRDefault="00747588" w:rsidP="00747588">
      <w:pPr>
        <w:pStyle w:val="Sprotnaopomba-besedilo"/>
        <w:rPr>
          <w:sz w:val="16"/>
          <w:szCs w:val="16"/>
        </w:rPr>
      </w:pPr>
      <w:r w:rsidRPr="008E5EE5">
        <w:rPr>
          <w:rStyle w:val="Sprotnaopomba-sklic"/>
          <w:sz w:val="16"/>
          <w:szCs w:val="16"/>
        </w:rPr>
        <w:footnoteRef/>
      </w:r>
      <w:r w:rsidRPr="008E5EE5">
        <w:rPr>
          <w:sz w:val="16"/>
          <w:szCs w:val="16"/>
        </w:rPr>
        <w:t xml:space="preserve"> </w:t>
      </w:r>
      <w:r w:rsidRPr="008E5EE5">
        <w:rPr>
          <w:rFonts w:ascii="Arial" w:eastAsia="Times New Roman" w:hAnsi="Arial" w:cs="Arial"/>
          <w:color w:val="000000"/>
          <w:kern w:val="0"/>
          <w:sz w:val="16"/>
          <w:szCs w:val="16"/>
          <w:lang w:eastAsia="sl-SI"/>
          <w14:ligatures w14:val="none"/>
        </w:rPr>
        <w:t>Direktiva Sveta 86/278/EGS z dne 12. junija 1986 o varstvu okolja, zlasti tal, kadar se blato iz čistilnih naprav uporablja v kmetijstvu (UL L 181, 4.7.1986, str. 6).</w:t>
      </w:r>
    </w:p>
  </w:footnote>
  <w:footnote w:id="17">
    <w:p w14:paraId="286E2F19" w14:textId="77777777" w:rsidR="008A2583" w:rsidRPr="00F1620D" w:rsidRDefault="008A2583" w:rsidP="008A2583">
      <w:pPr>
        <w:pStyle w:val="Sprotnaopomba-besedilo"/>
        <w:jc w:val="both"/>
        <w:rPr>
          <w:rFonts w:ascii="Arial" w:hAnsi="Arial" w:cs="Arial"/>
          <w:sz w:val="16"/>
          <w:szCs w:val="16"/>
        </w:rPr>
      </w:pPr>
      <w:r w:rsidRPr="008E5EE5">
        <w:rPr>
          <w:rFonts w:ascii="Arial" w:hAnsi="Arial" w:cs="Arial"/>
          <w:sz w:val="16"/>
          <w:szCs w:val="16"/>
          <w:vertAlign w:val="superscript"/>
        </w:rPr>
        <w:footnoteRef/>
      </w:r>
      <w:r w:rsidRPr="008E5EE5">
        <w:rPr>
          <w:rFonts w:ascii="Arial" w:hAnsi="Arial" w:cs="Arial"/>
          <w:sz w:val="16"/>
          <w:szCs w:val="16"/>
        </w:rPr>
        <w:t xml:space="preserve"> </w:t>
      </w:r>
      <w:r w:rsidRPr="008E5EE5">
        <w:rPr>
          <w:rFonts w:ascii="Arial" w:hAnsi="Arial" w:cs="Arial"/>
          <w:sz w:val="16"/>
          <w:szCs w:val="16"/>
        </w:rPr>
        <w:t>Postopek, s katerim pristojni organ določi, ali se bo za projekte</w:t>
      </w:r>
      <w:r w:rsidRPr="00F1620D">
        <w:rPr>
          <w:rFonts w:ascii="Arial" w:hAnsi="Arial" w:cs="Arial"/>
          <w:sz w:val="16"/>
          <w:szCs w:val="16"/>
        </w:rPr>
        <w:t>, navedene v Prilogi II k Direktivi 2011/92/EU, izvedla presoja vplivov na okolje (iz člena 4(2) navedene direktive).</w:t>
      </w:r>
    </w:p>
  </w:footnote>
  <w:footnote w:id="18">
    <w:p w14:paraId="26118962"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 xml:space="preserve">Za dejavnosti v tretjih državah v skladu z enakovrednim veljavnim nacionalnim pravom ali mednarodnimi standardi, ki zahtevajo izvedbo presoje vplivov na okolje ali pregleda, na primer standardom uspešnosti št. 1 Mednarodne finančne korporacije: Ocenjevanje in obvladovanje </w:t>
      </w:r>
      <w:proofErr w:type="spellStart"/>
      <w:r w:rsidRPr="00F1620D">
        <w:rPr>
          <w:rFonts w:ascii="Arial" w:hAnsi="Arial" w:cs="Arial"/>
          <w:sz w:val="16"/>
          <w:szCs w:val="16"/>
        </w:rPr>
        <w:t>okoljskih</w:t>
      </w:r>
      <w:proofErr w:type="spellEnd"/>
      <w:r w:rsidRPr="00F1620D">
        <w:rPr>
          <w:rFonts w:ascii="Arial" w:hAnsi="Arial" w:cs="Arial"/>
          <w:sz w:val="16"/>
          <w:szCs w:val="16"/>
        </w:rPr>
        <w:t xml:space="preserve"> in socialnih tveganj.</w:t>
      </w:r>
    </w:p>
  </w:footnote>
  <w:footnote w:id="19">
    <w:p w14:paraId="09D02A07"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D86EE6">
        <w:rPr>
          <w:rFonts w:ascii="Arial" w:hAnsi="Arial" w:cs="Arial"/>
          <w:sz w:val="16"/>
          <w:szCs w:val="16"/>
          <w:vertAlign w:val="superscript"/>
        </w:rPr>
        <w:t xml:space="preserve"> </w:t>
      </w:r>
      <w:r w:rsidRPr="00F1620D">
        <w:rPr>
          <w:rFonts w:ascii="Arial" w:hAnsi="Arial" w:cs="Arial"/>
          <w:sz w:val="16"/>
          <w:szCs w:val="16"/>
        </w:rPr>
        <w:t>V skladu z direktivama 2009/147/ES in 92/43/EGS. Za dejavnosti, ki se izvajajo v tretjih državah, se to izvede v skladu z enakovrednim veljavnim nacionalnim pravom ali mednarodnimi standardi, katerih cilj je ohranjanje naravnih habitatov, prostoživečih živali in rastlinskih vrst ter ki zahtevajo izvedbo (1) pregleda za določitev, ali je za določeno dejavnost potrebna ustrezna ocena morebitnih vplivov na zaščitene habitate in vrste, (2) take ustrezne ocene, kadar pregled pokaže, da je potrebna, na primer v skladu s standardom uspešnosti št. 6 Mednarodne finančne korporacije: Ohranjanje biotske raznovrstnosti in trajnostno gospodarjenje z živimi naravnimi viri.</w:t>
      </w:r>
    </w:p>
  </w:footnote>
  <w:footnote w:id="20">
    <w:p w14:paraId="11E91594" w14:textId="77777777" w:rsidR="008A2583" w:rsidRPr="00F1620D" w:rsidRDefault="008A2583" w:rsidP="008A2583">
      <w:pPr>
        <w:pStyle w:val="Sprotnaopomba-besedilo"/>
        <w:jc w:val="both"/>
        <w:rPr>
          <w:rFonts w:ascii="Arial" w:hAnsi="Arial" w:cs="Arial"/>
          <w:sz w:val="16"/>
          <w:szCs w:val="16"/>
        </w:rPr>
      </w:pPr>
      <w:r w:rsidRPr="00D86EE6">
        <w:rPr>
          <w:rFonts w:ascii="Arial" w:hAnsi="Arial" w:cs="Arial"/>
          <w:sz w:val="16"/>
          <w:szCs w:val="16"/>
          <w:vertAlign w:val="superscript"/>
        </w:rPr>
        <w:footnoteRef/>
      </w:r>
      <w:r w:rsidRPr="00F1620D">
        <w:rPr>
          <w:rFonts w:ascii="Arial" w:hAnsi="Arial" w:cs="Arial"/>
          <w:sz w:val="16"/>
          <w:szCs w:val="16"/>
        </w:rPr>
        <w:t xml:space="preserve"> </w:t>
      </w:r>
      <w:r w:rsidRPr="00F1620D">
        <w:rPr>
          <w:rFonts w:ascii="Arial" w:hAnsi="Arial" w:cs="Arial"/>
          <w:sz w:val="16"/>
          <w:szCs w:val="16"/>
        </w:rPr>
        <w:t>Taki ukrepi so bili opredeljeni za zagotovitev, da projekt, načrt ali dejavnost ne bodo pomembno vplivali na cilje ohranjanja zavarovanega območja.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4819"/>
    <w:multiLevelType w:val="hybridMultilevel"/>
    <w:tmpl w:val="728837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2116599">
    <w:abstractNumId w:val="1"/>
  </w:num>
  <w:num w:numId="2" w16cid:durableId="208182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83"/>
    <w:rsid w:val="00026708"/>
    <w:rsid w:val="00092E69"/>
    <w:rsid w:val="001638B2"/>
    <w:rsid w:val="001730F7"/>
    <w:rsid w:val="001A19BA"/>
    <w:rsid w:val="001D5C95"/>
    <w:rsid w:val="00282912"/>
    <w:rsid w:val="002E2378"/>
    <w:rsid w:val="003328AD"/>
    <w:rsid w:val="00385082"/>
    <w:rsid w:val="003976D5"/>
    <w:rsid w:val="003A2FAD"/>
    <w:rsid w:val="00455EA5"/>
    <w:rsid w:val="00656535"/>
    <w:rsid w:val="006C385A"/>
    <w:rsid w:val="006D73A9"/>
    <w:rsid w:val="00704243"/>
    <w:rsid w:val="00747588"/>
    <w:rsid w:val="00781FEE"/>
    <w:rsid w:val="008A2583"/>
    <w:rsid w:val="008E5EE5"/>
    <w:rsid w:val="008E6D97"/>
    <w:rsid w:val="00987483"/>
    <w:rsid w:val="00B035C1"/>
    <w:rsid w:val="00B67C2C"/>
    <w:rsid w:val="00B77227"/>
    <w:rsid w:val="00B92BAC"/>
    <w:rsid w:val="00C27AEE"/>
    <w:rsid w:val="00C4751C"/>
    <w:rsid w:val="00C80403"/>
    <w:rsid w:val="00CF3653"/>
    <w:rsid w:val="00D02623"/>
    <w:rsid w:val="00D46BFC"/>
    <w:rsid w:val="00D52A91"/>
    <w:rsid w:val="00D675A8"/>
    <w:rsid w:val="00D86EE6"/>
    <w:rsid w:val="00E15E63"/>
    <w:rsid w:val="00E95F7A"/>
    <w:rsid w:val="00F3778F"/>
    <w:rsid w:val="00F46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96F6"/>
  <w15:chartTrackingRefBased/>
  <w15:docId w15:val="{62D0A10B-03E8-4E6B-A5D6-F96CD45E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2583"/>
  </w:style>
  <w:style w:type="paragraph" w:styleId="Naslov1">
    <w:name w:val="heading 1"/>
    <w:basedOn w:val="Navaden"/>
    <w:next w:val="Navaden"/>
    <w:link w:val="Naslov1Znak"/>
    <w:uiPriority w:val="9"/>
    <w:qFormat/>
    <w:rsid w:val="008A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25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25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25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25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25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25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25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25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25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25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25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25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25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25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25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2583"/>
    <w:rPr>
      <w:rFonts w:eastAsiaTheme="majorEastAsia" w:cstheme="majorBidi"/>
      <w:color w:val="272727" w:themeColor="text1" w:themeTint="D8"/>
    </w:rPr>
  </w:style>
  <w:style w:type="paragraph" w:styleId="Naslov">
    <w:name w:val="Title"/>
    <w:basedOn w:val="Navaden"/>
    <w:next w:val="Navaden"/>
    <w:link w:val="NaslovZnak"/>
    <w:uiPriority w:val="10"/>
    <w:qFormat/>
    <w:rsid w:val="008A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25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25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25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25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A2583"/>
    <w:rPr>
      <w:i/>
      <w:iCs/>
      <w:color w:val="404040" w:themeColor="text1" w:themeTint="BF"/>
    </w:rPr>
  </w:style>
  <w:style w:type="paragraph" w:styleId="Odstavekseznama">
    <w:name w:val="List Paragraph"/>
    <w:aliases w:val="za tekst,Odstavek seznama_IP,K1,Table of contents numbered,Elenco num ARGEA,Odsek zoznamu2"/>
    <w:basedOn w:val="Navaden"/>
    <w:link w:val="OdstavekseznamaZnak"/>
    <w:uiPriority w:val="34"/>
    <w:qFormat/>
    <w:rsid w:val="008A2583"/>
    <w:pPr>
      <w:ind w:left="720"/>
      <w:contextualSpacing/>
    </w:pPr>
  </w:style>
  <w:style w:type="character" w:styleId="Intenzivenpoudarek">
    <w:name w:val="Intense Emphasis"/>
    <w:basedOn w:val="Privzetapisavaodstavka"/>
    <w:uiPriority w:val="21"/>
    <w:qFormat/>
    <w:rsid w:val="008A2583"/>
    <w:rPr>
      <w:i/>
      <w:iCs/>
      <w:color w:val="0F4761" w:themeColor="accent1" w:themeShade="BF"/>
    </w:rPr>
  </w:style>
  <w:style w:type="paragraph" w:styleId="Intenzivencitat">
    <w:name w:val="Intense Quote"/>
    <w:basedOn w:val="Navaden"/>
    <w:next w:val="Navaden"/>
    <w:link w:val="IntenzivencitatZnak"/>
    <w:uiPriority w:val="30"/>
    <w:qFormat/>
    <w:rsid w:val="008A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2583"/>
    <w:rPr>
      <w:i/>
      <w:iCs/>
      <w:color w:val="0F4761" w:themeColor="accent1" w:themeShade="BF"/>
    </w:rPr>
  </w:style>
  <w:style w:type="character" w:styleId="Intenzivensklic">
    <w:name w:val="Intense Reference"/>
    <w:basedOn w:val="Privzetapisavaodstavka"/>
    <w:uiPriority w:val="32"/>
    <w:qFormat/>
    <w:rsid w:val="008A2583"/>
    <w:rPr>
      <w:b/>
      <w:bCs/>
      <w:smallCaps/>
      <w:color w:val="0F4761" w:themeColor="accent1" w:themeShade="BF"/>
      <w:spacing w:val="5"/>
    </w:rPr>
  </w:style>
  <w:style w:type="character" w:styleId="Sprotnaopomba-sklic">
    <w:name w:val="footnote reference"/>
    <w:aliases w:val="Footnote symbol,Footnote,Fussnota"/>
    <w:uiPriority w:val="99"/>
    <w:rsid w:val="008A2583"/>
    <w:rPr>
      <w:rFonts w:cs="Times New Roman"/>
      <w:vertAlign w:val="superscript"/>
    </w:rPr>
  </w:style>
  <w:style w:type="paragraph" w:customStyle="1" w:styleId="Default">
    <w:name w:val="Default"/>
    <w:rsid w:val="008A2583"/>
    <w:pPr>
      <w:autoSpaceDE w:val="0"/>
      <w:autoSpaceDN w:val="0"/>
      <w:adjustRightInd w:val="0"/>
      <w:spacing w:after="0" w:line="240" w:lineRule="auto"/>
    </w:pPr>
    <w:rPr>
      <w:rFonts w:ascii="EUAlbertina" w:eastAsia="Times New Roman" w:hAnsi="EUAlbertina" w:cs="EUAlbertina"/>
      <w:color w:val="000000"/>
      <w:kern w:val="0"/>
      <w:sz w:val="24"/>
      <w:szCs w:val="24"/>
      <w:lang w:eastAsia="sl-SI"/>
      <w14:ligatures w14:val="none"/>
    </w:rPr>
  </w:style>
  <w:style w:type="paragraph" w:customStyle="1" w:styleId="CM1">
    <w:name w:val="CM1"/>
    <w:basedOn w:val="Default"/>
    <w:next w:val="Default"/>
    <w:uiPriority w:val="99"/>
    <w:rsid w:val="008A2583"/>
    <w:rPr>
      <w:rFonts w:ascii="EU Albertina" w:hAnsi="EU Albertina" w:cs="Times New Roman"/>
      <w:color w:val="auto"/>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8A2583"/>
  </w:style>
  <w:style w:type="paragraph" w:styleId="Sprotnaopomba-besedilo">
    <w:name w:val="footnote text"/>
    <w:basedOn w:val="Navaden"/>
    <w:link w:val="Sprotnaopomba-besediloZnak"/>
    <w:uiPriority w:val="99"/>
    <w:semiHidden/>
    <w:unhideWhenUsed/>
    <w:rsid w:val="008A258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2583"/>
    <w:rPr>
      <w:sz w:val="20"/>
      <w:szCs w:val="20"/>
    </w:rPr>
  </w:style>
  <w:style w:type="paragraph" w:styleId="Glava">
    <w:name w:val="header"/>
    <w:basedOn w:val="Navaden"/>
    <w:link w:val="GlavaZnak"/>
    <w:uiPriority w:val="99"/>
    <w:unhideWhenUsed/>
    <w:rsid w:val="00D675A8"/>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5A8"/>
  </w:style>
  <w:style w:type="paragraph" w:styleId="Noga">
    <w:name w:val="footer"/>
    <w:basedOn w:val="Navaden"/>
    <w:link w:val="NogaZnak"/>
    <w:uiPriority w:val="99"/>
    <w:unhideWhenUsed/>
    <w:rsid w:val="00D675A8"/>
    <w:pPr>
      <w:tabs>
        <w:tab w:val="center" w:pos="4536"/>
        <w:tab w:val="right" w:pos="9072"/>
      </w:tabs>
      <w:spacing w:after="0" w:line="240" w:lineRule="auto"/>
    </w:pPr>
  </w:style>
  <w:style w:type="character" w:customStyle="1" w:styleId="NogaZnak">
    <w:name w:val="Noga Znak"/>
    <w:basedOn w:val="Privzetapisavaodstavka"/>
    <w:link w:val="Noga"/>
    <w:uiPriority w:val="99"/>
    <w:rsid w:val="00D675A8"/>
  </w:style>
  <w:style w:type="paragraph" w:styleId="Brezrazmikov">
    <w:name w:val="No Spacing"/>
    <w:uiPriority w:val="1"/>
    <w:qFormat/>
    <w:rsid w:val="00D675A8"/>
    <w:pPr>
      <w:spacing w:after="0" w:line="240" w:lineRule="auto"/>
    </w:pPr>
  </w:style>
  <w:style w:type="character" w:styleId="Pripombasklic">
    <w:name w:val="annotation reference"/>
    <w:basedOn w:val="Privzetapisavaodstavka"/>
    <w:uiPriority w:val="99"/>
    <w:semiHidden/>
    <w:unhideWhenUsed/>
    <w:rsid w:val="00B67C2C"/>
    <w:rPr>
      <w:sz w:val="16"/>
      <w:szCs w:val="16"/>
    </w:rPr>
  </w:style>
  <w:style w:type="paragraph" w:styleId="Pripombabesedilo">
    <w:name w:val="annotation text"/>
    <w:basedOn w:val="Navaden"/>
    <w:link w:val="PripombabesediloZnak"/>
    <w:uiPriority w:val="99"/>
    <w:unhideWhenUsed/>
    <w:rsid w:val="00B67C2C"/>
    <w:pPr>
      <w:spacing w:line="240" w:lineRule="auto"/>
    </w:pPr>
    <w:rPr>
      <w:sz w:val="20"/>
      <w:szCs w:val="20"/>
    </w:rPr>
  </w:style>
  <w:style w:type="character" w:customStyle="1" w:styleId="PripombabesediloZnak">
    <w:name w:val="Pripomba – besedilo Znak"/>
    <w:basedOn w:val="Privzetapisavaodstavka"/>
    <w:link w:val="Pripombabesedilo"/>
    <w:uiPriority w:val="99"/>
    <w:rsid w:val="00B67C2C"/>
    <w:rPr>
      <w:sz w:val="20"/>
      <w:szCs w:val="20"/>
    </w:rPr>
  </w:style>
  <w:style w:type="paragraph" w:styleId="Zadevapripombe">
    <w:name w:val="annotation subject"/>
    <w:basedOn w:val="Pripombabesedilo"/>
    <w:next w:val="Pripombabesedilo"/>
    <w:link w:val="ZadevapripombeZnak"/>
    <w:uiPriority w:val="99"/>
    <w:semiHidden/>
    <w:unhideWhenUsed/>
    <w:rsid w:val="00B67C2C"/>
    <w:rPr>
      <w:b/>
      <w:bCs/>
    </w:rPr>
  </w:style>
  <w:style w:type="character" w:customStyle="1" w:styleId="ZadevapripombeZnak">
    <w:name w:val="Zadeva pripombe Znak"/>
    <w:basedOn w:val="PripombabesediloZnak"/>
    <w:link w:val="Zadevapripombe"/>
    <w:uiPriority w:val="99"/>
    <w:semiHidden/>
    <w:rsid w:val="00B67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4516">
      <w:bodyDiv w:val="1"/>
      <w:marLeft w:val="0"/>
      <w:marRight w:val="0"/>
      <w:marTop w:val="0"/>
      <w:marBottom w:val="0"/>
      <w:divBdr>
        <w:top w:val="none" w:sz="0" w:space="0" w:color="auto"/>
        <w:left w:val="none" w:sz="0" w:space="0" w:color="auto"/>
        <w:bottom w:val="none" w:sz="0" w:space="0" w:color="auto"/>
        <w:right w:val="none" w:sz="0" w:space="0" w:color="auto"/>
      </w:divBdr>
    </w:div>
    <w:div w:id="19731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5FFAB5-3C8F-476E-86CB-C822758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1558</Words>
  <Characters>8883</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Zalar</dc:creator>
  <cp:keywords/>
  <dc:description/>
  <cp:lastModifiedBy>Maja Zalar</cp:lastModifiedBy>
  <cp:revision>4</cp:revision>
  <cp:lastPrinted>2025-05-15T07:56:00Z</cp:lastPrinted>
  <dcterms:created xsi:type="dcterms:W3CDTF">2025-05-23T10:25:00Z</dcterms:created>
  <dcterms:modified xsi:type="dcterms:W3CDTF">2025-07-25T08:31:00Z</dcterms:modified>
</cp:coreProperties>
</file>