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B6" w:rsidRPr="00643944" w:rsidRDefault="004112B6" w:rsidP="00C20B61">
      <w:pPr>
        <w:pStyle w:val="Brezrazmikov"/>
        <w:rPr>
          <w:rFonts w:cs="Arial"/>
        </w:rPr>
      </w:pPr>
      <w:bookmarkStart w:id="0" w:name="_GoBack"/>
      <w:bookmarkEnd w:id="0"/>
    </w:p>
    <w:p w:rsidR="004112B6" w:rsidRPr="00643944" w:rsidRDefault="004112B6" w:rsidP="00C20B61">
      <w:pPr>
        <w:pStyle w:val="Brezrazmikov"/>
        <w:rPr>
          <w:rFonts w:cs="Arial"/>
        </w:rPr>
      </w:pPr>
    </w:p>
    <w:p w:rsidR="004112B6" w:rsidRPr="00643944" w:rsidRDefault="004112B6" w:rsidP="00C20B61">
      <w:pPr>
        <w:pStyle w:val="Brezrazmikov"/>
        <w:rPr>
          <w:rFonts w:cs="Arial"/>
        </w:rPr>
      </w:pPr>
    </w:p>
    <w:p w:rsidR="00F62D0E" w:rsidRPr="00643944" w:rsidRDefault="00F62D0E" w:rsidP="00420C74">
      <w:pPr>
        <w:pStyle w:val="Brezrazmikov"/>
        <w:jc w:val="center"/>
        <w:rPr>
          <w:rFonts w:cs="Arial"/>
          <w:sz w:val="24"/>
        </w:rPr>
      </w:pPr>
      <w:r w:rsidRPr="00643944">
        <w:rPr>
          <w:rFonts w:cs="Arial"/>
          <w:sz w:val="24"/>
        </w:rPr>
        <w:t>(naziv LAS)</w:t>
      </w: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420C74">
      <w:pPr>
        <w:pStyle w:val="Brezrazmikov"/>
        <w:jc w:val="center"/>
        <w:rPr>
          <w:rFonts w:cs="Arial"/>
          <w:b/>
          <w:sz w:val="32"/>
        </w:rPr>
      </w:pPr>
      <w:r w:rsidRPr="00643944">
        <w:rPr>
          <w:rFonts w:cs="Arial"/>
          <w:b/>
          <w:sz w:val="32"/>
        </w:rPr>
        <w:t>STRATEGIJA LOKALNEGA RAZVOJA ZA</w:t>
      </w:r>
    </w:p>
    <w:p w:rsidR="00F62D0E" w:rsidRPr="00643944" w:rsidRDefault="00F62D0E" w:rsidP="00420C74">
      <w:pPr>
        <w:pStyle w:val="Brezrazmikov"/>
        <w:jc w:val="center"/>
        <w:rPr>
          <w:rFonts w:cs="Arial"/>
          <w:b/>
          <w:sz w:val="32"/>
        </w:rPr>
      </w:pPr>
      <w:r w:rsidRPr="00643944">
        <w:rPr>
          <w:rFonts w:cs="Arial"/>
          <w:b/>
          <w:sz w:val="32"/>
        </w:rPr>
        <w:t>LOKALNO AKCIJSKO SKUPINO______________________________</w:t>
      </w: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F62D0E" w:rsidRPr="00643944" w:rsidRDefault="00F62D0E" w:rsidP="00C20B61">
      <w:pPr>
        <w:pStyle w:val="Brezrazmikov"/>
        <w:rPr>
          <w:rFonts w:cs="Arial"/>
        </w:rPr>
      </w:pPr>
    </w:p>
    <w:p w:rsidR="009E14B2" w:rsidRPr="00643944" w:rsidRDefault="00F62D0E" w:rsidP="00BC18ED">
      <w:pPr>
        <w:pStyle w:val="Brezrazmikov"/>
        <w:jc w:val="center"/>
        <w:rPr>
          <w:rFonts w:cs="Arial"/>
        </w:rPr>
      </w:pPr>
      <w:r w:rsidRPr="00643944">
        <w:rPr>
          <w:rFonts w:cs="Arial"/>
          <w:sz w:val="24"/>
        </w:rPr>
        <w:t>Kraj in datum</w:t>
      </w:r>
      <w:r w:rsidR="009E14B2" w:rsidRPr="00643944">
        <w:rPr>
          <w:rFonts w:cs="Arial"/>
        </w:rPr>
        <w:br w:type="page"/>
      </w:r>
    </w:p>
    <w:p w:rsidR="00A36DF6" w:rsidRPr="00643944" w:rsidRDefault="00452ACF" w:rsidP="00C20B61">
      <w:pPr>
        <w:pStyle w:val="Brezrazmikov"/>
        <w:rPr>
          <w:rFonts w:cs="Arial"/>
          <w:b/>
          <w:sz w:val="24"/>
        </w:rPr>
      </w:pPr>
      <w:r w:rsidRPr="00643944">
        <w:rPr>
          <w:rFonts w:cs="Arial"/>
          <w:b/>
          <w:sz w:val="24"/>
        </w:rPr>
        <w:lastRenderedPageBreak/>
        <w:t xml:space="preserve">2. </w:t>
      </w:r>
      <w:r w:rsidR="00A36DF6" w:rsidRPr="00643944">
        <w:rPr>
          <w:rFonts w:cs="Arial"/>
          <w:b/>
          <w:sz w:val="24"/>
        </w:rPr>
        <w:t>Kazalo</w:t>
      </w:r>
    </w:p>
    <w:p w:rsidR="00420C74" w:rsidRPr="00643944" w:rsidRDefault="00420C74" w:rsidP="00C20B61">
      <w:pPr>
        <w:pStyle w:val="Brezrazmikov"/>
        <w:rPr>
          <w:rFonts w:cs="Arial"/>
        </w:rPr>
      </w:pPr>
    </w:p>
    <w:p w:rsidR="00420C74" w:rsidRPr="00643944" w:rsidRDefault="00420C74" w:rsidP="00C20B61">
      <w:pPr>
        <w:pStyle w:val="Brezrazmikov"/>
        <w:rPr>
          <w:rFonts w:cs="Arial"/>
        </w:rPr>
      </w:pPr>
    </w:p>
    <w:sdt>
      <w:sdtPr>
        <w:rPr>
          <w:rFonts w:ascii="Arial" w:eastAsiaTheme="minorHAnsi" w:hAnsi="Arial" w:cs="Arial"/>
          <w:b/>
          <w:bCs/>
          <w:caps/>
          <w:sz w:val="20"/>
          <w:szCs w:val="24"/>
          <w:lang w:eastAsia="en-US"/>
        </w:rPr>
        <w:id w:val="-1855176440"/>
        <w:docPartObj>
          <w:docPartGallery w:val="Table of Contents"/>
          <w:docPartUnique/>
        </w:docPartObj>
      </w:sdtPr>
      <w:sdtEndPr>
        <w:rPr>
          <w:rFonts w:eastAsia="Times New Roman"/>
          <w:b w:val="0"/>
          <w:bCs w:val="0"/>
          <w:caps w:val="0"/>
          <w:lang w:eastAsia="sl-SI"/>
        </w:rPr>
      </w:sdtEndPr>
      <w:sdtContent>
        <w:p w:rsidR="00AE7E07" w:rsidRPr="00643944" w:rsidRDefault="0089078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r w:rsidRPr="00643944">
            <w:rPr>
              <w:rFonts w:ascii="Arial" w:hAnsi="Arial" w:cs="Arial"/>
              <w:caps/>
              <w:sz w:val="20"/>
              <w:szCs w:val="20"/>
            </w:rPr>
            <w:fldChar w:fldCharType="begin"/>
          </w:r>
          <w:r w:rsidRPr="00643944">
            <w:rPr>
              <w:rFonts w:ascii="Arial" w:hAnsi="Arial" w:cs="Arial"/>
              <w:caps/>
              <w:sz w:val="20"/>
              <w:szCs w:val="20"/>
            </w:rPr>
            <w:instrText xml:space="preserve"> TOC \o "1-3" \h \z \u </w:instrText>
          </w:r>
          <w:r w:rsidRPr="00643944">
            <w:rPr>
              <w:rFonts w:ascii="Arial" w:hAnsi="Arial" w:cs="Arial"/>
              <w:caps/>
              <w:sz w:val="20"/>
              <w:szCs w:val="20"/>
            </w:rPr>
            <w:fldChar w:fldCharType="separate"/>
          </w:r>
          <w:hyperlink w:anchor="_Toc423424296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3.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Osebna izkaznica LAS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_Toc423424296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297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4.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Povzetek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_Toc423424297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298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5.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Opredelitev območja in prebivalstva zajetega v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_Toc423424298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299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6.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Analiza razvojnih potreb in možnosti območja LAS, vključno z analizo prednosti, slabosti, priložnosti in nevarnosti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_Toc423424299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0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7.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Podroben opis tematskih področij ukrepanja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_Toc423424300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1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8.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in način doseganja ter zasledovanja horizontalnih ciljev Evropske unije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_Toc423424301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2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9.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SLR in njenih ciljev vključno z določitvijo mejnikov in ciljnih vrednosti kazalnikov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_Toc423424302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3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10.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postopka vključitve skupnosti v pripravo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_Toc423424303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4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11.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Akcijski načrt, iz katerega izhaja opis prenosa ciljev v ukrepe, odgovornost za izvajanje ukrepov, vključno s časovno opredelitvijo letnih aktivnosti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_Toc423424304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5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12.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sistema spremljanja in vrednotenja SLR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_Toc423424305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6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13.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postopka določitve vodilnega partnerja LAS in opis kadrovskih kapacitet, finančni viri, izkušnje in znanje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_Toc423424306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16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7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14.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Opis nalog, odgovornosti in postopkov sprejemanja odločitev organov LAS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_Toc423424307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17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8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15.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Merila za izbor operacij in opis postopka izbora operacij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_Toc423424308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423424309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16.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Finančni načrt, vključno s finančno razdelitvijo po zadevnih skladih iz te uredbe v skladu s finančnim okvirjem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_Toc423424309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E7E07" w:rsidRPr="00643944" w:rsidRDefault="00D04220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423424310" w:history="1"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17.</w:t>
            </w:r>
            <w:r w:rsidR="00AE7E07" w:rsidRPr="00643944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AE7E07" w:rsidRPr="00643944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</w:rPr>
              <w:t>Priloge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_Toc423424310 \h </w:instrTex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AE7E07" w:rsidRPr="0064394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90780" w:rsidRPr="00643944" w:rsidRDefault="00890780" w:rsidP="00452ACF">
          <w:pPr>
            <w:pStyle w:val="Brezrazmikov"/>
            <w:spacing w:line="276" w:lineRule="auto"/>
            <w:jc w:val="both"/>
            <w:rPr>
              <w:rFonts w:cs="Arial"/>
            </w:rPr>
          </w:pPr>
          <w:r w:rsidRPr="00643944">
            <w:rPr>
              <w:rFonts w:cs="Arial"/>
              <w:caps/>
              <w:szCs w:val="20"/>
            </w:rPr>
            <w:fldChar w:fldCharType="end"/>
          </w:r>
        </w:p>
      </w:sdtContent>
    </w:sdt>
    <w:p w:rsidR="009E14B2" w:rsidRPr="00643944" w:rsidRDefault="009E14B2" w:rsidP="00C20B61">
      <w:pPr>
        <w:pStyle w:val="Brezrazmikov"/>
        <w:rPr>
          <w:rFonts w:eastAsiaTheme="majorEastAsia" w:cs="Arial"/>
        </w:rPr>
      </w:pPr>
      <w:r w:rsidRPr="00643944">
        <w:rPr>
          <w:rFonts w:cs="Arial"/>
        </w:rPr>
        <w:br w:type="page"/>
      </w:r>
    </w:p>
    <w:p w:rsidR="006E5732" w:rsidRPr="00643944" w:rsidRDefault="009E14B2" w:rsidP="00420C74">
      <w:pPr>
        <w:pStyle w:val="Naslov2"/>
        <w:numPr>
          <w:ilvl w:val="0"/>
          <w:numId w:val="7"/>
        </w:numPr>
        <w:rPr>
          <w:rFonts w:cs="Arial"/>
        </w:rPr>
      </w:pPr>
      <w:bookmarkStart w:id="1" w:name="_Toc423424296"/>
      <w:r w:rsidRPr="00643944">
        <w:rPr>
          <w:rFonts w:cs="Arial"/>
        </w:rPr>
        <w:lastRenderedPageBreak/>
        <w:t xml:space="preserve">Osebna izkaznica </w:t>
      </w:r>
      <w:r w:rsidR="00C13854" w:rsidRPr="00643944">
        <w:rPr>
          <w:rFonts w:cs="Arial"/>
        </w:rPr>
        <w:t>LAS</w:t>
      </w:r>
      <w:bookmarkEnd w:id="1"/>
    </w:p>
    <w:p w:rsidR="006E5732" w:rsidRPr="00643944" w:rsidRDefault="006E5732" w:rsidP="00420C74">
      <w:pPr>
        <w:pStyle w:val="Brezrazmikov"/>
        <w:spacing w:line="276" w:lineRule="auto"/>
        <w:rPr>
          <w:rFonts w:cs="Arial"/>
          <w:szCs w:val="20"/>
        </w:rPr>
      </w:pPr>
    </w:p>
    <w:p w:rsidR="00BC18ED" w:rsidRPr="00643944" w:rsidRDefault="00BC18ED" w:rsidP="00420C74">
      <w:pPr>
        <w:pStyle w:val="Brezrazmikov"/>
        <w:spacing w:line="276" w:lineRule="auto"/>
        <w:rPr>
          <w:rFonts w:cs="Arial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002"/>
        <w:gridCol w:w="1742"/>
        <w:gridCol w:w="2023"/>
        <w:gridCol w:w="2413"/>
      </w:tblGrid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Naziv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Naslov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Naslov varnega elektronskega predala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Spletna stran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Merge w:val="restart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Predsednik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c>
          <w:tcPr>
            <w:tcW w:w="3119" w:type="dxa"/>
            <w:vMerge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3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Vodilni partner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3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Naslov vodilnega partnerja LAS</w:t>
            </w:r>
          </w:p>
        </w:tc>
        <w:tc>
          <w:tcPr>
            <w:tcW w:w="6520" w:type="dxa"/>
            <w:gridSpan w:val="3"/>
          </w:tcPr>
          <w:p w:rsidR="00BC18ED" w:rsidRPr="00643944" w:rsidDel="0027503F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2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Številka transakcijskega računa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26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Velikost območja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25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Število prebivalcev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Število občin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Vključene občine (naštejte)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Problemsko območje ali območje ZTNP-1 (označi)</w:t>
            </w:r>
          </w:p>
        </w:tc>
        <w:tc>
          <w:tcPr>
            <w:tcW w:w="6520" w:type="dxa"/>
            <w:gridSpan w:val="3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DA                           NE</w:t>
            </w:r>
          </w:p>
        </w:tc>
      </w:tr>
      <w:tr w:rsidR="00643944" w:rsidRPr="00643944" w:rsidTr="00B30AF3">
        <w:trPr>
          <w:trHeight w:val="27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Kohezijska regija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SLR bo financirana (označi)</w:t>
            </w:r>
          </w:p>
        </w:tc>
        <w:tc>
          <w:tcPr>
            <w:tcW w:w="1819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EKSRP</w:t>
            </w:r>
          </w:p>
        </w:tc>
        <w:tc>
          <w:tcPr>
            <w:tcW w:w="2137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ESRR</w:t>
            </w:r>
          </w:p>
        </w:tc>
        <w:tc>
          <w:tcPr>
            <w:tcW w:w="2564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ESPR</w:t>
            </w: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Glavni sklad (označi)</w:t>
            </w:r>
          </w:p>
        </w:tc>
        <w:tc>
          <w:tcPr>
            <w:tcW w:w="1819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EKSRP</w:t>
            </w:r>
          </w:p>
        </w:tc>
        <w:tc>
          <w:tcPr>
            <w:tcW w:w="2137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ESRR</w:t>
            </w:r>
          </w:p>
        </w:tc>
        <w:tc>
          <w:tcPr>
            <w:tcW w:w="2564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44">
              <w:rPr>
                <w:rFonts w:ascii="Arial" w:hAnsi="Arial" w:cs="Arial"/>
                <w:sz w:val="20"/>
                <w:szCs w:val="20"/>
              </w:rPr>
              <w:t>ESPR</w:t>
            </w: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Datum ustanovitve lokalnega partnerstva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30AF3">
        <w:trPr>
          <w:trHeight w:val="264"/>
        </w:trPr>
        <w:tc>
          <w:tcPr>
            <w:tcW w:w="3119" w:type="dxa"/>
            <w:vAlign w:val="center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Število članov LAS</w:t>
            </w:r>
          </w:p>
        </w:tc>
        <w:tc>
          <w:tcPr>
            <w:tcW w:w="6520" w:type="dxa"/>
            <w:gridSpan w:val="3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4B2" w:rsidRPr="00643944" w:rsidRDefault="009E14B2" w:rsidP="00420C74">
      <w:pPr>
        <w:pStyle w:val="Brezrazmikov"/>
        <w:spacing w:line="276" w:lineRule="auto"/>
        <w:rPr>
          <w:rFonts w:cs="Arial"/>
          <w:szCs w:val="20"/>
        </w:rPr>
      </w:pPr>
    </w:p>
    <w:p w:rsidR="00A36DF6" w:rsidRPr="00643944" w:rsidRDefault="00A36DF6" w:rsidP="00420C74">
      <w:pPr>
        <w:pStyle w:val="Brezrazmikov"/>
        <w:spacing w:line="276" w:lineRule="auto"/>
        <w:rPr>
          <w:rFonts w:cs="Arial"/>
          <w:caps/>
          <w:szCs w:val="20"/>
        </w:rPr>
      </w:pPr>
    </w:p>
    <w:p w:rsidR="00A36DF6" w:rsidRPr="00643944" w:rsidRDefault="00A36DF6" w:rsidP="00C20B61">
      <w:pPr>
        <w:pStyle w:val="Brezrazmikov"/>
        <w:rPr>
          <w:rFonts w:eastAsiaTheme="majorEastAsia" w:cs="Arial"/>
        </w:rPr>
      </w:pPr>
      <w:r w:rsidRPr="00643944">
        <w:rPr>
          <w:rFonts w:cs="Arial"/>
        </w:rPr>
        <w:br w:type="page"/>
      </w:r>
    </w:p>
    <w:p w:rsidR="00430BBB" w:rsidRPr="00643944" w:rsidRDefault="00430BBB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2" w:name="_Toc423424297"/>
      <w:r w:rsidRPr="00643944">
        <w:rPr>
          <w:rFonts w:cs="Arial"/>
        </w:rPr>
        <w:lastRenderedPageBreak/>
        <w:t>Povzetek</w:t>
      </w:r>
      <w:r w:rsidR="00B32ED0" w:rsidRPr="00643944">
        <w:rPr>
          <w:rFonts w:cs="Arial"/>
        </w:rPr>
        <w:t xml:space="preserve"> SLR</w:t>
      </w:r>
      <w:bookmarkEnd w:id="2"/>
      <w:r w:rsidR="00B32ED0" w:rsidRPr="00643944">
        <w:rPr>
          <w:rFonts w:cs="Arial"/>
        </w:rPr>
        <w:t xml:space="preserve"> </w:t>
      </w:r>
    </w:p>
    <w:p w:rsidR="00A36DF6" w:rsidRPr="00643944" w:rsidRDefault="00A36DF6" w:rsidP="008746F3">
      <w:pPr>
        <w:pStyle w:val="Brezrazmikov"/>
        <w:spacing w:line="276" w:lineRule="auto"/>
        <w:rPr>
          <w:rFonts w:cs="Arial"/>
        </w:rPr>
      </w:pPr>
    </w:p>
    <w:p w:rsidR="00A36DF6" w:rsidRPr="00643944" w:rsidRDefault="00A36DF6" w:rsidP="008746F3">
      <w:pPr>
        <w:pStyle w:val="Brezrazmikov"/>
        <w:spacing w:line="276" w:lineRule="auto"/>
        <w:rPr>
          <w:rFonts w:cs="Arial"/>
        </w:rPr>
      </w:pPr>
    </w:p>
    <w:p w:rsidR="00A36DF6" w:rsidRPr="00643944" w:rsidRDefault="00A36DF6" w:rsidP="00C20B61">
      <w:pPr>
        <w:pStyle w:val="Brezrazmikov"/>
        <w:rPr>
          <w:rFonts w:eastAsiaTheme="majorEastAsia" w:cs="Arial"/>
          <w:b/>
          <w:bCs/>
        </w:rPr>
      </w:pPr>
      <w:bookmarkStart w:id="3" w:name="_Toc418773719"/>
      <w:r w:rsidRPr="00643944">
        <w:rPr>
          <w:rFonts w:cs="Arial"/>
        </w:rPr>
        <w:br w:type="page"/>
      </w:r>
    </w:p>
    <w:p w:rsidR="00C13854" w:rsidRPr="00643944" w:rsidRDefault="00C13854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4" w:name="_Toc423424298"/>
      <w:r w:rsidRPr="00643944">
        <w:rPr>
          <w:rFonts w:cs="Arial"/>
        </w:rPr>
        <w:lastRenderedPageBreak/>
        <w:t>Opredelitev območja in prebivalstva zajetega v SLR</w:t>
      </w:r>
      <w:bookmarkEnd w:id="3"/>
      <w:bookmarkEnd w:id="4"/>
      <w:r w:rsidRPr="00643944">
        <w:rPr>
          <w:rFonts w:cs="Arial"/>
        </w:rPr>
        <w:t xml:space="preserve"> </w:t>
      </w:r>
    </w:p>
    <w:p w:rsidR="00C13854" w:rsidRPr="00643944" w:rsidRDefault="00C13854" w:rsidP="008746F3">
      <w:pPr>
        <w:pStyle w:val="Brezrazmikov"/>
        <w:spacing w:line="276" w:lineRule="auto"/>
        <w:rPr>
          <w:rFonts w:cs="Arial"/>
        </w:rPr>
      </w:pPr>
    </w:p>
    <w:p w:rsidR="00C13854" w:rsidRPr="00643944" w:rsidRDefault="00C13854" w:rsidP="008746F3">
      <w:pPr>
        <w:pStyle w:val="Brezrazmikov"/>
        <w:spacing w:line="276" w:lineRule="auto"/>
        <w:rPr>
          <w:rFonts w:cs="Arial"/>
        </w:rPr>
      </w:pPr>
    </w:p>
    <w:p w:rsidR="00430BBB" w:rsidRPr="00643944" w:rsidRDefault="00430BBB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C13854" w:rsidRPr="00643944" w:rsidRDefault="00C13854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5" w:name="_Toc423424299"/>
      <w:r w:rsidRPr="00643944">
        <w:rPr>
          <w:rFonts w:cs="Arial"/>
        </w:rPr>
        <w:lastRenderedPageBreak/>
        <w:t>Analiza razvojnih potreb in možnosti območja LAS, vključno z analizo prednosti, slabosti, priložnosti in nevarnosti</w:t>
      </w:r>
      <w:bookmarkEnd w:id="5"/>
    </w:p>
    <w:p w:rsidR="00C13854" w:rsidRPr="00643944" w:rsidRDefault="00C13854" w:rsidP="00452ACF">
      <w:pPr>
        <w:pStyle w:val="Brezrazmikov"/>
        <w:spacing w:line="276" w:lineRule="auto"/>
        <w:rPr>
          <w:rFonts w:cs="Arial"/>
        </w:rPr>
      </w:pPr>
    </w:p>
    <w:p w:rsidR="00C872AA" w:rsidRPr="00643944" w:rsidRDefault="00C872AA" w:rsidP="00452ACF">
      <w:pPr>
        <w:pStyle w:val="Brezrazmikov"/>
        <w:spacing w:line="276" w:lineRule="auto"/>
        <w:rPr>
          <w:rFonts w:cs="Arial"/>
        </w:rPr>
      </w:pPr>
    </w:p>
    <w:p w:rsidR="00A36DF6" w:rsidRPr="00643944" w:rsidRDefault="00A36DF6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br w:type="page"/>
      </w:r>
    </w:p>
    <w:p w:rsidR="00C872AA" w:rsidRPr="00643944" w:rsidRDefault="00C872AA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6" w:name="_Toc418773721"/>
      <w:bookmarkStart w:id="7" w:name="_Toc423424300"/>
      <w:r w:rsidRPr="00643944">
        <w:rPr>
          <w:rFonts w:cs="Arial"/>
        </w:rPr>
        <w:lastRenderedPageBreak/>
        <w:t>Podroben opis tematskih področij ukrepanja</w:t>
      </w:r>
      <w:bookmarkEnd w:id="6"/>
      <w:bookmarkEnd w:id="7"/>
    </w:p>
    <w:p w:rsidR="00C872AA" w:rsidRPr="00643944" w:rsidRDefault="00C872AA" w:rsidP="00452ACF">
      <w:pPr>
        <w:pStyle w:val="Brezrazmikov"/>
        <w:spacing w:line="276" w:lineRule="auto"/>
        <w:rPr>
          <w:rFonts w:cs="Arial"/>
        </w:rPr>
      </w:pPr>
    </w:p>
    <w:p w:rsidR="00C872AA" w:rsidRPr="00643944" w:rsidRDefault="00C872AA" w:rsidP="00452ACF">
      <w:pPr>
        <w:pStyle w:val="Brezrazmikov"/>
        <w:spacing w:line="276" w:lineRule="auto"/>
        <w:rPr>
          <w:rFonts w:cs="Arial"/>
        </w:rPr>
      </w:pPr>
    </w:p>
    <w:p w:rsidR="00082D05" w:rsidRPr="00643944" w:rsidRDefault="00082D05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8" w:name="_Toc418773722"/>
      <w:bookmarkStart w:id="9" w:name="_Toc423424301"/>
      <w:r w:rsidRPr="00643944">
        <w:rPr>
          <w:rFonts w:cs="Arial"/>
        </w:rPr>
        <w:lastRenderedPageBreak/>
        <w:t xml:space="preserve">Opis in način doseganja ter zasledovanja horizontalnih ciljev </w:t>
      </w:r>
      <w:bookmarkEnd w:id="8"/>
      <w:r w:rsidRPr="00643944">
        <w:rPr>
          <w:rFonts w:cs="Arial"/>
        </w:rPr>
        <w:t>Evropske unije</w:t>
      </w:r>
      <w:bookmarkEnd w:id="9"/>
    </w:p>
    <w:p w:rsidR="00C20B61" w:rsidRPr="00643944" w:rsidRDefault="00C20B61" w:rsidP="00452ACF">
      <w:pPr>
        <w:pStyle w:val="Brezrazmikov"/>
        <w:spacing w:line="276" w:lineRule="auto"/>
        <w:rPr>
          <w:rFonts w:cs="Arial"/>
        </w:rPr>
      </w:pPr>
    </w:p>
    <w:p w:rsidR="00452ACF" w:rsidRPr="00643944" w:rsidRDefault="00452ACF" w:rsidP="00452ACF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0" w:name="_Toc423424302"/>
      <w:r w:rsidRPr="00643944">
        <w:rPr>
          <w:rFonts w:cs="Arial"/>
        </w:rPr>
        <w:lastRenderedPageBreak/>
        <w:t>Opis SLR in njenih ciljev vključno z določitvijo mejnikov in ciljnih vrednosti kazalnikov</w:t>
      </w:r>
      <w:bookmarkEnd w:id="10"/>
    </w:p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52ACF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1809"/>
        <w:gridCol w:w="2339"/>
        <w:gridCol w:w="2339"/>
        <w:gridCol w:w="992"/>
        <w:gridCol w:w="1701"/>
      </w:tblGrid>
      <w:tr w:rsidR="00643944" w:rsidRPr="00643944" w:rsidTr="00411815">
        <w:tc>
          <w:tcPr>
            <w:tcW w:w="1809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Tematsko področje</w:t>
            </w:r>
          </w:p>
        </w:tc>
        <w:tc>
          <w:tcPr>
            <w:tcW w:w="2339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</w:t>
            </w:r>
          </w:p>
        </w:tc>
        <w:tc>
          <w:tcPr>
            <w:tcW w:w="2339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Kazalnik</w:t>
            </w:r>
          </w:p>
        </w:tc>
        <w:tc>
          <w:tcPr>
            <w:tcW w:w="99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Sklad</w:t>
            </w:r>
          </w:p>
        </w:tc>
        <w:tc>
          <w:tcPr>
            <w:tcW w:w="1701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Ustvarjanje delovnih mest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Razvoj osnovnih storitev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Varstvo okolja in ohranjanje narave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 w:val="restart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 xml:space="preserve">Večja vključenost </w:t>
            </w:r>
            <w:r w:rsidRPr="00643944">
              <w:rPr>
                <w:rFonts w:cs="Arial"/>
                <w:b/>
              </w:rPr>
              <w:lastRenderedPageBreak/>
              <w:t>mladih, žensk in drugih ranljivih skupin</w:t>
            </w: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 w:val="restart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A37435" w:rsidRPr="00643944" w:rsidTr="00411815">
        <w:tc>
          <w:tcPr>
            <w:tcW w:w="180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2339" w:type="dxa"/>
            <w:vMerge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701" w:type="dxa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A37435" w:rsidRPr="00643944" w:rsidRDefault="00A37435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t>EKSRP:</w:t>
      </w:r>
    </w:p>
    <w:p w:rsidR="00A37435" w:rsidRPr="00643944" w:rsidRDefault="00A37435" w:rsidP="00452ACF">
      <w:pPr>
        <w:pStyle w:val="Brezrazmikov"/>
        <w:spacing w:line="276" w:lineRule="auto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2"/>
        <w:gridCol w:w="2764"/>
        <w:gridCol w:w="2764"/>
      </w:tblGrid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Mejnik/kazalnik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 na dan 31. 12. 2018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novo ustvarjenih delovnih mest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zaključenih operacij v primerjavi z odobrenimi operacijami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dodeljenih sredstev v odločitvi o potrditvi operacije primerjavi z določenim finančnim okvirjem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izplačanih sredstev v primerjavi z dodeljenimi sredstvi v odločitvi o potrditvi operacije</w:t>
            </w: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37435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764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p w:rsidR="00452ACF" w:rsidRPr="00643944" w:rsidRDefault="00452ACF" w:rsidP="00452ACF">
      <w:pPr>
        <w:pStyle w:val="Brezrazmikov"/>
        <w:spacing w:line="276" w:lineRule="auto"/>
        <w:rPr>
          <w:rFonts w:cs="Arial"/>
        </w:rPr>
      </w:pPr>
    </w:p>
    <w:p w:rsidR="00A37435" w:rsidRPr="00643944" w:rsidRDefault="00A37435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t>ESRR:</w:t>
      </w:r>
    </w:p>
    <w:p w:rsidR="00A37435" w:rsidRPr="00643944" w:rsidRDefault="00A37435" w:rsidP="00452ACF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652"/>
        <w:gridCol w:w="2835"/>
        <w:gridCol w:w="2693"/>
      </w:tblGrid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Mejnik/kazalnik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 na dan 31. 12. 2018</w:t>
            </w: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novo ustvarjenih delovnih mest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zaključenih operacij v primerjavi z odobrenimi operacijami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dodeljenih sredstev v odločitvi o potrditvi operacije primerjavi z določenim finančnim okvirjem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izplačanih sredstev v primerjavi z dodeljenimi sredstvi v odločitvi o potrditvi operacije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37435" w:rsidRPr="00643944" w:rsidTr="00411815">
        <w:tc>
          <w:tcPr>
            <w:tcW w:w="3652" w:type="dxa"/>
            <w:vAlign w:val="center"/>
          </w:tcPr>
          <w:p w:rsidR="00A37435" w:rsidRPr="00643944" w:rsidRDefault="00A37435" w:rsidP="00452ACF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37435" w:rsidRPr="00643944" w:rsidRDefault="00A37435" w:rsidP="00411815">
      <w:pPr>
        <w:pStyle w:val="Brezrazmikov"/>
        <w:spacing w:line="276" w:lineRule="auto"/>
        <w:rPr>
          <w:rFonts w:cs="Arial"/>
          <w:b/>
        </w:rPr>
      </w:pPr>
    </w:p>
    <w:p w:rsidR="00411815" w:rsidRPr="00643944" w:rsidRDefault="00411815" w:rsidP="00411815">
      <w:pPr>
        <w:pStyle w:val="Brezrazmikov"/>
        <w:spacing w:line="276" w:lineRule="auto"/>
        <w:rPr>
          <w:rFonts w:cs="Arial"/>
          <w:b/>
        </w:rPr>
      </w:pPr>
    </w:p>
    <w:p w:rsidR="00A37435" w:rsidRPr="00643944" w:rsidRDefault="00A37435" w:rsidP="00C20B61">
      <w:pPr>
        <w:pStyle w:val="Brezrazmikov"/>
        <w:rPr>
          <w:rFonts w:cs="Arial"/>
          <w:b/>
        </w:rPr>
      </w:pPr>
      <w:r w:rsidRPr="00643944">
        <w:rPr>
          <w:rFonts w:cs="Arial"/>
          <w:b/>
        </w:rPr>
        <w:t>ESPR:</w:t>
      </w:r>
    </w:p>
    <w:p w:rsidR="00A37435" w:rsidRPr="00643944" w:rsidRDefault="00A37435" w:rsidP="00411815">
      <w:pPr>
        <w:pStyle w:val="Brezrazmikov"/>
        <w:spacing w:line="276" w:lineRule="auto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693"/>
      </w:tblGrid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Mejnik/kazalnik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Mejnik na dan 31. 12. 2018</w:t>
            </w: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Ciljna vrednost kazalnika na dan 31. 12. 2023</w:t>
            </w: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novo ustvarjenih delovnih mest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Število zaključenih operacij v primerjavi z odobrenimi operacijami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dodeljenih sredstev v odločitvi o potrditvi operacije primerjavi z določenim finančnim okvirjem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Delež izplačanih sredstev v primerjavi z dodeljenimi sredstvi v odločitvi o potrditvi operacije</w:t>
            </w: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643944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37435" w:rsidRPr="00643944" w:rsidTr="00411815">
        <w:tc>
          <w:tcPr>
            <w:tcW w:w="3652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A37435" w:rsidRPr="00643944" w:rsidRDefault="00A37435" w:rsidP="00411815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E10C13" w:rsidRPr="00643944" w:rsidRDefault="00E10C13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1" w:name="_Toc423424303"/>
      <w:r w:rsidRPr="00643944">
        <w:rPr>
          <w:rFonts w:cs="Arial"/>
        </w:rPr>
        <w:lastRenderedPageBreak/>
        <w:t>Opis postopka vključitve skupnosti v pripravo SLR</w:t>
      </w:r>
      <w:bookmarkEnd w:id="11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  <w:caps/>
        </w:rPr>
      </w:pPr>
    </w:p>
    <w:p w:rsidR="00C20B61" w:rsidRPr="00643944" w:rsidRDefault="00C20B61" w:rsidP="00C20B61">
      <w:pPr>
        <w:pStyle w:val="Brezrazmikov"/>
        <w:rPr>
          <w:rFonts w:cs="Arial"/>
          <w:caps/>
        </w:rPr>
      </w:pPr>
      <w:r w:rsidRPr="00643944">
        <w:rPr>
          <w:rFonts w:cs="Arial"/>
          <w:caps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2" w:name="_Toc423424304"/>
      <w:r w:rsidRPr="00643944">
        <w:rPr>
          <w:rFonts w:cs="Arial"/>
        </w:rPr>
        <w:lastRenderedPageBreak/>
        <w:t>Akcijski načrt, iz katerega izhaja opis prenosa ciljev v ukrepe, odgovornost za izvajanje ukrepov, vključno s časovno opredelitvijo letnih</w:t>
      </w:r>
      <w:r w:rsidR="00BC18ED" w:rsidRPr="00643944">
        <w:rPr>
          <w:rFonts w:cs="Arial"/>
        </w:rPr>
        <w:t xml:space="preserve"> aktivnosti</w:t>
      </w:r>
      <w:bookmarkEnd w:id="12"/>
    </w:p>
    <w:p w:rsidR="00A37435" w:rsidRPr="00643944" w:rsidRDefault="00A37435" w:rsidP="00411815">
      <w:pPr>
        <w:pStyle w:val="Brezrazmikov"/>
        <w:spacing w:line="276" w:lineRule="auto"/>
        <w:rPr>
          <w:rFonts w:cs="Arial"/>
        </w:rPr>
      </w:pPr>
    </w:p>
    <w:p w:rsidR="00411815" w:rsidRPr="00643944" w:rsidRDefault="00411815" w:rsidP="00411815">
      <w:pPr>
        <w:pStyle w:val="Brezrazmikov"/>
        <w:spacing w:line="276" w:lineRule="auto"/>
        <w:rPr>
          <w:rFonts w:cs="Arial"/>
        </w:rPr>
      </w:pPr>
    </w:p>
    <w:tbl>
      <w:tblPr>
        <w:tblStyle w:val="Tabelamrea1"/>
        <w:tblW w:w="9288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992"/>
        <w:gridCol w:w="1559"/>
        <w:gridCol w:w="1809"/>
      </w:tblGrid>
      <w:tr w:rsidR="00643944" w:rsidRPr="00643944" w:rsidTr="007A78C9">
        <w:tc>
          <w:tcPr>
            <w:tcW w:w="2802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Ukrep</w:t>
            </w:r>
          </w:p>
        </w:tc>
        <w:tc>
          <w:tcPr>
            <w:tcW w:w="2126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Odgovornost za izvajanje</w:t>
            </w:r>
          </w:p>
        </w:tc>
        <w:tc>
          <w:tcPr>
            <w:tcW w:w="992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Sklad</w:t>
            </w:r>
          </w:p>
        </w:tc>
        <w:tc>
          <w:tcPr>
            <w:tcW w:w="1559" w:type="dxa"/>
            <w:vAlign w:val="center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Časovna opredelitev izvajanja (2016, 2017, 2018, 2019, 2020)</w:t>
            </w:r>
          </w:p>
        </w:tc>
        <w:tc>
          <w:tcPr>
            <w:tcW w:w="1809" w:type="dxa"/>
            <w:vAlign w:val="center"/>
          </w:tcPr>
          <w:p w:rsidR="00A37435" w:rsidRPr="00643944" w:rsidDel="00F67655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Načrtovana sredstva</w:t>
            </w:r>
            <w:r w:rsidR="00BC18ED" w:rsidRPr="00643944">
              <w:rPr>
                <w:rFonts w:cs="Arial"/>
                <w:b/>
              </w:rPr>
              <w:t xml:space="preserve"> (EU + SLO)</w:t>
            </w:r>
            <w:r w:rsidRPr="00643944">
              <w:rPr>
                <w:rFonts w:cs="Arial"/>
                <w:b/>
              </w:rPr>
              <w:t xml:space="preserve"> (v EUR)</w:t>
            </w: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 w:val="restart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643944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  <w:tr w:rsidR="00A37435" w:rsidRPr="00643944" w:rsidTr="007A78C9">
        <w:tc>
          <w:tcPr>
            <w:tcW w:w="2802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Merge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</w:p>
        </w:tc>
        <w:tc>
          <w:tcPr>
            <w:tcW w:w="992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155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09" w:type="dxa"/>
          </w:tcPr>
          <w:p w:rsidR="00A37435" w:rsidRPr="00643944" w:rsidRDefault="00A37435" w:rsidP="009B60D3">
            <w:pPr>
              <w:pStyle w:val="Brezrazmikov"/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="00BA5FA5" w:rsidRPr="00643944" w:rsidRDefault="00BA5FA5" w:rsidP="00411815">
      <w:pPr>
        <w:pStyle w:val="Brezrazmikov"/>
        <w:spacing w:line="276" w:lineRule="auto"/>
        <w:rPr>
          <w:rFonts w:cs="Arial"/>
        </w:rPr>
      </w:pPr>
    </w:p>
    <w:p w:rsidR="00BA5FA5" w:rsidRPr="00643944" w:rsidRDefault="00BA5FA5" w:rsidP="00411815">
      <w:pPr>
        <w:pStyle w:val="Brezrazmikov"/>
        <w:spacing w:line="276" w:lineRule="auto"/>
        <w:rPr>
          <w:rFonts w:cs="Arial"/>
        </w:rPr>
      </w:pPr>
    </w:p>
    <w:p w:rsidR="00D8426A" w:rsidRPr="00643944" w:rsidRDefault="00D8426A" w:rsidP="00C20B61">
      <w:pPr>
        <w:pStyle w:val="Brezrazmikov"/>
        <w:rPr>
          <w:rFonts w:cs="Arial"/>
        </w:rPr>
      </w:pPr>
      <w:r w:rsidRPr="00643944">
        <w:rPr>
          <w:rFonts w:cs="Arial"/>
        </w:rPr>
        <w:br w:type="page"/>
      </w:r>
    </w:p>
    <w:p w:rsidR="00A37435" w:rsidRPr="00643944" w:rsidRDefault="00A37435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3" w:name="_Toc423424305"/>
      <w:r w:rsidRPr="00643944">
        <w:rPr>
          <w:rFonts w:cs="Arial"/>
        </w:rPr>
        <w:lastRenderedPageBreak/>
        <w:t>Opis sistema spremljanja in vrednotenja SLR</w:t>
      </w:r>
      <w:bookmarkEnd w:id="13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972843" w:rsidRPr="00643944" w:rsidRDefault="00972843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4" w:name="_Toc423424306"/>
      <w:r w:rsidRPr="00643944">
        <w:rPr>
          <w:rFonts w:cs="Arial"/>
        </w:rPr>
        <w:lastRenderedPageBreak/>
        <w:t>Opis postopka določitve vodilnega partnerja LAS in opis kadrovskih kapacitet, finančni viri, izkušnje in znanje</w:t>
      </w:r>
      <w:bookmarkEnd w:id="14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972843" w:rsidRPr="00643944" w:rsidRDefault="00972843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5" w:name="_Toc423424307"/>
      <w:r w:rsidRPr="00643944">
        <w:rPr>
          <w:rFonts w:cs="Arial"/>
        </w:rPr>
        <w:lastRenderedPageBreak/>
        <w:t>Opis nalog, odgovornosti in postopkov sprejemanja odločitev organov LAS</w:t>
      </w:r>
      <w:bookmarkEnd w:id="15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94391B" w:rsidRPr="00643944" w:rsidRDefault="00F82DEC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6" w:name="_Toc423424308"/>
      <w:r w:rsidRPr="00643944">
        <w:rPr>
          <w:rFonts w:cs="Arial"/>
        </w:rPr>
        <w:lastRenderedPageBreak/>
        <w:t xml:space="preserve">Merila za izbor operacij in opis postopka izbora </w:t>
      </w:r>
      <w:r w:rsidR="00D507B4" w:rsidRPr="00643944">
        <w:rPr>
          <w:rFonts w:cs="Arial"/>
        </w:rPr>
        <w:t>operacij</w:t>
      </w:r>
      <w:bookmarkEnd w:id="16"/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C20B61">
      <w:pPr>
        <w:pStyle w:val="Brezrazmikov"/>
        <w:rPr>
          <w:rFonts w:eastAsiaTheme="majorEastAsia" w:cs="Arial"/>
          <w:b/>
          <w:bCs/>
          <w:caps/>
        </w:rPr>
      </w:pPr>
      <w:r w:rsidRPr="00643944">
        <w:rPr>
          <w:rFonts w:cs="Arial"/>
          <w:caps/>
        </w:rPr>
        <w:br w:type="page"/>
      </w:r>
    </w:p>
    <w:p w:rsidR="00F82DEC" w:rsidRPr="00643944" w:rsidRDefault="003430A1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7" w:name="_Toc423424309"/>
      <w:r w:rsidRPr="00643944">
        <w:rPr>
          <w:rFonts w:cs="Arial"/>
        </w:rPr>
        <w:lastRenderedPageBreak/>
        <w:t>Finančni načrt, vključno s finančno razdelitvijo po zadevnih skladih iz te uredbe v skladu s finančnim okvirjem</w:t>
      </w:r>
      <w:bookmarkEnd w:id="17"/>
    </w:p>
    <w:p w:rsidR="00F82DEC" w:rsidRPr="00643944" w:rsidRDefault="00F82DEC" w:rsidP="00411815">
      <w:pPr>
        <w:pStyle w:val="Brezrazmikov"/>
        <w:spacing w:line="276" w:lineRule="auto"/>
        <w:rPr>
          <w:rFonts w:cs="Arial"/>
        </w:rPr>
      </w:pPr>
    </w:p>
    <w:p w:rsidR="00C20B61" w:rsidRPr="00643944" w:rsidRDefault="00C20B61" w:rsidP="00411815">
      <w:pPr>
        <w:pStyle w:val="Brezrazmikov"/>
        <w:spacing w:line="276" w:lineRule="auto"/>
        <w:rPr>
          <w:rFonts w:cs="Arial"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 xml:space="preserve">Razdelitev sredstev po posameznem skladu </w:t>
      </w:r>
    </w:p>
    <w:p w:rsidR="00E16A97" w:rsidRPr="00643944" w:rsidRDefault="00E16A97" w:rsidP="00C20B61">
      <w:pPr>
        <w:pStyle w:val="Brezrazmikov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7"/>
        <w:gridCol w:w="1921"/>
        <w:gridCol w:w="2490"/>
        <w:gridCol w:w="1701"/>
      </w:tblGrid>
      <w:tr w:rsidR="00643944" w:rsidRPr="00643944" w:rsidTr="003B2D75">
        <w:tc>
          <w:tcPr>
            <w:tcW w:w="2927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Podukrep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Sklad</w:t>
            </w:r>
          </w:p>
        </w:tc>
        <w:tc>
          <w:tcPr>
            <w:tcW w:w="2490" w:type="dxa"/>
          </w:tcPr>
          <w:p w:rsidR="00E16A97" w:rsidRPr="00643944" w:rsidRDefault="00BC18ED" w:rsidP="00B00CFF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 xml:space="preserve">(EU + SLO) </w:t>
            </w:r>
            <w:r w:rsidR="00E16A97" w:rsidRPr="00643944">
              <w:rPr>
                <w:rFonts w:cs="Arial"/>
                <w:b/>
              </w:rPr>
              <w:t>(v EUR)</w:t>
            </w: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(v %)</w:t>
            </w: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Pripravljalna podpora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izvajanje operacij v okviru strategije lokalnega razvoja, ki ga vodi skupnost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Priprava in izvajanje dejavnosti sodelovanja lokalne akcijske skupine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4"/>
        </w:trPr>
        <w:tc>
          <w:tcPr>
            <w:tcW w:w="2927" w:type="dxa"/>
            <w:vMerge w:val="restart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tekoče stroške in stroške animacije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2"/>
        </w:trPr>
        <w:tc>
          <w:tcPr>
            <w:tcW w:w="2927" w:type="dxa"/>
            <w:vMerge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E16A97" w:rsidRPr="00643944" w:rsidTr="003B2D75">
        <w:tc>
          <w:tcPr>
            <w:tcW w:w="2927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Skupaj</w:t>
            </w:r>
          </w:p>
        </w:tc>
        <w:tc>
          <w:tcPr>
            <w:tcW w:w="192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</w:p>
        </w:tc>
        <w:tc>
          <w:tcPr>
            <w:tcW w:w="2490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16A97" w:rsidRPr="00643944" w:rsidRDefault="00E16A97" w:rsidP="00B00CFF">
            <w:pPr>
              <w:pStyle w:val="Brezrazmikov"/>
              <w:jc w:val="center"/>
              <w:rPr>
                <w:rFonts w:cs="Arial"/>
              </w:rPr>
            </w:pPr>
            <w:r w:rsidRPr="00643944">
              <w:rPr>
                <w:rFonts w:cs="Arial"/>
              </w:rPr>
              <w:t>100 %</w:t>
            </w:r>
          </w:p>
        </w:tc>
      </w:tr>
    </w:tbl>
    <w:p w:rsidR="00E16A97" w:rsidRPr="00643944" w:rsidRDefault="00E16A97" w:rsidP="00A401E0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44"/>
        <w:gridCol w:w="1823"/>
        <w:gridCol w:w="1824"/>
        <w:gridCol w:w="1824"/>
        <w:gridCol w:w="1824"/>
      </w:tblGrid>
      <w:tr w:rsidR="00643944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EKSRP (EU + SLO) (v EUR)</w:t>
            </w:r>
          </w:p>
        </w:tc>
        <w:tc>
          <w:tcPr>
            <w:tcW w:w="1824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ESRR (EU + SLO) (v EUR)</w:t>
            </w:r>
          </w:p>
        </w:tc>
        <w:tc>
          <w:tcPr>
            <w:tcW w:w="1824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ESPR (EU + SLO) (v EUR)</w:t>
            </w:r>
          </w:p>
        </w:tc>
        <w:tc>
          <w:tcPr>
            <w:tcW w:w="1824" w:type="dxa"/>
            <w:vAlign w:val="center"/>
          </w:tcPr>
          <w:p w:rsidR="00BC18ED" w:rsidRPr="00643944" w:rsidRDefault="00BC18ED" w:rsidP="00B30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Skupaj (v EUR)</w:t>
            </w:r>
          </w:p>
        </w:tc>
      </w:tr>
      <w:tr w:rsidR="00643944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Prispevek sklada</w:t>
            </w:r>
          </w:p>
        </w:tc>
        <w:tc>
          <w:tcPr>
            <w:tcW w:w="1823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44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Lastna soudeležba</w:t>
            </w:r>
          </w:p>
        </w:tc>
        <w:tc>
          <w:tcPr>
            <w:tcW w:w="1823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ED" w:rsidRPr="00643944" w:rsidTr="00BC18ED">
        <w:trPr>
          <w:trHeight w:val="230"/>
        </w:trPr>
        <w:tc>
          <w:tcPr>
            <w:tcW w:w="1744" w:type="dxa"/>
          </w:tcPr>
          <w:p w:rsidR="00BC18ED" w:rsidRPr="00643944" w:rsidRDefault="00BC18ED" w:rsidP="00B30A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944">
              <w:rPr>
                <w:rFonts w:ascii="Arial" w:hAnsi="Arial" w:cs="Arial"/>
                <w:b/>
                <w:sz w:val="20"/>
                <w:szCs w:val="20"/>
              </w:rPr>
              <w:t>Skupaj (v EUR)</w:t>
            </w:r>
          </w:p>
        </w:tc>
        <w:tc>
          <w:tcPr>
            <w:tcW w:w="1823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BC18ED" w:rsidRPr="00643944" w:rsidRDefault="00BC18ED" w:rsidP="00B30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8ED" w:rsidRPr="00643944" w:rsidRDefault="00BC18ED" w:rsidP="00A401E0">
      <w:pPr>
        <w:pStyle w:val="Brezrazmikov"/>
        <w:spacing w:line="276" w:lineRule="auto"/>
        <w:rPr>
          <w:rFonts w:cs="Arial"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>Načrtovana dinamika črpanja sredstev za posamezne podukrepe po letih</w:t>
      </w:r>
    </w:p>
    <w:p w:rsidR="00E16A97" w:rsidRPr="00643944" w:rsidRDefault="00E16A97" w:rsidP="00A401E0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643944" w:rsidRPr="00643944" w:rsidTr="003B2D75">
        <w:trPr>
          <w:trHeight w:val="327"/>
        </w:trPr>
        <w:tc>
          <w:tcPr>
            <w:tcW w:w="1526" w:type="dxa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Podukrep</w:t>
            </w:r>
          </w:p>
        </w:tc>
        <w:tc>
          <w:tcPr>
            <w:tcW w:w="992" w:type="dxa"/>
            <w:vAlign w:val="center"/>
          </w:tcPr>
          <w:p w:rsidR="00E16A97" w:rsidRPr="00643944" w:rsidRDefault="00BC18ED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  <w:szCs w:val="20"/>
              </w:rPr>
              <w:t>Sklad (EU + SLO)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2016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2017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2018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2019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2020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2021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2022</w:t>
            </w: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2023</w:t>
            </w: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 w:val="restart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izvajanje operacij v okviru strategije lokalnega razvoja, ki ga vodi skupnost</w:t>
            </w: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1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 w:val="restart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Priprava in izvajanje dejavnosti sodelovanja lokalne akcijske skupine</w:t>
            </w: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EKSRP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1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 w:val="restart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 xml:space="preserve">Podpora za tekoče </w:t>
            </w:r>
            <w:r w:rsidRPr="00643944">
              <w:rPr>
                <w:rFonts w:cs="Arial"/>
                <w:b/>
              </w:rPr>
              <w:lastRenderedPageBreak/>
              <w:t>stroške in stroške animacije</w:t>
            </w: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lastRenderedPageBreak/>
              <w:t>EKSRP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ESRR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682"/>
        </w:trPr>
        <w:tc>
          <w:tcPr>
            <w:tcW w:w="1526" w:type="dxa"/>
            <w:vMerge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  <w:r w:rsidRPr="00643944">
              <w:rPr>
                <w:rFonts w:cs="Arial"/>
              </w:rPr>
              <w:t>ESPR</w:t>
            </w: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E16A97" w:rsidRPr="00643944" w:rsidTr="003B2D75">
        <w:trPr>
          <w:trHeight w:val="682"/>
        </w:trPr>
        <w:tc>
          <w:tcPr>
            <w:tcW w:w="1526" w:type="dxa"/>
            <w:vAlign w:val="center"/>
          </w:tcPr>
          <w:p w:rsidR="00E16A97" w:rsidRPr="00643944" w:rsidRDefault="00E16A97" w:rsidP="00160197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Skupaj</w:t>
            </w:r>
          </w:p>
        </w:tc>
        <w:tc>
          <w:tcPr>
            <w:tcW w:w="992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5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816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</w:tbl>
    <w:p w:rsidR="00A401E0" w:rsidRPr="00643944" w:rsidRDefault="00A401E0" w:rsidP="00A401E0">
      <w:pPr>
        <w:pStyle w:val="Brezrazmikov"/>
        <w:spacing w:line="276" w:lineRule="auto"/>
        <w:rPr>
          <w:rFonts w:cs="Arial"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>Načrtovana razdelitev sredstev po posameznih tematskih področjih ukrepanja</w:t>
      </w:r>
    </w:p>
    <w:p w:rsidR="00E16A97" w:rsidRPr="00643944" w:rsidRDefault="00E16A97" w:rsidP="00A401E0">
      <w:pPr>
        <w:pStyle w:val="Brezrazmikov"/>
        <w:spacing w:line="276" w:lineRule="auto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87"/>
        <w:gridCol w:w="941"/>
        <w:gridCol w:w="813"/>
        <w:gridCol w:w="814"/>
        <w:gridCol w:w="814"/>
        <w:gridCol w:w="814"/>
        <w:gridCol w:w="814"/>
        <w:gridCol w:w="814"/>
        <w:gridCol w:w="814"/>
        <w:gridCol w:w="814"/>
      </w:tblGrid>
      <w:tr w:rsidR="00643944" w:rsidRPr="00643944" w:rsidTr="003B2D75">
        <w:trPr>
          <w:trHeight w:val="460"/>
        </w:trPr>
        <w:tc>
          <w:tcPr>
            <w:tcW w:w="1587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Tematsko področje</w:t>
            </w:r>
          </w:p>
        </w:tc>
        <w:tc>
          <w:tcPr>
            <w:tcW w:w="941" w:type="dxa"/>
            <w:vAlign w:val="center"/>
          </w:tcPr>
          <w:p w:rsidR="00E16A97" w:rsidRPr="00643944" w:rsidRDefault="00BC18ED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Sklad (EU + SLO)</w:t>
            </w:r>
          </w:p>
        </w:tc>
        <w:tc>
          <w:tcPr>
            <w:tcW w:w="813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2016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2017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2018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2019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2020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2021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2022</w:t>
            </w:r>
          </w:p>
        </w:tc>
        <w:tc>
          <w:tcPr>
            <w:tcW w:w="814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2023</w:t>
            </w: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Ustvarjanje delovnih mest</w:t>
            </w: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Del="00ED5623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ESRR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Del="00ED5623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 xml:space="preserve">Razvoj osnovnih storitev </w:t>
            </w: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Varstvo okolja in ohranjanje narave</w:t>
            </w: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ESRR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 w:val="restart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Večja vključenost mladih, žensk in drugih ranljivih skupin</w:t>
            </w:r>
          </w:p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EKSRP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ESRR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643944" w:rsidRPr="00643944" w:rsidTr="003B2D75">
        <w:trPr>
          <w:trHeight w:val="460"/>
        </w:trPr>
        <w:tc>
          <w:tcPr>
            <w:tcW w:w="1587" w:type="dxa"/>
            <w:vMerge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  <w:r w:rsidRPr="00643944">
              <w:rPr>
                <w:rFonts w:cs="Arial"/>
                <w:szCs w:val="20"/>
              </w:rPr>
              <w:t>ESPR</w:t>
            </w: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E16A97" w:rsidRPr="00643944" w:rsidTr="003B2D75">
        <w:trPr>
          <w:trHeight w:val="460"/>
        </w:trPr>
        <w:tc>
          <w:tcPr>
            <w:tcW w:w="1587" w:type="dxa"/>
            <w:vAlign w:val="center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b/>
                <w:szCs w:val="20"/>
              </w:rPr>
            </w:pPr>
            <w:r w:rsidRPr="00643944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941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813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14" w:type="dxa"/>
          </w:tcPr>
          <w:p w:rsidR="00E16A97" w:rsidRPr="00643944" w:rsidRDefault="00E16A97" w:rsidP="00A401E0">
            <w:pPr>
              <w:pStyle w:val="Brezrazmikov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16A97" w:rsidRPr="00643944" w:rsidRDefault="00E16A97" w:rsidP="00C20B61">
      <w:pPr>
        <w:pStyle w:val="Brezrazmikov"/>
        <w:rPr>
          <w:rFonts w:cs="Arial"/>
          <w:b/>
        </w:rPr>
      </w:pPr>
    </w:p>
    <w:p w:rsidR="00E16A97" w:rsidRPr="00643944" w:rsidRDefault="00E16A97" w:rsidP="00B00CFF">
      <w:pPr>
        <w:pStyle w:val="Brezrazmikov"/>
        <w:numPr>
          <w:ilvl w:val="0"/>
          <w:numId w:val="8"/>
        </w:numPr>
        <w:rPr>
          <w:rFonts w:cs="Arial"/>
        </w:rPr>
      </w:pPr>
      <w:r w:rsidRPr="00643944">
        <w:rPr>
          <w:rFonts w:cs="Arial"/>
        </w:rPr>
        <w:t>Stopnja sofinanciranja po posameznih podukrepih</w:t>
      </w:r>
    </w:p>
    <w:p w:rsidR="00E16A97" w:rsidRPr="00643944" w:rsidRDefault="00E16A97" w:rsidP="00C20B61">
      <w:pPr>
        <w:pStyle w:val="Brezrazmikov"/>
        <w:rPr>
          <w:rFonts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1"/>
        <w:gridCol w:w="1702"/>
        <w:gridCol w:w="1703"/>
        <w:gridCol w:w="1703"/>
      </w:tblGrid>
      <w:tr w:rsidR="00643944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Podukrep</w:t>
            </w:r>
          </w:p>
        </w:tc>
        <w:tc>
          <w:tcPr>
            <w:tcW w:w="1702" w:type="dxa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EKSRP (v %)</w:t>
            </w:r>
          </w:p>
        </w:tc>
        <w:tc>
          <w:tcPr>
            <w:tcW w:w="1703" w:type="dxa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ESRR (v %)</w:t>
            </w:r>
          </w:p>
        </w:tc>
        <w:tc>
          <w:tcPr>
            <w:tcW w:w="1703" w:type="dxa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ESPR (v %)</w:t>
            </w:r>
          </w:p>
        </w:tc>
      </w:tr>
      <w:tr w:rsidR="00643944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izvajanje operacij v okviru strategije lokalnega razvoja, ki ga vodi skupnost</w:t>
            </w:r>
          </w:p>
        </w:tc>
        <w:tc>
          <w:tcPr>
            <w:tcW w:w="1702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643944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Priprava in izvajanje dejavnosti sodelovanja lokalne akcijske skupine</w:t>
            </w:r>
          </w:p>
        </w:tc>
        <w:tc>
          <w:tcPr>
            <w:tcW w:w="1702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  <w:tr w:rsidR="00E16A97" w:rsidRPr="00643944" w:rsidTr="003B2D75">
        <w:trPr>
          <w:trHeight w:val="230"/>
        </w:trPr>
        <w:tc>
          <w:tcPr>
            <w:tcW w:w="3931" w:type="dxa"/>
          </w:tcPr>
          <w:p w:rsidR="00E16A97" w:rsidRPr="00643944" w:rsidRDefault="00E16A97" w:rsidP="00C20B61">
            <w:pPr>
              <w:pStyle w:val="Brezrazmikov"/>
              <w:rPr>
                <w:rFonts w:cs="Arial"/>
                <w:b/>
              </w:rPr>
            </w:pPr>
            <w:r w:rsidRPr="00643944">
              <w:rPr>
                <w:rFonts w:cs="Arial"/>
                <w:b/>
              </w:rPr>
              <w:t>Podpora za tekoče stroške in stroške animacije</w:t>
            </w:r>
          </w:p>
        </w:tc>
        <w:tc>
          <w:tcPr>
            <w:tcW w:w="1702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1703" w:type="dxa"/>
            <w:vAlign w:val="center"/>
          </w:tcPr>
          <w:p w:rsidR="00E16A97" w:rsidRPr="00643944" w:rsidRDefault="00E16A97" w:rsidP="00160197">
            <w:pPr>
              <w:pStyle w:val="Brezrazmikov"/>
              <w:jc w:val="center"/>
              <w:rPr>
                <w:rFonts w:cs="Arial"/>
              </w:rPr>
            </w:pPr>
          </w:p>
        </w:tc>
      </w:tr>
    </w:tbl>
    <w:p w:rsidR="00972843" w:rsidRPr="00643944" w:rsidRDefault="00972843" w:rsidP="00C20B61">
      <w:pPr>
        <w:pStyle w:val="Brezrazmikov"/>
        <w:rPr>
          <w:rFonts w:cs="Arial"/>
        </w:rPr>
      </w:pPr>
    </w:p>
    <w:p w:rsidR="006C7F52" w:rsidRPr="00643944" w:rsidRDefault="006C7F52">
      <w:pPr>
        <w:rPr>
          <w:rFonts w:ascii="Arial" w:eastAsiaTheme="majorEastAsia" w:hAnsi="Arial" w:cs="Arial"/>
          <w:b/>
          <w:bCs/>
          <w:szCs w:val="26"/>
        </w:rPr>
      </w:pPr>
      <w:r w:rsidRPr="00643944">
        <w:rPr>
          <w:rFonts w:ascii="Arial" w:hAnsi="Arial" w:cs="Arial"/>
        </w:rPr>
        <w:br w:type="page"/>
      </w:r>
    </w:p>
    <w:p w:rsidR="002E39A7" w:rsidRPr="00643944" w:rsidRDefault="00E16A97" w:rsidP="008746F3">
      <w:pPr>
        <w:pStyle w:val="Naslov2"/>
        <w:numPr>
          <w:ilvl w:val="0"/>
          <w:numId w:val="7"/>
        </w:numPr>
        <w:rPr>
          <w:rFonts w:cs="Arial"/>
        </w:rPr>
      </w:pPr>
      <w:bookmarkStart w:id="18" w:name="_Toc423424310"/>
      <w:r w:rsidRPr="00643944">
        <w:rPr>
          <w:rFonts w:cs="Arial"/>
        </w:rPr>
        <w:lastRenderedPageBreak/>
        <w:t>Priloge</w:t>
      </w:r>
      <w:bookmarkEnd w:id="18"/>
    </w:p>
    <w:p w:rsidR="00CB7DA2" w:rsidRPr="00643944" w:rsidRDefault="00CB7DA2" w:rsidP="00CB7DA2">
      <w:pPr>
        <w:pStyle w:val="Brezrazmikov"/>
        <w:spacing w:line="276" w:lineRule="auto"/>
        <w:rPr>
          <w:rFonts w:cs="Arial"/>
        </w:rPr>
      </w:pPr>
    </w:p>
    <w:p w:rsidR="00CB7DA2" w:rsidRPr="00643944" w:rsidRDefault="00CB7DA2" w:rsidP="00CB7DA2">
      <w:pPr>
        <w:pStyle w:val="Brezrazmikov"/>
        <w:spacing w:line="276" w:lineRule="auto"/>
        <w:rPr>
          <w:rFonts w:cs="Arial"/>
        </w:rPr>
      </w:pP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Seznam članov LAS;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Pogodba o ustanovitvi LAS;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 xml:space="preserve">Osnutek javnega poziva za izbor operacij iz naslova podukrepa »Podpora za izvajanje operacij v okviru strategije lokalnega </w:t>
      </w:r>
      <w:r w:rsidR="00BC18ED" w:rsidRPr="00643944">
        <w:rPr>
          <w:rFonts w:ascii="Arial" w:hAnsi="Arial" w:cs="Arial"/>
          <w:sz w:val="20"/>
          <w:szCs w:val="20"/>
        </w:rPr>
        <w:t>razvoja, ki ga vodi skupnost«;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Pogo</w:t>
      </w:r>
      <w:r w:rsidR="00BC18ED" w:rsidRPr="00643944">
        <w:rPr>
          <w:rFonts w:ascii="Arial" w:hAnsi="Arial" w:cs="Arial"/>
          <w:sz w:val="20"/>
          <w:szCs w:val="20"/>
        </w:rPr>
        <w:t>dba z vodilnim partnerjem LAS;</w:t>
      </w:r>
      <w:r w:rsidRPr="00643944">
        <w:rPr>
          <w:rFonts w:ascii="Arial" w:hAnsi="Arial" w:cs="Arial"/>
          <w:sz w:val="20"/>
          <w:szCs w:val="20"/>
        </w:rPr>
        <w:t xml:space="preserve"> 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Indikativna lista operacij sodelovanja LAS, ki bod</w:t>
      </w:r>
      <w:r w:rsidR="00BC18ED" w:rsidRPr="00643944">
        <w:rPr>
          <w:rFonts w:ascii="Arial" w:hAnsi="Arial" w:cs="Arial"/>
          <w:sz w:val="20"/>
          <w:szCs w:val="20"/>
        </w:rPr>
        <w:t>o sofinancirane s sredstvi ESRR in</w:t>
      </w:r>
    </w:p>
    <w:p w:rsidR="00CB7DA2" w:rsidRPr="00643944" w:rsidRDefault="00CB7DA2" w:rsidP="00CB7DA2">
      <w:pPr>
        <w:pStyle w:val="Odstavekseznama"/>
        <w:numPr>
          <w:ilvl w:val="0"/>
          <w:numId w:val="9"/>
        </w:numPr>
        <w:spacing w:after="200"/>
        <w:ind w:left="426" w:hanging="426"/>
        <w:rPr>
          <w:rFonts w:ascii="Arial" w:hAnsi="Arial" w:cs="Arial"/>
          <w:sz w:val="20"/>
          <w:szCs w:val="20"/>
        </w:rPr>
      </w:pPr>
      <w:r w:rsidRPr="00643944">
        <w:rPr>
          <w:rFonts w:ascii="Arial" w:hAnsi="Arial" w:cs="Arial"/>
          <w:sz w:val="20"/>
          <w:szCs w:val="20"/>
        </w:rPr>
        <w:t>Elektronska verzija SLR.</w:t>
      </w:r>
    </w:p>
    <w:sectPr w:rsidR="00CB7DA2" w:rsidRPr="00643944" w:rsidSect="0039229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C0" w:rsidRDefault="00F605C0" w:rsidP="00890780">
      <w:r>
        <w:separator/>
      </w:r>
    </w:p>
  </w:endnote>
  <w:endnote w:type="continuationSeparator" w:id="0">
    <w:p w:rsidR="00F605C0" w:rsidRDefault="00F605C0" w:rsidP="008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483277"/>
      <w:docPartObj>
        <w:docPartGallery w:val="Page Numbers (Bottom of Page)"/>
        <w:docPartUnique/>
      </w:docPartObj>
    </w:sdtPr>
    <w:sdtEndPr/>
    <w:sdtContent>
      <w:p w:rsidR="00A36DF6" w:rsidRDefault="00420C74" w:rsidP="00F45C5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2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C0" w:rsidRDefault="00F605C0" w:rsidP="00890780">
      <w:r>
        <w:separator/>
      </w:r>
    </w:p>
  </w:footnote>
  <w:footnote w:type="continuationSeparator" w:id="0">
    <w:p w:rsidR="00F605C0" w:rsidRDefault="00F605C0" w:rsidP="0089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300"/>
    <w:multiLevelType w:val="hybridMultilevel"/>
    <w:tmpl w:val="BCC66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CB2"/>
    <w:multiLevelType w:val="hybridMultilevel"/>
    <w:tmpl w:val="67907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0FA1"/>
    <w:multiLevelType w:val="hybridMultilevel"/>
    <w:tmpl w:val="69CC4ACE"/>
    <w:lvl w:ilvl="0" w:tplc="D5D28E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77C6"/>
    <w:multiLevelType w:val="hybridMultilevel"/>
    <w:tmpl w:val="C246949C"/>
    <w:lvl w:ilvl="0" w:tplc="A28E983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3AF"/>
    <w:multiLevelType w:val="hybridMultilevel"/>
    <w:tmpl w:val="38A8CEC4"/>
    <w:lvl w:ilvl="0" w:tplc="F470141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7332"/>
    <w:multiLevelType w:val="hybridMultilevel"/>
    <w:tmpl w:val="2C50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71F0"/>
    <w:multiLevelType w:val="hybridMultilevel"/>
    <w:tmpl w:val="A426CE1A"/>
    <w:lvl w:ilvl="0" w:tplc="A28E98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76E7F"/>
    <w:multiLevelType w:val="hybridMultilevel"/>
    <w:tmpl w:val="E6480D26"/>
    <w:lvl w:ilvl="0" w:tplc="B726B8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A3614"/>
    <w:multiLevelType w:val="hybridMultilevel"/>
    <w:tmpl w:val="DCB8171A"/>
    <w:lvl w:ilvl="0" w:tplc="A5508674">
      <w:start w:val="1"/>
      <w:numFmt w:val="decimal"/>
      <w:pStyle w:val="Naslov1"/>
      <w:lvlText w:val="%1.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BB"/>
    <w:rsid w:val="00006663"/>
    <w:rsid w:val="00023361"/>
    <w:rsid w:val="00060219"/>
    <w:rsid w:val="00082D05"/>
    <w:rsid w:val="00094B6C"/>
    <w:rsid w:val="000A5F47"/>
    <w:rsid w:val="000C4C55"/>
    <w:rsid w:val="000D5854"/>
    <w:rsid w:val="000D5C97"/>
    <w:rsid w:val="000E25F9"/>
    <w:rsid w:val="000E3BD0"/>
    <w:rsid w:val="0012033A"/>
    <w:rsid w:val="00160197"/>
    <w:rsid w:val="0016174B"/>
    <w:rsid w:val="00181307"/>
    <w:rsid w:val="0018288D"/>
    <w:rsid w:val="001872CE"/>
    <w:rsid w:val="0019652F"/>
    <w:rsid w:val="001B3D00"/>
    <w:rsid w:val="001B591B"/>
    <w:rsid w:val="001C14CE"/>
    <w:rsid w:val="001D786E"/>
    <w:rsid w:val="002045E6"/>
    <w:rsid w:val="002050F4"/>
    <w:rsid w:val="00211E3C"/>
    <w:rsid w:val="00213159"/>
    <w:rsid w:val="00227769"/>
    <w:rsid w:val="0023065A"/>
    <w:rsid w:val="00232F86"/>
    <w:rsid w:val="00234E21"/>
    <w:rsid w:val="00240985"/>
    <w:rsid w:val="00260E2A"/>
    <w:rsid w:val="00284903"/>
    <w:rsid w:val="00284F82"/>
    <w:rsid w:val="00290A8D"/>
    <w:rsid w:val="00294D27"/>
    <w:rsid w:val="002A6499"/>
    <w:rsid w:val="002B7FE9"/>
    <w:rsid w:val="002E39A7"/>
    <w:rsid w:val="002F5CAC"/>
    <w:rsid w:val="00313824"/>
    <w:rsid w:val="00323A28"/>
    <w:rsid w:val="003263AD"/>
    <w:rsid w:val="003274A2"/>
    <w:rsid w:val="00337DC4"/>
    <w:rsid w:val="0034287C"/>
    <w:rsid w:val="003430A1"/>
    <w:rsid w:val="003439C0"/>
    <w:rsid w:val="003462EB"/>
    <w:rsid w:val="0035763B"/>
    <w:rsid w:val="00390456"/>
    <w:rsid w:val="0039229B"/>
    <w:rsid w:val="003A485A"/>
    <w:rsid w:val="003A72A9"/>
    <w:rsid w:val="003B2D75"/>
    <w:rsid w:val="004112B6"/>
    <w:rsid w:val="00411815"/>
    <w:rsid w:val="004201CA"/>
    <w:rsid w:val="00420C74"/>
    <w:rsid w:val="00422A33"/>
    <w:rsid w:val="00430BBB"/>
    <w:rsid w:val="00452ACF"/>
    <w:rsid w:val="00455174"/>
    <w:rsid w:val="00465180"/>
    <w:rsid w:val="00475405"/>
    <w:rsid w:val="00476430"/>
    <w:rsid w:val="004966E7"/>
    <w:rsid w:val="004A3733"/>
    <w:rsid w:val="004B450D"/>
    <w:rsid w:val="004C0451"/>
    <w:rsid w:val="004E0ABE"/>
    <w:rsid w:val="0052142A"/>
    <w:rsid w:val="00574BA7"/>
    <w:rsid w:val="00580763"/>
    <w:rsid w:val="00587207"/>
    <w:rsid w:val="00593B3B"/>
    <w:rsid w:val="005C10C1"/>
    <w:rsid w:val="005E66C7"/>
    <w:rsid w:val="00602941"/>
    <w:rsid w:val="00602B7F"/>
    <w:rsid w:val="00611A48"/>
    <w:rsid w:val="00625627"/>
    <w:rsid w:val="00640608"/>
    <w:rsid w:val="00643944"/>
    <w:rsid w:val="00671410"/>
    <w:rsid w:val="00681F6D"/>
    <w:rsid w:val="006A638A"/>
    <w:rsid w:val="006C7F52"/>
    <w:rsid w:val="006E1CDB"/>
    <w:rsid w:val="006E5732"/>
    <w:rsid w:val="007148FB"/>
    <w:rsid w:val="007726BD"/>
    <w:rsid w:val="007A78C9"/>
    <w:rsid w:val="007B794C"/>
    <w:rsid w:val="007F695C"/>
    <w:rsid w:val="00804410"/>
    <w:rsid w:val="00816DAD"/>
    <w:rsid w:val="0082171E"/>
    <w:rsid w:val="008332B3"/>
    <w:rsid w:val="00833D11"/>
    <w:rsid w:val="00867CC1"/>
    <w:rsid w:val="008746F3"/>
    <w:rsid w:val="00875903"/>
    <w:rsid w:val="008816B8"/>
    <w:rsid w:val="008835AE"/>
    <w:rsid w:val="00890780"/>
    <w:rsid w:val="008A506D"/>
    <w:rsid w:val="008A6B65"/>
    <w:rsid w:val="008B207B"/>
    <w:rsid w:val="008E4979"/>
    <w:rsid w:val="008E6389"/>
    <w:rsid w:val="008F4D00"/>
    <w:rsid w:val="00902C34"/>
    <w:rsid w:val="009116FF"/>
    <w:rsid w:val="0094391B"/>
    <w:rsid w:val="00951E6A"/>
    <w:rsid w:val="00952C4F"/>
    <w:rsid w:val="00972843"/>
    <w:rsid w:val="009B4D16"/>
    <w:rsid w:val="009B60D3"/>
    <w:rsid w:val="009C0E21"/>
    <w:rsid w:val="009E14B2"/>
    <w:rsid w:val="009E2CB0"/>
    <w:rsid w:val="009F2422"/>
    <w:rsid w:val="00A00D26"/>
    <w:rsid w:val="00A02A55"/>
    <w:rsid w:val="00A073FF"/>
    <w:rsid w:val="00A15418"/>
    <w:rsid w:val="00A21B2C"/>
    <w:rsid w:val="00A24FC3"/>
    <w:rsid w:val="00A36DF6"/>
    <w:rsid w:val="00A37435"/>
    <w:rsid w:val="00A401E0"/>
    <w:rsid w:val="00A55C18"/>
    <w:rsid w:val="00A707C7"/>
    <w:rsid w:val="00AB692C"/>
    <w:rsid w:val="00AC2937"/>
    <w:rsid w:val="00AC7683"/>
    <w:rsid w:val="00AE7E07"/>
    <w:rsid w:val="00AF4EC5"/>
    <w:rsid w:val="00B00CFF"/>
    <w:rsid w:val="00B04732"/>
    <w:rsid w:val="00B05F5B"/>
    <w:rsid w:val="00B142AE"/>
    <w:rsid w:val="00B164C9"/>
    <w:rsid w:val="00B32ED0"/>
    <w:rsid w:val="00B42E2E"/>
    <w:rsid w:val="00B51AE1"/>
    <w:rsid w:val="00B51D16"/>
    <w:rsid w:val="00B63C5A"/>
    <w:rsid w:val="00B73E9C"/>
    <w:rsid w:val="00B8167B"/>
    <w:rsid w:val="00B9228A"/>
    <w:rsid w:val="00BA4F21"/>
    <w:rsid w:val="00BA5FA5"/>
    <w:rsid w:val="00BC0A7A"/>
    <w:rsid w:val="00BC18ED"/>
    <w:rsid w:val="00BD116C"/>
    <w:rsid w:val="00C0202D"/>
    <w:rsid w:val="00C13854"/>
    <w:rsid w:val="00C20B61"/>
    <w:rsid w:val="00C23D6F"/>
    <w:rsid w:val="00C25C4E"/>
    <w:rsid w:val="00C43C2A"/>
    <w:rsid w:val="00C448E6"/>
    <w:rsid w:val="00C57880"/>
    <w:rsid w:val="00C67B3D"/>
    <w:rsid w:val="00C76691"/>
    <w:rsid w:val="00C872AA"/>
    <w:rsid w:val="00CA2AF7"/>
    <w:rsid w:val="00CA5AFB"/>
    <w:rsid w:val="00CB1308"/>
    <w:rsid w:val="00CB7DA2"/>
    <w:rsid w:val="00CD58ED"/>
    <w:rsid w:val="00CE0453"/>
    <w:rsid w:val="00CE3C42"/>
    <w:rsid w:val="00D000C0"/>
    <w:rsid w:val="00D010F7"/>
    <w:rsid w:val="00D04220"/>
    <w:rsid w:val="00D0458D"/>
    <w:rsid w:val="00D129E0"/>
    <w:rsid w:val="00D15E26"/>
    <w:rsid w:val="00D422D7"/>
    <w:rsid w:val="00D507B4"/>
    <w:rsid w:val="00D80324"/>
    <w:rsid w:val="00D80B76"/>
    <w:rsid w:val="00D83B5B"/>
    <w:rsid w:val="00D8426A"/>
    <w:rsid w:val="00DA0DE2"/>
    <w:rsid w:val="00DA12F4"/>
    <w:rsid w:val="00DA5645"/>
    <w:rsid w:val="00DC2A3F"/>
    <w:rsid w:val="00DC5BC6"/>
    <w:rsid w:val="00DD5024"/>
    <w:rsid w:val="00DE0A22"/>
    <w:rsid w:val="00DF7154"/>
    <w:rsid w:val="00E01E21"/>
    <w:rsid w:val="00E10C13"/>
    <w:rsid w:val="00E16A97"/>
    <w:rsid w:val="00E2425B"/>
    <w:rsid w:val="00E76526"/>
    <w:rsid w:val="00E76773"/>
    <w:rsid w:val="00ED0994"/>
    <w:rsid w:val="00F0329C"/>
    <w:rsid w:val="00F2313D"/>
    <w:rsid w:val="00F45C58"/>
    <w:rsid w:val="00F605C0"/>
    <w:rsid w:val="00F62D0E"/>
    <w:rsid w:val="00F65DB2"/>
    <w:rsid w:val="00F82DEC"/>
    <w:rsid w:val="00F976EC"/>
    <w:rsid w:val="00FD7001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AFB"/>
    <w:rPr>
      <w:rFonts w:asciiTheme="majorHAnsi" w:hAnsiTheme="maj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4B6C"/>
    <w:pPr>
      <w:keepNext/>
      <w:keepLines/>
      <w:numPr>
        <w:numId w:val="1"/>
      </w:numPr>
      <w:spacing w:before="120"/>
      <w:outlineLvl w:val="0"/>
    </w:pPr>
    <w:rPr>
      <w:rFonts w:ascii="Arial" w:eastAsiaTheme="majorEastAsia" w:hAnsi="Arial" w:cstheme="majorBidi"/>
      <w:b/>
      <w:bCs/>
      <w:caps/>
      <w:sz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20C7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9078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BBB"/>
    <w:pPr>
      <w:ind w:left="720"/>
      <w:contextualSpacing/>
    </w:pPr>
  </w:style>
  <w:style w:type="table" w:styleId="Tabelamrea">
    <w:name w:val="Table Grid"/>
    <w:basedOn w:val="Navadnatabela"/>
    <w:uiPriority w:val="59"/>
    <w:rsid w:val="00B9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A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F65DB2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4201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1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1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1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1C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88D"/>
  </w:style>
  <w:style w:type="paragraph" w:styleId="Noga">
    <w:name w:val="footer"/>
    <w:basedOn w:val="Navaden"/>
    <w:link w:val="Nog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88D"/>
  </w:style>
  <w:style w:type="character" w:customStyle="1" w:styleId="Naslov1Znak">
    <w:name w:val="Naslov 1 Znak"/>
    <w:basedOn w:val="Privzetapisavaodstavka"/>
    <w:link w:val="Naslov1"/>
    <w:uiPriority w:val="9"/>
    <w:rsid w:val="00094B6C"/>
    <w:rPr>
      <w:rFonts w:ascii="Arial" w:eastAsiaTheme="majorEastAsia" w:hAnsi="Arial" w:cstheme="majorBidi"/>
      <w:b/>
      <w:bCs/>
      <w:caps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8907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TOC">
    <w:name w:val="TOC Heading"/>
    <w:basedOn w:val="Naslov1"/>
    <w:next w:val="Navaden"/>
    <w:uiPriority w:val="39"/>
    <w:unhideWhenUsed/>
    <w:qFormat/>
    <w:rsid w:val="00890780"/>
    <w:pPr>
      <w:numPr>
        <w:numId w:val="0"/>
      </w:numPr>
      <w:spacing w:before="480" w:after="0"/>
      <w:outlineLvl w:val="9"/>
    </w:pPr>
    <w:rPr>
      <w:color w:val="365F91" w:themeColor="accent1" w:themeShade="BF"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76691"/>
    <w:pPr>
      <w:tabs>
        <w:tab w:val="left" w:pos="660"/>
        <w:tab w:val="right" w:leader="dot" w:pos="9062"/>
      </w:tabs>
      <w:spacing w:after="100"/>
    </w:pPr>
  </w:style>
  <w:style w:type="character" w:styleId="Hiperpovezava">
    <w:name w:val="Hyperlink"/>
    <w:basedOn w:val="Privzetapisavaodstavka"/>
    <w:uiPriority w:val="99"/>
    <w:unhideWhenUsed/>
    <w:rsid w:val="00890780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A4F2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A4F21"/>
    <w:rPr>
      <w:rFonts w:asciiTheme="majorHAnsi" w:hAnsiTheme="majorHAns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A4F21"/>
    <w:rPr>
      <w:vertAlign w:val="superscript"/>
    </w:rPr>
  </w:style>
  <w:style w:type="paragraph" w:styleId="Brezrazmikov">
    <w:name w:val="No Spacing"/>
    <w:uiPriority w:val="1"/>
    <w:qFormat/>
    <w:rsid w:val="00DA564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Revizija">
    <w:name w:val="Revision"/>
    <w:hidden/>
    <w:uiPriority w:val="99"/>
    <w:semiHidden/>
    <w:rsid w:val="00284903"/>
    <w:pPr>
      <w:spacing w:after="0" w:line="240" w:lineRule="auto"/>
    </w:pPr>
    <w:rPr>
      <w:rFonts w:asciiTheme="majorHAnsi" w:hAnsiTheme="majorHAnsi"/>
      <w:sz w:val="24"/>
      <w:szCs w:val="24"/>
    </w:rPr>
  </w:style>
  <w:style w:type="table" w:customStyle="1" w:styleId="Tabelamrea2">
    <w:name w:val="Tabela – mreža2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1">
    <w:name w:val="Tabela – mreža11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">
    <w:name w:val="Odstavek"/>
    <w:basedOn w:val="Navaden"/>
    <w:link w:val="OdstavekZnak"/>
    <w:qFormat/>
    <w:rsid w:val="00DC5BC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DC5BC6"/>
    <w:rPr>
      <w:rFonts w:ascii="Arial" w:eastAsia="Times New Roman" w:hAnsi="Arial" w:cs="Times New Roman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13824"/>
    <w:pPr>
      <w:spacing w:after="100"/>
      <w:ind w:left="22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313824"/>
    <w:pPr>
      <w:spacing w:after="100"/>
      <w:ind w:left="440"/>
    </w:pPr>
    <w:rPr>
      <w:rFonts w:asciiTheme="minorHAnsi" w:eastAsiaTheme="minorEastAsia" w:hAnsiTheme="minorHAnsi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20C74"/>
    <w:rPr>
      <w:rFonts w:ascii="Arial" w:eastAsiaTheme="majorEastAsia" w:hAnsi="Arial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5AFB"/>
    <w:rPr>
      <w:rFonts w:asciiTheme="majorHAnsi" w:hAnsiTheme="maj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4B6C"/>
    <w:pPr>
      <w:keepNext/>
      <w:keepLines/>
      <w:numPr>
        <w:numId w:val="1"/>
      </w:numPr>
      <w:spacing w:before="120"/>
      <w:outlineLvl w:val="0"/>
    </w:pPr>
    <w:rPr>
      <w:rFonts w:ascii="Arial" w:eastAsiaTheme="majorEastAsia" w:hAnsi="Arial" w:cstheme="majorBidi"/>
      <w:b/>
      <w:bCs/>
      <w:caps/>
      <w:sz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20C7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9078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BBB"/>
    <w:pPr>
      <w:ind w:left="720"/>
      <w:contextualSpacing/>
    </w:pPr>
  </w:style>
  <w:style w:type="table" w:styleId="Tabelamrea">
    <w:name w:val="Table Grid"/>
    <w:basedOn w:val="Navadnatabela"/>
    <w:uiPriority w:val="59"/>
    <w:rsid w:val="00B9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A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F65DB2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4201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1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1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1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1CA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88D"/>
  </w:style>
  <w:style w:type="paragraph" w:styleId="Noga">
    <w:name w:val="footer"/>
    <w:basedOn w:val="Navaden"/>
    <w:link w:val="NogaZnak"/>
    <w:uiPriority w:val="99"/>
    <w:unhideWhenUsed/>
    <w:rsid w:val="0018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88D"/>
  </w:style>
  <w:style w:type="character" w:customStyle="1" w:styleId="Naslov1Znak">
    <w:name w:val="Naslov 1 Znak"/>
    <w:basedOn w:val="Privzetapisavaodstavka"/>
    <w:link w:val="Naslov1"/>
    <w:uiPriority w:val="9"/>
    <w:rsid w:val="00094B6C"/>
    <w:rPr>
      <w:rFonts w:ascii="Arial" w:eastAsiaTheme="majorEastAsia" w:hAnsi="Arial" w:cstheme="majorBidi"/>
      <w:b/>
      <w:bCs/>
      <w:caps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8907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TOC">
    <w:name w:val="TOC Heading"/>
    <w:basedOn w:val="Naslov1"/>
    <w:next w:val="Navaden"/>
    <w:uiPriority w:val="39"/>
    <w:unhideWhenUsed/>
    <w:qFormat/>
    <w:rsid w:val="00890780"/>
    <w:pPr>
      <w:numPr>
        <w:numId w:val="0"/>
      </w:numPr>
      <w:spacing w:before="480" w:after="0"/>
      <w:outlineLvl w:val="9"/>
    </w:pPr>
    <w:rPr>
      <w:color w:val="365F91" w:themeColor="accent1" w:themeShade="BF"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76691"/>
    <w:pPr>
      <w:tabs>
        <w:tab w:val="left" w:pos="660"/>
        <w:tab w:val="right" w:leader="dot" w:pos="9062"/>
      </w:tabs>
      <w:spacing w:after="100"/>
    </w:pPr>
  </w:style>
  <w:style w:type="character" w:styleId="Hiperpovezava">
    <w:name w:val="Hyperlink"/>
    <w:basedOn w:val="Privzetapisavaodstavka"/>
    <w:uiPriority w:val="99"/>
    <w:unhideWhenUsed/>
    <w:rsid w:val="00890780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A4F2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A4F21"/>
    <w:rPr>
      <w:rFonts w:asciiTheme="majorHAnsi" w:hAnsiTheme="majorHAns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A4F21"/>
    <w:rPr>
      <w:vertAlign w:val="superscript"/>
    </w:rPr>
  </w:style>
  <w:style w:type="paragraph" w:styleId="Brezrazmikov">
    <w:name w:val="No Spacing"/>
    <w:uiPriority w:val="1"/>
    <w:qFormat/>
    <w:rsid w:val="00DA564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Revizija">
    <w:name w:val="Revision"/>
    <w:hidden/>
    <w:uiPriority w:val="99"/>
    <w:semiHidden/>
    <w:rsid w:val="00284903"/>
    <w:pPr>
      <w:spacing w:after="0" w:line="240" w:lineRule="auto"/>
    </w:pPr>
    <w:rPr>
      <w:rFonts w:asciiTheme="majorHAnsi" w:hAnsiTheme="majorHAnsi"/>
      <w:sz w:val="24"/>
      <w:szCs w:val="24"/>
    </w:rPr>
  </w:style>
  <w:style w:type="table" w:customStyle="1" w:styleId="Tabelamrea2">
    <w:name w:val="Tabela – mreža2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1">
    <w:name w:val="Tabela – mreža11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uiPriority w:val="59"/>
    <w:rsid w:val="00DC5BC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k">
    <w:name w:val="Odstavek"/>
    <w:basedOn w:val="Navaden"/>
    <w:link w:val="OdstavekZnak"/>
    <w:qFormat/>
    <w:rsid w:val="00DC5BC6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DC5BC6"/>
    <w:rPr>
      <w:rFonts w:ascii="Arial" w:eastAsia="Times New Roman" w:hAnsi="Arial" w:cs="Times New Roman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313824"/>
    <w:pPr>
      <w:spacing w:after="100"/>
      <w:ind w:left="22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313824"/>
    <w:pPr>
      <w:spacing w:after="100"/>
      <w:ind w:left="440"/>
    </w:pPr>
    <w:rPr>
      <w:rFonts w:asciiTheme="minorHAnsi" w:eastAsiaTheme="minorEastAsia" w:hAnsiTheme="minorHAnsi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20C74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95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735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54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179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3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691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35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7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173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41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3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398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7169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9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1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0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1C14-467C-4E86-B1C1-B103B059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Bedrač</dc:creator>
  <cp:lastModifiedBy>Matej Stepec</cp:lastModifiedBy>
  <cp:revision>2</cp:revision>
  <cp:lastPrinted>2015-03-25T12:07:00Z</cp:lastPrinted>
  <dcterms:created xsi:type="dcterms:W3CDTF">2015-06-30T10:22:00Z</dcterms:created>
  <dcterms:modified xsi:type="dcterms:W3CDTF">2015-06-30T10:22:00Z</dcterms:modified>
</cp:coreProperties>
</file>