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CellMar>
          <w:left w:w="0" w:type="dxa"/>
          <w:right w:w="0" w:type="dxa"/>
        </w:tblCellMar>
        <w:tblLook w:val="01E0" w:firstRow="1" w:lastRow="1" w:firstColumn="1" w:lastColumn="1" w:noHBand="0" w:noVBand="0"/>
      </w:tblPr>
      <w:tblGrid>
        <w:gridCol w:w="6804"/>
        <w:gridCol w:w="2268"/>
      </w:tblGrid>
      <w:tr w:rsidR="00751A4A" w:rsidRPr="00B7760C" w14:paraId="5302F70E" w14:textId="77777777" w:rsidTr="0010095E">
        <w:trPr>
          <w:trHeight w:hRule="exact" w:val="1418"/>
        </w:trPr>
        <w:tc>
          <w:tcPr>
            <w:tcW w:w="6804" w:type="dxa"/>
            <w:shd w:val="clear" w:color="auto" w:fill="auto"/>
            <w:vAlign w:val="center"/>
          </w:tcPr>
          <w:p w14:paraId="632FAFF5" w14:textId="77777777" w:rsidR="00751A4A" w:rsidRPr="00B7760C" w:rsidRDefault="006D1BCF" w:rsidP="0010095E">
            <w:pPr>
              <w:pStyle w:val="EPName"/>
            </w:pPr>
            <w:bookmarkStart w:id="0" w:name="_GoBack"/>
            <w:bookmarkEnd w:id="0"/>
            <w:r w:rsidRPr="00B7760C">
              <w:t>Evropski parlament</w:t>
            </w:r>
          </w:p>
          <w:p w14:paraId="377E2A40" w14:textId="77777777" w:rsidR="00751A4A" w:rsidRPr="00B7760C" w:rsidRDefault="00817416" w:rsidP="00756632">
            <w:pPr>
              <w:pStyle w:val="EPTerm"/>
              <w:rPr>
                <w:rStyle w:val="HideTWBExt"/>
                <w:noProof w:val="0"/>
                <w:vanish w:val="0"/>
                <w:color w:val="auto"/>
              </w:rPr>
            </w:pPr>
            <w:r w:rsidRPr="00B7760C">
              <w:t>2019-2024</w:t>
            </w:r>
          </w:p>
        </w:tc>
        <w:tc>
          <w:tcPr>
            <w:tcW w:w="2268" w:type="dxa"/>
            <w:shd w:val="clear" w:color="auto" w:fill="auto"/>
          </w:tcPr>
          <w:p w14:paraId="7E27AC1E" w14:textId="77777777" w:rsidR="00751A4A" w:rsidRPr="00B7760C" w:rsidRDefault="00187494" w:rsidP="0010095E">
            <w:pPr>
              <w:pStyle w:val="EPLogo"/>
            </w:pPr>
            <w:r w:rsidRPr="00B7760C">
              <w:rPr>
                <w:noProof/>
                <w:lang w:val="en-GB"/>
              </w:rPr>
              <w:drawing>
                <wp:inline distT="0" distB="0" distL="0" distR="0" wp14:anchorId="35765B9E" wp14:editId="18A598F0">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14:paraId="33CCAD2D" w14:textId="77777777" w:rsidR="00D058B8" w:rsidRPr="00B7760C" w:rsidRDefault="00D058B8" w:rsidP="004C5D52">
      <w:pPr>
        <w:pStyle w:val="LineTop"/>
      </w:pPr>
    </w:p>
    <w:p w14:paraId="4E1C7010" w14:textId="77777777" w:rsidR="00680577" w:rsidRPr="00B7760C" w:rsidRDefault="006D1BCF" w:rsidP="00680577">
      <w:pPr>
        <w:pStyle w:val="EPBodyTA1"/>
      </w:pPr>
      <w:r w:rsidRPr="00B7760C">
        <w:t>SPREJETA BESEDILA</w:t>
      </w:r>
    </w:p>
    <w:p w14:paraId="3403F20D" w14:textId="77777777" w:rsidR="00D058B8" w:rsidRPr="00B7760C" w:rsidRDefault="006D1BCF" w:rsidP="00AE0928">
      <w:pPr>
        <w:pStyle w:val="EPBodyTA2"/>
      </w:pPr>
      <w:bookmarkStart w:id="1" w:name="ProvEd"/>
      <w:r w:rsidRPr="00B7760C">
        <w:t>Začasna izdaja</w:t>
      </w:r>
      <w:bookmarkEnd w:id="1"/>
    </w:p>
    <w:p w14:paraId="1669A734" w14:textId="77777777" w:rsidR="00D058B8" w:rsidRPr="00B7760C" w:rsidRDefault="00D058B8" w:rsidP="00D058B8">
      <w:pPr>
        <w:pStyle w:val="LineBottom"/>
      </w:pPr>
    </w:p>
    <w:p w14:paraId="6E403E7E" w14:textId="2603EA0B" w:rsidR="006D1BCF" w:rsidRPr="00B7760C" w:rsidRDefault="006D1BCF" w:rsidP="002923FF">
      <w:pPr>
        <w:pStyle w:val="ATHeading1"/>
      </w:pPr>
      <w:bookmarkStart w:id="2" w:name="TANumber"/>
      <w:r w:rsidRPr="00B7760C">
        <w:t>P</w:t>
      </w:r>
      <w:r w:rsidR="00907BA7" w:rsidRPr="00B7760C">
        <w:t>9</w:t>
      </w:r>
      <w:r w:rsidRPr="00B7760C">
        <w:t>_TA-PROV(2020)</w:t>
      </w:r>
      <w:bookmarkEnd w:id="2"/>
      <w:r w:rsidR="002923FF" w:rsidRPr="00B7760C">
        <w:t>0287</w:t>
      </w:r>
    </w:p>
    <w:p w14:paraId="31AA685A" w14:textId="77777777" w:rsidR="006D1BCF" w:rsidRPr="00B7760C" w:rsidRDefault="006D1BCF" w:rsidP="006D1BCF">
      <w:pPr>
        <w:pStyle w:val="ATHeading2"/>
      </w:pPr>
      <w:bookmarkStart w:id="3" w:name="title"/>
      <w:r w:rsidRPr="00B7760C">
        <w:t>Skupna kmetijska politika – podpora za strateške načrte, ki jih pripravijo države članice in se financirajo iz EKJS in EKSRP</w:t>
      </w:r>
      <w:bookmarkEnd w:id="3"/>
      <w:r w:rsidRPr="00B7760C">
        <w:t xml:space="preserve"> </w:t>
      </w:r>
      <w:bookmarkStart w:id="4" w:name="Etoiles"/>
      <w:r w:rsidRPr="00B7760C">
        <w:t>***I</w:t>
      </w:r>
      <w:bookmarkEnd w:id="4"/>
    </w:p>
    <w:p w14:paraId="717212D8" w14:textId="4F655F8A" w:rsidR="006D1BCF" w:rsidRPr="00B7760C" w:rsidRDefault="006D1BCF" w:rsidP="00441375">
      <w:pPr>
        <w:rPr>
          <w:i/>
          <w:vanish/>
        </w:rPr>
      </w:pPr>
      <w:r w:rsidRPr="00B7760C">
        <w:rPr>
          <w:i/>
        </w:rPr>
        <w:fldChar w:fldCharType="begin"/>
      </w:r>
      <w:r w:rsidRPr="00B7760C">
        <w:rPr>
          <w:i/>
        </w:rPr>
        <w:instrText xml:space="preserve"> TC"(</w:instrText>
      </w:r>
      <w:bookmarkStart w:id="5" w:name="DocNumber"/>
      <w:r w:rsidR="006C08ED" w:rsidRPr="00B7760C">
        <w:rPr>
          <w:i/>
        </w:rPr>
        <w:instrText>A</w:instrText>
      </w:r>
      <w:r w:rsidR="00D90AAD" w:rsidRPr="00B7760C">
        <w:rPr>
          <w:i/>
        </w:rPr>
        <w:instrText>8</w:instrText>
      </w:r>
      <w:r w:rsidRPr="00B7760C">
        <w:rPr>
          <w:i/>
        </w:rPr>
        <w:instrText>-0200/2019</w:instrText>
      </w:r>
      <w:bookmarkEnd w:id="5"/>
      <w:r w:rsidRPr="00B7760C">
        <w:rPr>
          <w:i/>
        </w:rPr>
        <w:instrText xml:space="preserve"> - Poročevalec: </w:instrText>
      </w:r>
      <w:r w:rsidR="00907BA7" w:rsidRPr="00B7760C">
        <w:rPr>
          <w:i/>
        </w:rPr>
        <w:instrText>Peter Jahr</w:instrText>
      </w:r>
      <w:r w:rsidRPr="00B7760C">
        <w:rPr>
          <w:i/>
        </w:rPr>
        <w:instrText xml:space="preserve">)"\l3 \n&gt; \* MERGEFORMAT </w:instrText>
      </w:r>
      <w:r w:rsidRPr="00B7760C">
        <w:rPr>
          <w:i/>
        </w:rPr>
        <w:fldChar w:fldCharType="end"/>
      </w:r>
    </w:p>
    <w:p w14:paraId="4049D39E" w14:textId="77777777" w:rsidR="006D1BCF" w:rsidRPr="00B7760C" w:rsidRDefault="006D1BCF" w:rsidP="006D1BCF">
      <w:pPr>
        <w:rPr>
          <w:vanish/>
        </w:rPr>
      </w:pPr>
      <w:bookmarkStart w:id="6" w:name="Commission"/>
      <w:r w:rsidRPr="00B7760C">
        <w:rPr>
          <w:vanish/>
        </w:rPr>
        <w:t>Odbor za kmetijstvo in razvoj podeželja</w:t>
      </w:r>
      <w:bookmarkEnd w:id="6"/>
    </w:p>
    <w:p w14:paraId="6B4824A5" w14:textId="77777777" w:rsidR="006D1BCF" w:rsidRPr="00B7760C" w:rsidRDefault="006D1BCF" w:rsidP="006D1BCF">
      <w:pPr>
        <w:rPr>
          <w:vanish/>
        </w:rPr>
      </w:pPr>
      <w:bookmarkStart w:id="7" w:name="PE"/>
      <w:r w:rsidRPr="00B7760C">
        <w:rPr>
          <w:vanish/>
        </w:rPr>
        <w:t>PE627.760</w:t>
      </w:r>
      <w:bookmarkEnd w:id="7"/>
    </w:p>
    <w:p w14:paraId="49B2BC63" w14:textId="71B4F0F8" w:rsidR="006D1BCF" w:rsidRPr="00B7760C" w:rsidRDefault="009C270A" w:rsidP="005D023B">
      <w:pPr>
        <w:pStyle w:val="ATHeading3"/>
      </w:pPr>
      <w:bookmarkStart w:id="8" w:name="Sujet"/>
      <w:r w:rsidRPr="00B7760C">
        <w:t>Spremembe</w:t>
      </w:r>
      <w:r w:rsidR="00D90AAD" w:rsidRPr="00B7760C">
        <w:rPr>
          <w:rStyle w:val="Sprotnaopomba-sklic"/>
        </w:rPr>
        <w:footnoteReference w:customMarkFollows="1" w:id="1"/>
        <w:sym w:font="Symbol" w:char="F02A"/>
      </w:r>
      <w:r w:rsidR="00A94D0F" w:rsidRPr="00B7760C">
        <w:t xml:space="preserve"> </w:t>
      </w:r>
      <w:r w:rsidR="005D023B" w:rsidRPr="00B7760C">
        <w:rPr>
          <w:rStyle w:val="Sprotnaopomba-sklic"/>
        </w:rPr>
        <w:footnoteReference w:customMarkFollows="1" w:id="2"/>
        <w:sym w:font="Symbol" w:char="F02A"/>
      </w:r>
      <w:r w:rsidR="005D023B" w:rsidRPr="00B7760C">
        <w:rPr>
          <w:rStyle w:val="Sprotnaopomba-sklic"/>
        </w:rPr>
        <w:sym w:font="Symbol" w:char="F02A"/>
      </w:r>
      <w:r w:rsidR="006D1BCF" w:rsidRPr="00B7760C">
        <w:t xml:space="preserve"> Evropskega parlamenta</w:t>
      </w:r>
      <w:r w:rsidRPr="00B7760C">
        <w:t>, sprejete</w:t>
      </w:r>
      <w:r w:rsidR="006D1BCF" w:rsidRPr="00B7760C">
        <w:t xml:space="preserve"> </w:t>
      </w:r>
      <w:r w:rsidR="00797D39" w:rsidRPr="00B7760C">
        <w:t>23</w:t>
      </w:r>
      <w:r w:rsidR="00907BA7" w:rsidRPr="00B7760C">
        <w:t xml:space="preserve">. oktobra </w:t>
      </w:r>
      <w:r w:rsidR="006D1BCF" w:rsidRPr="00B7760C">
        <w:t>2020</w:t>
      </w:r>
      <w:r w:rsidRPr="00B7760C">
        <w:t>,</w:t>
      </w:r>
      <w:r w:rsidR="006D1BCF" w:rsidRPr="00B7760C">
        <w:t xml:space="preserve"> o predlogu uredbe Evropskega parlamenta in Sveta o določitvi pravil o podpori za strateške načrte, ki jih pripravijo države članice v okviru skupne kmetijske politike (strateški načrti SKP) in se financirajo iz Evropskega kmetijskega jamstvenega sklada (EKJS) in Evropskega kmetijskega sklada za razvoj podeželja (EKSRP) ter o razveljavitvi Uredbe (EU) št. 1305/2013 Evropskega parlamenta in Sveta in Uredbe (EU) št. 1307/2013 Evropskega parlamenta in Sveta</w:t>
      </w:r>
      <w:bookmarkEnd w:id="8"/>
      <w:r w:rsidR="006D1BCF" w:rsidRPr="00B7760C">
        <w:t xml:space="preserve"> </w:t>
      </w:r>
      <w:bookmarkStart w:id="9" w:name="References"/>
      <w:r w:rsidR="006D1BCF" w:rsidRPr="00B7760C">
        <w:t>(COM(2018)0392 – C8-0248/2018 – 2018/0216(COD))</w:t>
      </w:r>
      <w:bookmarkEnd w:id="9"/>
      <w:r w:rsidRPr="00B7760C">
        <w:rPr>
          <w:rStyle w:val="Sprotnaopomba-sklic"/>
          <w:szCs w:val="24"/>
        </w:rPr>
        <w:footnoteReference w:id="3"/>
      </w:r>
    </w:p>
    <w:p w14:paraId="68F1F1E9" w14:textId="77777777" w:rsidR="006D1BCF" w:rsidRPr="00B7760C" w:rsidRDefault="006D1BCF" w:rsidP="006D1BCF"/>
    <w:p w14:paraId="24DA7095" w14:textId="77777777" w:rsidR="003663AF" w:rsidRPr="00B7760C" w:rsidRDefault="003663AF" w:rsidP="003663AF">
      <w:pPr>
        <w:pStyle w:val="Normal12Bold"/>
      </w:pPr>
      <w:bookmarkStart w:id="10" w:name="TextBodyBegin"/>
      <w:bookmarkEnd w:id="10"/>
      <w:r w:rsidRPr="00B7760C">
        <w:t>(Redni zakonodajni postopek: prva obravnava)</w:t>
      </w:r>
    </w:p>
    <w:p w14:paraId="194D9ACE" w14:textId="77777777" w:rsidR="00D90AAD" w:rsidRPr="00B7760C" w:rsidRDefault="00D90AAD">
      <w:pPr>
        <w:widowControl/>
        <w:rPr>
          <w:b/>
        </w:rPr>
      </w:pPr>
      <w:r w:rsidRPr="00B7760C">
        <w:br w:type="page"/>
      </w:r>
    </w:p>
    <w:p w14:paraId="58A1EC92" w14:textId="0AB9E9DE" w:rsidR="00A35DEB" w:rsidRPr="00B7760C" w:rsidRDefault="00A35DEB" w:rsidP="00A35DEB">
      <w:pPr>
        <w:pStyle w:val="AmNumberTabs0"/>
      </w:pPr>
      <w:r w:rsidRPr="00B7760C">
        <w:lastRenderedPageBreak/>
        <w:t>Spremembi</w:t>
      </w:r>
      <w:r w:rsidRPr="00B7760C">
        <w:tab/>
      </w:r>
      <w:r w:rsidRPr="00B7760C">
        <w:tab/>
        <w:t>776 in 847</w:t>
      </w:r>
    </w:p>
    <w:p w14:paraId="56FD93A6" w14:textId="77777777" w:rsidR="00A35DEB" w:rsidRPr="00B7760C" w:rsidRDefault="00A35DEB" w:rsidP="00A35DEB">
      <w:pPr>
        <w:pStyle w:val="NormalBold12b"/>
      </w:pPr>
      <w:r w:rsidRPr="00B7760C">
        <w:t>Predlog uredbe</w:t>
      </w:r>
    </w:p>
    <w:p w14:paraId="591635BF" w14:textId="77777777" w:rsidR="00A35DEB" w:rsidRPr="00B7760C" w:rsidRDefault="00A35DEB" w:rsidP="00A35DEB">
      <w:pPr>
        <w:pStyle w:val="NormalBold"/>
      </w:pPr>
      <w:r w:rsidRPr="00B7760C">
        <w:t>Uvodna izjava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A35DEB" w:rsidRPr="00B7760C" w14:paraId="07EBA3DC" w14:textId="77777777" w:rsidTr="00A35DEB">
        <w:trPr>
          <w:trHeight w:hRule="exact" w:val="240"/>
          <w:jc w:val="center"/>
        </w:trPr>
        <w:tc>
          <w:tcPr>
            <w:tcW w:w="9752" w:type="dxa"/>
            <w:gridSpan w:val="2"/>
          </w:tcPr>
          <w:p w14:paraId="4418D68C" w14:textId="77777777" w:rsidR="00A35DEB" w:rsidRPr="00B7760C" w:rsidRDefault="00A35DEB" w:rsidP="00A35DEB"/>
        </w:tc>
      </w:tr>
      <w:tr w:rsidR="00A35DEB" w:rsidRPr="00B7760C" w14:paraId="492FAFAE" w14:textId="77777777" w:rsidTr="00A35DEB">
        <w:trPr>
          <w:trHeight w:val="240"/>
          <w:jc w:val="center"/>
        </w:trPr>
        <w:tc>
          <w:tcPr>
            <w:tcW w:w="4876" w:type="dxa"/>
          </w:tcPr>
          <w:p w14:paraId="75F9F115" w14:textId="77777777" w:rsidR="00A35DEB" w:rsidRPr="00B7760C" w:rsidRDefault="00A35DEB" w:rsidP="00A35DEB">
            <w:pPr>
              <w:pStyle w:val="AmColumnHeading"/>
            </w:pPr>
            <w:r w:rsidRPr="00B7760C">
              <w:t>Besedilo, ki ga predlaga Komisija</w:t>
            </w:r>
          </w:p>
        </w:tc>
        <w:tc>
          <w:tcPr>
            <w:tcW w:w="4876" w:type="dxa"/>
          </w:tcPr>
          <w:p w14:paraId="10A29B62" w14:textId="6F8E2F9B" w:rsidR="00A35DEB" w:rsidRPr="00B7760C" w:rsidRDefault="00A35DEB" w:rsidP="00A35DEB">
            <w:pPr>
              <w:pStyle w:val="AmColumnHeading"/>
            </w:pPr>
            <w:r w:rsidRPr="00B7760C">
              <w:t>Sprememba</w:t>
            </w:r>
          </w:p>
        </w:tc>
      </w:tr>
      <w:tr w:rsidR="00A35DEB" w:rsidRPr="00B7760C" w14:paraId="542D4F80" w14:textId="77777777" w:rsidTr="00A35DEB">
        <w:trPr>
          <w:jc w:val="center"/>
        </w:trPr>
        <w:tc>
          <w:tcPr>
            <w:tcW w:w="4876" w:type="dxa"/>
          </w:tcPr>
          <w:p w14:paraId="45737F13" w14:textId="77777777" w:rsidR="00A35DEB" w:rsidRPr="00B7760C" w:rsidRDefault="00A35DEB" w:rsidP="00A35DEB">
            <w:pPr>
              <w:pStyle w:val="Normal6a"/>
            </w:pPr>
            <w:r w:rsidRPr="00B7760C">
              <w:t>(1)</w:t>
            </w:r>
            <w:r w:rsidRPr="00B7760C">
              <w:tab/>
              <w:t>V sporočilu Komisije Evropskemu parlamentu, Svetu, Evropskemu ekonomsko-socialnemu odboru in Odboru regij z dne 29. novembra 2017 z naslovom Prihodnost preskrbe s hrano in kmetijstva so opredeljeni izzivi, cilji in usmeritve skupne kmetijske politike (v nadaljnjem besedilu: SKP) po letu 2020. Ti cilji med drugim vključujejo potrebo po SKP, ki bo bolj usmerjena v rezultate, ki bo spodbujala modernizacijo in trajnost, vključno z gospodarsko, socialno, okoljsko in podnebno trajnostjo kmetijskih, gozdnih podeželskih območij, ter prispevala k zmanjšanju zakonodajnega upravnega bremena v Uniji za upravičence.</w:t>
            </w:r>
          </w:p>
        </w:tc>
        <w:tc>
          <w:tcPr>
            <w:tcW w:w="4876" w:type="dxa"/>
          </w:tcPr>
          <w:p w14:paraId="7ADEE613" w14:textId="441CFD30" w:rsidR="00A35DEB" w:rsidRPr="00B7760C" w:rsidRDefault="00A35DEB" w:rsidP="00702D84">
            <w:pPr>
              <w:pStyle w:val="Normal6a"/>
            </w:pPr>
            <w:r w:rsidRPr="00B7760C">
              <w:t>(1)</w:t>
            </w:r>
            <w:r w:rsidRPr="00B7760C">
              <w:tab/>
              <w:t xml:space="preserve">V sporočilu Komisije Evropskemu parlamentu, Svetu, Evropskemu ekonomsko-socialnemu odboru in Odboru regij z dne 29. novembra 2017 z naslovom Prihodnost preskrbe s hrano in kmetijstva so opredeljeni izzivi, cilji in usmeritve skupne kmetijske politike (v nadaljnjem besedilu: SKP) po letu 2020. Ti cilji med drugim vključujejo potrebo po SKP, ki bo bolj usmerjena v rezultate </w:t>
            </w:r>
            <w:r w:rsidRPr="00B7760C">
              <w:rPr>
                <w:b/>
                <w:i/>
              </w:rPr>
              <w:t>in trg</w:t>
            </w:r>
            <w:r w:rsidRPr="00B7760C">
              <w:t xml:space="preserve">, ki bo spodbujala modernizacijo in trajnost, vključno z gospodarsko, socialno, </w:t>
            </w:r>
            <w:r w:rsidRPr="00B7760C">
              <w:rPr>
                <w:b/>
                <w:bCs/>
                <w:i/>
                <w:iCs/>
              </w:rPr>
              <w:t>demografsko,</w:t>
            </w:r>
            <w:r w:rsidRPr="00B7760C">
              <w:t xml:space="preserve"> okoljsko in podnebno trajnostjo kmetijskih, gozdnih in podeželskih območij, ter prispevala k zmanjšanju zakonodajnega upravnega bremena v Uniji za upravičence. </w:t>
            </w:r>
            <w:r w:rsidRPr="00B7760C">
              <w:rPr>
                <w:b/>
                <w:i/>
              </w:rPr>
              <w:t>Nova politika bi morala pomeniti tudi poenostavitev za upravičence, ki bi morali prejeti primeren dohodek. Da bi SKP dosegla te cilje, je zelo pomembno, da se v večletnem finančnem okviru za obdobje 2021–2027 ohrani enaka raven financiranja kot v obdobju 2014–2020.</w:t>
            </w:r>
          </w:p>
        </w:tc>
      </w:tr>
    </w:tbl>
    <w:p w14:paraId="2F3651E7" w14:textId="77777777" w:rsidR="00A35DEB" w:rsidRPr="00B7760C" w:rsidRDefault="00A35DEB" w:rsidP="003663AF">
      <w:pPr>
        <w:pStyle w:val="AMNumberTabs"/>
      </w:pPr>
    </w:p>
    <w:p w14:paraId="5624B577" w14:textId="5C7FD5B4" w:rsidR="003663AF" w:rsidRPr="00B7760C" w:rsidRDefault="00877691" w:rsidP="003663AF">
      <w:pPr>
        <w:pStyle w:val="AMNumberTabs"/>
      </w:pPr>
      <w:r w:rsidRPr="00B7760C">
        <w:t>Sprememba</w:t>
      </w:r>
      <w:r w:rsidR="003663AF" w:rsidRPr="00B7760C">
        <w:tab/>
      </w:r>
      <w:r w:rsidR="003663AF" w:rsidRPr="00B7760C">
        <w:tab/>
        <w:t>1</w:t>
      </w:r>
    </w:p>
    <w:p w14:paraId="59526CB2" w14:textId="77777777" w:rsidR="003663AF" w:rsidRPr="00B7760C" w:rsidRDefault="003663AF" w:rsidP="003663AF">
      <w:pPr>
        <w:pStyle w:val="NormalBold12b"/>
      </w:pPr>
      <w:r w:rsidRPr="00B7760C">
        <w:t>Predlog uredbe</w:t>
      </w:r>
    </w:p>
    <w:p w14:paraId="4A20DA08" w14:textId="77777777" w:rsidR="003663AF" w:rsidRPr="00B7760C" w:rsidRDefault="003663AF" w:rsidP="003663AF">
      <w:pPr>
        <w:pStyle w:val="NormalBold"/>
      </w:pPr>
      <w:r w:rsidRPr="00B7760C">
        <w:t>Uvodna izjava 1 a (novo)</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EC362D4" w14:textId="77777777" w:rsidTr="00E804B7">
        <w:trPr>
          <w:trHeight w:val="240"/>
          <w:jc w:val="center"/>
        </w:trPr>
        <w:tc>
          <w:tcPr>
            <w:tcW w:w="9752" w:type="dxa"/>
            <w:gridSpan w:val="2"/>
          </w:tcPr>
          <w:p w14:paraId="695937ED" w14:textId="77777777" w:rsidR="003663AF" w:rsidRPr="00B7760C" w:rsidRDefault="003663AF" w:rsidP="00E804B7"/>
        </w:tc>
      </w:tr>
      <w:tr w:rsidR="003663AF" w:rsidRPr="00B7760C" w14:paraId="4EA2D30D" w14:textId="77777777" w:rsidTr="00E804B7">
        <w:trPr>
          <w:trHeight w:val="240"/>
          <w:jc w:val="center"/>
        </w:trPr>
        <w:tc>
          <w:tcPr>
            <w:tcW w:w="4876" w:type="dxa"/>
            <w:hideMark/>
          </w:tcPr>
          <w:p w14:paraId="48B32FCA" w14:textId="77777777" w:rsidR="003663AF" w:rsidRPr="00B7760C" w:rsidRDefault="003663AF" w:rsidP="00E804B7">
            <w:pPr>
              <w:pStyle w:val="ColumnHeading"/>
            </w:pPr>
            <w:r w:rsidRPr="00B7760C">
              <w:t>Besedilo, ki ga predlaga Komisija</w:t>
            </w:r>
          </w:p>
        </w:tc>
        <w:tc>
          <w:tcPr>
            <w:tcW w:w="4876" w:type="dxa"/>
            <w:hideMark/>
          </w:tcPr>
          <w:p w14:paraId="1D3D2AE2" w14:textId="4A90EB03" w:rsidR="003663AF" w:rsidRPr="00B7760C" w:rsidRDefault="00877691" w:rsidP="00E804B7">
            <w:pPr>
              <w:pStyle w:val="ColumnHeading"/>
            </w:pPr>
            <w:r w:rsidRPr="00B7760C">
              <w:t>Sprememba</w:t>
            </w:r>
          </w:p>
        </w:tc>
      </w:tr>
      <w:tr w:rsidR="003663AF" w:rsidRPr="00B7760C" w14:paraId="508CCC12" w14:textId="77777777" w:rsidTr="00E804B7">
        <w:trPr>
          <w:jc w:val="center"/>
        </w:trPr>
        <w:tc>
          <w:tcPr>
            <w:tcW w:w="4876" w:type="dxa"/>
          </w:tcPr>
          <w:p w14:paraId="57878757" w14:textId="77777777" w:rsidR="003663AF" w:rsidRPr="00B7760C" w:rsidRDefault="003663AF" w:rsidP="00E804B7">
            <w:pPr>
              <w:pStyle w:val="Normal6"/>
            </w:pPr>
          </w:p>
        </w:tc>
        <w:tc>
          <w:tcPr>
            <w:tcW w:w="4876" w:type="dxa"/>
          </w:tcPr>
          <w:p w14:paraId="05600AD9" w14:textId="77777777" w:rsidR="003663AF" w:rsidRPr="00B7760C" w:rsidRDefault="003663AF" w:rsidP="00E804B7">
            <w:pPr>
              <w:pStyle w:val="Normal6"/>
            </w:pPr>
            <w:r w:rsidRPr="00B7760C">
              <w:rPr>
                <w:b/>
                <w:i/>
              </w:rPr>
              <w:t>(1a)</w:t>
            </w:r>
            <w:r w:rsidRPr="00B7760C">
              <w:tab/>
            </w:r>
            <w:r w:rsidRPr="00B7760C">
              <w:rPr>
                <w:b/>
                <w:i/>
              </w:rPr>
              <w:t xml:space="preserve">SKP ima še vedno ključno vlogo pri razvoju podeželskih regij v Evropski uniji, zato si je treba prizadevati za zaustavitev vse večjega opuščanja kmetijske dejavnosti z ohranjanjem močne SKP z zadostnimi sredstvi, da bi ublažili pojav upadanja števila prebivalcev na podeželskih območjih in še naprej zadovoljevali zahteve potrošnikov na področju varstva okolja, varnosti hrane in dobrobiti živali. Glede na izzive, s katerimi </w:t>
            </w:r>
            <w:r w:rsidRPr="00B7760C">
              <w:rPr>
                <w:b/>
                <w:i/>
              </w:rPr>
              <w:lastRenderedPageBreak/>
              <w:t>se spopadajo pridelovalci Unije, da bi zadostili novim zakonodajnim zahtevam in izrazitejšim okoljskim prizadevanjem ob upoštevanju nestanovitnosti cen in bolj odprtih meja Unije za uvoz iz tretjih držav, je treba proračun za SKP ohraniti vsaj na enaki ravni kot v obdobju 2014–2020.</w:t>
            </w:r>
          </w:p>
        </w:tc>
      </w:tr>
    </w:tbl>
    <w:p w14:paraId="447DB2F1" w14:textId="77777777" w:rsidR="003663AF" w:rsidRPr="00B7760C" w:rsidRDefault="003663AF" w:rsidP="003663AF"/>
    <w:p w14:paraId="2546B0AD" w14:textId="3494A26A" w:rsidR="003663AF" w:rsidRPr="00B7760C" w:rsidRDefault="00877691" w:rsidP="003663AF">
      <w:pPr>
        <w:pStyle w:val="AMNumberTabs"/>
      </w:pPr>
      <w:r w:rsidRPr="00B7760C">
        <w:t>Sprememba</w:t>
      </w:r>
      <w:r w:rsidR="003663AF" w:rsidRPr="00B7760C">
        <w:tab/>
      </w:r>
      <w:r w:rsidR="003663AF" w:rsidRPr="00B7760C">
        <w:tab/>
        <w:t>2</w:t>
      </w:r>
    </w:p>
    <w:p w14:paraId="23F4B09F" w14:textId="77777777" w:rsidR="003663AF" w:rsidRPr="00B7760C" w:rsidRDefault="003663AF" w:rsidP="003663AF">
      <w:pPr>
        <w:pStyle w:val="NormalBold12b"/>
      </w:pPr>
      <w:r w:rsidRPr="00B7760C">
        <w:t>Predlog uredbe</w:t>
      </w:r>
    </w:p>
    <w:p w14:paraId="7D287A15" w14:textId="77777777" w:rsidR="003663AF" w:rsidRPr="00B7760C" w:rsidRDefault="003663AF" w:rsidP="003663AF">
      <w:pPr>
        <w:pStyle w:val="NormalBold"/>
      </w:pPr>
      <w:r w:rsidRPr="00B7760C">
        <w:t>Uvodna izjava 1 b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098EC9E" w14:textId="77777777" w:rsidTr="00E804B7">
        <w:trPr>
          <w:trHeight w:hRule="exact" w:val="240"/>
          <w:jc w:val="center"/>
        </w:trPr>
        <w:tc>
          <w:tcPr>
            <w:tcW w:w="9752" w:type="dxa"/>
            <w:gridSpan w:val="2"/>
          </w:tcPr>
          <w:p w14:paraId="14E06BEC" w14:textId="77777777" w:rsidR="003663AF" w:rsidRPr="00B7760C" w:rsidRDefault="003663AF" w:rsidP="00E804B7"/>
        </w:tc>
      </w:tr>
      <w:tr w:rsidR="003663AF" w:rsidRPr="00B7760C" w14:paraId="3B071E6B" w14:textId="77777777" w:rsidTr="00E804B7">
        <w:trPr>
          <w:trHeight w:val="240"/>
          <w:jc w:val="center"/>
        </w:trPr>
        <w:tc>
          <w:tcPr>
            <w:tcW w:w="4876" w:type="dxa"/>
          </w:tcPr>
          <w:p w14:paraId="05BA1F80" w14:textId="77777777" w:rsidR="003663AF" w:rsidRPr="00B7760C" w:rsidRDefault="003663AF" w:rsidP="00E804B7">
            <w:pPr>
              <w:pStyle w:val="ColumnHeading"/>
            </w:pPr>
            <w:r w:rsidRPr="00B7760C">
              <w:t>Besedilo, ki ga predlaga Komisija</w:t>
            </w:r>
          </w:p>
        </w:tc>
        <w:tc>
          <w:tcPr>
            <w:tcW w:w="4876" w:type="dxa"/>
          </w:tcPr>
          <w:p w14:paraId="50572A85" w14:textId="45278B8F" w:rsidR="003663AF" w:rsidRPr="00B7760C" w:rsidRDefault="00877691" w:rsidP="00E804B7">
            <w:pPr>
              <w:pStyle w:val="ColumnHeading"/>
            </w:pPr>
            <w:r w:rsidRPr="00B7760C">
              <w:t>Sprememba</w:t>
            </w:r>
          </w:p>
        </w:tc>
      </w:tr>
      <w:tr w:rsidR="003663AF" w:rsidRPr="00B7760C" w14:paraId="329BA94F" w14:textId="77777777" w:rsidTr="00E804B7">
        <w:trPr>
          <w:jc w:val="center"/>
        </w:trPr>
        <w:tc>
          <w:tcPr>
            <w:tcW w:w="4876" w:type="dxa"/>
          </w:tcPr>
          <w:p w14:paraId="1B26D141" w14:textId="77777777" w:rsidR="003663AF" w:rsidRPr="00B7760C" w:rsidRDefault="003663AF" w:rsidP="00E804B7">
            <w:pPr>
              <w:pStyle w:val="Normal6"/>
            </w:pPr>
          </w:p>
        </w:tc>
        <w:tc>
          <w:tcPr>
            <w:tcW w:w="4876" w:type="dxa"/>
          </w:tcPr>
          <w:p w14:paraId="3B36710C" w14:textId="77777777" w:rsidR="003663AF" w:rsidRPr="00B7760C" w:rsidRDefault="003663AF" w:rsidP="00E804B7">
            <w:pPr>
              <w:pStyle w:val="Normal6"/>
            </w:pPr>
            <w:r w:rsidRPr="00B7760C">
              <w:rPr>
                <w:b/>
                <w:i/>
              </w:rPr>
              <w:t>(1b)</w:t>
            </w:r>
            <w:r w:rsidRPr="00B7760C">
              <w:tab/>
            </w:r>
            <w:r w:rsidRPr="00B7760C">
              <w:rPr>
                <w:b/>
                <w:i/>
              </w:rPr>
              <w:t>Za obravnavanje globalne razsežnosti in posledic SKP bi morala Komisija zagotoviti skladnost in kontinuiteto z drugimi zunanjimi politikami in instrumenti Unije, zlasti v okviru razvojnega sodelovanja in trgovine.</w:t>
            </w:r>
            <w:r w:rsidRPr="00B7760C">
              <w:t xml:space="preserve"> </w:t>
            </w:r>
            <w:r w:rsidRPr="00B7760C">
              <w:rPr>
                <w:b/>
                <w:i/>
              </w:rPr>
              <w:t xml:space="preserve">Zaradi zavezanosti Unije skladnosti politik za razvoj je treba pri oblikovanju politik upoštevati razvojne cilje in načela. </w:t>
            </w:r>
          </w:p>
        </w:tc>
      </w:tr>
    </w:tbl>
    <w:p w14:paraId="18BB0E46" w14:textId="77777777" w:rsidR="003663AF" w:rsidRPr="00B7760C" w:rsidRDefault="003663AF" w:rsidP="003663AF"/>
    <w:p w14:paraId="5B1F4D59" w14:textId="1921B8A1" w:rsidR="003663AF" w:rsidRPr="00B7760C" w:rsidRDefault="00877691" w:rsidP="003663AF">
      <w:pPr>
        <w:pStyle w:val="AMNumberTabs"/>
      </w:pPr>
      <w:r w:rsidRPr="00B7760C">
        <w:t>Sprememba</w:t>
      </w:r>
      <w:r w:rsidR="003663AF" w:rsidRPr="00B7760C">
        <w:tab/>
      </w:r>
      <w:r w:rsidR="003663AF" w:rsidRPr="00B7760C">
        <w:tab/>
        <w:t>3</w:t>
      </w:r>
    </w:p>
    <w:p w14:paraId="5AE738D4" w14:textId="77777777" w:rsidR="003663AF" w:rsidRPr="00B7760C" w:rsidRDefault="003663AF" w:rsidP="003663AF">
      <w:pPr>
        <w:pStyle w:val="NormalBold12b"/>
      </w:pPr>
      <w:r w:rsidRPr="00B7760C">
        <w:t>Predlog uredbe</w:t>
      </w:r>
    </w:p>
    <w:p w14:paraId="737C13A0" w14:textId="77777777" w:rsidR="003663AF" w:rsidRPr="00B7760C" w:rsidRDefault="003663AF" w:rsidP="003663AF">
      <w:pPr>
        <w:pStyle w:val="NormalBold"/>
      </w:pPr>
      <w:r w:rsidRPr="00B7760C">
        <w:t>Uvodna izjava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56CE3FC" w14:textId="77777777" w:rsidTr="00E804B7">
        <w:trPr>
          <w:trHeight w:hRule="exact" w:val="240"/>
          <w:jc w:val="center"/>
        </w:trPr>
        <w:tc>
          <w:tcPr>
            <w:tcW w:w="9752" w:type="dxa"/>
            <w:gridSpan w:val="2"/>
          </w:tcPr>
          <w:p w14:paraId="7A09CF91" w14:textId="77777777" w:rsidR="003663AF" w:rsidRPr="00B7760C" w:rsidRDefault="003663AF" w:rsidP="00E804B7"/>
        </w:tc>
      </w:tr>
      <w:tr w:rsidR="003663AF" w:rsidRPr="00B7760C" w14:paraId="4285B81F" w14:textId="77777777" w:rsidTr="00E804B7">
        <w:trPr>
          <w:trHeight w:val="240"/>
          <w:jc w:val="center"/>
        </w:trPr>
        <w:tc>
          <w:tcPr>
            <w:tcW w:w="4876" w:type="dxa"/>
          </w:tcPr>
          <w:p w14:paraId="1D73338F" w14:textId="77777777" w:rsidR="003663AF" w:rsidRPr="00B7760C" w:rsidRDefault="003663AF" w:rsidP="00E804B7">
            <w:pPr>
              <w:pStyle w:val="ColumnHeading"/>
            </w:pPr>
            <w:r w:rsidRPr="00B7760C">
              <w:t>Besedilo, ki ga predlaga Komisija</w:t>
            </w:r>
          </w:p>
        </w:tc>
        <w:tc>
          <w:tcPr>
            <w:tcW w:w="4876" w:type="dxa"/>
          </w:tcPr>
          <w:p w14:paraId="678DB5D6" w14:textId="3DB4BD7F" w:rsidR="003663AF" w:rsidRPr="00B7760C" w:rsidRDefault="00877691" w:rsidP="00E804B7">
            <w:pPr>
              <w:pStyle w:val="ColumnHeading"/>
            </w:pPr>
            <w:r w:rsidRPr="00B7760C">
              <w:t>Sprememba</w:t>
            </w:r>
          </w:p>
        </w:tc>
      </w:tr>
      <w:tr w:rsidR="003663AF" w:rsidRPr="00B7760C" w14:paraId="485541BC" w14:textId="77777777" w:rsidTr="00E804B7">
        <w:trPr>
          <w:jc w:val="center"/>
        </w:trPr>
        <w:tc>
          <w:tcPr>
            <w:tcW w:w="4876" w:type="dxa"/>
          </w:tcPr>
          <w:p w14:paraId="1EF54DE3" w14:textId="77777777" w:rsidR="003663AF" w:rsidRPr="00B7760C" w:rsidRDefault="003663AF" w:rsidP="00E804B7">
            <w:pPr>
              <w:pStyle w:val="Normal6"/>
            </w:pPr>
            <w:r w:rsidRPr="00B7760C">
              <w:t>(2)</w:t>
            </w:r>
            <w:r w:rsidRPr="00B7760C">
              <w:tab/>
              <w:t xml:space="preserve">Ker mora SKP okrepiti svoje odzivanje na izzive in priložnosti, ki se pojavljajo na ravni Unije, na mednarodni, nacionalni, regionalni in lokalni ravni in na ravni kmetij, je treba poenostaviti upravljanje SKP, izboljšati izpolnjevanje ciljev Unije in znatno zmanjšati upravno breme. V SKP, katere izvajanje temelji na smotrnosti („model izvajanja“), bi Unija morala določiti osnovne parametre politike, kot so cilji SKP in osnovne zahteve, države članice pa bi morale imeti večjo odgovornost glede tega, kako izpolnjujejo cilje in dosegajo cilje. Okrepljena subsidiarnost omogoča boljše upoštevanje lokalnih razmer in potreb, pri čemer prilagaja podporo, da se prispevek k ciljem Unije čim bolj poveča. </w:t>
            </w:r>
          </w:p>
        </w:tc>
        <w:tc>
          <w:tcPr>
            <w:tcW w:w="4876" w:type="dxa"/>
          </w:tcPr>
          <w:p w14:paraId="43B9C206" w14:textId="77777777" w:rsidR="003663AF" w:rsidRPr="00B7760C" w:rsidRDefault="003663AF" w:rsidP="00E804B7">
            <w:pPr>
              <w:pStyle w:val="Normal6"/>
            </w:pPr>
            <w:r w:rsidRPr="00B7760C">
              <w:t>(2)</w:t>
            </w:r>
            <w:r w:rsidRPr="00B7760C">
              <w:tab/>
              <w:t>Ker mora SKP okrepiti svoje odzivanje na izzive in priložnosti, ki se pojavljajo na ravni Unije, na mednarodni, nacionalni, regionalni in lokalni ravni in na ravni kmetij, je treba poenostaviti upravljanje SKP, izboljšati izpolnjevanje ciljev Unije in znatno zmanjšati upravno breme</w:t>
            </w:r>
            <w:r w:rsidRPr="00B7760C">
              <w:rPr>
                <w:b/>
                <w:i/>
              </w:rPr>
              <w:t>, zlasti za končne upravičence</w:t>
            </w:r>
            <w:r w:rsidRPr="00B7760C">
              <w:t>. V SKP, katere izvajanje temelji na smotrnosti („model izvajanja“), bi Unija morala določiti osnovne parametre politike, kot so cilji SKP in osnovne zahteve, države članice pa bi morale imeti večjo odgovornost glede tega, kako izpolnjujejo cilje in dosegajo cilje</w:t>
            </w:r>
            <w:r w:rsidRPr="00B7760C">
              <w:rPr>
                <w:b/>
                <w:i/>
              </w:rPr>
              <w:t>, obenem pa bi se zagotovili gotovost politike in finančna varnost v kmetijskem sektorju</w:t>
            </w:r>
            <w:r w:rsidRPr="00B7760C">
              <w:t xml:space="preserve">. Okrepljena subsidiarnost omogoča boljše upoštevanje lokalnih razmer in potreb, pri čemer prilagaja podporo, da se prispevek k ciljem Unije čim bolj poveča. </w:t>
            </w:r>
            <w:r w:rsidRPr="00B7760C">
              <w:rPr>
                <w:b/>
                <w:i/>
              </w:rPr>
              <w:t>Da bi preprečili, da ta subsidiarnost ne bi pomenila ponovne nacionalizacije SKP, pa mora ta uredba vsebovati trden nabor določb Evropske unije, namenjen preprečevanju izkrivljanja konkurence in zagotavljanju nediskriminatorne obravnave vseh evropskih kmetov na celotnem ozemlju Unije.</w:t>
            </w:r>
          </w:p>
        </w:tc>
      </w:tr>
    </w:tbl>
    <w:p w14:paraId="09C7B62C" w14:textId="77777777" w:rsidR="003663AF" w:rsidRPr="00B7760C" w:rsidRDefault="003663AF" w:rsidP="003663AF"/>
    <w:p w14:paraId="4DA4668A" w14:textId="59D69624" w:rsidR="003663AF" w:rsidRPr="00B7760C" w:rsidRDefault="00877691" w:rsidP="003663AF">
      <w:pPr>
        <w:pStyle w:val="AMNumberTabs"/>
      </w:pPr>
      <w:r w:rsidRPr="00B7760C">
        <w:t>Sprememba</w:t>
      </w:r>
      <w:r w:rsidR="003663AF" w:rsidRPr="00B7760C">
        <w:tab/>
      </w:r>
      <w:r w:rsidR="003663AF" w:rsidRPr="00B7760C">
        <w:tab/>
        <w:t>4</w:t>
      </w:r>
    </w:p>
    <w:p w14:paraId="36FE8A95" w14:textId="77777777" w:rsidR="003663AF" w:rsidRPr="00B7760C" w:rsidRDefault="003663AF" w:rsidP="003663AF">
      <w:pPr>
        <w:pStyle w:val="NormalBold12b"/>
      </w:pPr>
      <w:r w:rsidRPr="00B7760C">
        <w:t>Predlog uredbe</w:t>
      </w:r>
    </w:p>
    <w:p w14:paraId="5E1756C9" w14:textId="77777777" w:rsidR="003663AF" w:rsidRPr="00B7760C" w:rsidRDefault="003663AF" w:rsidP="003663AF">
      <w:pPr>
        <w:pStyle w:val="NormalBold"/>
      </w:pPr>
      <w:r w:rsidRPr="00B7760C">
        <w:t>Uvodna izjava 3</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13C12A5" w14:textId="77777777" w:rsidTr="00E804B7">
        <w:trPr>
          <w:trHeight w:val="240"/>
          <w:jc w:val="center"/>
        </w:trPr>
        <w:tc>
          <w:tcPr>
            <w:tcW w:w="9752" w:type="dxa"/>
            <w:gridSpan w:val="2"/>
          </w:tcPr>
          <w:p w14:paraId="406942FF" w14:textId="77777777" w:rsidR="003663AF" w:rsidRPr="00B7760C" w:rsidRDefault="003663AF" w:rsidP="00E804B7"/>
        </w:tc>
      </w:tr>
      <w:tr w:rsidR="003663AF" w:rsidRPr="00B7760C" w14:paraId="2694E616" w14:textId="77777777" w:rsidTr="00E804B7">
        <w:trPr>
          <w:trHeight w:val="240"/>
          <w:jc w:val="center"/>
        </w:trPr>
        <w:tc>
          <w:tcPr>
            <w:tcW w:w="4876" w:type="dxa"/>
            <w:hideMark/>
          </w:tcPr>
          <w:p w14:paraId="18A40DE6" w14:textId="77777777" w:rsidR="003663AF" w:rsidRPr="00B7760C" w:rsidRDefault="003663AF" w:rsidP="00E804B7">
            <w:pPr>
              <w:pStyle w:val="ColumnHeading"/>
            </w:pPr>
            <w:r w:rsidRPr="00B7760C">
              <w:t>Besedilo, ki ga predlaga Komisija</w:t>
            </w:r>
          </w:p>
        </w:tc>
        <w:tc>
          <w:tcPr>
            <w:tcW w:w="4876" w:type="dxa"/>
            <w:hideMark/>
          </w:tcPr>
          <w:p w14:paraId="68B5EEBE" w14:textId="184AB73A" w:rsidR="003663AF" w:rsidRPr="00B7760C" w:rsidRDefault="00877691" w:rsidP="00E804B7">
            <w:pPr>
              <w:pStyle w:val="ColumnHeading"/>
            </w:pPr>
            <w:r w:rsidRPr="00B7760C">
              <w:t>Sprememba</w:t>
            </w:r>
          </w:p>
        </w:tc>
      </w:tr>
      <w:tr w:rsidR="003663AF" w:rsidRPr="00B7760C" w14:paraId="446AFEFF" w14:textId="77777777" w:rsidTr="00E804B7">
        <w:trPr>
          <w:jc w:val="center"/>
        </w:trPr>
        <w:tc>
          <w:tcPr>
            <w:tcW w:w="4876" w:type="dxa"/>
            <w:hideMark/>
          </w:tcPr>
          <w:p w14:paraId="394BA585" w14:textId="77777777" w:rsidR="003663AF" w:rsidRPr="00B7760C" w:rsidRDefault="003663AF" w:rsidP="00E804B7">
            <w:pPr>
              <w:pStyle w:val="Normal6"/>
            </w:pPr>
            <w:r w:rsidRPr="00B7760C">
              <w:t>(3)</w:t>
            </w:r>
            <w:r w:rsidRPr="00B7760C">
              <w:tab/>
            </w:r>
            <w:r w:rsidRPr="00B7760C">
              <w:rPr>
                <w:b/>
                <w:i/>
              </w:rPr>
              <w:t xml:space="preserve">Uporaba skupnih opredelitev, določenih povsem na ravni Unije, je povzročila nekaj težav državam članicam pri upoštevanju lastnih posebnosti na nacionalni, regionalni in lokalni ravni. Zato </w:t>
            </w:r>
            <w:r w:rsidRPr="00B7760C">
              <w:t>bi bilo treba</w:t>
            </w:r>
            <w:r w:rsidRPr="00B7760C">
              <w:rPr>
                <w:b/>
                <w:i/>
              </w:rPr>
              <w:t xml:space="preserve"> državam članicam</w:t>
            </w:r>
            <w:r w:rsidRPr="00B7760C">
              <w:t xml:space="preserve"> omogočiti, da v svojem strateškem načrtu SKP določijo nekaj opredelitev pojmov. Da bi zagotovili enake skupne konkurenčne pogoje, pa je treba na ravni Unije določiti okvir, ki zajema nujne </w:t>
            </w:r>
            <w:r w:rsidRPr="00B7760C">
              <w:rPr>
                <w:b/>
                <w:i/>
              </w:rPr>
              <w:t>bistvene</w:t>
            </w:r>
            <w:r w:rsidRPr="00B7760C">
              <w:t xml:space="preserve"> elemente, ki jih je treba vključiti v opredelitve pojmov (v nadaljnjem besedilu: okvirne opredelitve pojmov).</w:t>
            </w:r>
          </w:p>
        </w:tc>
        <w:tc>
          <w:tcPr>
            <w:tcW w:w="4876" w:type="dxa"/>
            <w:hideMark/>
          </w:tcPr>
          <w:p w14:paraId="2619BCC1" w14:textId="77777777" w:rsidR="003663AF" w:rsidRPr="00B7760C" w:rsidRDefault="003663AF" w:rsidP="00E804B7">
            <w:pPr>
              <w:pStyle w:val="Normal6"/>
            </w:pPr>
            <w:r w:rsidRPr="00B7760C">
              <w:t>(3)</w:t>
            </w:r>
            <w:r w:rsidRPr="00B7760C">
              <w:tab/>
            </w:r>
            <w:r w:rsidRPr="00B7760C">
              <w:rPr>
                <w:b/>
                <w:i/>
              </w:rPr>
              <w:t>Državam</w:t>
            </w:r>
            <w:r w:rsidRPr="00B7760C">
              <w:t xml:space="preserve"> članicam bi bilo treba omogočiti, da v svojem strateškem načrtu SKP določijo nekaj opredelitev pojmov. Da bi zagotovili enake skupne konkurenčne pogoje, pa je treba na ravni Unije določiti okvir, ki zajema nujne </w:t>
            </w:r>
            <w:r w:rsidRPr="00B7760C">
              <w:rPr>
                <w:b/>
                <w:i/>
              </w:rPr>
              <w:t>skupne</w:t>
            </w:r>
            <w:r w:rsidRPr="00B7760C">
              <w:t xml:space="preserve"> elemente, ki jih je treba vključiti v opredelitve pojmov (v nadaljnjem besedilu: okvirne opredelitve pojmov).</w:t>
            </w:r>
          </w:p>
        </w:tc>
      </w:tr>
    </w:tbl>
    <w:p w14:paraId="479C231D" w14:textId="77777777" w:rsidR="003663AF" w:rsidRPr="00B7760C" w:rsidRDefault="003663AF" w:rsidP="003663AF">
      <w:pPr>
        <w:pStyle w:val="Normal6"/>
      </w:pPr>
    </w:p>
    <w:p w14:paraId="4BFBF211" w14:textId="0563DEE0" w:rsidR="003663AF" w:rsidRPr="00B7760C" w:rsidRDefault="00877691" w:rsidP="003663AF">
      <w:pPr>
        <w:pStyle w:val="AMNumberTabs"/>
      </w:pPr>
      <w:r w:rsidRPr="00B7760C">
        <w:t>Sprememba</w:t>
      </w:r>
      <w:r w:rsidR="003663AF" w:rsidRPr="00B7760C">
        <w:tab/>
      </w:r>
      <w:r w:rsidR="003663AF" w:rsidRPr="00B7760C">
        <w:tab/>
        <w:t>5</w:t>
      </w:r>
    </w:p>
    <w:p w14:paraId="1B824A8C" w14:textId="77777777" w:rsidR="003663AF" w:rsidRPr="00B7760C" w:rsidRDefault="003663AF" w:rsidP="003663AF">
      <w:pPr>
        <w:pStyle w:val="NormalBold12b"/>
      </w:pPr>
      <w:r w:rsidRPr="00B7760C">
        <w:t>Predlog uredbe</w:t>
      </w:r>
    </w:p>
    <w:p w14:paraId="7072A490" w14:textId="77777777" w:rsidR="003663AF" w:rsidRPr="00B7760C" w:rsidRDefault="003663AF" w:rsidP="003663AF">
      <w:pPr>
        <w:pStyle w:val="NormalBold"/>
      </w:pPr>
      <w:r w:rsidRPr="00B7760C">
        <w:t>Uvodna izjava 4</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0C50CE0" w14:textId="77777777" w:rsidTr="00E804B7">
        <w:trPr>
          <w:trHeight w:val="240"/>
          <w:jc w:val="center"/>
        </w:trPr>
        <w:tc>
          <w:tcPr>
            <w:tcW w:w="9752" w:type="dxa"/>
            <w:gridSpan w:val="2"/>
          </w:tcPr>
          <w:p w14:paraId="792021FE" w14:textId="77777777" w:rsidR="003663AF" w:rsidRPr="00B7760C" w:rsidRDefault="003663AF" w:rsidP="00E804B7"/>
        </w:tc>
      </w:tr>
      <w:tr w:rsidR="003663AF" w:rsidRPr="00B7760C" w14:paraId="53FFB741" w14:textId="77777777" w:rsidTr="00E804B7">
        <w:trPr>
          <w:trHeight w:val="240"/>
          <w:jc w:val="center"/>
        </w:trPr>
        <w:tc>
          <w:tcPr>
            <w:tcW w:w="4876" w:type="dxa"/>
            <w:hideMark/>
          </w:tcPr>
          <w:p w14:paraId="028BD41B" w14:textId="77777777" w:rsidR="003663AF" w:rsidRPr="00B7760C" w:rsidRDefault="003663AF" w:rsidP="00E804B7">
            <w:pPr>
              <w:pStyle w:val="ColumnHeading"/>
            </w:pPr>
            <w:r w:rsidRPr="00B7760C">
              <w:t>Besedilo, ki ga predlaga Komisija</w:t>
            </w:r>
          </w:p>
        </w:tc>
        <w:tc>
          <w:tcPr>
            <w:tcW w:w="4876" w:type="dxa"/>
            <w:hideMark/>
          </w:tcPr>
          <w:p w14:paraId="4954C468" w14:textId="6369F0B1" w:rsidR="003663AF" w:rsidRPr="00B7760C" w:rsidRDefault="00877691" w:rsidP="00E804B7">
            <w:pPr>
              <w:pStyle w:val="ColumnHeading"/>
            </w:pPr>
            <w:r w:rsidRPr="00B7760C">
              <w:t>Sprememba</w:t>
            </w:r>
          </w:p>
        </w:tc>
      </w:tr>
      <w:tr w:rsidR="003663AF" w:rsidRPr="00B7760C" w14:paraId="2097B744" w14:textId="77777777" w:rsidTr="00E804B7">
        <w:trPr>
          <w:jc w:val="center"/>
        </w:trPr>
        <w:tc>
          <w:tcPr>
            <w:tcW w:w="4876" w:type="dxa"/>
            <w:hideMark/>
          </w:tcPr>
          <w:p w14:paraId="1426118E" w14:textId="77777777" w:rsidR="003663AF" w:rsidRPr="00B7760C" w:rsidRDefault="003663AF" w:rsidP="00E804B7">
            <w:pPr>
              <w:pStyle w:val="Normal6"/>
            </w:pPr>
            <w:r w:rsidRPr="00B7760C">
              <w:t>(4)</w:t>
            </w:r>
            <w:r w:rsidRPr="00B7760C">
              <w:tab/>
              <w:t xml:space="preserve">Da bi zagotovili, da lahko Unija spoštuje mednarodne obveznosti glede domače podpore, določene v Sporazumu STO o kmetijstvu, zlasti da se osnovna dohodkovna podpora za trajnostnost in z njo povezane vrste intervencij še naprej priglašajo kot podpora v obliki „zelene škatle“, ki nima učinkov izkrivljanja trgovine ali učinkov na proizvodnjo ali pa so ti minimalni, bi morala okvirna opredelitev pojma „kmetijska dejavnost“ zajemati tako proizvodnjo kmetijskih proizvodov kot vzdrževanje kmetijskih površin. Zaradi prilagajanja lokalnim razmeram bi morale države članice v svojih strateških načrtih SKP določiti </w:t>
            </w:r>
            <w:r w:rsidRPr="00B7760C">
              <w:rPr>
                <w:b/>
                <w:i/>
              </w:rPr>
              <w:t xml:space="preserve">dejansko </w:t>
            </w:r>
            <w:r w:rsidRPr="00B7760C">
              <w:t>opredelitev kmetijske dejavnosti.</w:t>
            </w:r>
          </w:p>
        </w:tc>
        <w:tc>
          <w:tcPr>
            <w:tcW w:w="4876" w:type="dxa"/>
            <w:hideMark/>
          </w:tcPr>
          <w:p w14:paraId="137C3F5E" w14:textId="77777777" w:rsidR="003663AF" w:rsidRPr="00B7760C" w:rsidRDefault="003663AF" w:rsidP="00E804B7">
            <w:pPr>
              <w:pStyle w:val="Normal6"/>
            </w:pPr>
            <w:r w:rsidRPr="00B7760C">
              <w:t>(4)</w:t>
            </w:r>
            <w:r w:rsidRPr="00B7760C">
              <w:tab/>
              <w:t>Da bi zagotovili, da lahko Unija spoštuje mednarodne obveznosti glede domače podpore, določene v Sporazumu STO o kmetijstvu, zlasti da se osnovna dohodkovna podpora za trajnostnost in z njo povezane vrste intervencij še naprej priglašajo kot podpora v obliki „zelene škatle“, ki nima učinkov izkrivljanja trgovine ali učinkov na proizvodnjo ali pa so ti minimalni, bi morala okvirna opredelitev pojma „kmetijska dejavnost“ zajemati tako proizvodnjo kmetijskih proizvodov kot vzdrževanje kmetijskih površin. Zaradi prilagajanja lokalnim razmeram bi morale države članice v svojih strateških načrtih SKP določiti opredelitev kmetijske dejavnosti</w:t>
            </w:r>
            <w:r w:rsidRPr="00B7760C">
              <w:rPr>
                <w:b/>
                <w:i/>
              </w:rPr>
              <w:t>, ki bi upoštevala skupne elemente iz okvirne opredelitve Unije</w:t>
            </w:r>
            <w:r w:rsidRPr="00B7760C">
              <w:t>.</w:t>
            </w:r>
          </w:p>
        </w:tc>
      </w:tr>
    </w:tbl>
    <w:p w14:paraId="775E756E" w14:textId="77777777" w:rsidR="003663AF" w:rsidRPr="00B7760C" w:rsidRDefault="003663AF" w:rsidP="003663AF"/>
    <w:p w14:paraId="7DCBF2F8" w14:textId="7243B4C7" w:rsidR="003663AF" w:rsidRPr="00B7760C" w:rsidRDefault="00877691" w:rsidP="003663AF">
      <w:pPr>
        <w:pStyle w:val="AMNumberTabs"/>
      </w:pPr>
      <w:r w:rsidRPr="00B7760C">
        <w:t>Sprememba</w:t>
      </w:r>
      <w:r w:rsidR="003663AF" w:rsidRPr="00B7760C">
        <w:tab/>
      </w:r>
      <w:r w:rsidR="003663AF" w:rsidRPr="00B7760C">
        <w:tab/>
        <w:t>6</w:t>
      </w:r>
    </w:p>
    <w:p w14:paraId="14351799" w14:textId="77777777" w:rsidR="003663AF" w:rsidRPr="00B7760C" w:rsidRDefault="003663AF" w:rsidP="003663AF">
      <w:pPr>
        <w:pStyle w:val="NormalBold12b"/>
      </w:pPr>
      <w:r w:rsidRPr="00B7760C">
        <w:t>Predlog uredbe</w:t>
      </w:r>
    </w:p>
    <w:p w14:paraId="53D6F3AA" w14:textId="77777777" w:rsidR="003663AF" w:rsidRPr="00B7760C" w:rsidRDefault="003663AF" w:rsidP="003663AF">
      <w:pPr>
        <w:pStyle w:val="NormalBold"/>
      </w:pPr>
      <w:r w:rsidRPr="00B7760C">
        <w:t>Uvodna izjava 5</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D1A33E5" w14:textId="77777777" w:rsidTr="00E804B7">
        <w:trPr>
          <w:trHeight w:val="240"/>
          <w:jc w:val="center"/>
        </w:trPr>
        <w:tc>
          <w:tcPr>
            <w:tcW w:w="9752" w:type="dxa"/>
            <w:gridSpan w:val="2"/>
          </w:tcPr>
          <w:p w14:paraId="784EAB9A" w14:textId="77777777" w:rsidR="003663AF" w:rsidRPr="00B7760C" w:rsidRDefault="003663AF" w:rsidP="00E804B7"/>
        </w:tc>
      </w:tr>
      <w:tr w:rsidR="003663AF" w:rsidRPr="00B7760C" w14:paraId="3F3C5735" w14:textId="77777777" w:rsidTr="00E804B7">
        <w:trPr>
          <w:trHeight w:val="240"/>
          <w:jc w:val="center"/>
        </w:trPr>
        <w:tc>
          <w:tcPr>
            <w:tcW w:w="4876" w:type="dxa"/>
            <w:hideMark/>
          </w:tcPr>
          <w:p w14:paraId="7145C941" w14:textId="77777777" w:rsidR="003663AF" w:rsidRPr="00B7760C" w:rsidRDefault="003663AF" w:rsidP="00E804B7">
            <w:pPr>
              <w:pStyle w:val="ColumnHeading"/>
            </w:pPr>
            <w:r w:rsidRPr="00B7760C">
              <w:t>Besedilo, ki ga predlaga Komisija</w:t>
            </w:r>
          </w:p>
        </w:tc>
        <w:tc>
          <w:tcPr>
            <w:tcW w:w="4876" w:type="dxa"/>
            <w:hideMark/>
          </w:tcPr>
          <w:p w14:paraId="1D46C690" w14:textId="2A7B2783" w:rsidR="003663AF" w:rsidRPr="00B7760C" w:rsidRDefault="00877691" w:rsidP="00E804B7">
            <w:pPr>
              <w:pStyle w:val="ColumnHeading"/>
            </w:pPr>
            <w:r w:rsidRPr="00B7760C">
              <w:t>Sprememba</w:t>
            </w:r>
          </w:p>
        </w:tc>
      </w:tr>
      <w:tr w:rsidR="003663AF" w:rsidRPr="00B7760C" w14:paraId="28D1D2FB" w14:textId="77777777" w:rsidTr="00E804B7">
        <w:trPr>
          <w:jc w:val="center"/>
        </w:trPr>
        <w:tc>
          <w:tcPr>
            <w:tcW w:w="4876" w:type="dxa"/>
            <w:hideMark/>
          </w:tcPr>
          <w:p w14:paraId="08EA5E61" w14:textId="77777777" w:rsidR="003663AF" w:rsidRPr="00B7760C" w:rsidRDefault="003663AF" w:rsidP="00E804B7">
            <w:pPr>
              <w:pStyle w:val="Normal6"/>
            </w:pPr>
            <w:r w:rsidRPr="00B7760C">
              <w:t>(5)</w:t>
            </w:r>
            <w:r w:rsidRPr="00B7760C">
              <w:tab/>
              <w:t>Da bi ohranili bistvene elemente na ravni Unije in zagotovili primerljivost odločitev držav članic, ne da bi pri tem države članice omejevali pri uresničevanju ciljev Unije, bi bilo treba določiti okvirno opredelitev pojma „kmetijska površina“. Povezane okvirne opredelitve pojmov „orno zemljišče“, „trajni nasad“ in „trajno travinje“ bi morale biti določene široko, da bi lahko države članice podrobneje določile opredelitve pojmov v skladu s svojimi lokalnimi razmerami. Okvirno opredelitev pojma „orno zemljišče“ bi bilo treba določiti tako, da bi državam članicam omogočili, da zajamejo različne oblike proizvodnje, vključno s sistemom, kot je kmetijsko-gozdarski, in ornimi zemljišči z grmovjem in drevjem, in da bi bilo treba vključiti neobdelana zemljišča, da se zagotovi nevezanost intervencij. Okvirna opredelitev pojma „trajni nasad“ bi morala vključevati tako območja, ki se dejansko uporabljajo za proizvodnjo, kot tudi tista, ki se ne, ter drevesnice in panjevce s kratko obhodnjo, ki jih določijo države članice. Okvirno opredelitev pojma „trajno travinje“ bi bilo treba določiti tako, da bi državam članicam omogočili določitev dodatnih meril in vključitev vrst, ki niso trave ali druge zelene krmne rastline in se lahko uporabljajo za pašo ali proizvodnjo živalske krme, če se uporabljajo za dejansko proizvodnjo ali ne.</w:t>
            </w:r>
          </w:p>
        </w:tc>
        <w:tc>
          <w:tcPr>
            <w:tcW w:w="4876" w:type="dxa"/>
            <w:hideMark/>
          </w:tcPr>
          <w:p w14:paraId="223365B7" w14:textId="441AD6CF" w:rsidR="003663AF" w:rsidRPr="00B7760C" w:rsidRDefault="003663AF" w:rsidP="00255347">
            <w:pPr>
              <w:pStyle w:val="Normal6"/>
            </w:pPr>
            <w:r w:rsidRPr="00B7760C">
              <w:t>(5)</w:t>
            </w:r>
            <w:r w:rsidRPr="00B7760C">
              <w:tab/>
              <w:t xml:space="preserve">Da bi ohranili bistvene </w:t>
            </w:r>
            <w:r w:rsidRPr="00B7760C">
              <w:rPr>
                <w:b/>
                <w:i/>
              </w:rPr>
              <w:t xml:space="preserve">skupne </w:t>
            </w:r>
            <w:r w:rsidRPr="00B7760C">
              <w:t>elemente na ravni Unije in zagotovili primerljivost odločitev držav članic</w:t>
            </w:r>
            <w:r w:rsidRPr="00B7760C">
              <w:rPr>
                <w:b/>
                <w:i/>
              </w:rPr>
              <w:t xml:space="preserve"> ter enako obravnavanje kmetov na ravni U</w:t>
            </w:r>
            <w:r w:rsidR="00255347" w:rsidRPr="00B7760C">
              <w:rPr>
                <w:b/>
                <w:i/>
              </w:rPr>
              <w:t>nije</w:t>
            </w:r>
            <w:r w:rsidRPr="00B7760C">
              <w:t>, ne da bi pri tem države članice omejevali pri uresničevanju ciljev Unije, bi bilo treba določiti okvirno opredelitev pojma „kmetijska površina“. Povezane okvirne opredelitve pojmov „orno zemljišče“, „trajni nasad“ in „trajno travinje“ bi morale biti določene široko, da bi lahko države članice podrobneje določile opredelitve pojmov v skladu s svojimi lokalnimi razmerami</w:t>
            </w:r>
            <w:r w:rsidRPr="00B7760C">
              <w:rPr>
                <w:b/>
                <w:i/>
              </w:rPr>
              <w:t xml:space="preserve"> in tradicionalnimi praksami</w:t>
            </w:r>
            <w:r w:rsidRPr="00B7760C">
              <w:t>. Okvirno opredelitev pojma „orno zemljišče“ bi bilo treba določiti tako, da bi državam članicam omogočili, da zajamejo različne oblike proizvodnje, vključno s sistemom, kot je kmetijsko-gozdarski, in ornimi zemljišči z grmovjem in drevjem, in da bi bilo treba vključiti neobdelana zemljišča, da se zagotovi nevezanost intervencij. Okvirna opredelitev pojma „trajni nasad“ bi morala vključevati tako območja, ki se dejansko uporabljajo za proizvodnjo, kot tudi tista, ki se ne, ter drevesnice in panjevce s kratko obhodnjo, ki jih določijo države članice. Okvirno opredelitev pojma „trajno travinje“ bi bilo treba določiti tako, da bi državam članicam omogočili določitev dodatnih meril in vključitev vrst, ki niso trave ali druge zelene krmne rastline in se lahko uporabljajo</w:t>
            </w:r>
            <w:r w:rsidRPr="00B7760C">
              <w:rPr>
                <w:b/>
                <w:i/>
              </w:rPr>
              <w:t xml:space="preserve"> izključno ali tudi</w:t>
            </w:r>
            <w:r w:rsidRPr="00B7760C">
              <w:t xml:space="preserve"> za pašo ali proizvodnjo živalske krme, če se uporabljajo za dejansko proizvodnjo ali ne.</w:t>
            </w:r>
          </w:p>
        </w:tc>
      </w:tr>
    </w:tbl>
    <w:p w14:paraId="1B0EA94A" w14:textId="77777777" w:rsidR="003663AF" w:rsidRPr="00B7760C" w:rsidRDefault="003663AF" w:rsidP="003663AF">
      <w:pPr>
        <w:pStyle w:val="Normal6"/>
      </w:pPr>
    </w:p>
    <w:p w14:paraId="1C812DDD" w14:textId="51A791BF" w:rsidR="003663AF" w:rsidRPr="00B7760C" w:rsidRDefault="00877691" w:rsidP="003663AF">
      <w:pPr>
        <w:pStyle w:val="AMNumberTabs"/>
        <w:keepNext/>
      </w:pPr>
      <w:r w:rsidRPr="00B7760C">
        <w:t>Sprememba</w:t>
      </w:r>
      <w:r w:rsidR="003663AF" w:rsidRPr="00B7760C">
        <w:tab/>
      </w:r>
      <w:r w:rsidR="003663AF" w:rsidRPr="00B7760C">
        <w:tab/>
        <w:t>7</w:t>
      </w:r>
    </w:p>
    <w:p w14:paraId="22C930AF" w14:textId="77777777" w:rsidR="003663AF" w:rsidRPr="00B7760C" w:rsidRDefault="003663AF" w:rsidP="003663AF">
      <w:pPr>
        <w:pStyle w:val="NormalBold12b"/>
        <w:keepNext/>
      </w:pPr>
      <w:r w:rsidRPr="00B7760C">
        <w:t>Predlog uredbe</w:t>
      </w:r>
    </w:p>
    <w:p w14:paraId="1B5D624C" w14:textId="77777777" w:rsidR="003663AF" w:rsidRPr="00B7760C" w:rsidRDefault="003663AF" w:rsidP="003663AF">
      <w:pPr>
        <w:pStyle w:val="NormalBold"/>
      </w:pPr>
      <w:r w:rsidRPr="00B7760C">
        <w:t>Uvodna izjava 5 a (novo)</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663AF" w:rsidRPr="00B7760C" w14:paraId="14C9296E" w14:textId="77777777" w:rsidTr="00E804B7">
        <w:trPr>
          <w:jc w:val="center"/>
        </w:trPr>
        <w:tc>
          <w:tcPr>
            <w:tcW w:w="9752" w:type="dxa"/>
            <w:gridSpan w:val="2"/>
          </w:tcPr>
          <w:p w14:paraId="6890C457" w14:textId="77777777" w:rsidR="003663AF" w:rsidRPr="00B7760C" w:rsidRDefault="003663AF" w:rsidP="00E804B7">
            <w:pPr>
              <w:keepNext/>
            </w:pPr>
          </w:p>
        </w:tc>
      </w:tr>
      <w:tr w:rsidR="003663AF" w:rsidRPr="00B7760C" w14:paraId="1AECF17E" w14:textId="77777777" w:rsidTr="00E804B7">
        <w:trPr>
          <w:jc w:val="center"/>
        </w:trPr>
        <w:tc>
          <w:tcPr>
            <w:tcW w:w="4876" w:type="dxa"/>
          </w:tcPr>
          <w:p w14:paraId="0447230D" w14:textId="77777777" w:rsidR="003663AF" w:rsidRPr="00B7760C" w:rsidRDefault="003663AF" w:rsidP="00E804B7">
            <w:pPr>
              <w:pStyle w:val="ColumnHeading"/>
              <w:keepNext/>
            </w:pPr>
            <w:r w:rsidRPr="00B7760C">
              <w:t>Besedilo, ki ga predlaga Komisija</w:t>
            </w:r>
          </w:p>
        </w:tc>
        <w:tc>
          <w:tcPr>
            <w:tcW w:w="4876" w:type="dxa"/>
          </w:tcPr>
          <w:p w14:paraId="38186524" w14:textId="248F3F54" w:rsidR="003663AF" w:rsidRPr="00B7760C" w:rsidRDefault="00877691" w:rsidP="00E804B7">
            <w:pPr>
              <w:pStyle w:val="ColumnHeading"/>
              <w:keepNext/>
            </w:pPr>
            <w:r w:rsidRPr="00B7760C">
              <w:t>Sprememba</w:t>
            </w:r>
          </w:p>
        </w:tc>
      </w:tr>
      <w:tr w:rsidR="003663AF" w:rsidRPr="00B7760C" w14:paraId="00311774" w14:textId="77777777" w:rsidTr="00E804B7">
        <w:trPr>
          <w:jc w:val="center"/>
        </w:trPr>
        <w:tc>
          <w:tcPr>
            <w:tcW w:w="4876" w:type="dxa"/>
          </w:tcPr>
          <w:p w14:paraId="0EF93955" w14:textId="77777777" w:rsidR="003663AF" w:rsidRPr="00B7760C" w:rsidRDefault="003663AF" w:rsidP="00E804B7">
            <w:pPr>
              <w:pStyle w:val="Normal6"/>
            </w:pPr>
          </w:p>
        </w:tc>
        <w:tc>
          <w:tcPr>
            <w:tcW w:w="4876" w:type="dxa"/>
          </w:tcPr>
          <w:p w14:paraId="0A191B18" w14:textId="77777777" w:rsidR="003663AF" w:rsidRPr="00B7760C" w:rsidRDefault="003663AF" w:rsidP="00E804B7">
            <w:pPr>
              <w:pStyle w:val="Normal6"/>
              <w:rPr>
                <w:szCs w:val="24"/>
              </w:rPr>
            </w:pPr>
            <w:r w:rsidRPr="00B7760C">
              <w:rPr>
                <w:b/>
                <w:i/>
              </w:rPr>
              <w:t xml:space="preserve">(5a) </w:t>
            </w:r>
            <w:r w:rsidRPr="00B7760C">
              <w:rPr>
                <w:b/>
                <w:i/>
              </w:rPr>
              <w:tab/>
              <w:t>V kmetijstvu bi moral biti v prihodnosti poudarek na proizvodnji visokokakovostnih živil, kjer je konkurenčna prednost Unije. Standarde Unije bi bilo treba ohraniti in okrepiti, kjer je to izvedljivo, določiti pa bi bilo treba tudi ukrepe za nadaljnje povečanje dolgoročne produktivnosti in konkurenčnosti sektorja proizvodnje hrane ter uvedbo novih tehnologij in učinkovitejše uporabe virov, s čimer bi se okrepila vloga Unije kot vodilne v svetu.</w:t>
            </w:r>
          </w:p>
        </w:tc>
      </w:tr>
    </w:tbl>
    <w:p w14:paraId="765D654D" w14:textId="77777777" w:rsidR="003663AF" w:rsidRPr="00B7760C" w:rsidRDefault="003663AF" w:rsidP="003663AF"/>
    <w:p w14:paraId="78042299" w14:textId="267D456B" w:rsidR="003663AF" w:rsidRPr="00B7760C" w:rsidRDefault="00877691" w:rsidP="003663AF">
      <w:pPr>
        <w:pStyle w:val="AMNumberTabs"/>
      </w:pPr>
      <w:r w:rsidRPr="00B7760C">
        <w:t>Sprememba</w:t>
      </w:r>
      <w:r w:rsidR="003663AF" w:rsidRPr="00B7760C">
        <w:tab/>
      </w:r>
      <w:r w:rsidR="003663AF" w:rsidRPr="00B7760C">
        <w:tab/>
        <w:t>8</w:t>
      </w:r>
    </w:p>
    <w:p w14:paraId="51B037E6" w14:textId="77777777" w:rsidR="003663AF" w:rsidRPr="00B7760C" w:rsidRDefault="003663AF" w:rsidP="003663AF">
      <w:pPr>
        <w:pStyle w:val="NormalBold12b"/>
      </w:pPr>
      <w:r w:rsidRPr="00B7760C">
        <w:t>Predlog uredbe</w:t>
      </w:r>
    </w:p>
    <w:p w14:paraId="705D572E" w14:textId="77777777" w:rsidR="003663AF" w:rsidRPr="00B7760C" w:rsidRDefault="003663AF" w:rsidP="003663AF">
      <w:pPr>
        <w:pStyle w:val="NormalBold"/>
      </w:pPr>
      <w:r w:rsidRPr="00B7760C">
        <w:t>Uvodna izjava 8</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072A994" w14:textId="77777777" w:rsidTr="00E804B7">
        <w:trPr>
          <w:trHeight w:hRule="exact" w:val="240"/>
          <w:jc w:val="center"/>
        </w:trPr>
        <w:tc>
          <w:tcPr>
            <w:tcW w:w="9752" w:type="dxa"/>
            <w:gridSpan w:val="2"/>
          </w:tcPr>
          <w:p w14:paraId="47E67DBD" w14:textId="77777777" w:rsidR="003663AF" w:rsidRPr="00B7760C" w:rsidRDefault="003663AF" w:rsidP="00E804B7"/>
        </w:tc>
      </w:tr>
      <w:tr w:rsidR="003663AF" w:rsidRPr="00B7760C" w14:paraId="399FDD42" w14:textId="77777777" w:rsidTr="00E804B7">
        <w:trPr>
          <w:trHeight w:val="240"/>
          <w:jc w:val="center"/>
        </w:trPr>
        <w:tc>
          <w:tcPr>
            <w:tcW w:w="4876" w:type="dxa"/>
          </w:tcPr>
          <w:p w14:paraId="79E07E82" w14:textId="77777777" w:rsidR="003663AF" w:rsidRPr="00B7760C" w:rsidRDefault="003663AF" w:rsidP="00E804B7">
            <w:pPr>
              <w:pStyle w:val="ColumnHeading"/>
            </w:pPr>
            <w:r w:rsidRPr="00B7760C">
              <w:t>Besedilo, ki ga predlaga Komisija</w:t>
            </w:r>
          </w:p>
        </w:tc>
        <w:tc>
          <w:tcPr>
            <w:tcW w:w="4876" w:type="dxa"/>
          </w:tcPr>
          <w:p w14:paraId="34624939" w14:textId="2EDCF3C9" w:rsidR="003663AF" w:rsidRPr="00B7760C" w:rsidRDefault="00877691" w:rsidP="00E804B7">
            <w:pPr>
              <w:pStyle w:val="ColumnHeading"/>
            </w:pPr>
            <w:r w:rsidRPr="00B7760C">
              <w:t>Sprememba</w:t>
            </w:r>
          </w:p>
        </w:tc>
      </w:tr>
      <w:tr w:rsidR="003663AF" w:rsidRPr="00B7760C" w14:paraId="5642CA14" w14:textId="77777777" w:rsidTr="00E804B7">
        <w:trPr>
          <w:jc w:val="center"/>
        </w:trPr>
        <w:tc>
          <w:tcPr>
            <w:tcW w:w="4876" w:type="dxa"/>
          </w:tcPr>
          <w:p w14:paraId="44F806BE" w14:textId="77777777" w:rsidR="003663AF" w:rsidRPr="00B7760C" w:rsidRDefault="003663AF" w:rsidP="00E804B7">
            <w:pPr>
              <w:pStyle w:val="Normal6"/>
            </w:pPr>
            <w:r w:rsidRPr="00B7760C">
              <w:t>(8)</w:t>
            </w:r>
            <w:r w:rsidRPr="00B7760C">
              <w:tab/>
              <w:t>Glede območij, ki se uporabljajo za pridelavo konoplje, bi morala biti uporaba semena sort konoplje z vsebnostjo tetrahidrokanabinola pod</w:t>
            </w:r>
            <w:r w:rsidRPr="00B7760C">
              <w:rPr>
                <w:b/>
                <w:i/>
              </w:rPr>
              <w:t xml:space="preserve"> 0,2 </w:t>
            </w:r>
            <w:r w:rsidRPr="00B7760C">
              <w:t>% za ohranjanje javnega zdravja in zagotavljanje skladnosti z drugimi zakonodajnimi organi del opredelitve pojma „upravičeni hektar“.</w:t>
            </w:r>
          </w:p>
        </w:tc>
        <w:tc>
          <w:tcPr>
            <w:tcW w:w="4876" w:type="dxa"/>
          </w:tcPr>
          <w:p w14:paraId="7A2771B9" w14:textId="77777777" w:rsidR="003663AF" w:rsidRPr="00B7760C" w:rsidRDefault="003663AF" w:rsidP="00E804B7">
            <w:pPr>
              <w:pStyle w:val="Normal6"/>
            </w:pPr>
            <w:r w:rsidRPr="00B7760C">
              <w:t>(8)</w:t>
            </w:r>
            <w:r w:rsidRPr="00B7760C">
              <w:tab/>
              <w:t>Glede območij, ki se uporabljajo za pridelavo konoplje, bi morala biti uporaba semena sort konoplje z vsebnostjo tetrahidrokanabinola pod</w:t>
            </w:r>
            <w:r w:rsidRPr="00B7760C">
              <w:rPr>
                <w:b/>
                <w:i/>
              </w:rPr>
              <w:t xml:space="preserve"> 0,3</w:t>
            </w:r>
            <w:r w:rsidRPr="00B7760C">
              <w:t xml:space="preserve"> % za ohranjanje javnega zdravja in zagotavljanje skladnosti z drugimi zakonodajnimi organi del opredelitve pojma „upravičeni hektar“.</w:t>
            </w:r>
          </w:p>
        </w:tc>
      </w:tr>
    </w:tbl>
    <w:p w14:paraId="5B4F557A" w14:textId="77777777" w:rsidR="003663AF" w:rsidRPr="00B7760C" w:rsidRDefault="003663AF" w:rsidP="003663AF"/>
    <w:p w14:paraId="0D8F1EF6" w14:textId="6D813EA8" w:rsidR="003663AF" w:rsidRPr="00B7760C" w:rsidRDefault="00877691" w:rsidP="003663AF">
      <w:pPr>
        <w:pStyle w:val="AMNumberTabs"/>
      </w:pPr>
      <w:r w:rsidRPr="00B7760C">
        <w:t>Sprememba</w:t>
      </w:r>
      <w:r w:rsidR="003663AF" w:rsidRPr="00B7760C">
        <w:tab/>
      </w:r>
      <w:r w:rsidR="003663AF" w:rsidRPr="00B7760C">
        <w:tab/>
        <w:t>9</w:t>
      </w:r>
    </w:p>
    <w:p w14:paraId="46A37D96" w14:textId="77777777" w:rsidR="003663AF" w:rsidRPr="00B7760C" w:rsidRDefault="003663AF" w:rsidP="003663AF">
      <w:pPr>
        <w:pStyle w:val="NormalBold12b"/>
      </w:pPr>
      <w:r w:rsidRPr="00B7760C">
        <w:t>Predlog uredbe</w:t>
      </w:r>
    </w:p>
    <w:p w14:paraId="0915C281" w14:textId="77777777" w:rsidR="003663AF" w:rsidRPr="00B7760C" w:rsidRDefault="003663AF" w:rsidP="003663AF">
      <w:pPr>
        <w:pStyle w:val="NormalBold"/>
      </w:pPr>
      <w:r w:rsidRPr="00B7760C">
        <w:t>Uvodna izjava 9</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9138012" w14:textId="77777777" w:rsidTr="00E804B7">
        <w:trPr>
          <w:trHeight w:val="240"/>
          <w:jc w:val="center"/>
        </w:trPr>
        <w:tc>
          <w:tcPr>
            <w:tcW w:w="9752" w:type="dxa"/>
            <w:gridSpan w:val="2"/>
          </w:tcPr>
          <w:p w14:paraId="22D38EA1" w14:textId="77777777" w:rsidR="003663AF" w:rsidRPr="00B7760C" w:rsidRDefault="003663AF" w:rsidP="00E804B7"/>
        </w:tc>
      </w:tr>
      <w:tr w:rsidR="003663AF" w:rsidRPr="00B7760C" w14:paraId="05DCB13F" w14:textId="77777777" w:rsidTr="00E804B7">
        <w:trPr>
          <w:trHeight w:val="240"/>
          <w:jc w:val="center"/>
        </w:trPr>
        <w:tc>
          <w:tcPr>
            <w:tcW w:w="4876" w:type="dxa"/>
            <w:hideMark/>
          </w:tcPr>
          <w:p w14:paraId="6C24F440" w14:textId="77777777" w:rsidR="003663AF" w:rsidRPr="00B7760C" w:rsidRDefault="003663AF" w:rsidP="00E804B7">
            <w:pPr>
              <w:pStyle w:val="ColumnHeading"/>
            </w:pPr>
            <w:r w:rsidRPr="00B7760C">
              <w:t>Besedilo, ki ga predlaga Komisija</w:t>
            </w:r>
          </w:p>
        </w:tc>
        <w:tc>
          <w:tcPr>
            <w:tcW w:w="4876" w:type="dxa"/>
            <w:hideMark/>
          </w:tcPr>
          <w:p w14:paraId="60BB208D" w14:textId="124DAEAB" w:rsidR="003663AF" w:rsidRPr="00B7760C" w:rsidRDefault="00877691" w:rsidP="00E804B7">
            <w:pPr>
              <w:pStyle w:val="ColumnHeading"/>
            </w:pPr>
            <w:r w:rsidRPr="00B7760C">
              <w:t>Sprememba</w:t>
            </w:r>
          </w:p>
        </w:tc>
      </w:tr>
      <w:tr w:rsidR="003663AF" w:rsidRPr="00B7760C" w14:paraId="2B0D7F02" w14:textId="77777777" w:rsidTr="00E804B7">
        <w:trPr>
          <w:jc w:val="center"/>
        </w:trPr>
        <w:tc>
          <w:tcPr>
            <w:tcW w:w="4876" w:type="dxa"/>
            <w:hideMark/>
          </w:tcPr>
          <w:p w14:paraId="7E886033" w14:textId="77777777" w:rsidR="003663AF" w:rsidRPr="00B7760C" w:rsidRDefault="003663AF" w:rsidP="00E804B7">
            <w:pPr>
              <w:pStyle w:val="Normal6"/>
            </w:pPr>
            <w:r w:rsidRPr="00B7760C">
              <w:t>(9)</w:t>
            </w:r>
            <w:r w:rsidRPr="00B7760C">
              <w:tab/>
              <w:t xml:space="preserve">Da bi nadalje izboljšali smotrnost SKP, bi bilo treba dohodkovno podporo ciljno usmeriti na prave kmete. Da bi zagotovili enoten pristop na ravni Unije za tako ciljno usmerjenost podpore, bi bilo treba določiti okvirno opredelitev pojma </w:t>
            </w:r>
            <w:r w:rsidRPr="00B7760C">
              <w:rPr>
                <w:b/>
                <w:i/>
              </w:rPr>
              <w:t>„pravi</w:t>
            </w:r>
            <w:r w:rsidRPr="00B7760C">
              <w:t xml:space="preserve"> kmet“, ki bi vključevala </w:t>
            </w:r>
            <w:r w:rsidRPr="00B7760C">
              <w:rPr>
                <w:b/>
                <w:i/>
              </w:rPr>
              <w:t>bistvene</w:t>
            </w:r>
            <w:r w:rsidRPr="00B7760C">
              <w:t xml:space="preserve"> elemente. </w:t>
            </w:r>
            <w:r w:rsidRPr="00B7760C">
              <w:rPr>
                <w:b/>
                <w:i/>
              </w:rPr>
              <w:t xml:space="preserve">Države članice bi morale na podlagi tega okvira v svojih strateških načrtih SKP opredeliti, kateri kmetje se ne štejejo za prave kmete na podlagi pogojev, kot so preverjanje dohodkov, vložek dela na kmetiji, poslovni namen in vpis v registre. Pri tem </w:t>
            </w:r>
            <w:r w:rsidRPr="00B7760C">
              <w:t>iz podpore ne bi smeli izključiti večdejavnih kmetov, ki dejavno kmetujejo, vendar so vključeni tudi v nekmetijske dejavnosti zunaj kmetijskega gospodarstva, saj njihove številne dejavnosti pogosto krepijo socialno-ekonomsko tkivo podeželskih območij.</w:t>
            </w:r>
          </w:p>
        </w:tc>
        <w:tc>
          <w:tcPr>
            <w:tcW w:w="4876" w:type="dxa"/>
            <w:hideMark/>
          </w:tcPr>
          <w:p w14:paraId="50DF8C12" w14:textId="77777777" w:rsidR="003663AF" w:rsidRPr="00B7760C" w:rsidRDefault="003663AF" w:rsidP="00E804B7">
            <w:pPr>
              <w:pStyle w:val="Normal6"/>
            </w:pPr>
            <w:r w:rsidRPr="00B7760C">
              <w:t>(9)</w:t>
            </w:r>
            <w:r w:rsidRPr="00B7760C">
              <w:tab/>
              <w:t>Da bi nadalje izboljšali smotrnost SKP, bi bilo treba dohodkovno podporo ciljno usmeriti na</w:t>
            </w:r>
            <w:r w:rsidRPr="00B7760C">
              <w:rPr>
                <w:b/>
                <w:i/>
              </w:rPr>
              <w:t xml:space="preserve"> dejavne</w:t>
            </w:r>
            <w:r w:rsidRPr="00B7760C">
              <w:t xml:space="preserve"> kmete. Da bi zagotovili enoten pristop na ravni Unije za tako ciljno usmerjenost podpore, bi bilo treba določiti okvirno opredelitev pojma </w:t>
            </w:r>
            <w:r w:rsidRPr="00B7760C">
              <w:rPr>
                <w:b/>
                <w:i/>
              </w:rPr>
              <w:t>„dejavni</w:t>
            </w:r>
            <w:r w:rsidRPr="00B7760C">
              <w:t xml:space="preserve"> kmet“, ki bi vključevala </w:t>
            </w:r>
            <w:r w:rsidRPr="00B7760C">
              <w:rPr>
                <w:b/>
                <w:i/>
              </w:rPr>
              <w:t>skupne</w:t>
            </w:r>
            <w:r w:rsidRPr="00B7760C">
              <w:t xml:space="preserve"> elemente. Iz podpore ne bi smeli izključiti večdejavnih kmetov, ki dejavno kmetujejo, vendar so vključeni tudi v nekmetijske dejavnosti zunaj kmetijskega gospodarstva, saj njihove številne dejavnosti pogosto krepijo socialno-ekonomsko tkivo podeželskih območij. </w:t>
            </w:r>
            <w:r w:rsidRPr="00B7760C">
              <w:rPr>
                <w:b/>
                <w:i/>
              </w:rPr>
              <w:t>Okvirna opredelitev bi morala vsekakor prispevati k ohranjanju modela družinskega kmetovanja v Uniji.</w:t>
            </w:r>
          </w:p>
        </w:tc>
      </w:tr>
    </w:tbl>
    <w:p w14:paraId="65DB0903" w14:textId="77777777" w:rsidR="003663AF" w:rsidRPr="00B7760C" w:rsidRDefault="003663AF" w:rsidP="003663AF">
      <w:pPr>
        <w:pStyle w:val="Normal6"/>
      </w:pPr>
    </w:p>
    <w:p w14:paraId="1EF5AABC" w14:textId="49327E82" w:rsidR="003663AF" w:rsidRPr="00B7760C" w:rsidRDefault="00877691" w:rsidP="003663AF">
      <w:pPr>
        <w:pStyle w:val="AMNumberTabs"/>
        <w:keepNext/>
      </w:pPr>
      <w:r w:rsidRPr="00B7760C">
        <w:t>Sprememba</w:t>
      </w:r>
      <w:r w:rsidR="003663AF" w:rsidRPr="00B7760C">
        <w:tab/>
      </w:r>
      <w:r w:rsidR="003663AF" w:rsidRPr="00B7760C">
        <w:tab/>
        <w:t>10</w:t>
      </w:r>
    </w:p>
    <w:p w14:paraId="51A39E53" w14:textId="77777777" w:rsidR="003663AF" w:rsidRPr="00B7760C" w:rsidRDefault="003663AF" w:rsidP="003663AF"/>
    <w:p w14:paraId="0CFDC08E" w14:textId="77777777" w:rsidR="003663AF" w:rsidRPr="00B7760C" w:rsidRDefault="003663AF" w:rsidP="003663AF">
      <w:pPr>
        <w:pStyle w:val="NormalBold"/>
        <w:keepNext/>
      </w:pPr>
      <w:r w:rsidRPr="00B7760C">
        <w:t>Predlog uredbe</w:t>
      </w:r>
    </w:p>
    <w:p w14:paraId="7DD0B85C" w14:textId="77777777" w:rsidR="003663AF" w:rsidRPr="00B7760C" w:rsidRDefault="003663AF" w:rsidP="003663AF">
      <w:pPr>
        <w:pStyle w:val="NormalBold"/>
      </w:pPr>
      <w:r w:rsidRPr="00B7760C">
        <w:t>Uvodna izjava 9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7DB5886" w14:textId="77777777" w:rsidTr="00E804B7">
        <w:trPr>
          <w:jc w:val="center"/>
        </w:trPr>
        <w:tc>
          <w:tcPr>
            <w:tcW w:w="9752" w:type="dxa"/>
            <w:gridSpan w:val="2"/>
          </w:tcPr>
          <w:p w14:paraId="4B3DAB24" w14:textId="77777777" w:rsidR="003663AF" w:rsidRPr="00B7760C" w:rsidRDefault="003663AF" w:rsidP="00E804B7">
            <w:pPr>
              <w:keepNext/>
            </w:pPr>
          </w:p>
        </w:tc>
      </w:tr>
      <w:tr w:rsidR="003663AF" w:rsidRPr="00B7760C" w14:paraId="2E101A98" w14:textId="77777777" w:rsidTr="00E804B7">
        <w:trPr>
          <w:jc w:val="center"/>
        </w:trPr>
        <w:tc>
          <w:tcPr>
            <w:tcW w:w="4876" w:type="dxa"/>
            <w:hideMark/>
          </w:tcPr>
          <w:p w14:paraId="54DFDB5A" w14:textId="77777777" w:rsidR="003663AF" w:rsidRPr="00B7760C" w:rsidRDefault="003663AF" w:rsidP="00E804B7">
            <w:pPr>
              <w:pStyle w:val="ColumnHeading"/>
              <w:keepNext/>
            </w:pPr>
            <w:r w:rsidRPr="00B7760C">
              <w:t>Besedilo, ki ga predlaga Komisija</w:t>
            </w:r>
          </w:p>
        </w:tc>
        <w:tc>
          <w:tcPr>
            <w:tcW w:w="4876" w:type="dxa"/>
            <w:hideMark/>
          </w:tcPr>
          <w:p w14:paraId="2AEF0142" w14:textId="312C1765" w:rsidR="003663AF" w:rsidRPr="00B7760C" w:rsidRDefault="00877691" w:rsidP="00E804B7">
            <w:pPr>
              <w:pStyle w:val="ColumnHeading"/>
              <w:keepNext/>
            </w:pPr>
            <w:r w:rsidRPr="00B7760C">
              <w:t>Sprememba</w:t>
            </w:r>
          </w:p>
        </w:tc>
      </w:tr>
      <w:tr w:rsidR="003663AF" w:rsidRPr="00B7760C" w14:paraId="2DCF1913" w14:textId="77777777" w:rsidTr="00E804B7">
        <w:trPr>
          <w:jc w:val="center"/>
        </w:trPr>
        <w:tc>
          <w:tcPr>
            <w:tcW w:w="4876" w:type="dxa"/>
          </w:tcPr>
          <w:p w14:paraId="3AD8F5FC" w14:textId="77777777" w:rsidR="003663AF" w:rsidRPr="00B7760C" w:rsidRDefault="003663AF" w:rsidP="00E804B7">
            <w:pPr>
              <w:pStyle w:val="Normal6"/>
            </w:pPr>
          </w:p>
        </w:tc>
        <w:tc>
          <w:tcPr>
            <w:tcW w:w="4876" w:type="dxa"/>
            <w:hideMark/>
          </w:tcPr>
          <w:p w14:paraId="3061AA4D" w14:textId="77777777" w:rsidR="003663AF" w:rsidRPr="00B7760C" w:rsidRDefault="003663AF" w:rsidP="00E804B7">
            <w:pPr>
              <w:pStyle w:val="Normal6"/>
              <w:rPr>
                <w:szCs w:val="24"/>
              </w:rPr>
            </w:pPr>
            <w:r w:rsidRPr="00B7760C">
              <w:rPr>
                <w:b/>
                <w:i/>
              </w:rPr>
              <w:t>(9a)</w:t>
            </w:r>
            <w:r w:rsidRPr="00B7760C">
              <w:rPr>
                <w:b/>
                <w:i/>
              </w:rPr>
              <w:tab/>
              <w:t>Enakost med ženskami in moškimi je temeljno načelo Unije in vključevanje načela enakosti je pomembno orodje za vključevanje tega načela v SKP. Zato bi bilo treba nameniti posebno pozornost spodbujanju udeležbe žensk v družbeno-gospodarskem razvoju podeželskih območij. Velikost kmetij, ki jih upravljajo ženske, je običajno manjša, delo, ki ga opravljajo ženske kot soproge kmetov, pa ni vedno priznano in vidno, kar vpliva na njihovo ekonomsko neodvisnost. Ta uredba bi morala prispevati k temu, da bi bilo delo žensk vidnejše in bolje ovrednoteno ter bi ga upoštevali v okviru specifičnih ciljev, ki jih bodo države članice priložile svojim strateškim načrtom. Enakost spolov in načela nediskriminacije bi morala biti sestavni del priprave, izvajanja in ocenjevanja ukrepov SKP. Države članice bi tudi morale krepiti svoje zmogljivosti na področju vključevanja vidika spola in zbiranja podatkov, razčlenjenih po spolu.</w:t>
            </w:r>
          </w:p>
        </w:tc>
      </w:tr>
    </w:tbl>
    <w:p w14:paraId="7D01C437" w14:textId="77777777" w:rsidR="003663AF" w:rsidRPr="00B7760C" w:rsidRDefault="003663AF" w:rsidP="003663AF"/>
    <w:p w14:paraId="47D17BC6" w14:textId="038A5330" w:rsidR="003663AF" w:rsidRPr="00B7760C" w:rsidRDefault="00877691" w:rsidP="003663AF">
      <w:pPr>
        <w:pStyle w:val="AMNumberTabs"/>
      </w:pPr>
      <w:r w:rsidRPr="00B7760C">
        <w:t>Sprememba</w:t>
      </w:r>
      <w:r w:rsidR="003663AF" w:rsidRPr="00B7760C">
        <w:tab/>
      </w:r>
      <w:r w:rsidR="003663AF" w:rsidRPr="00B7760C">
        <w:tab/>
        <w:t>11</w:t>
      </w:r>
    </w:p>
    <w:p w14:paraId="4A863644" w14:textId="77777777" w:rsidR="003663AF" w:rsidRPr="00B7760C" w:rsidRDefault="003663AF" w:rsidP="003663AF">
      <w:pPr>
        <w:pStyle w:val="NormalBold12b"/>
      </w:pPr>
      <w:r w:rsidRPr="00B7760C">
        <w:t>Predlog uredbe</w:t>
      </w:r>
    </w:p>
    <w:p w14:paraId="19DCB8A8" w14:textId="77777777" w:rsidR="003663AF" w:rsidRPr="00B7760C" w:rsidRDefault="003663AF" w:rsidP="003663AF">
      <w:pPr>
        <w:pStyle w:val="NormalBold"/>
      </w:pPr>
      <w:r w:rsidRPr="00B7760C">
        <w:t>Uvodna izjava 10</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05B6F81" w14:textId="77777777" w:rsidTr="00E804B7">
        <w:trPr>
          <w:trHeight w:hRule="exact" w:val="240"/>
          <w:jc w:val="center"/>
        </w:trPr>
        <w:tc>
          <w:tcPr>
            <w:tcW w:w="9752" w:type="dxa"/>
            <w:gridSpan w:val="2"/>
          </w:tcPr>
          <w:p w14:paraId="43A4B25D" w14:textId="77777777" w:rsidR="003663AF" w:rsidRPr="00B7760C" w:rsidRDefault="003663AF" w:rsidP="00E804B7"/>
        </w:tc>
      </w:tr>
      <w:tr w:rsidR="003663AF" w:rsidRPr="00B7760C" w14:paraId="01C642BA" w14:textId="77777777" w:rsidTr="00E804B7">
        <w:trPr>
          <w:trHeight w:val="240"/>
          <w:jc w:val="center"/>
        </w:trPr>
        <w:tc>
          <w:tcPr>
            <w:tcW w:w="4876" w:type="dxa"/>
          </w:tcPr>
          <w:p w14:paraId="6ED179E8" w14:textId="77777777" w:rsidR="003663AF" w:rsidRPr="00B7760C" w:rsidRDefault="003663AF" w:rsidP="00E804B7">
            <w:pPr>
              <w:pStyle w:val="ColumnHeading"/>
            </w:pPr>
            <w:r w:rsidRPr="00B7760C">
              <w:t>Besedilo, ki ga predlaga Komisija</w:t>
            </w:r>
          </w:p>
        </w:tc>
        <w:tc>
          <w:tcPr>
            <w:tcW w:w="4876" w:type="dxa"/>
          </w:tcPr>
          <w:p w14:paraId="753EB582" w14:textId="3A96B0FF" w:rsidR="003663AF" w:rsidRPr="00B7760C" w:rsidRDefault="00877691" w:rsidP="00E804B7">
            <w:pPr>
              <w:pStyle w:val="ColumnHeading"/>
            </w:pPr>
            <w:r w:rsidRPr="00B7760C">
              <w:t>Sprememba</w:t>
            </w:r>
          </w:p>
        </w:tc>
      </w:tr>
      <w:tr w:rsidR="003663AF" w:rsidRPr="00B7760C" w14:paraId="383D2BAD" w14:textId="77777777" w:rsidTr="00E804B7">
        <w:trPr>
          <w:jc w:val="center"/>
        </w:trPr>
        <w:tc>
          <w:tcPr>
            <w:tcW w:w="4876" w:type="dxa"/>
          </w:tcPr>
          <w:p w14:paraId="2DFA8ED9" w14:textId="77777777" w:rsidR="003663AF" w:rsidRPr="00B7760C" w:rsidRDefault="003663AF" w:rsidP="00E804B7">
            <w:pPr>
              <w:pStyle w:val="Normal6"/>
            </w:pPr>
            <w:r w:rsidRPr="00B7760C">
              <w:t>(10)</w:t>
            </w:r>
            <w:r w:rsidRPr="00B7760C">
              <w:tab/>
              <w:t xml:space="preserve">Da bi zagotovili skladnost med vrstami intervencij v obliki neposrednih plačil in vrstami intervencij za razvoj podeželja pri obravnavanju cilja generacijske pomladitve, bi bilo treba na ravni Unije določiti okvirno opredelitev pojma „mladi kmet“ </w:t>
            </w:r>
            <w:r w:rsidRPr="00B7760C">
              <w:rPr>
                <w:b/>
                <w:i/>
              </w:rPr>
              <w:t>z bistvenimi</w:t>
            </w:r>
            <w:r w:rsidRPr="00B7760C">
              <w:t xml:space="preserve"> elementi.</w:t>
            </w:r>
          </w:p>
        </w:tc>
        <w:tc>
          <w:tcPr>
            <w:tcW w:w="4876" w:type="dxa"/>
          </w:tcPr>
          <w:p w14:paraId="0046D3EF" w14:textId="77777777" w:rsidR="003663AF" w:rsidRPr="00B7760C" w:rsidRDefault="003663AF" w:rsidP="00E804B7">
            <w:pPr>
              <w:pStyle w:val="Normal6"/>
            </w:pPr>
            <w:r w:rsidRPr="00B7760C">
              <w:t>(10)</w:t>
            </w:r>
            <w:r w:rsidRPr="00B7760C">
              <w:tab/>
              <w:t xml:space="preserve">Da bi zagotovili skladnost med vrstami intervencij v obliki neposrednih plačil in vrstami intervencij za razvoj podeželja pri obravnavanju cilja generacijske pomladitve, bi bilo treba na ravni Unije določiti okvirno opredelitev pojma „mladi kmet“ </w:t>
            </w:r>
            <w:r w:rsidRPr="00B7760C">
              <w:rPr>
                <w:b/>
                <w:i/>
              </w:rPr>
              <w:t>s skupnimi</w:t>
            </w:r>
            <w:r w:rsidRPr="00B7760C">
              <w:t xml:space="preserve"> elementi.</w:t>
            </w:r>
          </w:p>
        </w:tc>
      </w:tr>
    </w:tbl>
    <w:p w14:paraId="1DA6852C" w14:textId="77777777" w:rsidR="003663AF" w:rsidRPr="00B7760C" w:rsidRDefault="003663AF" w:rsidP="003663AF">
      <w:pPr>
        <w:pStyle w:val="Normal6"/>
      </w:pPr>
    </w:p>
    <w:p w14:paraId="184FB44A" w14:textId="42110592" w:rsidR="003663AF" w:rsidRPr="00B7760C" w:rsidRDefault="00877691" w:rsidP="003663AF">
      <w:pPr>
        <w:pStyle w:val="AMNumberTabs"/>
      </w:pPr>
      <w:r w:rsidRPr="00B7760C">
        <w:t>Sprememba</w:t>
      </w:r>
      <w:r w:rsidR="003663AF" w:rsidRPr="00B7760C">
        <w:tab/>
      </w:r>
      <w:r w:rsidR="003663AF" w:rsidRPr="00B7760C">
        <w:tab/>
        <w:t>12</w:t>
      </w:r>
    </w:p>
    <w:p w14:paraId="44C4436A" w14:textId="77777777" w:rsidR="003663AF" w:rsidRPr="00B7760C" w:rsidRDefault="003663AF" w:rsidP="003663AF">
      <w:pPr>
        <w:pStyle w:val="NormalBold12b"/>
      </w:pPr>
      <w:r w:rsidRPr="00B7760C">
        <w:t>Predlog uredbe</w:t>
      </w:r>
    </w:p>
    <w:p w14:paraId="385B0CC1" w14:textId="77777777" w:rsidR="003663AF" w:rsidRPr="00B7760C" w:rsidRDefault="003663AF" w:rsidP="003663AF">
      <w:pPr>
        <w:pStyle w:val="NormalBold"/>
      </w:pPr>
      <w:r w:rsidRPr="00B7760C">
        <w:t>Uvodna izjava 10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6D20C61" w14:textId="77777777" w:rsidTr="00E804B7">
        <w:trPr>
          <w:trHeight w:hRule="exact" w:val="240"/>
          <w:jc w:val="center"/>
        </w:trPr>
        <w:tc>
          <w:tcPr>
            <w:tcW w:w="9752" w:type="dxa"/>
            <w:gridSpan w:val="2"/>
          </w:tcPr>
          <w:p w14:paraId="18051A63" w14:textId="77777777" w:rsidR="003663AF" w:rsidRPr="00B7760C" w:rsidRDefault="003663AF" w:rsidP="00E804B7"/>
        </w:tc>
      </w:tr>
      <w:tr w:rsidR="003663AF" w:rsidRPr="00B7760C" w14:paraId="48393AA2" w14:textId="77777777" w:rsidTr="00E804B7">
        <w:trPr>
          <w:trHeight w:val="567"/>
          <w:jc w:val="center"/>
        </w:trPr>
        <w:tc>
          <w:tcPr>
            <w:tcW w:w="4876" w:type="dxa"/>
          </w:tcPr>
          <w:p w14:paraId="1331927F" w14:textId="77777777" w:rsidR="003663AF" w:rsidRPr="00B7760C" w:rsidRDefault="003663AF" w:rsidP="00E804B7">
            <w:pPr>
              <w:pStyle w:val="ColumnHeading"/>
            </w:pPr>
            <w:r w:rsidRPr="00B7760C">
              <w:t>Besedilo, ki ga predlaga Komisija</w:t>
            </w:r>
          </w:p>
        </w:tc>
        <w:tc>
          <w:tcPr>
            <w:tcW w:w="4876" w:type="dxa"/>
          </w:tcPr>
          <w:p w14:paraId="6FCDE0E2" w14:textId="220F9133" w:rsidR="003663AF" w:rsidRPr="00B7760C" w:rsidRDefault="00877691" w:rsidP="00E804B7">
            <w:pPr>
              <w:pStyle w:val="ColumnHeading"/>
            </w:pPr>
            <w:r w:rsidRPr="00B7760C">
              <w:t>Sprememba</w:t>
            </w:r>
          </w:p>
        </w:tc>
      </w:tr>
      <w:tr w:rsidR="003663AF" w:rsidRPr="00B7760C" w14:paraId="3533DCF8" w14:textId="77777777" w:rsidTr="00E804B7">
        <w:trPr>
          <w:jc w:val="center"/>
        </w:trPr>
        <w:tc>
          <w:tcPr>
            <w:tcW w:w="4876" w:type="dxa"/>
          </w:tcPr>
          <w:p w14:paraId="568B2E7E" w14:textId="77777777" w:rsidR="003663AF" w:rsidRPr="00B7760C" w:rsidRDefault="003663AF" w:rsidP="00E804B7">
            <w:pPr>
              <w:pStyle w:val="Normal6"/>
            </w:pPr>
          </w:p>
        </w:tc>
        <w:tc>
          <w:tcPr>
            <w:tcW w:w="4876" w:type="dxa"/>
          </w:tcPr>
          <w:p w14:paraId="34838937" w14:textId="77777777" w:rsidR="003663AF" w:rsidRPr="00B7760C" w:rsidRDefault="003663AF" w:rsidP="00E804B7">
            <w:pPr>
              <w:pStyle w:val="Normal6"/>
            </w:pPr>
            <w:r w:rsidRPr="00B7760C">
              <w:rPr>
                <w:b/>
                <w:i/>
              </w:rPr>
              <w:t>(10a)</w:t>
            </w:r>
            <w:r w:rsidRPr="00B7760C">
              <w:tab/>
            </w:r>
            <w:r w:rsidRPr="00B7760C">
              <w:rPr>
                <w:b/>
                <w:i/>
              </w:rPr>
              <w:t>Da bi zagotovili skladnost med vrstami intervencij v obliki neposrednih plačil in vrstami intervencij za razvoj podeželja pri obravnavanju cilja spodbujanja razvoja podjetij na podeželskih območjih, bi bilo treba na ravni Unije določiti okvirno opredelitev pojma „mladi kmet“ s skupnimi elementi.</w:t>
            </w:r>
          </w:p>
        </w:tc>
      </w:tr>
    </w:tbl>
    <w:p w14:paraId="21B0F5B4" w14:textId="77777777" w:rsidR="003663AF" w:rsidRPr="00B7760C" w:rsidRDefault="003663AF" w:rsidP="003663AF"/>
    <w:p w14:paraId="1CCECB8A" w14:textId="4A421F3A" w:rsidR="003663AF" w:rsidRPr="00B7760C" w:rsidRDefault="00877691" w:rsidP="003663AF">
      <w:pPr>
        <w:pStyle w:val="AMNumberTabs"/>
      </w:pPr>
      <w:r w:rsidRPr="00B7760C">
        <w:t>Sprememba</w:t>
      </w:r>
      <w:r w:rsidR="003663AF" w:rsidRPr="00B7760C">
        <w:tab/>
      </w:r>
      <w:r w:rsidR="003663AF" w:rsidRPr="00B7760C">
        <w:tab/>
        <w:t>13</w:t>
      </w:r>
    </w:p>
    <w:p w14:paraId="44633C1B" w14:textId="77777777" w:rsidR="003663AF" w:rsidRPr="00B7760C" w:rsidRDefault="003663AF" w:rsidP="003663AF">
      <w:pPr>
        <w:pStyle w:val="NormalBold12b"/>
      </w:pPr>
      <w:r w:rsidRPr="00B7760C">
        <w:t>Predlog uredbe</w:t>
      </w:r>
    </w:p>
    <w:p w14:paraId="2E05C2E2" w14:textId="77777777" w:rsidR="003663AF" w:rsidRPr="00B7760C" w:rsidRDefault="003663AF" w:rsidP="003663AF">
      <w:pPr>
        <w:pStyle w:val="NormalBold"/>
      </w:pPr>
      <w:r w:rsidRPr="00B7760C">
        <w:t>Uvodna izjava 11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891B911" w14:textId="77777777" w:rsidTr="00E804B7">
        <w:trPr>
          <w:trHeight w:hRule="exact" w:val="240"/>
          <w:jc w:val="center"/>
        </w:trPr>
        <w:tc>
          <w:tcPr>
            <w:tcW w:w="9752" w:type="dxa"/>
            <w:gridSpan w:val="2"/>
          </w:tcPr>
          <w:p w14:paraId="2E12213C" w14:textId="77777777" w:rsidR="003663AF" w:rsidRPr="00B7760C" w:rsidRDefault="003663AF" w:rsidP="00E804B7"/>
        </w:tc>
      </w:tr>
      <w:tr w:rsidR="003663AF" w:rsidRPr="00B7760C" w14:paraId="17CB702B" w14:textId="77777777" w:rsidTr="00E804B7">
        <w:trPr>
          <w:trHeight w:val="240"/>
          <w:jc w:val="center"/>
        </w:trPr>
        <w:tc>
          <w:tcPr>
            <w:tcW w:w="4876" w:type="dxa"/>
          </w:tcPr>
          <w:p w14:paraId="5975727A" w14:textId="77777777" w:rsidR="003663AF" w:rsidRPr="00B7760C" w:rsidRDefault="003663AF" w:rsidP="00E804B7">
            <w:pPr>
              <w:pStyle w:val="ColumnHeading"/>
            </w:pPr>
            <w:r w:rsidRPr="00B7760C">
              <w:t>Besedilo, ki ga predlaga Komisija</w:t>
            </w:r>
          </w:p>
        </w:tc>
        <w:tc>
          <w:tcPr>
            <w:tcW w:w="4876" w:type="dxa"/>
          </w:tcPr>
          <w:p w14:paraId="09B5A018" w14:textId="65B4DBC5" w:rsidR="003663AF" w:rsidRPr="00B7760C" w:rsidRDefault="00877691" w:rsidP="00E804B7">
            <w:pPr>
              <w:pStyle w:val="ColumnHeading"/>
            </w:pPr>
            <w:r w:rsidRPr="00B7760C">
              <w:t>Sprememba</w:t>
            </w:r>
          </w:p>
        </w:tc>
      </w:tr>
      <w:tr w:rsidR="003663AF" w:rsidRPr="00B7760C" w14:paraId="6DB00379" w14:textId="77777777" w:rsidTr="00E804B7">
        <w:trPr>
          <w:jc w:val="center"/>
        </w:trPr>
        <w:tc>
          <w:tcPr>
            <w:tcW w:w="4876" w:type="dxa"/>
          </w:tcPr>
          <w:p w14:paraId="729AE4FB" w14:textId="77777777" w:rsidR="003663AF" w:rsidRPr="00B7760C" w:rsidRDefault="003663AF" w:rsidP="00E804B7">
            <w:pPr>
              <w:pStyle w:val="Normal6"/>
            </w:pPr>
            <w:r w:rsidRPr="00B7760C">
              <w:t>(11)</w:t>
            </w:r>
            <w:r w:rsidRPr="00B7760C">
              <w:tab/>
              <w:t xml:space="preserve">Da bi </w:t>
            </w:r>
            <w:r w:rsidRPr="00B7760C">
              <w:rPr>
                <w:b/>
                <w:i/>
              </w:rPr>
              <w:t>dali vsebino ciljem</w:t>
            </w:r>
            <w:r w:rsidRPr="00B7760C">
              <w:t xml:space="preserve"> SKP, kot so določeni v členu 39 Pogodbe o delovanju Evropske unije (PDEU), in zagotovili, da Unija ustrezno rešuje svoje najnovejše izzive, je primerno, da se določi niz splošnih ciljev, pri katerih so upoštevane usmeritve, podane v sporočilu z naslovom Prihodnost preskrbe s hrano in kmetijstva. Niz specifičnih ciljev bi bilo treba podrobneje opredeliti na ravni Unije, države članice pa bi jih morale </w:t>
            </w:r>
            <w:r w:rsidRPr="00B7760C">
              <w:rPr>
                <w:b/>
                <w:i/>
              </w:rPr>
              <w:t>uporabiti</w:t>
            </w:r>
            <w:r w:rsidRPr="00B7760C">
              <w:t xml:space="preserve"> v svojih strateških načrtih SKP. Ti specifični cilji bi morali doseči ravnovesje med različnimi razsežnostmi trajnostnega razvoja v skladu z oceno učinka ter splošne cilje SKP pretvoriti v konkretnejše prednostne naloge </w:t>
            </w:r>
            <w:r w:rsidRPr="00B7760C">
              <w:rPr>
                <w:b/>
                <w:i/>
              </w:rPr>
              <w:t>in upoštevati ustrezno zakonodajo Unije, zlasti v zvezi s podnebjem, energijo in okoljem</w:t>
            </w:r>
            <w:r w:rsidRPr="00B7760C">
              <w:t>.</w:t>
            </w:r>
          </w:p>
        </w:tc>
        <w:tc>
          <w:tcPr>
            <w:tcW w:w="4876" w:type="dxa"/>
          </w:tcPr>
          <w:p w14:paraId="3B4F5656" w14:textId="77777777" w:rsidR="003663AF" w:rsidRPr="00B7760C" w:rsidRDefault="003663AF" w:rsidP="00E804B7">
            <w:pPr>
              <w:pStyle w:val="Normal6"/>
            </w:pPr>
            <w:r w:rsidRPr="00B7760C">
              <w:t>(11)</w:t>
            </w:r>
            <w:r w:rsidRPr="00B7760C">
              <w:tab/>
              <w:t xml:space="preserve">Da bi </w:t>
            </w:r>
            <w:r w:rsidRPr="00B7760C">
              <w:rPr>
                <w:b/>
                <w:i/>
              </w:rPr>
              <w:t>uresničevali cilje</w:t>
            </w:r>
            <w:r w:rsidRPr="00B7760C">
              <w:t xml:space="preserve"> SKP, kot so določeni v členu 39 Pogodbe o delovanju Evropske unije (PDEU), in zagotovili, da Unija ustrezno rešuje svoje najnovejše izzive, je primerno, da se določi niz splošnih ciljev, pri katerih so upoštevane usmeritve, podane v sporočilu z naslovom Prihodnost preskrbe s hrano in kmetijstva. Niz specifičnih ciljev bi bilo treba podrobneje opredeliti na ravni Unije, države članice pa bi jih morale </w:t>
            </w:r>
            <w:r w:rsidRPr="00B7760C">
              <w:rPr>
                <w:b/>
                <w:i/>
              </w:rPr>
              <w:t>uresničevati</w:t>
            </w:r>
            <w:r w:rsidRPr="00B7760C">
              <w:t xml:space="preserve"> v svojih strateških načrtih SKP. Ti specifični cilji bi morali doseči ravnovesje med različnimi razsežnostmi trajnostnega razvoja v skladu z oceno učinka ter splošne cilje SKP pretvoriti v konkretnejše prednostne naloge </w:t>
            </w:r>
            <w:r w:rsidRPr="00B7760C">
              <w:rPr>
                <w:b/>
                <w:i/>
              </w:rPr>
              <w:t>na gospodarskem, okoljskem in socialnem področju ter upoštevati ustrezno zakonodajo Unije</w:t>
            </w:r>
            <w:r w:rsidRPr="00B7760C">
              <w:t>.</w:t>
            </w:r>
          </w:p>
        </w:tc>
      </w:tr>
    </w:tbl>
    <w:p w14:paraId="148217D2" w14:textId="77777777" w:rsidR="003663AF" w:rsidRPr="00B7760C" w:rsidRDefault="003663AF" w:rsidP="003663AF"/>
    <w:p w14:paraId="5DD88544" w14:textId="665FFD64" w:rsidR="003663AF" w:rsidRPr="00B7760C" w:rsidRDefault="00877691" w:rsidP="003663AF">
      <w:pPr>
        <w:pStyle w:val="AMNumberTabs"/>
      </w:pPr>
      <w:r w:rsidRPr="00B7760C">
        <w:t>Sprememba</w:t>
      </w:r>
      <w:r w:rsidR="003663AF" w:rsidRPr="00B7760C">
        <w:tab/>
      </w:r>
      <w:r w:rsidR="003663AF" w:rsidRPr="00B7760C">
        <w:tab/>
        <w:t>14</w:t>
      </w:r>
    </w:p>
    <w:p w14:paraId="567D6176" w14:textId="77777777" w:rsidR="003663AF" w:rsidRPr="00B7760C" w:rsidRDefault="003663AF" w:rsidP="003663AF">
      <w:pPr>
        <w:pStyle w:val="NormalBold12b"/>
      </w:pPr>
      <w:r w:rsidRPr="00B7760C">
        <w:t>Predlog uredbe</w:t>
      </w:r>
    </w:p>
    <w:p w14:paraId="2310CAF4" w14:textId="77777777" w:rsidR="003663AF" w:rsidRPr="00B7760C" w:rsidRDefault="003663AF" w:rsidP="003663AF">
      <w:r w:rsidRPr="00B7760C">
        <w:rPr>
          <w:rStyle w:val="NormalBoldChar"/>
        </w:rPr>
        <w:t>Uvodna izjava 13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2425D55" w14:textId="77777777" w:rsidTr="00E804B7">
        <w:trPr>
          <w:trHeight w:val="240"/>
          <w:jc w:val="center"/>
        </w:trPr>
        <w:tc>
          <w:tcPr>
            <w:tcW w:w="9752" w:type="dxa"/>
            <w:gridSpan w:val="2"/>
          </w:tcPr>
          <w:p w14:paraId="5646B95F" w14:textId="77777777" w:rsidR="003663AF" w:rsidRPr="00B7760C" w:rsidRDefault="003663AF" w:rsidP="00E804B7"/>
        </w:tc>
      </w:tr>
      <w:tr w:rsidR="003663AF" w:rsidRPr="00B7760C" w14:paraId="4715F4D7" w14:textId="77777777" w:rsidTr="00E804B7">
        <w:trPr>
          <w:trHeight w:val="240"/>
          <w:jc w:val="center"/>
        </w:trPr>
        <w:tc>
          <w:tcPr>
            <w:tcW w:w="4876" w:type="dxa"/>
            <w:hideMark/>
          </w:tcPr>
          <w:p w14:paraId="77036E53" w14:textId="77777777" w:rsidR="003663AF" w:rsidRPr="00B7760C" w:rsidRDefault="003663AF" w:rsidP="00E804B7">
            <w:pPr>
              <w:pStyle w:val="ColumnHeading"/>
            </w:pPr>
            <w:r w:rsidRPr="00B7760C">
              <w:t>Besedilo, ki ga predlaga Komisija</w:t>
            </w:r>
          </w:p>
        </w:tc>
        <w:tc>
          <w:tcPr>
            <w:tcW w:w="4876" w:type="dxa"/>
            <w:hideMark/>
          </w:tcPr>
          <w:p w14:paraId="59AC6E72" w14:textId="0B88C397" w:rsidR="003663AF" w:rsidRPr="00B7760C" w:rsidRDefault="00877691" w:rsidP="00E804B7">
            <w:pPr>
              <w:pStyle w:val="ColumnHeading"/>
            </w:pPr>
            <w:r w:rsidRPr="00B7760C">
              <w:t>Sprememba</w:t>
            </w:r>
          </w:p>
        </w:tc>
      </w:tr>
      <w:tr w:rsidR="003663AF" w:rsidRPr="00B7760C" w14:paraId="0349A80D" w14:textId="77777777" w:rsidTr="00E804B7">
        <w:trPr>
          <w:jc w:val="center"/>
        </w:trPr>
        <w:tc>
          <w:tcPr>
            <w:tcW w:w="4876" w:type="dxa"/>
            <w:hideMark/>
          </w:tcPr>
          <w:p w14:paraId="305EA563" w14:textId="77777777" w:rsidR="003663AF" w:rsidRPr="00B7760C" w:rsidRDefault="003663AF" w:rsidP="00E804B7">
            <w:pPr>
              <w:pStyle w:val="Normal6"/>
            </w:pPr>
            <w:r w:rsidRPr="00B7760C">
              <w:t>(13)</w:t>
            </w:r>
            <w:r w:rsidRPr="00B7760C">
              <w:tab/>
              <w:t>Unija bi morala v okviru modela izvajanja SKP določiti cilje Unije ter opredeliti vrste intervencij in osnovne zahteve Unije za države članice, te pa bi morale biti odgovorne za prenos tega okvira Unije v ureditve podpore, ki veljajo za upravičence. Države članice bi morale v tem okviru ravnati v skladu z Listino Evropske unije o temeljnih pravicah in splošnimi načeli prava Unije ter zagotoviti, da bo pravni okvir za odobritev podpore Unije upravičencem temeljil na njihovih strateških načrtih SKP ter bo v skladu z načeli in zahtevami, določenimi v tej uredbi in [horizontalna uredba].</w:t>
            </w:r>
          </w:p>
        </w:tc>
        <w:tc>
          <w:tcPr>
            <w:tcW w:w="4876" w:type="dxa"/>
            <w:hideMark/>
          </w:tcPr>
          <w:p w14:paraId="39FB932B" w14:textId="77777777" w:rsidR="003663AF" w:rsidRPr="00B7760C" w:rsidRDefault="003663AF" w:rsidP="00E804B7">
            <w:pPr>
              <w:pStyle w:val="Normal6"/>
            </w:pPr>
            <w:r w:rsidRPr="00B7760C">
              <w:t>(13)</w:t>
            </w:r>
            <w:r w:rsidRPr="00B7760C">
              <w:tab/>
              <w:t xml:space="preserve">Unija bi morala v okviru modela izvajanja SKP določiti cilje Unije ter opredeliti vrste intervencij in </w:t>
            </w:r>
            <w:r w:rsidRPr="00B7760C">
              <w:rPr>
                <w:b/>
                <w:i/>
              </w:rPr>
              <w:t>skupne</w:t>
            </w:r>
            <w:r w:rsidRPr="00B7760C">
              <w:t xml:space="preserve"> zahteve Unije za države članice, te pa bi morale biti odgovorne za prenos tega okvira Unije v ureditve podpore, ki veljajo za upravičence. Države članice bi morale v tem okviru ravnati v skladu z Listino Evropske unije o temeljnih pravicah in splošnimi načeli prava Unije ter zagotoviti, da bo pravni okvir za odobritev podpore Unije upravičencem temeljil na njihovih strateških načrtih SKP ter bo v skladu z načeli in zahtevami, določenimi v tej uredbi in [horizontalna uredba].</w:t>
            </w:r>
          </w:p>
        </w:tc>
      </w:tr>
    </w:tbl>
    <w:p w14:paraId="67414AB8" w14:textId="77777777" w:rsidR="003663AF" w:rsidRPr="00B7760C" w:rsidRDefault="003663AF" w:rsidP="003663AF">
      <w:pPr>
        <w:pStyle w:val="Normal6"/>
      </w:pPr>
    </w:p>
    <w:p w14:paraId="4EDC72B9" w14:textId="18C43EAA" w:rsidR="003663AF" w:rsidRPr="00B7760C" w:rsidRDefault="00877691" w:rsidP="003663AF">
      <w:pPr>
        <w:pStyle w:val="AMNumberTabs"/>
      </w:pPr>
      <w:r w:rsidRPr="00B7760C">
        <w:t>Sprememba</w:t>
      </w:r>
      <w:r w:rsidR="003663AF" w:rsidRPr="00B7760C">
        <w:tab/>
      </w:r>
      <w:r w:rsidR="003663AF" w:rsidRPr="00B7760C">
        <w:tab/>
        <w:t>15</w:t>
      </w:r>
    </w:p>
    <w:p w14:paraId="7A2A0309" w14:textId="77777777" w:rsidR="003663AF" w:rsidRPr="00B7760C" w:rsidRDefault="003663AF" w:rsidP="003663AF">
      <w:pPr>
        <w:pStyle w:val="NormalBold12b"/>
      </w:pPr>
      <w:r w:rsidRPr="00B7760C">
        <w:t>Predlog uredbe</w:t>
      </w:r>
    </w:p>
    <w:p w14:paraId="38C37CB0" w14:textId="77777777" w:rsidR="003663AF" w:rsidRPr="00B7760C" w:rsidRDefault="003663AF" w:rsidP="003663AF">
      <w:pPr>
        <w:pStyle w:val="NormalBold"/>
      </w:pPr>
      <w:r w:rsidRPr="00B7760C">
        <w:t>Uvodna izjava 13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F735CCC" w14:textId="77777777" w:rsidTr="00E804B7">
        <w:trPr>
          <w:trHeight w:hRule="exact" w:val="240"/>
          <w:jc w:val="center"/>
        </w:trPr>
        <w:tc>
          <w:tcPr>
            <w:tcW w:w="9752" w:type="dxa"/>
            <w:gridSpan w:val="2"/>
          </w:tcPr>
          <w:p w14:paraId="3E932EB3" w14:textId="77777777" w:rsidR="003663AF" w:rsidRPr="00B7760C" w:rsidRDefault="003663AF" w:rsidP="00E804B7"/>
        </w:tc>
      </w:tr>
      <w:tr w:rsidR="003663AF" w:rsidRPr="00B7760C" w14:paraId="42803983" w14:textId="77777777" w:rsidTr="00E804B7">
        <w:trPr>
          <w:trHeight w:val="240"/>
          <w:jc w:val="center"/>
        </w:trPr>
        <w:tc>
          <w:tcPr>
            <w:tcW w:w="4876" w:type="dxa"/>
          </w:tcPr>
          <w:p w14:paraId="77BBDACB" w14:textId="77777777" w:rsidR="003663AF" w:rsidRPr="00B7760C" w:rsidRDefault="003663AF" w:rsidP="00E804B7">
            <w:pPr>
              <w:pStyle w:val="ColumnHeading"/>
            </w:pPr>
            <w:r w:rsidRPr="00B7760C">
              <w:t>Besedilo, ki ga predlaga Komisija</w:t>
            </w:r>
          </w:p>
        </w:tc>
        <w:tc>
          <w:tcPr>
            <w:tcW w:w="4876" w:type="dxa"/>
          </w:tcPr>
          <w:p w14:paraId="7CC59208" w14:textId="3BA4CC2F" w:rsidR="003663AF" w:rsidRPr="00B7760C" w:rsidRDefault="00877691" w:rsidP="00E804B7">
            <w:pPr>
              <w:pStyle w:val="ColumnHeading"/>
            </w:pPr>
            <w:r w:rsidRPr="00B7760C">
              <w:t>Sprememba</w:t>
            </w:r>
          </w:p>
        </w:tc>
      </w:tr>
      <w:tr w:rsidR="003663AF" w:rsidRPr="00B7760C" w14:paraId="5077AD4E" w14:textId="77777777" w:rsidTr="00E804B7">
        <w:trPr>
          <w:jc w:val="center"/>
        </w:trPr>
        <w:tc>
          <w:tcPr>
            <w:tcW w:w="4876" w:type="dxa"/>
          </w:tcPr>
          <w:p w14:paraId="4C2B3320" w14:textId="77777777" w:rsidR="003663AF" w:rsidRPr="00B7760C" w:rsidRDefault="003663AF" w:rsidP="00E804B7">
            <w:pPr>
              <w:pStyle w:val="Normal6"/>
            </w:pPr>
          </w:p>
        </w:tc>
        <w:tc>
          <w:tcPr>
            <w:tcW w:w="4876" w:type="dxa"/>
          </w:tcPr>
          <w:p w14:paraId="305538FA" w14:textId="77777777" w:rsidR="003663AF" w:rsidRPr="00B7760C" w:rsidRDefault="003663AF" w:rsidP="00E804B7">
            <w:pPr>
              <w:pStyle w:val="Normal6"/>
            </w:pPr>
            <w:r w:rsidRPr="00B7760C">
              <w:rPr>
                <w:b/>
                <w:i/>
              </w:rPr>
              <w:t>(13a)</w:t>
            </w:r>
            <w:r w:rsidRPr="00B7760C">
              <w:tab/>
            </w:r>
            <w:r w:rsidRPr="00B7760C">
              <w:rPr>
                <w:b/>
                <w:i/>
              </w:rPr>
              <w:t>Pri izvajanju strateških načrtov SKP bi morali upoštevati vsesplošna načela, kot so določena v členu 3 Pogodbe o Evropski uniji (PEU) in v členu 10 PDEU, vključno z načeli subsidiarnosti in sorazmernosti iz člena 5 PEU.</w:t>
            </w:r>
            <w:r w:rsidRPr="00B7760C">
              <w:t xml:space="preserve"> </w:t>
            </w:r>
            <w:r w:rsidRPr="00B7760C">
              <w:rPr>
                <w:b/>
                <w:i/>
              </w:rPr>
              <w:t>Države članice in Komisija bi morale tudi izpolnjevati obveznosti, ki izhajajo iz Konvencije OZN o pravicah invalidov, in zagotavljati dostopnost v skladu s členom 9 te konvencije in v skladu s pravom Unije, ki usklajuje zahteve glede dostopnosti proizvodov in storitev.</w:t>
            </w:r>
            <w:r w:rsidRPr="00B7760C">
              <w:t xml:space="preserve"> </w:t>
            </w:r>
            <w:r w:rsidRPr="00B7760C">
              <w:rPr>
                <w:b/>
                <w:i/>
              </w:rPr>
              <w:t>Države članice in Komisija bi si morale prizadevati za odpravo neenakosti in spodbujanje enakosti moških in žensk ter vključevanje načela enakosti spolov in se bojevati tudi proti diskriminaciji na podlagi spola, rase ali narodnosti, vere ali prepričanja, invalidnosti, starosti ali spolne usmerjenosti.</w:t>
            </w:r>
            <w:r w:rsidRPr="00B7760C">
              <w:t xml:space="preserve"> </w:t>
            </w:r>
            <w:r w:rsidRPr="00B7760C">
              <w:rPr>
                <w:b/>
                <w:i/>
              </w:rPr>
              <w:t>Evropski kmetijski jamstveni sklad (EKJS) in Evropski kmetijski sklad za razvoj podeželja (EKSRP) ne bi smela podpirati ukrepov, ki prispevajo h kakršni koli obliki segregacije, diskriminacije ali izključenosti.</w:t>
            </w:r>
            <w:r w:rsidRPr="00B7760C">
              <w:t xml:space="preserve"> </w:t>
            </w:r>
            <w:r w:rsidRPr="00B7760C">
              <w:rPr>
                <w:b/>
                <w:i/>
              </w:rPr>
              <w:t>Cilje teh skladov bi bilo treba dosegati z vidika trajnostnega razvoja in v skladu s ciljem, ki ga spodbujata Aarhuška konvencija in Unija, o ohranjanju, varovanju in izboljšanju kakovosti okolja ter boja proti podnebnim spremembam, kot je določeno v členih 11 in 191(1) PDEU, pri čemer bi se moralo uporabljati načelo „onesnaževalec plača“.</w:t>
            </w:r>
          </w:p>
        </w:tc>
      </w:tr>
    </w:tbl>
    <w:p w14:paraId="1A40650D" w14:textId="77777777" w:rsidR="003663AF" w:rsidRPr="00B7760C" w:rsidRDefault="003663AF" w:rsidP="003663AF"/>
    <w:p w14:paraId="337163CA" w14:textId="3C3A0B67" w:rsidR="003663AF" w:rsidRPr="00B7760C" w:rsidRDefault="00877691" w:rsidP="003663AF">
      <w:pPr>
        <w:pStyle w:val="AMNumberTabs"/>
        <w:keepNext/>
      </w:pPr>
      <w:r w:rsidRPr="00B7760C">
        <w:t>Sprememba</w:t>
      </w:r>
      <w:r w:rsidR="003663AF" w:rsidRPr="00B7760C">
        <w:tab/>
      </w:r>
      <w:r w:rsidR="003663AF" w:rsidRPr="00B7760C">
        <w:tab/>
        <w:t>16</w:t>
      </w:r>
    </w:p>
    <w:p w14:paraId="200DFB7A" w14:textId="77777777" w:rsidR="003663AF" w:rsidRPr="00B7760C" w:rsidRDefault="003663AF" w:rsidP="003663AF">
      <w:pPr>
        <w:pStyle w:val="NormalBold12b"/>
        <w:keepNext/>
      </w:pPr>
      <w:r w:rsidRPr="00B7760C">
        <w:t>Predlog uredbe</w:t>
      </w:r>
    </w:p>
    <w:p w14:paraId="5375288C" w14:textId="77777777" w:rsidR="003663AF" w:rsidRPr="00B7760C" w:rsidRDefault="003663AF" w:rsidP="003663AF">
      <w:pPr>
        <w:pStyle w:val="NormalBold"/>
      </w:pPr>
      <w:r w:rsidRPr="00B7760C">
        <w:t>Uvodna izjava 13 b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B5F5A53" w14:textId="77777777" w:rsidTr="00E804B7">
        <w:trPr>
          <w:jc w:val="center"/>
        </w:trPr>
        <w:tc>
          <w:tcPr>
            <w:tcW w:w="9752" w:type="dxa"/>
            <w:gridSpan w:val="2"/>
          </w:tcPr>
          <w:p w14:paraId="50A169A9" w14:textId="77777777" w:rsidR="003663AF" w:rsidRPr="00B7760C" w:rsidRDefault="003663AF" w:rsidP="00E804B7">
            <w:pPr>
              <w:keepNext/>
            </w:pPr>
          </w:p>
        </w:tc>
      </w:tr>
      <w:tr w:rsidR="003663AF" w:rsidRPr="00B7760C" w14:paraId="12EE8CC0" w14:textId="77777777" w:rsidTr="00E804B7">
        <w:trPr>
          <w:jc w:val="center"/>
        </w:trPr>
        <w:tc>
          <w:tcPr>
            <w:tcW w:w="4876" w:type="dxa"/>
            <w:hideMark/>
          </w:tcPr>
          <w:p w14:paraId="74190B80" w14:textId="77777777" w:rsidR="003663AF" w:rsidRPr="00B7760C" w:rsidRDefault="003663AF" w:rsidP="00E804B7">
            <w:pPr>
              <w:pStyle w:val="ColumnHeading"/>
              <w:keepNext/>
            </w:pPr>
            <w:r w:rsidRPr="00B7760C">
              <w:t>Besedilo, ki ga predlaga Komisija</w:t>
            </w:r>
          </w:p>
        </w:tc>
        <w:tc>
          <w:tcPr>
            <w:tcW w:w="4876" w:type="dxa"/>
            <w:hideMark/>
          </w:tcPr>
          <w:p w14:paraId="7FDB162C" w14:textId="19D45094" w:rsidR="003663AF" w:rsidRPr="00B7760C" w:rsidRDefault="00877691" w:rsidP="00E804B7">
            <w:pPr>
              <w:pStyle w:val="ColumnHeading"/>
              <w:keepNext/>
            </w:pPr>
            <w:r w:rsidRPr="00B7760C">
              <w:t>Sprememba</w:t>
            </w:r>
          </w:p>
        </w:tc>
      </w:tr>
      <w:tr w:rsidR="003663AF" w:rsidRPr="00B7760C" w14:paraId="72729AE1" w14:textId="77777777" w:rsidTr="00E804B7">
        <w:trPr>
          <w:jc w:val="center"/>
        </w:trPr>
        <w:tc>
          <w:tcPr>
            <w:tcW w:w="4876" w:type="dxa"/>
          </w:tcPr>
          <w:p w14:paraId="649A517A" w14:textId="77777777" w:rsidR="003663AF" w:rsidRPr="00B7760C" w:rsidRDefault="003663AF" w:rsidP="00E804B7">
            <w:pPr>
              <w:pStyle w:val="Normal6"/>
            </w:pPr>
          </w:p>
        </w:tc>
        <w:tc>
          <w:tcPr>
            <w:tcW w:w="4876" w:type="dxa"/>
            <w:hideMark/>
          </w:tcPr>
          <w:p w14:paraId="0F34AA36" w14:textId="77777777" w:rsidR="003663AF" w:rsidRPr="00B7760C" w:rsidRDefault="003663AF" w:rsidP="00E804B7">
            <w:pPr>
              <w:pStyle w:val="Normal6"/>
              <w:rPr>
                <w:szCs w:val="24"/>
              </w:rPr>
            </w:pPr>
            <w:r w:rsidRPr="00B7760C">
              <w:rPr>
                <w:b/>
                <w:i/>
              </w:rPr>
              <w:t>(13b)</w:t>
            </w:r>
            <w:r w:rsidRPr="00B7760C">
              <w:rPr>
                <w:b/>
                <w:i/>
              </w:rPr>
              <w:tab/>
              <w:t>Posledica takšnega modela izvajanja ne bi smelo biti 27 različnih nacionalnih kmetijskih politik, ker bi to ogrozilo skupni duh SKP in povzročilo izkrivljanja. Državam članicam bi bilo treba dopustiti določeno stopnjo prožnosti v trdnem skupnem regulativnem okviru.</w:t>
            </w:r>
          </w:p>
        </w:tc>
      </w:tr>
    </w:tbl>
    <w:p w14:paraId="31AC8B99" w14:textId="77777777" w:rsidR="003663AF" w:rsidRPr="00B7760C" w:rsidRDefault="003663AF" w:rsidP="003663AF"/>
    <w:p w14:paraId="437428C0" w14:textId="45EF8E8C" w:rsidR="003663AF" w:rsidRPr="00B7760C" w:rsidRDefault="00877691" w:rsidP="003663AF">
      <w:pPr>
        <w:pStyle w:val="AMNumberTabs"/>
      </w:pPr>
      <w:r w:rsidRPr="00B7760C">
        <w:t>Sprememb</w:t>
      </w:r>
      <w:r w:rsidR="006B241B" w:rsidRPr="00B7760C">
        <w:t>i</w:t>
      </w:r>
      <w:r w:rsidR="003663AF" w:rsidRPr="00B7760C">
        <w:tab/>
      </w:r>
      <w:r w:rsidR="003663AF" w:rsidRPr="00B7760C">
        <w:tab/>
        <w:t>17</w:t>
      </w:r>
      <w:r w:rsidR="006B241B" w:rsidRPr="00B7760C">
        <w:t xml:space="preserve"> in 779</w:t>
      </w:r>
    </w:p>
    <w:p w14:paraId="5A4C221E" w14:textId="77777777" w:rsidR="003663AF" w:rsidRPr="00B7760C" w:rsidRDefault="003663AF" w:rsidP="003663AF">
      <w:pPr>
        <w:pStyle w:val="NormalBold12b"/>
      </w:pPr>
      <w:r w:rsidRPr="00B7760C">
        <w:t>Predlog uredbe</w:t>
      </w:r>
    </w:p>
    <w:p w14:paraId="35C5C6F8" w14:textId="77777777" w:rsidR="003663AF" w:rsidRPr="00B7760C" w:rsidRDefault="003663AF" w:rsidP="003663AF">
      <w:pPr>
        <w:pStyle w:val="NormalBold"/>
      </w:pPr>
      <w:r w:rsidRPr="00B7760C">
        <w:t>Uvodna izjava 15</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D4A1ABF" w14:textId="77777777" w:rsidTr="00E804B7">
        <w:trPr>
          <w:trHeight w:val="240"/>
          <w:jc w:val="center"/>
        </w:trPr>
        <w:tc>
          <w:tcPr>
            <w:tcW w:w="9752" w:type="dxa"/>
            <w:gridSpan w:val="2"/>
          </w:tcPr>
          <w:p w14:paraId="7F6EEB69" w14:textId="77777777" w:rsidR="003663AF" w:rsidRPr="00B7760C" w:rsidRDefault="003663AF" w:rsidP="00E804B7"/>
        </w:tc>
      </w:tr>
      <w:tr w:rsidR="003663AF" w:rsidRPr="00B7760C" w14:paraId="183C34C2" w14:textId="77777777" w:rsidTr="00E804B7">
        <w:trPr>
          <w:trHeight w:val="240"/>
          <w:jc w:val="center"/>
        </w:trPr>
        <w:tc>
          <w:tcPr>
            <w:tcW w:w="4876" w:type="dxa"/>
            <w:hideMark/>
          </w:tcPr>
          <w:p w14:paraId="7EF0F81C" w14:textId="77777777" w:rsidR="003663AF" w:rsidRPr="00B7760C" w:rsidRDefault="003663AF" w:rsidP="00E804B7">
            <w:pPr>
              <w:pStyle w:val="ColumnHeading"/>
            </w:pPr>
            <w:r w:rsidRPr="00B7760C">
              <w:t>Besedilo, ki ga predlaga Komisija</w:t>
            </w:r>
          </w:p>
        </w:tc>
        <w:tc>
          <w:tcPr>
            <w:tcW w:w="4876" w:type="dxa"/>
            <w:hideMark/>
          </w:tcPr>
          <w:p w14:paraId="7D6B4B7F" w14:textId="5A9FEC8E" w:rsidR="003663AF" w:rsidRPr="00B7760C" w:rsidRDefault="00877691" w:rsidP="00E804B7">
            <w:pPr>
              <w:pStyle w:val="ColumnHeading"/>
            </w:pPr>
            <w:r w:rsidRPr="00B7760C">
              <w:t>Sprememba</w:t>
            </w:r>
          </w:p>
        </w:tc>
      </w:tr>
      <w:tr w:rsidR="003663AF" w:rsidRPr="00B7760C" w14:paraId="04244FE8" w14:textId="77777777" w:rsidTr="00E804B7">
        <w:trPr>
          <w:jc w:val="center"/>
        </w:trPr>
        <w:tc>
          <w:tcPr>
            <w:tcW w:w="4876" w:type="dxa"/>
            <w:hideMark/>
          </w:tcPr>
          <w:p w14:paraId="58C0C66D" w14:textId="77777777" w:rsidR="003663AF" w:rsidRPr="00B7760C" w:rsidRDefault="003663AF" w:rsidP="00E804B7">
            <w:pPr>
              <w:pStyle w:val="Normal6"/>
            </w:pPr>
            <w:r w:rsidRPr="00B7760C">
              <w:t>(15)</w:t>
            </w:r>
            <w:r w:rsidRPr="00B7760C">
              <w:tab/>
              <w:t>V okviru večje tržne usmerjenosti SKP, kot je opredeljeno v sporočilu z naslovom Prihodnost preskrbe s hrano in kmetijstva, lahko tržna izpostavljenost, podnebne spremembe ter z njimi povezani pogostost in intenzivnost skrajnih vremenskih pojavov ter sanitarne in fitosanitarne krize vodijo v tveganje nihanja cen in večje pritiske na dohodke. Čeprav so torej kmetje na koncu odgovorni za oblikovanje lastnih strategij na kmetiji, bi bilo treba določiti trden okvir, da bi zagotovili ustrezno obvladovanje tveganj. V ta namen bi lahko države članice in kmetje imeli dostop do platforme na ravni Unije za obvladovanje tveganj za krepitev zmogljivosti, da se kmetom zagotovijo ustrezni finančni instrumenti za naložbe in dostop do obratnega kapitala, usposabljanja, prenosa znanja in svetovanja.</w:t>
            </w:r>
          </w:p>
        </w:tc>
        <w:tc>
          <w:tcPr>
            <w:tcW w:w="4876" w:type="dxa"/>
            <w:hideMark/>
          </w:tcPr>
          <w:p w14:paraId="7689162A" w14:textId="11CFD29F" w:rsidR="003663AF" w:rsidRPr="00B7760C" w:rsidRDefault="003663AF" w:rsidP="008313BF">
            <w:pPr>
              <w:pStyle w:val="Normal6"/>
            </w:pPr>
            <w:r w:rsidRPr="00B7760C">
              <w:t>(15)</w:t>
            </w:r>
            <w:r w:rsidRPr="00B7760C">
              <w:tab/>
              <w:t xml:space="preserve">V okviru večje tržne usmerjenosti SKP, kot je opredeljeno v sporočilu z naslovom Prihodnost preskrbe s hrano in kmetijstva, lahko tržna izpostavljenost, </w:t>
            </w:r>
            <w:r w:rsidR="008313BF" w:rsidRPr="00B7760C">
              <w:rPr>
                <w:b/>
                <w:i/>
              </w:rPr>
              <w:t xml:space="preserve">odsotnost klavzul o vzajemnosti v </w:t>
            </w:r>
            <w:r w:rsidRPr="00B7760C">
              <w:rPr>
                <w:b/>
                <w:i/>
              </w:rPr>
              <w:t>trgovinski</w:t>
            </w:r>
            <w:r w:rsidR="008313BF" w:rsidRPr="00B7760C">
              <w:rPr>
                <w:b/>
                <w:i/>
              </w:rPr>
              <w:t>h</w:t>
            </w:r>
            <w:r w:rsidRPr="00B7760C">
              <w:rPr>
                <w:b/>
                <w:i/>
              </w:rPr>
              <w:t xml:space="preserve"> sporazumi</w:t>
            </w:r>
            <w:r w:rsidR="008313BF" w:rsidRPr="00B7760C">
              <w:rPr>
                <w:b/>
                <w:i/>
              </w:rPr>
              <w:t>h</w:t>
            </w:r>
            <w:r w:rsidRPr="00B7760C">
              <w:rPr>
                <w:b/>
                <w:i/>
              </w:rPr>
              <w:t xml:space="preserve"> s tretjimi državami, </w:t>
            </w:r>
            <w:r w:rsidRPr="00B7760C">
              <w:t>podnebne spremembe ter z njimi povezani pogostost in intenzivnost skrajnih vremenskih pojavov ter sanitarne in fitosanitarne krize vodijo v tveganje nihanja cen in večje pritiske na dohodke.</w:t>
            </w:r>
            <w:r w:rsidRPr="00B7760C">
              <w:rPr>
                <w:b/>
                <w:i/>
              </w:rPr>
              <w:t xml:space="preserve"> Na dohodke proizvajalcev negativno vplivajo tudi neravnovesja v prehranski verigi, predvsem na škodo primarnega sektorja, ki je najšibkejši člen.</w:t>
            </w:r>
            <w:r w:rsidRPr="00B7760C">
              <w:t> Čeprav so torej kmetje na koncu odgovorni za oblikovanje lastnih strategij na kmetiji</w:t>
            </w:r>
            <w:r w:rsidR="006B241B" w:rsidRPr="00B7760C">
              <w:t xml:space="preserve"> </w:t>
            </w:r>
            <w:r w:rsidR="006B241B" w:rsidRPr="00B7760C">
              <w:rPr>
                <w:b/>
                <w:i/>
              </w:rPr>
              <w:t>in izboljšanje njene odpornosti</w:t>
            </w:r>
            <w:r w:rsidRPr="00B7760C">
              <w:t>, bi bilo treba določiti trden okvir, da bi zagotovili ustrezno obvladovanje tveganj. V ta namen bi lahko države članice in kmetje imeli dostop do platforme na ravni Unije za obvladovanje tveganj za krepitev zmogljivosti, da se kmetom zagotovijo ustrezni finančni instrumenti za naložbe in dostop do obratnega kapitala, usposabljanja, prenosa znanja in svetovanja.</w:t>
            </w:r>
          </w:p>
        </w:tc>
      </w:tr>
    </w:tbl>
    <w:p w14:paraId="283FB46F" w14:textId="77777777" w:rsidR="00A35DEB" w:rsidRPr="00B7760C" w:rsidRDefault="00A35DEB" w:rsidP="003663AF"/>
    <w:p w14:paraId="0942CAFE" w14:textId="4442FB66" w:rsidR="003663AF" w:rsidRPr="00B7760C" w:rsidRDefault="00877691" w:rsidP="003663AF">
      <w:pPr>
        <w:pStyle w:val="AMNumberTabs"/>
        <w:keepNext/>
      </w:pPr>
      <w:r w:rsidRPr="00B7760C">
        <w:t>Sprememba</w:t>
      </w:r>
      <w:r w:rsidR="003663AF" w:rsidRPr="00B7760C">
        <w:tab/>
      </w:r>
      <w:r w:rsidR="003663AF" w:rsidRPr="00B7760C">
        <w:tab/>
        <w:t>18</w:t>
      </w:r>
    </w:p>
    <w:p w14:paraId="6272363C" w14:textId="77777777" w:rsidR="003663AF" w:rsidRPr="00B7760C" w:rsidRDefault="003663AF" w:rsidP="003663AF">
      <w:pPr>
        <w:pStyle w:val="NormalBold12b"/>
      </w:pPr>
      <w:r w:rsidRPr="00B7760C">
        <w:t>Predlog uredbe</w:t>
      </w:r>
    </w:p>
    <w:p w14:paraId="52977A59" w14:textId="77777777" w:rsidR="003663AF" w:rsidRPr="00B7760C" w:rsidRDefault="003663AF" w:rsidP="003663AF">
      <w:pPr>
        <w:pStyle w:val="NormalBold"/>
      </w:pPr>
      <w:r w:rsidRPr="00B7760C">
        <w:t>Uvodna izjava 16</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9C06EC8" w14:textId="77777777" w:rsidTr="00E804B7">
        <w:trPr>
          <w:jc w:val="center"/>
        </w:trPr>
        <w:tc>
          <w:tcPr>
            <w:tcW w:w="9752" w:type="dxa"/>
            <w:gridSpan w:val="2"/>
          </w:tcPr>
          <w:p w14:paraId="183D7BBB" w14:textId="77777777" w:rsidR="003663AF" w:rsidRPr="00B7760C" w:rsidRDefault="003663AF" w:rsidP="00E804B7">
            <w:pPr>
              <w:keepNext/>
            </w:pPr>
          </w:p>
        </w:tc>
      </w:tr>
      <w:tr w:rsidR="003663AF" w:rsidRPr="00B7760C" w14:paraId="6B62EEE2" w14:textId="77777777" w:rsidTr="00E804B7">
        <w:trPr>
          <w:jc w:val="center"/>
        </w:trPr>
        <w:tc>
          <w:tcPr>
            <w:tcW w:w="4876" w:type="dxa"/>
            <w:hideMark/>
          </w:tcPr>
          <w:p w14:paraId="3666AAD3" w14:textId="77777777" w:rsidR="003663AF" w:rsidRPr="00B7760C" w:rsidRDefault="003663AF" w:rsidP="00E804B7">
            <w:pPr>
              <w:pStyle w:val="ColumnHeading"/>
              <w:keepNext/>
            </w:pPr>
            <w:r w:rsidRPr="00B7760C">
              <w:t>Besedilo, ki ga predlaga Komisija</w:t>
            </w:r>
          </w:p>
        </w:tc>
        <w:tc>
          <w:tcPr>
            <w:tcW w:w="4876" w:type="dxa"/>
            <w:hideMark/>
          </w:tcPr>
          <w:p w14:paraId="1BB43506" w14:textId="58B34801" w:rsidR="003663AF" w:rsidRPr="00B7760C" w:rsidRDefault="00877691" w:rsidP="00E804B7">
            <w:pPr>
              <w:pStyle w:val="ColumnHeading"/>
              <w:keepNext/>
            </w:pPr>
            <w:r w:rsidRPr="00B7760C">
              <w:t>Sprememba</w:t>
            </w:r>
          </w:p>
        </w:tc>
      </w:tr>
      <w:tr w:rsidR="003663AF" w:rsidRPr="00B7760C" w14:paraId="3CE357A1" w14:textId="77777777" w:rsidTr="00E804B7">
        <w:trPr>
          <w:jc w:val="center"/>
        </w:trPr>
        <w:tc>
          <w:tcPr>
            <w:tcW w:w="4876" w:type="dxa"/>
            <w:hideMark/>
          </w:tcPr>
          <w:p w14:paraId="4D734DC9" w14:textId="77777777" w:rsidR="003663AF" w:rsidRPr="00B7760C" w:rsidRDefault="003663AF" w:rsidP="00E804B7">
            <w:pPr>
              <w:pStyle w:val="Normal6"/>
            </w:pPr>
            <w:r w:rsidRPr="00B7760C">
              <w:t>(16)</w:t>
            </w:r>
            <w:r w:rsidRPr="00B7760C">
              <w:tab/>
            </w:r>
            <w:r w:rsidRPr="00B7760C">
              <w:rPr>
                <w:b/>
                <w:i/>
              </w:rPr>
              <w:t>Okrepitev varstva</w:t>
            </w:r>
            <w:r w:rsidRPr="00B7760C">
              <w:t xml:space="preserve"> okolja in </w:t>
            </w:r>
            <w:r w:rsidRPr="00B7760C">
              <w:rPr>
                <w:b/>
                <w:i/>
              </w:rPr>
              <w:t>podnebnih ukrepov</w:t>
            </w:r>
            <w:r w:rsidRPr="00B7760C">
              <w:t xml:space="preserve"> ter prispevanje k uresničevanju okoljskih in podnebnih ciljev Unije </w:t>
            </w:r>
            <w:r w:rsidRPr="00B7760C">
              <w:rPr>
                <w:b/>
                <w:i/>
              </w:rPr>
              <w:t>bosta</w:t>
            </w:r>
            <w:r w:rsidRPr="00B7760C">
              <w:t xml:space="preserve"> v prihodnosti v kmetijstvu in gozdarstvu Unije zelo </w:t>
            </w:r>
            <w:r w:rsidRPr="00B7760C">
              <w:rPr>
                <w:b/>
                <w:i/>
              </w:rPr>
              <w:t>pomembni prednostni nalogi</w:t>
            </w:r>
            <w:r w:rsidRPr="00B7760C">
              <w:t>. Struktura SKP bi morala zato odražati večje ambicije v zvezi s temi cilji. Na podlagi modela izvajanja bi morali biti ukrepi za boj proti poslabšanju okolja in podnebnim spremembam usmerjeni v rezultate in člen 11 PDEU bi moral v ta namen šteti kot obveznost rezultata.</w:t>
            </w:r>
          </w:p>
        </w:tc>
        <w:tc>
          <w:tcPr>
            <w:tcW w:w="4876" w:type="dxa"/>
            <w:hideMark/>
          </w:tcPr>
          <w:p w14:paraId="5B7BF142" w14:textId="77777777" w:rsidR="003663AF" w:rsidRPr="00B7760C" w:rsidRDefault="003663AF" w:rsidP="00E804B7">
            <w:pPr>
              <w:pStyle w:val="Normal6"/>
              <w:rPr>
                <w:szCs w:val="24"/>
              </w:rPr>
            </w:pPr>
            <w:r w:rsidRPr="00B7760C">
              <w:t>(16)</w:t>
            </w:r>
            <w:r w:rsidRPr="00B7760C">
              <w:tab/>
            </w:r>
            <w:r w:rsidRPr="00B7760C">
              <w:rPr>
                <w:b/>
                <w:i/>
              </w:rPr>
              <w:t>Podpora varstvu</w:t>
            </w:r>
            <w:r w:rsidRPr="00B7760C">
              <w:t xml:space="preserve"> okolja in </w:t>
            </w:r>
            <w:r w:rsidRPr="00B7760C">
              <w:rPr>
                <w:b/>
                <w:i/>
              </w:rPr>
              <w:t>njegovo izboljšanje, biotska raznovrstnost in genetska raznolikost v kmetijskem sistemu, podnebni ukrepi</w:t>
            </w:r>
            <w:r w:rsidRPr="00B7760C">
              <w:t xml:space="preserve"> ter prispevanje k uresničevanju okoljskih in podnebnih ciljev Unije </w:t>
            </w:r>
            <w:r w:rsidRPr="00B7760C">
              <w:rPr>
                <w:b/>
                <w:i/>
              </w:rPr>
              <w:t>bodo</w:t>
            </w:r>
            <w:r w:rsidRPr="00B7760C">
              <w:t xml:space="preserve"> v prihodnosti v kmetijstvu</w:t>
            </w:r>
            <w:r w:rsidRPr="00B7760C">
              <w:rPr>
                <w:b/>
                <w:i/>
              </w:rPr>
              <w:t>, hortikulturi</w:t>
            </w:r>
            <w:r w:rsidRPr="00B7760C">
              <w:t xml:space="preserve"> in gozdarstvu Unije zelo </w:t>
            </w:r>
            <w:r w:rsidRPr="00B7760C">
              <w:rPr>
                <w:b/>
                <w:i/>
              </w:rPr>
              <w:t>pomembne prednostne naloge</w:t>
            </w:r>
            <w:r w:rsidRPr="00B7760C">
              <w:t>. Struktura SKP bi morala zato odražati večje ambicije v zvezi s temi cilji</w:t>
            </w:r>
            <w:r w:rsidRPr="00B7760C">
              <w:rPr>
                <w:b/>
                <w:i/>
              </w:rPr>
              <w:t>, obenem pa ustrezno odražati večje breme in zahteve za proizvajalce</w:t>
            </w:r>
            <w:r w:rsidRPr="00B7760C">
              <w:t>. Na podlagi modela izvajanja bi morali biti ukrepi za boj proti poslabšanju okolja in podnebnim spremembam usmerjeni v rezultate in člen 11 PDEU bi moral v ta namen šteti kot obveznost rezultata.</w:t>
            </w:r>
          </w:p>
        </w:tc>
      </w:tr>
      <w:tr w:rsidR="003663AF" w:rsidRPr="00B7760C" w14:paraId="434D8C5B" w14:textId="77777777" w:rsidTr="00E804B7">
        <w:trPr>
          <w:jc w:val="center"/>
        </w:trPr>
        <w:tc>
          <w:tcPr>
            <w:tcW w:w="4876" w:type="dxa"/>
          </w:tcPr>
          <w:p w14:paraId="78A58F7B" w14:textId="77777777" w:rsidR="003663AF" w:rsidRPr="00B7760C" w:rsidRDefault="003663AF" w:rsidP="00E804B7">
            <w:pPr>
              <w:pStyle w:val="Normal6"/>
            </w:pPr>
            <w:r w:rsidRPr="00B7760C">
              <w:t>Ker mnogo podeželskih območij v Uniji trpi zaradi strukturnih težav, kot so pomanjkanje privlačnih zaposlitvenih možnosti, pomanjkanje znanj in spretnosti, nezadostno vlaganje v povezljivost, infrastrukturo in osnovne storitve kot tudi beg mladih, je nujno krepiti socialno-ekonomsko tkivo na teh območjih v skladu z deklaracijo iz Corka 2.0, zlasti z ustvarjanjem delovnih mest in generacijsko pomladitvijo, tako da Komisija na podeželska območja prinese delovna mesta in rast ter po vsem evropskem podeželju spodbuja socialno vključenost, generacijsko pomladitev in razvoj „pametnih vasi“. Kot je navedeno v sporočilu z naslovom Prihodnost preskrbe s hrano in kmetijstva, lahko nove podeželske vrednostne verige, kot so energija iz obnovljivih virov, razvijajoče se biogospodarstvo, krožno gospodarstvo in ekološki turizem, ponujajo dobre možnosti za rast in nova delovna mesta na podeželskih območjih. Glede tega imajo lahko finančni instrumenti</w:t>
            </w:r>
            <w:r w:rsidRPr="00B7760C">
              <w:rPr>
                <w:b/>
                <w:i/>
              </w:rPr>
              <w:t xml:space="preserve"> in uporaba jamstva InvestEU</w:t>
            </w:r>
            <w:r w:rsidRPr="00B7760C">
              <w:t xml:space="preserve"> ključno vlogo pri zagotavljanju dostopa do financiranja ter krepitvi zmogljivosti kmetij in podjetij za rast. Na podeželskih območjih obstajajo zaposlitvene možnosti za zakonito prebivajoče državljane tretjih držav, ki v okviru strategij lokalnega razvoja, ki ga vodi skupnost, spodbujajo njihovo družbeno in gospodarsko integracijo.</w:t>
            </w:r>
          </w:p>
        </w:tc>
        <w:tc>
          <w:tcPr>
            <w:tcW w:w="4876" w:type="dxa"/>
          </w:tcPr>
          <w:p w14:paraId="027E5347" w14:textId="77777777" w:rsidR="003663AF" w:rsidRPr="00B7760C" w:rsidRDefault="003663AF" w:rsidP="00E804B7">
            <w:pPr>
              <w:pStyle w:val="Normal6"/>
            </w:pPr>
            <w:r w:rsidRPr="00B7760C">
              <w:t xml:space="preserve">Ker mnogo podeželskih območij v Uniji trpi zaradi strukturnih težav, kot so pomanjkanje privlačnih zaposlitvenih možnosti, pomanjkanje znanj in spretnosti, nezadostno vlaganje v </w:t>
            </w:r>
            <w:r w:rsidRPr="00B7760C">
              <w:rPr>
                <w:b/>
                <w:i/>
              </w:rPr>
              <w:t xml:space="preserve">širokopasovne povezave in </w:t>
            </w:r>
            <w:r w:rsidRPr="00B7760C">
              <w:t xml:space="preserve">povezljivost, infrastrukturo in osnovne storitve kot tudi beg mladih, je nujno krepiti socialno-ekonomsko tkivo na teh območjih v skladu z deklaracijo iz Corka 2.0, zlasti z ustvarjanjem delovnih mest in generacijsko pomladitvijo, tako da Komisija na podeželska območja prinese delovna mesta in rast ter po vsem evropskem podeželju spodbuja socialno vključenost, </w:t>
            </w:r>
            <w:r w:rsidRPr="00B7760C">
              <w:rPr>
                <w:b/>
                <w:i/>
              </w:rPr>
              <w:t xml:space="preserve">podporo mladim, večje udejstvovanje žensk v podeželskem gospodarstvu, </w:t>
            </w:r>
            <w:r w:rsidRPr="00B7760C">
              <w:t xml:space="preserve">generacijsko pomladitev in razvoj „pametnih vasi“. </w:t>
            </w:r>
            <w:r w:rsidRPr="00B7760C">
              <w:rPr>
                <w:b/>
                <w:i/>
              </w:rPr>
              <w:t>Za stabilizacijo in diverzifikacijo podeželskega gospodarstva je treba podpirati tudi razvoj, zagon in ohranitev nekmetijskih podjetij.</w:t>
            </w:r>
            <w:r w:rsidRPr="00B7760C">
              <w:t xml:space="preserve"> Kot je navedeno v sporočilu z naslovom Prihodnost preskrbe s hrano in kmetijstva, lahko nove podeželske vrednostne verige, kot so energija iz obnovljivih virov, razvijajoče se biogospodarstvo, krožno gospodarstvo in ekološki turizem, ponujajo dobre možnosti za rast in nova delovna mesta na podeželskih območjih</w:t>
            </w:r>
            <w:r w:rsidRPr="00B7760C">
              <w:rPr>
                <w:b/>
                <w:i/>
              </w:rPr>
              <w:t>, obenem pa prispevajo k ohranjanju naravnih virov</w:t>
            </w:r>
            <w:r w:rsidRPr="00B7760C">
              <w:t>. Glede tega imajo lahko finančni instrumenti ključno vlogo pri zagotavljanju dostopa do financiranja ter krepitvi zmogljivosti kmetij in podjetij za rast. Na podeželskih območjih obstajajo zaposlitvene možnosti za zakonito prebivajoče državljane tretjih držav, ki v okviru strategij lokalnega razvoja, ki ga vodi skupnost, spodbujajo njihovo družbeno in gospodarsko integracijo.</w:t>
            </w:r>
          </w:p>
        </w:tc>
      </w:tr>
    </w:tbl>
    <w:p w14:paraId="110E566E" w14:textId="77777777" w:rsidR="003663AF" w:rsidRPr="00B7760C" w:rsidRDefault="003663AF" w:rsidP="003663AF"/>
    <w:p w14:paraId="6E167C7F" w14:textId="70DE20EE" w:rsidR="003663AF" w:rsidRPr="00B7760C" w:rsidRDefault="00877691" w:rsidP="003663AF">
      <w:pPr>
        <w:pStyle w:val="AMNumberTabs"/>
      </w:pPr>
      <w:r w:rsidRPr="00B7760C">
        <w:t>Sprememba</w:t>
      </w:r>
      <w:r w:rsidR="003663AF" w:rsidRPr="00B7760C">
        <w:tab/>
      </w:r>
      <w:r w:rsidR="003663AF" w:rsidRPr="00B7760C">
        <w:tab/>
        <w:t>19</w:t>
      </w:r>
    </w:p>
    <w:p w14:paraId="6FB2F95D" w14:textId="77777777" w:rsidR="003663AF" w:rsidRPr="00B7760C" w:rsidRDefault="003663AF" w:rsidP="003663AF">
      <w:pPr>
        <w:pStyle w:val="NormalBold12b"/>
      </w:pPr>
      <w:r w:rsidRPr="00B7760C">
        <w:t>Predlog uredbe</w:t>
      </w:r>
    </w:p>
    <w:p w14:paraId="40154DE9" w14:textId="77777777" w:rsidR="003663AF" w:rsidRPr="00B7760C" w:rsidRDefault="003663AF" w:rsidP="003663AF">
      <w:pPr>
        <w:pStyle w:val="NormalBold"/>
      </w:pPr>
      <w:r w:rsidRPr="00B7760C">
        <w:t>Uvodna izjava 16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F3E1A11" w14:textId="77777777" w:rsidTr="00E804B7">
        <w:trPr>
          <w:trHeight w:hRule="exact" w:val="240"/>
          <w:jc w:val="center"/>
        </w:trPr>
        <w:tc>
          <w:tcPr>
            <w:tcW w:w="9752" w:type="dxa"/>
            <w:gridSpan w:val="2"/>
          </w:tcPr>
          <w:p w14:paraId="0C5AB77E" w14:textId="77777777" w:rsidR="003663AF" w:rsidRPr="00B7760C" w:rsidRDefault="003663AF" w:rsidP="00E804B7"/>
        </w:tc>
      </w:tr>
      <w:tr w:rsidR="003663AF" w:rsidRPr="00B7760C" w14:paraId="33E2976A" w14:textId="77777777" w:rsidTr="00E804B7">
        <w:trPr>
          <w:trHeight w:val="240"/>
          <w:jc w:val="center"/>
        </w:trPr>
        <w:tc>
          <w:tcPr>
            <w:tcW w:w="4876" w:type="dxa"/>
          </w:tcPr>
          <w:p w14:paraId="5C7AC7FB" w14:textId="77777777" w:rsidR="003663AF" w:rsidRPr="00B7760C" w:rsidRDefault="003663AF" w:rsidP="00E804B7">
            <w:pPr>
              <w:pStyle w:val="ColumnHeading"/>
            </w:pPr>
            <w:r w:rsidRPr="00B7760C">
              <w:t>Besedilo, ki ga predlaga Komisija</w:t>
            </w:r>
          </w:p>
        </w:tc>
        <w:tc>
          <w:tcPr>
            <w:tcW w:w="4876" w:type="dxa"/>
          </w:tcPr>
          <w:p w14:paraId="6D56BECC" w14:textId="14A2511C" w:rsidR="003663AF" w:rsidRPr="00B7760C" w:rsidRDefault="00877691" w:rsidP="00E804B7">
            <w:pPr>
              <w:pStyle w:val="ColumnHeading"/>
            </w:pPr>
            <w:r w:rsidRPr="00B7760C">
              <w:t>Sprememba</w:t>
            </w:r>
          </w:p>
        </w:tc>
      </w:tr>
      <w:tr w:rsidR="003663AF" w:rsidRPr="00B7760C" w14:paraId="713B5C9E" w14:textId="77777777" w:rsidTr="00E804B7">
        <w:trPr>
          <w:jc w:val="center"/>
        </w:trPr>
        <w:tc>
          <w:tcPr>
            <w:tcW w:w="4876" w:type="dxa"/>
          </w:tcPr>
          <w:p w14:paraId="16D7885D" w14:textId="77777777" w:rsidR="003663AF" w:rsidRPr="00B7760C" w:rsidRDefault="003663AF" w:rsidP="00E804B7">
            <w:pPr>
              <w:pStyle w:val="Normal6"/>
            </w:pPr>
          </w:p>
        </w:tc>
        <w:tc>
          <w:tcPr>
            <w:tcW w:w="4876" w:type="dxa"/>
          </w:tcPr>
          <w:p w14:paraId="65971CDE" w14:textId="77777777" w:rsidR="003663AF" w:rsidRPr="00B7760C" w:rsidRDefault="003663AF" w:rsidP="00E804B7">
            <w:pPr>
              <w:pStyle w:val="Normal6"/>
            </w:pPr>
            <w:r w:rsidRPr="00B7760C">
              <w:rPr>
                <w:b/>
                <w:i/>
              </w:rPr>
              <w:t>(16a)</w:t>
            </w:r>
            <w:r w:rsidRPr="00B7760C">
              <w:tab/>
            </w:r>
            <w:r w:rsidRPr="00B7760C">
              <w:rPr>
                <w:b/>
                <w:i/>
              </w:rPr>
              <w:t>Glede socialno-ekonomske trajnostnosti podeželskih območij naj Evropska komisija preveri, da države članice v strateškem načrtu SKP zagotavljajo skladnost med uporabo Direktive 2010/41/EU Evropskega parlamenta in Sveta</w:t>
            </w:r>
            <w:r w:rsidRPr="00B7760C">
              <w:rPr>
                <w:b/>
                <w:i/>
                <w:vertAlign w:val="superscript"/>
              </w:rPr>
              <w:t>1a</w:t>
            </w:r>
            <w:r w:rsidRPr="00B7760C">
              <w:rPr>
                <w:b/>
                <w:i/>
              </w:rPr>
              <w:t xml:space="preserve"> in dolgoročnim pristopom k porabi sredstev za razvoj podeželja.</w:t>
            </w:r>
          </w:p>
        </w:tc>
      </w:tr>
      <w:tr w:rsidR="003663AF" w:rsidRPr="00B7760C" w14:paraId="3DB2291D" w14:textId="77777777" w:rsidTr="00E804B7">
        <w:trPr>
          <w:jc w:val="center"/>
        </w:trPr>
        <w:tc>
          <w:tcPr>
            <w:tcW w:w="4876" w:type="dxa"/>
          </w:tcPr>
          <w:p w14:paraId="0D5D0FCA" w14:textId="77777777" w:rsidR="003663AF" w:rsidRPr="00B7760C" w:rsidRDefault="003663AF" w:rsidP="00E804B7">
            <w:pPr>
              <w:pStyle w:val="Normal6"/>
            </w:pPr>
          </w:p>
        </w:tc>
        <w:tc>
          <w:tcPr>
            <w:tcW w:w="4876" w:type="dxa"/>
          </w:tcPr>
          <w:p w14:paraId="46336B8F" w14:textId="77777777" w:rsidR="003663AF" w:rsidRPr="00B7760C" w:rsidRDefault="003663AF" w:rsidP="00E804B7">
            <w:pPr>
              <w:pStyle w:val="Glava"/>
              <w:tabs>
                <w:tab w:val="left" w:pos="317"/>
              </w:tabs>
              <w:rPr>
                <w:b/>
                <w:i/>
              </w:rPr>
            </w:pPr>
            <w:r w:rsidRPr="00B7760C">
              <w:rPr>
                <w:szCs w:val="24"/>
                <w:vertAlign w:val="superscript"/>
              </w:rPr>
              <w:t>____________________</w:t>
            </w:r>
          </w:p>
        </w:tc>
      </w:tr>
      <w:tr w:rsidR="003663AF" w:rsidRPr="00B7760C" w14:paraId="0FB183D6" w14:textId="77777777" w:rsidTr="00E804B7">
        <w:trPr>
          <w:jc w:val="center"/>
        </w:trPr>
        <w:tc>
          <w:tcPr>
            <w:tcW w:w="4876" w:type="dxa"/>
          </w:tcPr>
          <w:p w14:paraId="76E0010B" w14:textId="77777777" w:rsidR="003663AF" w:rsidRPr="00B7760C" w:rsidRDefault="003663AF" w:rsidP="00E804B7">
            <w:pPr>
              <w:pStyle w:val="Normal6"/>
            </w:pPr>
          </w:p>
        </w:tc>
        <w:tc>
          <w:tcPr>
            <w:tcW w:w="4876" w:type="dxa"/>
          </w:tcPr>
          <w:p w14:paraId="0A94F617" w14:textId="77777777" w:rsidR="003663AF" w:rsidRPr="00B7760C" w:rsidRDefault="003663AF" w:rsidP="00E804B7">
            <w:pPr>
              <w:pStyle w:val="Normal6"/>
              <w:rPr>
                <w:b/>
                <w:i/>
                <w:szCs w:val="24"/>
              </w:rPr>
            </w:pPr>
            <w:r w:rsidRPr="00B7760C">
              <w:rPr>
                <w:b/>
                <w:i/>
                <w:szCs w:val="24"/>
                <w:vertAlign w:val="superscript"/>
              </w:rPr>
              <w:t>1a</w:t>
            </w:r>
            <w:r w:rsidRPr="00B7760C">
              <w:rPr>
                <w:b/>
                <w:i/>
                <w:szCs w:val="24"/>
              </w:rPr>
              <w:t xml:space="preserve"> </w:t>
            </w:r>
            <w:r w:rsidR="00255347" w:rsidRPr="00B7760C">
              <w:rPr>
                <w:b/>
                <w:i/>
                <w:szCs w:val="24"/>
              </w:rPr>
              <w:tab/>
            </w:r>
            <w:r w:rsidRPr="00B7760C">
              <w:rPr>
                <w:b/>
                <w:i/>
                <w:szCs w:val="24"/>
              </w:rPr>
              <w:t>Direktiva 2010/41/EU Evropskega parlamenta in Sveta z dne 7. julija 2010 o uporabi načela enakega obravnavanja moških in žensk, ki opravljajo samostojno dejavnost, in o razveljavitvi Direktive Sveta 86/613/EGS (UL L 180, 15.7.2010, str. 1).</w:t>
            </w:r>
          </w:p>
        </w:tc>
      </w:tr>
    </w:tbl>
    <w:p w14:paraId="281B540D" w14:textId="2CA6545B" w:rsidR="003663AF" w:rsidRPr="00B7760C" w:rsidRDefault="003663AF" w:rsidP="003663AF"/>
    <w:p w14:paraId="6573F006" w14:textId="0D474324" w:rsidR="006B241B" w:rsidRPr="00B7760C" w:rsidRDefault="006B241B" w:rsidP="006B241B">
      <w:pPr>
        <w:pStyle w:val="AmNumberTabs0"/>
      </w:pPr>
      <w:r w:rsidRPr="00B7760C">
        <w:t>Sprememba</w:t>
      </w:r>
      <w:r w:rsidRPr="00B7760C">
        <w:tab/>
      </w:r>
      <w:r w:rsidRPr="00B7760C">
        <w:tab/>
        <w:t>853</w:t>
      </w:r>
    </w:p>
    <w:p w14:paraId="2BCBF843" w14:textId="77777777" w:rsidR="006B241B" w:rsidRPr="00B7760C" w:rsidRDefault="006B241B" w:rsidP="006B241B">
      <w:pPr>
        <w:pStyle w:val="NormalBold12b"/>
      </w:pPr>
      <w:r w:rsidRPr="00B7760C">
        <w:t>Predlog uredbe</w:t>
      </w:r>
    </w:p>
    <w:p w14:paraId="4AFFF343" w14:textId="77777777" w:rsidR="006B241B" w:rsidRPr="00B7760C" w:rsidRDefault="006B241B" w:rsidP="006B241B">
      <w:pPr>
        <w:pStyle w:val="NormalBold"/>
      </w:pPr>
      <w:r w:rsidRPr="00B7760C">
        <w:t>Uvodna izjava 16 b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B241B" w:rsidRPr="00B7760C" w14:paraId="7F964A00" w14:textId="77777777" w:rsidTr="00CC51B6">
        <w:trPr>
          <w:trHeight w:hRule="exact" w:val="240"/>
          <w:jc w:val="center"/>
        </w:trPr>
        <w:tc>
          <w:tcPr>
            <w:tcW w:w="9752" w:type="dxa"/>
            <w:gridSpan w:val="2"/>
          </w:tcPr>
          <w:p w14:paraId="582431C5" w14:textId="77777777" w:rsidR="006B241B" w:rsidRPr="00B7760C" w:rsidRDefault="006B241B" w:rsidP="00CC51B6"/>
        </w:tc>
      </w:tr>
      <w:tr w:rsidR="006B241B" w:rsidRPr="00B7760C" w14:paraId="3747F998" w14:textId="77777777" w:rsidTr="00CC51B6">
        <w:trPr>
          <w:trHeight w:val="240"/>
          <w:jc w:val="center"/>
        </w:trPr>
        <w:tc>
          <w:tcPr>
            <w:tcW w:w="4876" w:type="dxa"/>
          </w:tcPr>
          <w:p w14:paraId="43A1D05F" w14:textId="77777777" w:rsidR="006B241B" w:rsidRPr="00B7760C" w:rsidRDefault="006B241B" w:rsidP="00CC51B6">
            <w:pPr>
              <w:pStyle w:val="AmColumnHeading"/>
            </w:pPr>
            <w:r w:rsidRPr="00B7760C">
              <w:t>Besedilo, ki ga predlaga Komisija</w:t>
            </w:r>
          </w:p>
        </w:tc>
        <w:tc>
          <w:tcPr>
            <w:tcW w:w="4876" w:type="dxa"/>
          </w:tcPr>
          <w:p w14:paraId="31C3956B" w14:textId="6BCCB6A1" w:rsidR="006B241B" w:rsidRPr="00B7760C" w:rsidRDefault="006B241B" w:rsidP="00CC51B6">
            <w:pPr>
              <w:pStyle w:val="AmColumnHeading"/>
            </w:pPr>
            <w:r w:rsidRPr="00B7760C">
              <w:t>Sprememba</w:t>
            </w:r>
          </w:p>
        </w:tc>
      </w:tr>
      <w:tr w:rsidR="006B241B" w:rsidRPr="00B7760C" w14:paraId="073F32C9" w14:textId="77777777" w:rsidTr="00CC51B6">
        <w:trPr>
          <w:jc w:val="center"/>
        </w:trPr>
        <w:tc>
          <w:tcPr>
            <w:tcW w:w="4876" w:type="dxa"/>
          </w:tcPr>
          <w:p w14:paraId="5F3F203F" w14:textId="77777777" w:rsidR="006B241B" w:rsidRPr="00B7760C" w:rsidRDefault="006B241B" w:rsidP="00CC51B6">
            <w:pPr>
              <w:pStyle w:val="Normal6a"/>
            </w:pPr>
          </w:p>
        </w:tc>
        <w:tc>
          <w:tcPr>
            <w:tcW w:w="4876" w:type="dxa"/>
          </w:tcPr>
          <w:p w14:paraId="13C4FD89" w14:textId="77777777" w:rsidR="006B241B" w:rsidRPr="00B7760C" w:rsidRDefault="006B241B" w:rsidP="00CC51B6">
            <w:pPr>
              <w:pStyle w:val="Normal6a"/>
            </w:pPr>
            <w:r w:rsidRPr="00B7760C">
              <w:rPr>
                <w:b/>
                <w:i/>
              </w:rPr>
              <w:t>(16b)</w:t>
            </w:r>
            <w:r w:rsidRPr="00B7760C">
              <w:tab/>
            </w:r>
            <w:r w:rsidRPr="00B7760C">
              <w:rPr>
                <w:b/>
                <w:i/>
              </w:rPr>
              <w:t>Kmetijstvo je lahko pomembna gonilna sila rasti in zmanjševanja revščine. Toda v številnih državah ta sektor slabo deluje tudi zato, ker se ženske, ki močno prispevajo k podeželskemu gospodarstvu, srečujejo z omejitvami. Države članice bi morale sprejeti učinkovite ukrepe, s katerimi bi podprle poglavitno vlogo žensk pri razvoju in ohranjanju podeželskih območij.</w:t>
            </w:r>
          </w:p>
        </w:tc>
      </w:tr>
    </w:tbl>
    <w:p w14:paraId="03FEEA6C" w14:textId="77777777" w:rsidR="006B241B" w:rsidRPr="00B7760C" w:rsidRDefault="006B241B" w:rsidP="003663AF"/>
    <w:p w14:paraId="3B74501D" w14:textId="123C6A7A" w:rsidR="003663AF" w:rsidRPr="00B7760C" w:rsidRDefault="00877691" w:rsidP="006B241B">
      <w:pPr>
        <w:pStyle w:val="AMNumberTabs"/>
      </w:pPr>
      <w:r w:rsidRPr="00B7760C">
        <w:t>Sprememb</w:t>
      </w:r>
      <w:r w:rsidR="006B241B" w:rsidRPr="00B7760C">
        <w:t>i</w:t>
      </w:r>
      <w:r w:rsidR="003663AF" w:rsidRPr="00B7760C">
        <w:tab/>
      </w:r>
      <w:r w:rsidR="003663AF" w:rsidRPr="00B7760C">
        <w:tab/>
        <w:t>20</w:t>
      </w:r>
      <w:r w:rsidR="006B241B" w:rsidRPr="00B7760C">
        <w:t xml:space="preserve"> in 781</w:t>
      </w:r>
    </w:p>
    <w:p w14:paraId="783236C2" w14:textId="77777777" w:rsidR="003663AF" w:rsidRPr="00B7760C" w:rsidRDefault="003663AF" w:rsidP="003663AF">
      <w:pPr>
        <w:pStyle w:val="NormalBold12b"/>
      </w:pPr>
      <w:r w:rsidRPr="00B7760C">
        <w:t>Predlog uredbe</w:t>
      </w:r>
    </w:p>
    <w:p w14:paraId="396BA298" w14:textId="77777777" w:rsidR="003663AF" w:rsidRPr="00B7760C" w:rsidRDefault="003663AF" w:rsidP="003663AF">
      <w:pPr>
        <w:pStyle w:val="NormalBold"/>
      </w:pPr>
      <w:r w:rsidRPr="00B7760C">
        <w:t>Uvodna izjava 17</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8F1D7EB" w14:textId="77777777" w:rsidTr="00E804B7">
        <w:trPr>
          <w:trHeight w:hRule="exact" w:val="240"/>
          <w:jc w:val="center"/>
        </w:trPr>
        <w:tc>
          <w:tcPr>
            <w:tcW w:w="9752" w:type="dxa"/>
            <w:gridSpan w:val="2"/>
          </w:tcPr>
          <w:p w14:paraId="71496D45" w14:textId="77777777" w:rsidR="003663AF" w:rsidRPr="00B7760C" w:rsidRDefault="003663AF" w:rsidP="00E804B7"/>
        </w:tc>
      </w:tr>
      <w:tr w:rsidR="003663AF" w:rsidRPr="00B7760C" w14:paraId="1826D6D5" w14:textId="77777777" w:rsidTr="00E804B7">
        <w:trPr>
          <w:trHeight w:val="240"/>
          <w:jc w:val="center"/>
        </w:trPr>
        <w:tc>
          <w:tcPr>
            <w:tcW w:w="4876" w:type="dxa"/>
          </w:tcPr>
          <w:p w14:paraId="60F522EB" w14:textId="77777777" w:rsidR="003663AF" w:rsidRPr="00B7760C" w:rsidRDefault="003663AF" w:rsidP="00E804B7">
            <w:pPr>
              <w:pStyle w:val="ColumnHeading"/>
            </w:pPr>
            <w:r w:rsidRPr="00B7760C">
              <w:t>Besedilo, ki ga predlaga Komisija</w:t>
            </w:r>
          </w:p>
        </w:tc>
        <w:tc>
          <w:tcPr>
            <w:tcW w:w="4876" w:type="dxa"/>
          </w:tcPr>
          <w:p w14:paraId="37497554" w14:textId="6CE120D1" w:rsidR="003663AF" w:rsidRPr="00B7760C" w:rsidRDefault="00877691" w:rsidP="00E804B7">
            <w:pPr>
              <w:pStyle w:val="ColumnHeading"/>
            </w:pPr>
            <w:r w:rsidRPr="00B7760C">
              <w:t>Sprememba</w:t>
            </w:r>
          </w:p>
        </w:tc>
      </w:tr>
      <w:tr w:rsidR="003663AF" w:rsidRPr="00B7760C" w14:paraId="5DF92299" w14:textId="77777777" w:rsidTr="00E804B7">
        <w:trPr>
          <w:jc w:val="center"/>
        </w:trPr>
        <w:tc>
          <w:tcPr>
            <w:tcW w:w="4876" w:type="dxa"/>
          </w:tcPr>
          <w:p w14:paraId="250C6F84" w14:textId="77777777" w:rsidR="003663AF" w:rsidRPr="00B7760C" w:rsidRDefault="003663AF" w:rsidP="00E804B7">
            <w:pPr>
              <w:pStyle w:val="Normal6"/>
            </w:pPr>
            <w:r w:rsidRPr="00B7760C">
              <w:t>(17)</w:t>
            </w:r>
            <w:r w:rsidRPr="00B7760C">
              <w:tab/>
              <w:t>SKP bi morala še naprej zagotavljati prehransko varnost, ki bi morala pomeniti stalen dostop do zadostne, varne in hranljive hrane.</w:t>
            </w:r>
            <w:r w:rsidRPr="00B7760C">
              <w:rPr>
                <w:b/>
                <w:i/>
              </w:rPr>
              <w:t xml:space="preserve"> </w:t>
            </w:r>
            <w:r w:rsidRPr="00B7760C">
              <w:t xml:space="preserve">Poleg tega bi morala prispevati k boljšemu odzivanju kmetijstva Unije na nove družbene potrebe glede živil in zdravja, vključno s trajnostno kmetijsko proizvodnjo, bolj zdravo prehrano, živilskimi odpadki </w:t>
            </w:r>
            <w:r w:rsidRPr="00B7760C">
              <w:rPr>
                <w:b/>
                <w:i/>
              </w:rPr>
              <w:t>in</w:t>
            </w:r>
            <w:r w:rsidRPr="00B7760C">
              <w:t xml:space="preserve"> dobrobitjo živali. SKP bi morala še naprej spodbujati proizvodnjo s posebnimi in dragocenimi značilnostmi, hkrati pa kmetom pomagati, da svojo proizvodnjo proaktivno prilagodijo tržnim signalom in povpraševanju potrošnikov.</w:t>
            </w:r>
          </w:p>
        </w:tc>
        <w:tc>
          <w:tcPr>
            <w:tcW w:w="4876" w:type="dxa"/>
          </w:tcPr>
          <w:p w14:paraId="691ECF07" w14:textId="4BB16432" w:rsidR="003663AF" w:rsidRPr="00B7760C" w:rsidRDefault="003663AF" w:rsidP="00E804B7">
            <w:pPr>
              <w:pStyle w:val="Normal6"/>
            </w:pPr>
            <w:r w:rsidRPr="00B7760C">
              <w:t>(17)</w:t>
            </w:r>
            <w:r w:rsidRPr="00B7760C">
              <w:tab/>
              <w:t>SKP bi morala še naprej zagotavljati prehransko varnost, ki bi morala pomeniti stalen dostop do zadostne, varne</w:t>
            </w:r>
            <w:r w:rsidR="006B241B" w:rsidRPr="00B7760C">
              <w:rPr>
                <w:b/>
                <w:i/>
              </w:rPr>
              <w:t>, zdrave</w:t>
            </w:r>
            <w:r w:rsidRPr="00B7760C">
              <w:t xml:space="preserve"> in hranljive hrane. Poleg tega bi morala prispevati k boljšemu odzivanju kmetijstva Unije na nove družbene potrebe glede živil in zdravja, vključno s trajnostno kmetijsko proizvodnjo, bolj zdravo prehrano, </w:t>
            </w:r>
            <w:r w:rsidRPr="00B7760C">
              <w:rPr>
                <w:b/>
                <w:i/>
              </w:rPr>
              <w:t xml:space="preserve">kakovostno proizvodnjo in razlikovanjem kakovosti, </w:t>
            </w:r>
            <w:r w:rsidRPr="00B7760C">
              <w:t xml:space="preserve">živilskimi odpadki </w:t>
            </w:r>
            <w:r w:rsidRPr="00B7760C">
              <w:rPr>
                <w:b/>
                <w:i/>
              </w:rPr>
              <w:t>ter</w:t>
            </w:r>
            <w:r w:rsidRPr="00B7760C">
              <w:t xml:space="preserve"> dobrobitjo živali. SKP bi morala še naprej spodbujati</w:t>
            </w:r>
            <w:r w:rsidRPr="00B7760C">
              <w:rPr>
                <w:b/>
                <w:i/>
              </w:rPr>
              <w:t xml:space="preserve"> trajnostno</w:t>
            </w:r>
            <w:r w:rsidRPr="00B7760C">
              <w:t xml:space="preserve"> proizvodnjo s posebnimi in dragocenimi značilnostmi</w:t>
            </w:r>
            <w:r w:rsidRPr="00B7760C">
              <w:rPr>
                <w:b/>
                <w:i/>
              </w:rPr>
              <w:t>, kot so sistemi kmetovanja z visoko naravno vrednostjo</w:t>
            </w:r>
            <w:r w:rsidRPr="00B7760C">
              <w:t>, hkrati pa kmetom pomagati, da svojo proizvodnjo proaktivno prilagodijo tržnim signalom in povpraševanju potrošnikov.</w:t>
            </w:r>
          </w:p>
        </w:tc>
      </w:tr>
    </w:tbl>
    <w:p w14:paraId="6CD47BE1" w14:textId="0CE5E2E8" w:rsidR="006B241B" w:rsidRPr="00B7760C" w:rsidRDefault="006B241B" w:rsidP="003663AF"/>
    <w:p w14:paraId="7B53E933" w14:textId="482867EB" w:rsidR="006B241B" w:rsidRPr="00B7760C" w:rsidRDefault="006B241B" w:rsidP="006B241B">
      <w:pPr>
        <w:pStyle w:val="AmNumberTabs0"/>
      </w:pPr>
      <w:r w:rsidRPr="00B7760C">
        <w:t>Sprememba</w:t>
      </w:r>
      <w:r w:rsidRPr="00B7760C">
        <w:tab/>
      </w:r>
      <w:r w:rsidRPr="00B7760C">
        <w:tab/>
        <w:t>782</w:t>
      </w:r>
    </w:p>
    <w:p w14:paraId="5D264888" w14:textId="77777777" w:rsidR="006B241B" w:rsidRPr="00B7760C" w:rsidRDefault="006B241B" w:rsidP="006B241B">
      <w:pPr>
        <w:pStyle w:val="NormalBold12b"/>
      </w:pPr>
      <w:r w:rsidRPr="00B7760C">
        <w:t>Predlog uredbe</w:t>
      </w:r>
    </w:p>
    <w:p w14:paraId="20B95EC0" w14:textId="77777777" w:rsidR="006B241B" w:rsidRPr="00B7760C" w:rsidRDefault="006B241B" w:rsidP="006B241B">
      <w:pPr>
        <w:pStyle w:val="NormalBold"/>
      </w:pPr>
      <w:r w:rsidRPr="00B7760C">
        <w:t>Uvodna izjava 17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B241B" w:rsidRPr="00B7760C" w14:paraId="54292AE6" w14:textId="77777777" w:rsidTr="00CC51B6">
        <w:trPr>
          <w:trHeight w:hRule="exact" w:val="240"/>
          <w:jc w:val="center"/>
        </w:trPr>
        <w:tc>
          <w:tcPr>
            <w:tcW w:w="9752" w:type="dxa"/>
            <w:gridSpan w:val="2"/>
          </w:tcPr>
          <w:p w14:paraId="0274C152" w14:textId="77777777" w:rsidR="006B241B" w:rsidRPr="00B7760C" w:rsidRDefault="006B241B" w:rsidP="00CC51B6"/>
        </w:tc>
      </w:tr>
      <w:tr w:rsidR="006B241B" w:rsidRPr="00B7760C" w14:paraId="4D2BE43D" w14:textId="77777777" w:rsidTr="00CC51B6">
        <w:trPr>
          <w:trHeight w:val="240"/>
          <w:jc w:val="center"/>
        </w:trPr>
        <w:tc>
          <w:tcPr>
            <w:tcW w:w="4876" w:type="dxa"/>
          </w:tcPr>
          <w:p w14:paraId="4A5F97AB" w14:textId="77777777" w:rsidR="006B241B" w:rsidRPr="00B7760C" w:rsidRDefault="006B241B" w:rsidP="00CC51B6">
            <w:pPr>
              <w:pStyle w:val="AmColumnHeading"/>
            </w:pPr>
            <w:r w:rsidRPr="00B7760C">
              <w:t>Besedilo, ki ga predlaga Komisija</w:t>
            </w:r>
          </w:p>
        </w:tc>
        <w:tc>
          <w:tcPr>
            <w:tcW w:w="4876" w:type="dxa"/>
          </w:tcPr>
          <w:p w14:paraId="504A4AFE" w14:textId="5C7FF766" w:rsidR="006B241B" w:rsidRPr="00B7760C" w:rsidRDefault="006B241B" w:rsidP="00CC51B6">
            <w:pPr>
              <w:pStyle w:val="AmColumnHeading"/>
            </w:pPr>
            <w:r w:rsidRPr="00B7760C">
              <w:t>Sprememba</w:t>
            </w:r>
          </w:p>
        </w:tc>
      </w:tr>
      <w:tr w:rsidR="006B241B" w:rsidRPr="00B7760C" w14:paraId="4D62C175" w14:textId="77777777" w:rsidTr="00CC51B6">
        <w:trPr>
          <w:jc w:val="center"/>
        </w:trPr>
        <w:tc>
          <w:tcPr>
            <w:tcW w:w="4876" w:type="dxa"/>
          </w:tcPr>
          <w:p w14:paraId="27DFDC91" w14:textId="77777777" w:rsidR="006B241B" w:rsidRPr="00B7760C" w:rsidRDefault="006B241B" w:rsidP="00CC51B6">
            <w:pPr>
              <w:pStyle w:val="Normal6a"/>
            </w:pPr>
          </w:p>
        </w:tc>
        <w:tc>
          <w:tcPr>
            <w:tcW w:w="4876" w:type="dxa"/>
          </w:tcPr>
          <w:p w14:paraId="521D6970" w14:textId="506D9C46" w:rsidR="006B241B" w:rsidRPr="00B7760C" w:rsidRDefault="006B241B" w:rsidP="00CC51B6">
            <w:pPr>
              <w:pStyle w:val="Normal6a"/>
            </w:pPr>
            <w:r w:rsidRPr="00B7760C">
              <w:rPr>
                <w:b/>
                <w:i/>
              </w:rPr>
              <w:t>(17a)</w:t>
            </w:r>
            <w:r w:rsidRPr="00B7760C">
              <w:tab/>
            </w:r>
            <w:r w:rsidRPr="00B7760C">
              <w:rPr>
                <w:b/>
                <w:i/>
              </w:rPr>
              <w:t>Unija in države članice bi morale v skladu z zavezami v okviru Agende 2030 in Pariškega sporazuma ter ugotovitvami Mednarodne ocene kmetijskega znanja, znanosti in tehnologije za razvoj, pa tudi s priporočili posebnega poročevalca OZN o pravici do hrane izvesti prehod na trajnosten evropski sistem preskrbe s hrano in kmetijstva. Ta prehod bi bilo treba doseči s spodbujanjem raznolikih, trajnostnih in odpornih kmetijskih praks, ki prispevajo k varstvu in krepitvi naravnih virov, ekosistemov ter k prilagajanju podnebnim spremembam in njihovi blažitvi s prilagajanjem reje živali za proizvodnjo hrane ekološki</w:t>
            </w:r>
            <w:r w:rsidR="006A3A9D" w:rsidRPr="00B7760C">
              <w:rPr>
                <w:b/>
                <w:i/>
              </w:rPr>
              <w:t>m</w:t>
            </w:r>
            <w:r w:rsidRPr="00B7760C">
              <w:rPr>
                <w:b/>
                <w:i/>
              </w:rPr>
              <w:t xml:space="preserve"> nosilni</w:t>
            </w:r>
            <w:r w:rsidR="006A3A9D" w:rsidRPr="00B7760C">
              <w:rPr>
                <w:b/>
                <w:i/>
              </w:rPr>
              <w:t>m</w:t>
            </w:r>
            <w:r w:rsidRPr="00B7760C">
              <w:rPr>
                <w:b/>
                <w:i/>
              </w:rPr>
              <w:t xml:space="preserve"> zmogljivosti</w:t>
            </w:r>
            <w:r w:rsidR="006A3A9D" w:rsidRPr="00B7760C">
              <w:rPr>
                <w:b/>
                <w:i/>
              </w:rPr>
              <w:t>m</w:t>
            </w:r>
            <w:r w:rsidRPr="00B7760C">
              <w:rPr>
                <w:b/>
                <w:i/>
              </w:rPr>
              <w:t>, zmanjšanjem odvisnosti od netrajnostnih vložkov, tudi od fosilnih virov energije, ter postopnim izboljšanjem biotske raznovrstnosti in kakovosti tal.</w:t>
            </w:r>
          </w:p>
        </w:tc>
      </w:tr>
    </w:tbl>
    <w:p w14:paraId="6A3E83D1" w14:textId="77777777" w:rsidR="006B241B" w:rsidRPr="00B7760C" w:rsidRDefault="006B241B" w:rsidP="003663AF"/>
    <w:p w14:paraId="5C19B55F" w14:textId="32CD8717" w:rsidR="003663AF" w:rsidRPr="00B7760C" w:rsidRDefault="00877691" w:rsidP="003663AF">
      <w:pPr>
        <w:pStyle w:val="AMNumberTabs"/>
      </w:pPr>
      <w:r w:rsidRPr="00B7760C">
        <w:t>Sprememb</w:t>
      </w:r>
      <w:r w:rsidR="006B241B" w:rsidRPr="00B7760C">
        <w:t>i</w:t>
      </w:r>
      <w:r w:rsidR="003663AF" w:rsidRPr="00B7760C">
        <w:tab/>
      </w:r>
      <w:r w:rsidR="003663AF" w:rsidRPr="00B7760C">
        <w:tab/>
        <w:t>21</w:t>
      </w:r>
      <w:r w:rsidR="006B241B" w:rsidRPr="00B7760C">
        <w:t xml:space="preserve"> in 783</w:t>
      </w:r>
    </w:p>
    <w:p w14:paraId="614FD374" w14:textId="77777777" w:rsidR="003663AF" w:rsidRPr="00B7760C" w:rsidRDefault="003663AF" w:rsidP="003663AF">
      <w:pPr>
        <w:pStyle w:val="NormalBold12b"/>
      </w:pPr>
      <w:r w:rsidRPr="00B7760C">
        <w:t>Predlog uredbe</w:t>
      </w:r>
    </w:p>
    <w:p w14:paraId="4E6FF017" w14:textId="11C43CBF" w:rsidR="003663AF" w:rsidRPr="00B7760C" w:rsidRDefault="003663AF" w:rsidP="003663AF">
      <w:pPr>
        <w:pStyle w:val="NormalBold"/>
      </w:pPr>
      <w:r w:rsidRPr="00B7760C">
        <w:t xml:space="preserve">Uvodna izjava 17 </w:t>
      </w:r>
      <w:r w:rsidR="006B241B" w:rsidRPr="00B7760C">
        <w:t>b</w:t>
      </w:r>
      <w:r w:rsidRPr="00B7760C">
        <w:t xml:space="preserve">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8A875D1" w14:textId="77777777" w:rsidTr="00E804B7">
        <w:trPr>
          <w:trHeight w:hRule="exact" w:val="240"/>
          <w:jc w:val="center"/>
        </w:trPr>
        <w:tc>
          <w:tcPr>
            <w:tcW w:w="9752" w:type="dxa"/>
            <w:gridSpan w:val="2"/>
          </w:tcPr>
          <w:p w14:paraId="375A9239" w14:textId="77777777" w:rsidR="003663AF" w:rsidRPr="00B7760C" w:rsidRDefault="003663AF" w:rsidP="00E804B7"/>
        </w:tc>
      </w:tr>
      <w:tr w:rsidR="003663AF" w:rsidRPr="00B7760C" w14:paraId="25232801" w14:textId="77777777" w:rsidTr="00E804B7">
        <w:trPr>
          <w:trHeight w:val="240"/>
          <w:jc w:val="center"/>
        </w:trPr>
        <w:tc>
          <w:tcPr>
            <w:tcW w:w="4876" w:type="dxa"/>
          </w:tcPr>
          <w:p w14:paraId="61BC95FC" w14:textId="77777777" w:rsidR="003663AF" w:rsidRPr="00B7760C" w:rsidRDefault="003663AF" w:rsidP="00E804B7">
            <w:pPr>
              <w:pStyle w:val="ColumnHeading"/>
            </w:pPr>
            <w:r w:rsidRPr="00B7760C">
              <w:t>Besedilo, ki ga predlaga Komisija</w:t>
            </w:r>
          </w:p>
        </w:tc>
        <w:tc>
          <w:tcPr>
            <w:tcW w:w="4876" w:type="dxa"/>
          </w:tcPr>
          <w:p w14:paraId="1AD2D431" w14:textId="1C725380" w:rsidR="003663AF" w:rsidRPr="00B7760C" w:rsidRDefault="00877691" w:rsidP="00E804B7">
            <w:pPr>
              <w:pStyle w:val="ColumnHeading"/>
            </w:pPr>
            <w:r w:rsidRPr="00B7760C">
              <w:t>Sprememba</w:t>
            </w:r>
          </w:p>
        </w:tc>
      </w:tr>
      <w:tr w:rsidR="003663AF" w:rsidRPr="00B7760C" w14:paraId="1FB062E7" w14:textId="77777777" w:rsidTr="00E804B7">
        <w:trPr>
          <w:jc w:val="center"/>
        </w:trPr>
        <w:tc>
          <w:tcPr>
            <w:tcW w:w="4876" w:type="dxa"/>
          </w:tcPr>
          <w:p w14:paraId="50C27DC9" w14:textId="77777777" w:rsidR="003663AF" w:rsidRPr="00B7760C" w:rsidRDefault="003663AF" w:rsidP="00E804B7">
            <w:pPr>
              <w:pStyle w:val="Normal6"/>
            </w:pPr>
          </w:p>
        </w:tc>
        <w:tc>
          <w:tcPr>
            <w:tcW w:w="4876" w:type="dxa"/>
          </w:tcPr>
          <w:p w14:paraId="5060768A" w14:textId="305B387D" w:rsidR="003663AF" w:rsidRPr="00B7760C" w:rsidRDefault="003663AF" w:rsidP="006B241B">
            <w:pPr>
              <w:pStyle w:val="Normal6"/>
            </w:pPr>
            <w:r w:rsidRPr="00B7760C">
              <w:rPr>
                <w:b/>
                <w:i/>
              </w:rPr>
              <w:t>(17</w:t>
            </w:r>
            <w:r w:rsidR="006B241B" w:rsidRPr="00B7760C">
              <w:rPr>
                <w:b/>
                <w:i/>
              </w:rPr>
              <w:t>b</w:t>
            </w:r>
            <w:r w:rsidRPr="00B7760C">
              <w:rPr>
                <w:b/>
                <w:i/>
              </w:rPr>
              <w:t>)</w:t>
            </w:r>
            <w:r w:rsidRPr="00B7760C">
              <w:tab/>
            </w:r>
            <w:r w:rsidRPr="00B7760C">
              <w:rPr>
                <w:b/>
                <w:i/>
              </w:rPr>
              <w:t>V akcijskem načrtu „eno zdravje“ zoper odpornost proti antimikrobikom je cepljenje omenjeno kot stroškovno učinkovit javnozdravstveni ukrep za boj zoper odpornost proti antimikrobikom, vendar sorazmerno višji stroški diagnostike, alternativ antimikrobikom in cepiv v primerjavi z običajnimi antibiotiki predstavljajo oviro za povečanje precepljenosti živali.</w:t>
            </w:r>
          </w:p>
        </w:tc>
      </w:tr>
    </w:tbl>
    <w:p w14:paraId="4CCEF86E" w14:textId="3AD45DF6" w:rsidR="003663AF" w:rsidRPr="00B7760C" w:rsidRDefault="003663AF" w:rsidP="003663AF"/>
    <w:p w14:paraId="384FD2F7" w14:textId="4A5991DA" w:rsidR="006B241B" w:rsidRPr="00B7760C" w:rsidRDefault="006B241B" w:rsidP="006B241B">
      <w:pPr>
        <w:pStyle w:val="AmNumberTabs0"/>
      </w:pPr>
      <w:r w:rsidRPr="00B7760C">
        <w:t>Sprememba</w:t>
      </w:r>
      <w:r w:rsidRPr="00B7760C">
        <w:tab/>
      </w:r>
      <w:r w:rsidRPr="00B7760C">
        <w:tab/>
        <w:t>784</w:t>
      </w:r>
    </w:p>
    <w:p w14:paraId="695D0D0B" w14:textId="77777777" w:rsidR="006B241B" w:rsidRPr="00B7760C" w:rsidRDefault="006B241B" w:rsidP="006B241B">
      <w:pPr>
        <w:pStyle w:val="NormalBold12b"/>
      </w:pPr>
      <w:r w:rsidRPr="00B7760C">
        <w:t>Predlog uredbe</w:t>
      </w:r>
    </w:p>
    <w:p w14:paraId="31CA59E1" w14:textId="77777777" w:rsidR="006B241B" w:rsidRPr="00B7760C" w:rsidRDefault="006B241B" w:rsidP="006B241B">
      <w:pPr>
        <w:pStyle w:val="NormalBold"/>
      </w:pPr>
      <w:r w:rsidRPr="00B7760C">
        <w:t>Uvodna izjava 17 c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B241B" w:rsidRPr="00B7760C" w14:paraId="468794AE" w14:textId="77777777" w:rsidTr="00CC51B6">
        <w:trPr>
          <w:trHeight w:hRule="exact" w:val="240"/>
          <w:jc w:val="center"/>
        </w:trPr>
        <w:tc>
          <w:tcPr>
            <w:tcW w:w="9752" w:type="dxa"/>
            <w:gridSpan w:val="2"/>
          </w:tcPr>
          <w:p w14:paraId="3AE6E262" w14:textId="77777777" w:rsidR="006B241B" w:rsidRPr="00B7760C" w:rsidRDefault="006B241B" w:rsidP="00CC51B6"/>
        </w:tc>
      </w:tr>
      <w:tr w:rsidR="006B241B" w:rsidRPr="00B7760C" w14:paraId="26ECFCDD" w14:textId="77777777" w:rsidTr="00CC51B6">
        <w:trPr>
          <w:trHeight w:val="240"/>
          <w:jc w:val="center"/>
        </w:trPr>
        <w:tc>
          <w:tcPr>
            <w:tcW w:w="4876" w:type="dxa"/>
          </w:tcPr>
          <w:p w14:paraId="5A5FB133" w14:textId="77777777" w:rsidR="006B241B" w:rsidRPr="00B7760C" w:rsidRDefault="006B241B" w:rsidP="00CC51B6">
            <w:pPr>
              <w:pStyle w:val="AmColumnHeading"/>
            </w:pPr>
            <w:r w:rsidRPr="00B7760C">
              <w:t>Besedilo, ki ga predlaga Komisija</w:t>
            </w:r>
          </w:p>
        </w:tc>
        <w:tc>
          <w:tcPr>
            <w:tcW w:w="4876" w:type="dxa"/>
          </w:tcPr>
          <w:p w14:paraId="241DD123" w14:textId="3861661E" w:rsidR="006B241B" w:rsidRPr="00B7760C" w:rsidRDefault="006B241B" w:rsidP="00CC51B6">
            <w:pPr>
              <w:pStyle w:val="AmColumnHeading"/>
            </w:pPr>
            <w:r w:rsidRPr="00B7760C">
              <w:t>Sprememba</w:t>
            </w:r>
          </w:p>
        </w:tc>
      </w:tr>
      <w:tr w:rsidR="006B241B" w:rsidRPr="00B7760C" w14:paraId="029AEFEF" w14:textId="77777777" w:rsidTr="00CC51B6">
        <w:trPr>
          <w:jc w:val="center"/>
        </w:trPr>
        <w:tc>
          <w:tcPr>
            <w:tcW w:w="4876" w:type="dxa"/>
          </w:tcPr>
          <w:p w14:paraId="6CAD7942" w14:textId="77777777" w:rsidR="006B241B" w:rsidRPr="00B7760C" w:rsidRDefault="006B241B" w:rsidP="00CC51B6">
            <w:pPr>
              <w:pStyle w:val="Normal6a"/>
            </w:pPr>
          </w:p>
        </w:tc>
        <w:tc>
          <w:tcPr>
            <w:tcW w:w="4876" w:type="dxa"/>
          </w:tcPr>
          <w:p w14:paraId="5611C40C" w14:textId="77777777" w:rsidR="006B241B" w:rsidRPr="00B7760C" w:rsidRDefault="006B241B" w:rsidP="00CC51B6">
            <w:pPr>
              <w:pStyle w:val="Normal6a"/>
            </w:pPr>
            <w:r w:rsidRPr="00B7760C">
              <w:rPr>
                <w:b/>
                <w:i/>
              </w:rPr>
              <w:t>(17c)</w:t>
            </w:r>
            <w:r w:rsidRPr="00B7760C">
              <w:tab/>
            </w:r>
            <w:r w:rsidRPr="00B7760C">
              <w:rPr>
                <w:b/>
                <w:i/>
              </w:rPr>
              <w:t>Da bi uresničili okoljske cilje SKP, pa tudi družbene zahteve glede večje varnosti hrane, bi bilo treba spodbujati uporabo gnojil z zelo nizko vsebnostjo težkih kovin.</w:t>
            </w:r>
          </w:p>
        </w:tc>
      </w:tr>
    </w:tbl>
    <w:p w14:paraId="002576EB" w14:textId="5CE05653" w:rsidR="006B241B" w:rsidRPr="00B7760C" w:rsidRDefault="006B241B" w:rsidP="003663AF"/>
    <w:p w14:paraId="6DD37F29" w14:textId="13501C08" w:rsidR="006B241B" w:rsidRPr="00B7760C" w:rsidRDefault="006B241B" w:rsidP="006B241B">
      <w:pPr>
        <w:pStyle w:val="AmNumberTabs0"/>
      </w:pPr>
      <w:r w:rsidRPr="00B7760C">
        <w:t>Sprememba</w:t>
      </w:r>
      <w:r w:rsidRPr="00B7760C">
        <w:tab/>
      </w:r>
      <w:r w:rsidRPr="00B7760C">
        <w:tab/>
        <w:t>1100</w:t>
      </w:r>
    </w:p>
    <w:p w14:paraId="65C24699" w14:textId="77777777" w:rsidR="006B241B" w:rsidRPr="00B7760C" w:rsidRDefault="006B241B" w:rsidP="006B241B">
      <w:pPr>
        <w:pStyle w:val="NormalBold12b"/>
      </w:pPr>
      <w:r w:rsidRPr="00B7760C">
        <w:t>Predlog uredbe</w:t>
      </w:r>
    </w:p>
    <w:p w14:paraId="691B3B6A" w14:textId="77777777" w:rsidR="006B241B" w:rsidRPr="00B7760C" w:rsidRDefault="006B241B" w:rsidP="006B241B">
      <w:pPr>
        <w:pStyle w:val="NormalBold"/>
      </w:pPr>
      <w:r w:rsidRPr="00B7760C">
        <w:t>Uvodna izjava 19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B241B" w:rsidRPr="00B7760C" w14:paraId="603751EC" w14:textId="77777777" w:rsidTr="00CC51B6">
        <w:trPr>
          <w:trHeight w:hRule="exact" w:val="240"/>
          <w:jc w:val="center"/>
        </w:trPr>
        <w:tc>
          <w:tcPr>
            <w:tcW w:w="9752" w:type="dxa"/>
            <w:gridSpan w:val="2"/>
          </w:tcPr>
          <w:p w14:paraId="54C3378F" w14:textId="77777777" w:rsidR="006B241B" w:rsidRPr="00B7760C" w:rsidRDefault="006B241B" w:rsidP="00CC51B6"/>
        </w:tc>
      </w:tr>
      <w:tr w:rsidR="006B241B" w:rsidRPr="00B7760C" w14:paraId="0224A282" w14:textId="77777777" w:rsidTr="00CC51B6">
        <w:trPr>
          <w:trHeight w:val="240"/>
          <w:jc w:val="center"/>
        </w:trPr>
        <w:tc>
          <w:tcPr>
            <w:tcW w:w="4876" w:type="dxa"/>
          </w:tcPr>
          <w:p w14:paraId="454EB6EE" w14:textId="77777777" w:rsidR="006B241B" w:rsidRPr="00B7760C" w:rsidRDefault="006B241B" w:rsidP="00CC51B6">
            <w:pPr>
              <w:pStyle w:val="AmColumnHeading"/>
            </w:pPr>
            <w:r w:rsidRPr="00B7760C">
              <w:t>Besedilo, ki ga predlaga Komisija</w:t>
            </w:r>
          </w:p>
        </w:tc>
        <w:tc>
          <w:tcPr>
            <w:tcW w:w="4876" w:type="dxa"/>
          </w:tcPr>
          <w:p w14:paraId="77CCAD63" w14:textId="7896BE57" w:rsidR="006B241B" w:rsidRPr="00B7760C" w:rsidRDefault="006B241B" w:rsidP="00CC51B6">
            <w:pPr>
              <w:pStyle w:val="AmColumnHeading"/>
            </w:pPr>
            <w:r w:rsidRPr="00B7760C">
              <w:t>Sprememba</w:t>
            </w:r>
          </w:p>
        </w:tc>
      </w:tr>
      <w:tr w:rsidR="006B241B" w:rsidRPr="00B7760C" w14:paraId="1D5B37F6" w14:textId="77777777" w:rsidTr="00CC51B6">
        <w:trPr>
          <w:jc w:val="center"/>
        </w:trPr>
        <w:tc>
          <w:tcPr>
            <w:tcW w:w="4876" w:type="dxa"/>
          </w:tcPr>
          <w:p w14:paraId="527B0C4C" w14:textId="77777777" w:rsidR="006B241B" w:rsidRPr="00B7760C" w:rsidRDefault="006B241B" w:rsidP="00CC51B6">
            <w:pPr>
              <w:pStyle w:val="Normal6a"/>
            </w:pPr>
          </w:p>
        </w:tc>
        <w:tc>
          <w:tcPr>
            <w:tcW w:w="4876" w:type="dxa"/>
          </w:tcPr>
          <w:p w14:paraId="5593ACDB" w14:textId="77777777" w:rsidR="006B241B" w:rsidRPr="00B7760C" w:rsidRDefault="006B241B" w:rsidP="00CC51B6">
            <w:pPr>
              <w:pStyle w:val="Normal6a"/>
            </w:pPr>
            <w:r w:rsidRPr="00B7760C">
              <w:rPr>
                <w:b/>
                <w:i/>
              </w:rPr>
              <w:t>(19a)</w:t>
            </w:r>
            <w:r w:rsidRPr="00B7760C">
              <w:tab/>
            </w:r>
            <w:r w:rsidRPr="00B7760C">
              <w:rPr>
                <w:b/>
                <w:i/>
              </w:rPr>
              <w:t>Da bi zagotovile dobrobit kmetov in njihovih družin ter ob upoštevanju dejstva, da je stres glavni vzrok nesreč na kmetijah, države članice zagotovijo socialno trajnost politike, tako da poskrbijo za čim manjše regulativno in upravno breme, omogočijo zdravo ravnovesje med poklicnim in zasebnim življenjem kmetov ter zagotovijo vzdržnost kmetijstva v Evropi.</w:t>
            </w:r>
          </w:p>
        </w:tc>
      </w:tr>
    </w:tbl>
    <w:p w14:paraId="255CA285" w14:textId="0DDD1F5B" w:rsidR="006B241B" w:rsidRPr="00B7760C" w:rsidRDefault="006B241B" w:rsidP="003663AF"/>
    <w:p w14:paraId="236966BE" w14:textId="6DD94A79" w:rsidR="006B241B" w:rsidRPr="00B7760C" w:rsidRDefault="006B241B" w:rsidP="006B241B">
      <w:pPr>
        <w:pStyle w:val="AMNumberTabs"/>
        <w:keepNext/>
      </w:pPr>
      <w:r w:rsidRPr="00B7760C">
        <w:t>Spre</w:t>
      </w:r>
      <w:r w:rsidR="00F35FCF" w:rsidRPr="00B7760C">
        <w:t>membi</w:t>
      </w:r>
      <w:r w:rsidRPr="00B7760C">
        <w:tab/>
      </w:r>
      <w:r w:rsidRPr="00B7760C">
        <w:tab/>
        <w:t>728</w:t>
      </w:r>
      <w:r w:rsidR="00F35FCF" w:rsidRPr="00B7760C">
        <w:t xml:space="preserve"> in 785</w:t>
      </w:r>
    </w:p>
    <w:p w14:paraId="1D973AF4" w14:textId="77777777" w:rsidR="006B241B" w:rsidRPr="00B7760C" w:rsidRDefault="006B241B" w:rsidP="006B241B">
      <w:pPr>
        <w:pStyle w:val="NormalBold12b"/>
      </w:pPr>
      <w:r w:rsidRPr="00B7760C">
        <w:t>Predlog uredbe</w:t>
      </w:r>
    </w:p>
    <w:p w14:paraId="4DBD5165" w14:textId="77777777" w:rsidR="006B241B" w:rsidRPr="00B7760C" w:rsidRDefault="006B241B" w:rsidP="006B241B">
      <w:pPr>
        <w:pStyle w:val="NormalBold"/>
      </w:pPr>
      <w:r w:rsidRPr="00B7760C">
        <w:t>Uvodna izjava 21</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6B241B" w:rsidRPr="00B7760C" w14:paraId="5B1F4151" w14:textId="77777777" w:rsidTr="00CC51B6">
        <w:trPr>
          <w:jc w:val="center"/>
        </w:trPr>
        <w:tc>
          <w:tcPr>
            <w:tcW w:w="9752" w:type="dxa"/>
            <w:gridSpan w:val="2"/>
          </w:tcPr>
          <w:p w14:paraId="72E876B7" w14:textId="77777777" w:rsidR="006B241B" w:rsidRPr="00B7760C" w:rsidRDefault="006B241B" w:rsidP="00CC51B6">
            <w:pPr>
              <w:keepNext/>
            </w:pPr>
          </w:p>
        </w:tc>
      </w:tr>
      <w:tr w:rsidR="006B241B" w:rsidRPr="00B7760C" w14:paraId="12A91375" w14:textId="77777777" w:rsidTr="00CC51B6">
        <w:trPr>
          <w:jc w:val="center"/>
        </w:trPr>
        <w:tc>
          <w:tcPr>
            <w:tcW w:w="4876" w:type="dxa"/>
          </w:tcPr>
          <w:p w14:paraId="59199D8F" w14:textId="77777777" w:rsidR="006B241B" w:rsidRPr="00B7760C" w:rsidRDefault="006B241B" w:rsidP="00CC51B6">
            <w:pPr>
              <w:pStyle w:val="ColumnHeading"/>
              <w:keepNext/>
            </w:pPr>
            <w:r w:rsidRPr="00B7760C">
              <w:t>Besedilo, ki ga predlaga Komisija</w:t>
            </w:r>
          </w:p>
        </w:tc>
        <w:tc>
          <w:tcPr>
            <w:tcW w:w="4876" w:type="dxa"/>
          </w:tcPr>
          <w:p w14:paraId="46BE6EAF" w14:textId="67E68D67" w:rsidR="006B241B" w:rsidRPr="00B7760C" w:rsidRDefault="006B241B" w:rsidP="00CC51B6">
            <w:pPr>
              <w:pStyle w:val="ColumnHeading"/>
              <w:keepNext/>
            </w:pPr>
            <w:r w:rsidRPr="00B7760C">
              <w:t>Sprememba</w:t>
            </w:r>
          </w:p>
        </w:tc>
      </w:tr>
      <w:tr w:rsidR="006B241B" w:rsidRPr="00B7760C" w14:paraId="372535EB" w14:textId="77777777" w:rsidTr="00CC51B6">
        <w:trPr>
          <w:jc w:val="center"/>
        </w:trPr>
        <w:tc>
          <w:tcPr>
            <w:tcW w:w="4876" w:type="dxa"/>
          </w:tcPr>
          <w:p w14:paraId="7B5C27D9" w14:textId="77777777" w:rsidR="006B241B" w:rsidRPr="00B7760C" w:rsidRDefault="006B241B" w:rsidP="00CC51B6">
            <w:pPr>
              <w:pStyle w:val="Normal6"/>
            </w:pPr>
            <w:r w:rsidRPr="00B7760C">
              <w:t>(21)</w:t>
            </w:r>
            <w:r w:rsidRPr="00B7760C">
              <w:tab/>
              <w:t xml:space="preserve">Na podlagi prejšnjega sistema navzkrižne skladnosti, ki se bo izvajal do leta 2020, sistem nove pogojenosti prejemanje celotne podpore SKP povezuje z izpolnjevanjem osnovnih standardov za okolje, podnebne spremembe, javno zdravje, zdravje živali in rastlin ter dobrobit živali s strani upravičencev. Osnovni standardi v poenostavljeni obliki zajemajo seznam predpisanih zahtev ravnanja ter standardov za dobre kmetijske in okoljske pogoje za zemljišča. Ti osnovni standardi bi morali bolj upoštevati okoljske in podnebne izzive kot tudi novo okoljsko strukturo SKP ter tako zagotavljati višjo raven okoljskih in podnebnih ciljev, kot je Komisija napovedala v sporočilu o prihodnosti preskrbe s hrano in kmetijstva ter sporočilu o večletnem finančnem okviru. Namen pogojenosti je prispevati k razvoju trajnostnega kmetijstva s tem, da se upravičenci bolje zavedajo </w:t>
            </w:r>
            <w:r w:rsidRPr="00B7760C">
              <w:rPr>
                <w:b/>
                <w:i/>
              </w:rPr>
              <w:t>potrebe po upoštevanju navedenih osnovnih standardov</w:t>
            </w:r>
            <w:r w:rsidRPr="00B7760C">
              <w:t>. Prav tako naj bi prispevala k temu, da bi bila SKP bolj skladna s pričakovanji družbe, in sicer z izboljšanjem usklajenosti te politike s cilji na področju okolja, javnega zdravja, zdravja živali in rastlin ter dobrobiti živali. Pogojenost bi morala biti sestavni del okoljske strukture SKP kot del izhodišča za bolj ambiciozne okoljske in podnebne obveznosti ter bi se morala na splošno uporabljati po vsej Uniji. Pri kmetih, ki ne izpolnjujejo teh zahtev, bi morale države članice zagotoviti, da se uporabljajo sorazmerne, učinkovite in odvračilne kazni v skladu z [HZU].</w:t>
            </w:r>
          </w:p>
        </w:tc>
        <w:tc>
          <w:tcPr>
            <w:tcW w:w="4876" w:type="dxa"/>
          </w:tcPr>
          <w:p w14:paraId="1971A074" w14:textId="77777777" w:rsidR="006B241B" w:rsidRPr="00B7760C" w:rsidRDefault="006B241B" w:rsidP="00CC51B6">
            <w:pPr>
              <w:pStyle w:val="Normal6"/>
              <w:rPr>
                <w:szCs w:val="24"/>
              </w:rPr>
            </w:pPr>
            <w:r w:rsidRPr="00B7760C">
              <w:t>(21)</w:t>
            </w:r>
            <w:r w:rsidRPr="00B7760C">
              <w:tab/>
              <w:t xml:space="preserve">Na podlagi prejšnjega sistema navzkrižne skladnosti, ki se bo izvajal do leta 2020, sistem nove pogojenosti prejemanje celotne podpore SKP povezuje z izpolnjevanjem osnovnih standardov za okolje, podnebne spremembe, javno zdravje, </w:t>
            </w:r>
            <w:r w:rsidRPr="00B7760C">
              <w:rPr>
                <w:b/>
                <w:i/>
              </w:rPr>
              <w:t xml:space="preserve">veljavne delovne in zaposlitvene pogoje, </w:t>
            </w:r>
            <w:r w:rsidRPr="00B7760C">
              <w:t xml:space="preserve">zdravje živali in rastlin ter dobrobit živali s strani upravičencev. Osnovni standardi v poenostavljeni obliki zajemajo seznam predpisanih zahtev ravnanja ter standardov za dobre kmetijske in okoljske pogoje za zemljišča. Ti osnovni standardi bi morali bolj upoštevati okoljske in podnebne izzive kot tudi novo okoljsko strukturo SKP ter tako zagotavljati višjo raven okoljskih in podnebnih ciljev, kot je Komisija napovedala v sporočilu o prihodnosti preskrbe s hrano in kmetijstva ter sporočilu o večletnem finančnem okviru. </w:t>
            </w:r>
            <w:r w:rsidRPr="00B7760C">
              <w:rPr>
                <w:b/>
                <w:i/>
              </w:rPr>
              <w:t>Poleg tega je zlasti pomembno, da države članice sprejmejo ustrezne ukrepe, da bo dostop delodajalcev do neposrednih plačil odvisen od tega, ali spoštujejo veljavne delovne in zaposlitvene pogoje in/ali obveznosti delodajalca, ki izhajajo iz vseh ustreznih kolektivnih pogodb ter socialnega in delovnega prava na nacionalni ravni in ravni Unije, med drugim na področju seznanjenosti s pogoji zaposlitve, plačila, delovnega časa, zdravja in varnosti, nastanitve, enakosti spolov, prostega gibanja delavcev, enake obravnave, napotitve delavcev, pogojev bivanja državljanov tretjih držav, začasnega agencijskega dela, socialne zaščite in koordinacije socialne varnosti med državami članicami.</w:t>
            </w:r>
          </w:p>
        </w:tc>
      </w:tr>
      <w:tr w:rsidR="006B241B" w:rsidRPr="00B7760C" w14:paraId="2235F880" w14:textId="77777777" w:rsidTr="00CC51B6">
        <w:trPr>
          <w:jc w:val="center"/>
        </w:trPr>
        <w:tc>
          <w:tcPr>
            <w:tcW w:w="4876" w:type="dxa"/>
          </w:tcPr>
          <w:p w14:paraId="29923F8E" w14:textId="77777777" w:rsidR="006B241B" w:rsidRPr="00B7760C" w:rsidRDefault="006B241B" w:rsidP="00CC51B6">
            <w:pPr>
              <w:pStyle w:val="Normal6"/>
            </w:pPr>
          </w:p>
        </w:tc>
        <w:tc>
          <w:tcPr>
            <w:tcW w:w="4876" w:type="dxa"/>
          </w:tcPr>
          <w:p w14:paraId="6A9CF37D" w14:textId="01EF49CD" w:rsidR="006B241B" w:rsidRPr="00B7760C" w:rsidRDefault="006B241B" w:rsidP="00CC51B6">
            <w:pPr>
              <w:pStyle w:val="Normal6"/>
              <w:rPr>
                <w:szCs w:val="24"/>
              </w:rPr>
            </w:pPr>
            <w:r w:rsidRPr="00B7760C">
              <w:t>Namen pogojenosti je prispevati k razvoju trajnostnega kmetijstva s tem, da se upravičenci bolje zavedajo</w:t>
            </w:r>
            <w:r w:rsidRPr="00B7760C">
              <w:rPr>
                <w:b/>
                <w:i/>
              </w:rPr>
              <w:t>, da je treba upoštevati navedene osnovne standarde</w:t>
            </w:r>
            <w:r w:rsidRPr="00B7760C">
              <w:t xml:space="preserve">. </w:t>
            </w:r>
            <w:r w:rsidR="00F35FCF" w:rsidRPr="00B7760C">
              <w:rPr>
                <w:b/>
                <w:i/>
              </w:rPr>
              <w:t xml:space="preserve">Za zagotavljanje teh standardov bi morali upravičenci prejeti ustrezna nadomestila. </w:t>
            </w:r>
            <w:r w:rsidRPr="00B7760C">
              <w:t xml:space="preserve">Prav tako naj bi prispevala k temu, da bi bila SKP bolj skladna s pričakovanji družbe, in sicer z izboljšanjem usklajenosti te politike s cilji na področju okolja, </w:t>
            </w:r>
            <w:r w:rsidRPr="00B7760C">
              <w:rPr>
                <w:b/>
                <w:i/>
              </w:rPr>
              <w:t>delovnih standardov,</w:t>
            </w:r>
            <w:r w:rsidRPr="00B7760C">
              <w:t xml:space="preserve"> javnega zdravja, zdravja živali in rastlin ter dobrobiti živali. Pogojenost bi morala biti sestavni del okoljske</w:t>
            </w:r>
            <w:r w:rsidRPr="00B7760C">
              <w:rPr>
                <w:b/>
                <w:i/>
              </w:rPr>
              <w:t xml:space="preserve"> in socialne</w:t>
            </w:r>
            <w:r w:rsidRPr="00B7760C">
              <w:t xml:space="preserve"> strukture SKP kot del izhodišča za bolj ambiciozne okoljske</w:t>
            </w:r>
            <w:r w:rsidRPr="00B7760C">
              <w:rPr>
                <w:b/>
                <w:i/>
              </w:rPr>
              <w:t>, socialne</w:t>
            </w:r>
            <w:r w:rsidRPr="00B7760C">
              <w:t xml:space="preserve"> in podnebne obveznosti ter bi se morala na splošno uporabljati po vsej Uniji. Pri kmetih, ki ne izpolnjujejo teh zahtev, bi morale države članice zagotoviti, da se uporabljajo sorazmerne, učinkovite in odvračilne kazni v skladu z [HZU].</w:t>
            </w:r>
          </w:p>
        </w:tc>
      </w:tr>
    </w:tbl>
    <w:p w14:paraId="5F9797BD" w14:textId="77777777" w:rsidR="006B241B" w:rsidRPr="00B7760C" w:rsidRDefault="006B241B" w:rsidP="003663AF"/>
    <w:p w14:paraId="3B1D7CDC" w14:textId="68FA1D94" w:rsidR="003663AF" w:rsidRPr="00B7760C" w:rsidRDefault="00877691" w:rsidP="003663AF">
      <w:pPr>
        <w:pStyle w:val="AMNumberTabs"/>
      </w:pPr>
      <w:r w:rsidRPr="00B7760C">
        <w:t>Sprememba</w:t>
      </w:r>
      <w:r w:rsidR="003663AF" w:rsidRPr="00B7760C">
        <w:tab/>
      </w:r>
      <w:r w:rsidR="003663AF" w:rsidRPr="00B7760C">
        <w:tab/>
        <w:t>22</w:t>
      </w:r>
    </w:p>
    <w:p w14:paraId="754BE926" w14:textId="77777777" w:rsidR="003663AF" w:rsidRPr="00B7760C" w:rsidRDefault="003663AF" w:rsidP="003663AF">
      <w:pPr>
        <w:pStyle w:val="NormalBold12b"/>
      </w:pPr>
      <w:r w:rsidRPr="00B7760C">
        <w:t>Predlog uredbe</w:t>
      </w:r>
    </w:p>
    <w:p w14:paraId="7C3C3FDA" w14:textId="77777777" w:rsidR="003663AF" w:rsidRPr="00B7760C" w:rsidRDefault="003663AF" w:rsidP="003663AF">
      <w:pPr>
        <w:pStyle w:val="NormalBold"/>
      </w:pPr>
      <w:r w:rsidRPr="00B7760C">
        <w:t>Uvodna izjava 22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6F7470C" w14:textId="77777777" w:rsidTr="00E804B7">
        <w:trPr>
          <w:trHeight w:val="240"/>
          <w:jc w:val="center"/>
        </w:trPr>
        <w:tc>
          <w:tcPr>
            <w:tcW w:w="9752" w:type="dxa"/>
            <w:gridSpan w:val="2"/>
          </w:tcPr>
          <w:p w14:paraId="2E6A8183" w14:textId="77777777" w:rsidR="003663AF" w:rsidRPr="00B7760C" w:rsidRDefault="003663AF" w:rsidP="00E804B7"/>
        </w:tc>
      </w:tr>
      <w:tr w:rsidR="003663AF" w:rsidRPr="00B7760C" w14:paraId="039936B6" w14:textId="77777777" w:rsidTr="00E804B7">
        <w:trPr>
          <w:trHeight w:val="240"/>
          <w:jc w:val="center"/>
        </w:trPr>
        <w:tc>
          <w:tcPr>
            <w:tcW w:w="4876" w:type="dxa"/>
            <w:hideMark/>
          </w:tcPr>
          <w:p w14:paraId="176D63A4" w14:textId="77777777" w:rsidR="003663AF" w:rsidRPr="00B7760C" w:rsidRDefault="003663AF" w:rsidP="00E804B7">
            <w:pPr>
              <w:pStyle w:val="ColumnHeading"/>
            </w:pPr>
            <w:r w:rsidRPr="00B7760C">
              <w:t>Besedilo, ki ga predlaga Komisija</w:t>
            </w:r>
          </w:p>
        </w:tc>
        <w:tc>
          <w:tcPr>
            <w:tcW w:w="4876" w:type="dxa"/>
            <w:hideMark/>
          </w:tcPr>
          <w:p w14:paraId="5A943A9B" w14:textId="5E4DACED" w:rsidR="003663AF" w:rsidRPr="00B7760C" w:rsidRDefault="00877691" w:rsidP="00E804B7">
            <w:pPr>
              <w:pStyle w:val="ColumnHeading"/>
            </w:pPr>
            <w:r w:rsidRPr="00B7760C">
              <w:t>Sprememba</w:t>
            </w:r>
          </w:p>
        </w:tc>
      </w:tr>
      <w:tr w:rsidR="003663AF" w:rsidRPr="00B7760C" w14:paraId="202BE728" w14:textId="77777777" w:rsidTr="00E804B7">
        <w:trPr>
          <w:jc w:val="center"/>
        </w:trPr>
        <w:tc>
          <w:tcPr>
            <w:tcW w:w="4876" w:type="dxa"/>
            <w:hideMark/>
          </w:tcPr>
          <w:p w14:paraId="27D494E6" w14:textId="77777777" w:rsidR="003663AF" w:rsidRPr="00B7760C" w:rsidRDefault="003663AF" w:rsidP="00E804B7">
            <w:pPr>
              <w:pStyle w:val="Normal6"/>
            </w:pPr>
            <w:r w:rsidRPr="00B7760C">
              <w:t>(22)</w:t>
            </w:r>
            <w:r w:rsidRPr="00B7760C">
              <w:tab/>
              <w:t>Namen okvira standardov za dobre kmetijske in okoljske pogoje je prispevati k blaženju podnebnih sprememb in prilagajanju nanje, reševanju izzivov, povezanih z vodo, ter varstvu in kakovosti tal in biotske raznovrstnosti. Okvir je treba okrepiti, da bi se upoštevale zlasti prakse, ki so določene do leta 2020 v okviru zelene komponente neposrednih plačil, blažitve podnebnih sprememb in potrebe po izboljšanju trajnostnosti kmetij</w:t>
            </w:r>
            <w:r w:rsidRPr="00B7760C">
              <w:rPr>
                <w:b/>
                <w:i/>
              </w:rPr>
              <w:t>, predvsem upravljanja hranil</w:t>
            </w:r>
            <w:r w:rsidRPr="00B7760C">
              <w:t xml:space="preserve">. Priznava se, da vsak dober kmetijski in okoljski pogoj prispeva k izpolnjevanju več ciljev. Za izvajanje okvira bi morale države članice opredeliti nacionalni standard za vsak standard, določen na ravni Unije, ob upoštevanju posebnih značilnosti zadevnega območja, vključno s stanjem prsti in podnebnimi razmerami, obstoječimi pogoji kmetovanja, rabo zemljišč, kolobarjenjem, kmetijskimi praksami in strukturami kmetijskih gospodarstev. </w:t>
            </w:r>
            <w:r w:rsidRPr="00B7760C">
              <w:rPr>
                <w:b/>
                <w:i/>
              </w:rPr>
              <w:t>Poleg tega lahko države članice opredelijo tudi druge nacionalne standarde v zvezi z glavnimi cilji</w:t>
            </w:r>
            <w:r w:rsidRPr="00B7760C">
              <w:t xml:space="preserve">, </w:t>
            </w:r>
            <w:r w:rsidRPr="00B7760C">
              <w:rPr>
                <w:b/>
                <w:i/>
              </w:rPr>
              <w:t>določenimi v Prilogi III</w:t>
            </w:r>
            <w:r w:rsidRPr="00B7760C">
              <w:t xml:space="preserve">, </w:t>
            </w:r>
            <w:r w:rsidRPr="00B7760C">
              <w:rPr>
                <w:b/>
                <w:i/>
              </w:rPr>
              <w:t>da se izboljša uresničevanje okoljskih in podnebnih ciljev okvira za dobre kmetijske</w:t>
            </w:r>
            <w:r w:rsidRPr="00B7760C">
              <w:t xml:space="preserve"> in </w:t>
            </w:r>
            <w:r w:rsidRPr="00B7760C">
              <w:rPr>
                <w:b/>
                <w:i/>
              </w:rPr>
              <w:t>okoljske pogoje. Kot del okvira za dobre kmetijske in okoljske pogoje z namenom podpreti tako agronomsko in okoljsko uspešnost kmetij bodo pripravljeni načrti za upravljanje hranil s pomočjo namenskega elektronskega orodja za trajnostnost kmetij, ki ga bodo države članice dale na voljo posameznim kmetom. Orodje bi moralo zagotavljati podporo pri odločanju na kmetiji, začenši z minimalnimi funkcijami za upravljanje hranil. Poleg tega bi morali široka interoperabilnost in modularnost orodja zagotavljati možnost dodajanja drugih elektronskih aplikacij upravljanja, ki se lahko uporabljajo na kmetiji. Da bi zagotovili enake konkurenčne pogoje med kmeti in po vsej EU, lahko Komisija državam članicam zagotovi podporo pri oblikovanju orodja ter potrebnih storitvah shranjevanja in obdelave podatkov.</w:t>
            </w:r>
          </w:p>
        </w:tc>
        <w:tc>
          <w:tcPr>
            <w:tcW w:w="4876" w:type="dxa"/>
            <w:hideMark/>
          </w:tcPr>
          <w:p w14:paraId="2160F88C" w14:textId="77777777" w:rsidR="003663AF" w:rsidRPr="00B7760C" w:rsidRDefault="003663AF" w:rsidP="00E804B7">
            <w:pPr>
              <w:pStyle w:val="Normal6"/>
            </w:pPr>
            <w:r w:rsidRPr="00B7760C">
              <w:t>(22)</w:t>
            </w:r>
            <w:r w:rsidRPr="00B7760C">
              <w:tab/>
              <w:t xml:space="preserve">Namen okvira standardov za dobre kmetijske in okoljske pogoje je prispevati k blaženju podnebnih sprememb in prilagajanju nanje, reševanju izzivov, povezanih z vodo, ter varstvu in kakovosti tal in biotske raznovrstnosti. Okvir je treba okrepiti, da bi se upoštevale zlasti prakse, ki so določene do leta 2020 v okviru zelene komponente neposrednih plačil, blažitve podnebnih sprememb in potrebe po izboljšanju trajnostnosti kmetij. Priznava se, da vsak dober kmetijski in okoljski pogoj prispeva k izpolnjevanju več ciljev. Za izvajanje okvira bi morale države članice opredeliti nacionalni standard za vsak standard, določen na ravni Unije, ob upoštevanju posebnih značilnosti zadevnega območja, vključno s stanjem prsti in podnebnimi razmerami, obstoječimi pogoji kmetovanja, </w:t>
            </w:r>
            <w:r w:rsidRPr="00B7760C">
              <w:rPr>
                <w:b/>
                <w:i/>
              </w:rPr>
              <w:t>agronomskimi značilnostmi različnih proizvodenj</w:t>
            </w:r>
            <w:r w:rsidRPr="00B7760C">
              <w:t xml:space="preserve">, </w:t>
            </w:r>
            <w:r w:rsidRPr="00B7760C">
              <w:rPr>
                <w:b/>
                <w:i/>
              </w:rPr>
              <w:t>razlikami med letinami</w:t>
            </w:r>
            <w:r w:rsidRPr="00B7760C">
              <w:t xml:space="preserve">, </w:t>
            </w:r>
            <w:r w:rsidRPr="00B7760C">
              <w:rPr>
                <w:b/>
                <w:i/>
              </w:rPr>
              <w:t>trajnimi nasadi</w:t>
            </w:r>
            <w:r w:rsidRPr="00B7760C">
              <w:t xml:space="preserve"> in </w:t>
            </w:r>
            <w:r w:rsidRPr="00B7760C">
              <w:rPr>
                <w:b/>
                <w:i/>
              </w:rPr>
              <w:t xml:space="preserve">drugimi posebnimi vrstami proizvodnje, </w:t>
            </w:r>
            <w:r w:rsidRPr="00B7760C">
              <w:t>rabo zemljišč, kolobarjenjem,</w:t>
            </w:r>
            <w:r w:rsidRPr="00B7760C">
              <w:rPr>
                <w:b/>
                <w:i/>
              </w:rPr>
              <w:t xml:space="preserve"> lokalnimi</w:t>
            </w:r>
            <w:r w:rsidRPr="00B7760C">
              <w:t xml:space="preserve"> in </w:t>
            </w:r>
            <w:r w:rsidRPr="00B7760C">
              <w:rPr>
                <w:b/>
                <w:i/>
              </w:rPr>
              <w:t xml:space="preserve">tradicionalnimi </w:t>
            </w:r>
            <w:r w:rsidRPr="00B7760C">
              <w:t xml:space="preserve">kmetijskimi praksami in strukturami kmetijskih gospodarstev. </w:t>
            </w:r>
            <w:r w:rsidRPr="00B7760C">
              <w:rPr>
                <w:b/>
                <w:i/>
              </w:rPr>
              <w:t>Poleg tega lahko države članice opredelijo tudi enakovredne prakse ali sisteme certificiranja, ki na podnebje in okolje vplivajo podobno ali ugodneje kot ena ali več praks v zvezi z dobrimi kmetijskimi in okoljskimi pogoji.</w:t>
            </w:r>
          </w:p>
        </w:tc>
      </w:tr>
    </w:tbl>
    <w:p w14:paraId="4F4FAA45" w14:textId="58D8389A" w:rsidR="003663AF" w:rsidRPr="00B7760C" w:rsidRDefault="003663AF" w:rsidP="003663AF"/>
    <w:p w14:paraId="46E51E24" w14:textId="288D8210" w:rsidR="006D33E3" w:rsidRPr="00B7760C" w:rsidRDefault="006D33E3" w:rsidP="006D33E3">
      <w:pPr>
        <w:pStyle w:val="AmNumberTabs0"/>
      </w:pPr>
      <w:r w:rsidRPr="00B7760C">
        <w:t>Sprememba</w:t>
      </w:r>
      <w:r w:rsidRPr="00B7760C">
        <w:tab/>
      </w:r>
      <w:r w:rsidRPr="00B7760C">
        <w:tab/>
        <w:t>1127</w:t>
      </w:r>
    </w:p>
    <w:p w14:paraId="5EC22690" w14:textId="77777777" w:rsidR="006D33E3" w:rsidRPr="00B7760C" w:rsidRDefault="006D33E3" w:rsidP="006D33E3">
      <w:pPr>
        <w:pStyle w:val="NormalBold12b"/>
      </w:pPr>
      <w:r w:rsidRPr="00B7760C">
        <w:t>Predlog uredbe</w:t>
      </w:r>
    </w:p>
    <w:p w14:paraId="594E5A32" w14:textId="77777777" w:rsidR="006D33E3" w:rsidRPr="00B7760C" w:rsidRDefault="006D33E3" w:rsidP="006D33E3">
      <w:pPr>
        <w:pStyle w:val="NormalBold"/>
      </w:pPr>
      <w:r w:rsidRPr="00B7760C">
        <w:t>Uvodna izjava 22 a (novo)</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6D33E3" w:rsidRPr="00B7760C" w14:paraId="170F70A7" w14:textId="77777777" w:rsidTr="004F0B88">
        <w:trPr>
          <w:jc w:val="center"/>
        </w:trPr>
        <w:tc>
          <w:tcPr>
            <w:tcW w:w="9752" w:type="dxa"/>
            <w:gridSpan w:val="2"/>
          </w:tcPr>
          <w:p w14:paraId="2DE721FB" w14:textId="77777777" w:rsidR="006D33E3" w:rsidRPr="00B7760C" w:rsidRDefault="006D33E3" w:rsidP="004F0B88">
            <w:pPr>
              <w:keepNext/>
            </w:pPr>
          </w:p>
        </w:tc>
      </w:tr>
      <w:tr w:rsidR="006D33E3" w:rsidRPr="00B7760C" w14:paraId="30A71698" w14:textId="77777777" w:rsidTr="004F0B88">
        <w:trPr>
          <w:jc w:val="center"/>
        </w:trPr>
        <w:tc>
          <w:tcPr>
            <w:tcW w:w="4876" w:type="dxa"/>
          </w:tcPr>
          <w:p w14:paraId="466181AC" w14:textId="77777777" w:rsidR="006D33E3" w:rsidRPr="00B7760C" w:rsidRDefault="006D33E3" w:rsidP="004F0B88">
            <w:pPr>
              <w:pStyle w:val="AmColumnHeading"/>
              <w:keepNext/>
            </w:pPr>
            <w:r w:rsidRPr="00B7760C">
              <w:t>Besedilo, ki ga predlaga Komisija</w:t>
            </w:r>
          </w:p>
        </w:tc>
        <w:tc>
          <w:tcPr>
            <w:tcW w:w="4876" w:type="dxa"/>
          </w:tcPr>
          <w:p w14:paraId="25B87682" w14:textId="43423B79" w:rsidR="006D33E3" w:rsidRPr="00B7760C" w:rsidRDefault="006D33E3" w:rsidP="006D33E3">
            <w:pPr>
              <w:pStyle w:val="AmColumnHeading"/>
              <w:keepNext/>
            </w:pPr>
            <w:r w:rsidRPr="00B7760C">
              <w:t>Sprememba</w:t>
            </w:r>
          </w:p>
        </w:tc>
      </w:tr>
      <w:tr w:rsidR="006D33E3" w:rsidRPr="00B7760C" w14:paraId="671275E1" w14:textId="77777777" w:rsidTr="004F0B88">
        <w:trPr>
          <w:jc w:val="center"/>
        </w:trPr>
        <w:tc>
          <w:tcPr>
            <w:tcW w:w="4876" w:type="dxa"/>
          </w:tcPr>
          <w:p w14:paraId="151A95FF" w14:textId="77777777" w:rsidR="006D33E3" w:rsidRPr="00B7760C" w:rsidRDefault="006D33E3" w:rsidP="004F0B88">
            <w:pPr>
              <w:pStyle w:val="Normal6a"/>
            </w:pPr>
            <w:r w:rsidRPr="00B7760C">
              <w:t xml:space="preserve"> </w:t>
            </w:r>
          </w:p>
        </w:tc>
        <w:tc>
          <w:tcPr>
            <w:tcW w:w="4876" w:type="dxa"/>
          </w:tcPr>
          <w:p w14:paraId="37F903C5" w14:textId="77777777" w:rsidR="006D33E3" w:rsidRPr="00B7760C" w:rsidRDefault="006D33E3" w:rsidP="004F0B88">
            <w:pPr>
              <w:pStyle w:val="Normal6a"/>
              <w:rPr>
                <w:szCs w:val="24"/>
              </w:rPr>
            </w:pPr>
            <w:r w:rsidRPr="00B7760C">
              <w:rPr>
                <w:b/>
                <w:i/>
              </w:rPr>
              <w:t>(22a)</w:t>
            </w:r>
            <w:r w:rsidRPr="00B7760C">
              <w:rPr>
                <w:b/>
                <w:i/>
              </w:rPr>
              <w:tab/>
              <w:t>Da bi preprečili upad biotske raznovrstnosti po vsej EU, je treba v okviru pogojenosti in ekoshem v vseh državah članicah zagotoviti minimalno raven neproduktivnih površin in značilnosti. V zvezi s tem bi si morale države članice v svojih strateških načrtih prizadevati za vsaj 10 % krajinskih elementov, ki ugodno vplivajo na biotsko raznovrstnost. Ti bi morali med drugim vključevati varovalne pasove, rotacijske ali nerotacijske prahe, žive meje, neproduktivna drevesa, terasaste zidove in ribnike, kar vse prispeva h krepitvi sekvestracije ogljika, preprečevanju erozije in izčrpavanja tal, filtriranju zraka in vode ter prilagajanju podnebnim spremembam.</w:t>
            </w:r>
          </w:p>
        </w:tc>
      </w:tr>
    </w:tbl>
    <w:p w14:paraId="261320FC" w14:textId="77777777" w:rsidR="006D33E3" w:rsidRPr="00B7760C" w:rsidRDefault="006D33E3" w:rsidP="003663AF"/>
    <w:p w14:paraId="3E43F082" w14:textId="64EFEB18" w:rsidR="003663AF" w:rsidRPr="00B7760C" w:rsidRDefault="00877691" w:rsidP="003663AF">
      <w:pPr>
        <w:pStyle w:val="AMNumberTabs"/>
      </w:pPr>
      <w:r w:rsidRPr="00B7760C">
        <w:t>Sprememba</w:t>
      </w:r>
      <w:r w:rsidR="003663AF" w:rsidRPr="00B7760C">
        <w:tab/>
      </w:r>
      <w:r w:rsidR="003663AF" w:rsidRPr="00B7760C">
        <w:tab/>
        <w:t>23</w:t>
      </w:r>
    </w:p>
    <w:p w14:paraId="4F6E8417" w14:textId="77777777" w:rsidR="003663AF" w:rsidRPr="00B7760C" w:rsidRDefault="003663AF" w:rsidP="003663AF">
      <w:pPr>
        <w:pStyle w:val="NormalBold12b"/>
      </w:pPr>
      <w:r w:rsidRPr="00B7760C">
        <w:t>Predlog uredbe</w:t>
      </w:r>
    </w:p>
    <w:p w14:paraId="5DCE5087" w14:textId="77777777" w:rsidR="003663AF" w:rsidRPr="00B7760C" w:rsidRDefault="003663AF" w:rsidP="003663AF">
      <w:pPr>
        <w:pStyle w:val="NormalBold"/>
      </w:pPr>
      <w:r w:rsidRPr="00B7760C">
        <w:t>Uvodna izjava 23</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96E0A4D" w14:textId="77777777" w:rsidTr="00E804B7">
        <w:trPr>
          <w:trHeight w:hRule="exact" w:val="240"/>
          <w:jc w:val="center"/>
        </w:trPr>
        <w:tc>
          <w:tcPr>
            <w:tcW w:w="9752" w:type="dxa"/>
            <w:gridSpan w:val="2"/>
          </w:tcPr>
          <w:p w14:paraId="4EF433A4" w14:textId="77777777" w:rsidR="003663AF" w:rsidRPr="00B7760C" w:rsidRDefault="003663AF" w:rsidP="00E804B7"/>
        </w:tc>
      </w:tr>
      <w:tr w:rsidR="003663AF" w:rsidRPr="00B7760C" w14:paraId="278314E6" w14:textId="77777777" w:rsidTr="00E804B7">
        <w:trPr>
          <w:trHeight w:val="240"/>
          <w:jc w:val="center"/>
        </w:trPr>
        <w:tc>
          <w:tcPr>
            <w:tcW w:w="4876" w:type="dxa"/>
          </w:tcPr>
          <w:p w14:paraId="5D8DD8C7" w14:textId="77777777" w:rsidR="003663AF" w:rsidRPr="00B7760C" w:rsidRDefault="003663AF" w:rsidP="00E804B7">
            <w:pPr>
              <w:pStyle w:val="ColumnHeading"/>
            </w:pPr>
            <w:r w:rsidRPr="00B7760C">
              <w:t>Besedilo, ki ga predlaga Komisija</w:t>
            </w:r>
          </w:p>
        </w:tc>
        <w:tc>
          <w:tcPr>
            <w:tcW w:w="4876" w:type="dxa"/>
          </w:tcPr>
          <w:p w14:paraId="25C23BF6" w14:textId="631AE03E" w:rsidR="003663AF" w:rsidRPr="00B7760C" w:rsidRDefault="00877691" w:rsidP="00E804B7">
            <w:pPr>
              <w:pStyle w:val="ColumnHeading"/>
            </w:pPr>
            <w:r w:rsidRPr="00B7760C">
              <w:t>Sprememba</w:t>
            </w:r>
          </w:p>
        </w:tc>
      </w:tr>
      <w:tr w:rsidR="003663AF" w:rsidRPr="00B7760C" w14:paraId="116903F3" w14:textId="77777777" w:rsidTr="00E804B7">
        <w:trPr>
          <w:jc w:val="center"/>
        </w:trPr>
        <w:tc>
          <w:tcPr>
            <w:tcW w:w="4876" w:type="dxa"/>
          </w:tcPr>
          <w:p w14:paraId="6AC58ECC" w14:textId="77777777" w:rsidR="003663AF" w:rsidRPr="00B7760C" w:rsidRDefault="003663AF" w:rsidP="00E804B7">
            <w:pPr>
              <w:pStyle w:val="Normal6"/>
            </w:pPr>
            <w:r w:rsidRPr="00B7760C">
              <w:t>(23)</w:t>
            </w:r>
            <w:r w:rsidRPr="00B7760C">
              <w:tab/>
              <w:t>Države članice morajo predpisane zahteve ravnanja v celoti izvajati, da bodo delovale na ravni kmetij in da se zagotovi enako obravnavanje kmetov. Da se zagotovi usklajenost pravil o pogojevanju pri krepitvi trajnostnosti politike, bi morale predpisane zahteve ravnanja zajemati glavno zakonodajo Unije na področju okolja, javnega zdravja, zdravja živali in rastlin ter dobrobiti živali, katere izvajanje na nacionalni ravni posameznim kmetom nalaga natančne obveznosti, vključno z obveznostmi iz Direktive Sveta 92/43/EGS</w:t>
            </w:r>
            <w:r w:rsidRPr="00B7760C">
              <w:rPr>
                <w:vertAlign w:val="superscript"/>
              </w:rPr>
              <w:t>11</w:t>
            </w:r>
            <w:r w:rsidRPr="00B7760C">
              <w:t xml:space="preserve"> in Direktive 2009/147/ES Evropskega parlamenta in Sveta</w:t>
            </w:r>
            <w:r w:rsidRPr="00B7760C">
              <w:rPr>
                <w:vertAlign w:val="superscript"/>
              </w:rPr>
              <w:t>12</w:t>
            </w:r>
            <w:r w:rsidRPr="00B7760C">
              <w:t xml:space="preserve"> ali Direktive Sveta 91/676/EGS</w:t>
            </w:r>
            <w:r w:rsidRPr="00B7760C">
              <w:rPr>
                <w:vertAlign w:val="superscript"/>
              </w:rPr>
              <w:t>13</w:t>
            </w:r>
            <w:r w:rsidRPr="00B7760C">
              <w:t>. Da bi sprejeli nadaljnje ukrepe na podlagi skupne izjave Evropskega parlamenta in Sveta, priložene k Uredbi (EU) št. 1306/2013 Evropskega parlamenta in Sveta</w:t>
            </w:r>
            <w:r w:rsidRPr="00B7760C">
              <w:rPr>
                <w:vertAlign w:val="superscript"/>
              </w:rPr>
              <w:t>14</w:t>
            </w:r>
            <w:r w:rsidRPr="00B7760C">
              <w:t>, so zadevne določbe Direktive 2000/60/ES Evropskega parlamenta in Sveta</w:t>
            </w:r>
            <w:r w:rsidRPr="00B7760C">
              <w:rPr>
                <w:vertAlign w:val="superscript"/>
              </w:rPr>
              <w:t>15</w:t>
            </w:r>
            <w:r w:rsidRPr="00B7760C">
              <w:t xml:space="preserve"> in Direktive 2009/128/ES Evropskega parlamenta in Sveta</w:t>
            </w:r>
            <w:r w:rsidRPr="00B7760C">
              <w:rPr>
                <w:vertAlign w:val="superscript"/>
              </w:rPr>
              <w:t>16</w:t>
            </w:r>
            <w:r w:rsidRPr="00B7760C">
              <w:t xml:space="preserve"> vključene kot predpisane zahteve ravnanja v področje uporabe pogojevanja, seznam standardov za dobre kmetijske in okoljske pogoje pa se ustrezno prilagodi.</w:t>
            </w:r>
          </w:p>
        </w:tc>
        <w:tc>
          <w:tcPr>
            <w:tcW w:w="4876" w:type="dxa"/>
          </w:tcPr>
          <w:p w14:paraId="380420BF" w14:textId="77777777" w:rsidR="003663AF" w:rsidRPr="00B7760C" w:rsidRDefault="003663AF" w:rsidP="00E804B7">
            <w:pPr>
              <w:pStyle w:val="Normal6"/>
            </w:pPr>
            <w:r w:rsidRPr="00B7760C">
              <w:t>(23)</w:t>
            </w:r>
            <w:r w:rsidRPr="00B7760C">
              <w:tab/>
              <w:t>Države članice morajo predpisane zahteve ravnanja v celoti izvajati, da bodo delovale na ravni kmetij in da se zagotovi enako obravnavanje kmetov. Da se zagotovi usklajenost pravil o pogojevanju pri krepitvi trajnostnosti politike, bi morale predpisane zahteve ravnanja zajemati glavno zakonodajo Unije na področju okolja, javnega zdravja, zdravja živali in rastlin ter dobrobiti živali, katere izvajanje na nacionalni ravni posameznim kmetom nalaga natančne obveznosti, vključno z obveznostmi iz Direktive Sveta 92/43/EGS</w:t>
            </w:r>
            <w:r w:rsidRPr="00B7760C">
              <w:rPr>
                <w:vertAlign w:val="superscript"/>
              </w:rPr>
              <w:t>11</w:t>
            </w:r>
            <w:r w:rsidRPr="00B7760C">
              <w:t xml:space="preserve"> in Direktive 2009/147/ES Evropskega parlamenta in Sveta</w:t>
            </w:r>
            <w:r w:rsidRPr="00B7760C">
              <w:rPr>
                <w:vertAlign w:val="superscript"/>
              </w:rPr>
              <w:t>12</w:t>
            </w:r>
            <w:r w:rsidRPr="00B7760C">
              <w:t xml:space="preserve"> ali Direktive Sveta 91/676/EGS</w:t>
            </w:r>
            <w:r w:rsidRPr="00B7760C">
              <w:rPr>
                <w:vertAlign w:val="superscript"/>
              </w:rPr>
              <w:t>13</w:t>
            </w:r>
            <w:r w:rsidRPr="00B7760C">
              <w:t>. Da bi sprejeli nadaljnje ukrepe na podlagi skupne izjave Evropskega parlamenta in Sveta, priložene k Uredbi (EU) št. 1306/2013 Evropskega parlamenta in Sveta</w:t>
            </w:r>
            <w:r w:rsidRPr="00B7760C">
              <w:rPr>
                <w:vertAlign w:val="superscript"/>
              </w:rPr>
              <w:t>14</w:t>
            </w:r>
            <w:r w:rsidRPr="00B7760C">
              <w:t>, so zadevne določbe Direktive 2000/60/ES Evropskega parlamenta in Sveta</w:t>
            </w:r>
            <w:r w:rsidRPr="00B7760C">
              <w:rPr>
                <w:vertAlign w:val="superscript"/>
              </w:rPr>
              <w:t>15</w:t>
            </w:r>
            <w:r w:rsidRPr="00B7760C">
              <w:t xml:space="preserve"> </w:t>
            </w:r>
            <w:r w:rsidRPr="00B7760C">
              <w:rPr>
                <w:b/>
                <w:i/>
              </w:rPr>
              <w:t xml:space="preserve">(okvirna direktiva o vodah) </w:t>
            </w:r>
            <w:r w:rsidRPr="00B7760C">
              <w:t>in Direktive 2009/128/ES Evropskega parlamenta in Sveta</w:t>
            </w:r>
            <w:r w:rsidRPr="00B7760C">
              <w:rPr>
                <w:vertAlign w:val="superscript"/>
              </w:rPr>
              <w:t>16</w:t>
            </w:r>
            <w:r w:rsidRPr="00B7760C">
              <w:t xml:space="preserve"> vključene kot predpisane zahteve ravnanja v področje uporabe pogojevanja, seznam standardov za dobre kmetijske in okoljske pogoje pa se ustrezno prilagodi.</w:t>
            </w:r>
          </w:p>
        </w:tc>
      </w:tr>
      <w:tr w:rsidR="003663AF" w:rsidRPr="00B7760C" w14:paraId="23151026" w14:textId="77777777" w:rsidTr="00E804B7">
        <w:trPr>
          <w:jc w:val="center"/>
        </w:trPr>
        <w:tc>
          <w:tcPr>
            <w:tcW w:w="4876" w:type="dxa"/>
          </w:tcPr>
          <w:p w14:paraId="04C93C7A" w14:textId="77777777" w:rsidR="003663AF" w:rsidRPr="00B7760C" w:rsidRDefault="003663AF" w:rsidP="00E804B7">
            <w:pPr>
              <w:pStyle w:val="Normal6"/>
            </w:pPr>
            <w:r w:rsidRPr="00B7760C">
              <w:t>____________________</w:t>
            </w:r>
          </w:p>
        </w:tc>
        <w:tc>
          <w:tcPr>
            <w:tcW w:w="4876" w:type="dxa"/>
          </w:tcPr>
          <w:p w14:paraId="3721B477" w14:textId="77777777" w:rsidR="003663AF" w:rsidRPr="00B7760C" w:rsidRDefault="003663AF" w:rsidP="00E804B7">
            <w:pPr>
              <w:pStyle w:val="Normal6"/>
            </w:pPr>
            <w:r w:rsidRPr="00B7760C">
              <w:t>____________________</w:t>
            </w:r>
          </w:p>
        </w:tc>
      </w:tr>
      <w:tr w:rsidR="003663AF" w:rsidRPr="00B7760C" w14:paraId="0BB27332" w14:textId="77777777" w:rsidTr="00E804B7">
        <w:trPr>
          <w:jc w:val="center"/>
        </w:trPr>
        <w:tc>
          <w:tcPr>
            <w:tcW w:w="4876" w:type="dxa"/>
          </w:tcPr>
          <w:p w14:paraId="7A195040" w14:textId="77777777" w:rsidR="003663AF" w:rsidRPr="00B7760C" w:rsidRDefault="003663AF" w:rsidP="00E804B7">
            <w:pPr>
              <w:pStyle w:val="Normal6"/>
              <w:rPr>
                <w:vertAlign w:val="superscript"/>
              </w:rPr>
            </w:pPr>
            <w:r w:rsidRPr="00B7760C">
              <w:rPr>
                <w:vertAlign w:val="superscript"/>
              </w:rPr>
              <w:t>11</w:t>
            </w:r>
            <w:r w:rsidR="00E75B00" w:rsidRPr="00B7760C">
              <w:tab/>
            </w:r>
            <w:r w:rsidRPr="00B7760C">
              <w:t>Direktiva Sveta 92/43/EGS z dne 21. maja 1992 o ohranjanju naravnih habitatov ter prosto živečih živalskih in rastlinskih vrst (UL L 206, 22.7.1992, str. 7).</w:t>
            </w:r>
          </w:p>
        </w:tc>
        <w:tc>
          <w:tcPr>
            <w:tcW w:w="4876" w:type="dxa"/>
          </w:tcPr>
          <w:p w14:paraId="3828AE46" w14:textId="77777777" w:rsidR="003663AF" w:rsidRPr="00B7760C" w:rsidRDefault="003663AF" w:rsidP="00E804B7">
            <w:pPr>
              <w:pStyle w:val="Normal6"/>
              <w:rPr>
                <w:vertAlign w:val="superscript"/>
              </w:rPr>
            </w:pPr>
            <w:r w:rsidRPr="00B7760C">
              <w:rPr>
                <w:vertAlign w:val="superscript"/>
              </w:rPr>
              <w:t>11</w:t>
            </w:r>
            <w:r w:rsidR="00E75B00" w:rsidRPr="00B7760C">
              <w:tab/>
            </w:r>
            <w:r w:rsidRPr="00B7760C">
              <w:t>Direktiva Sveta 92/43/EGS z dne 21. maja 1992 o ohranjanju naravnih habitatov ter prosto živečih živalskih in rastlinskih vrst (UL L 206, 22.7.1992, str. 7).</w:t>
            </w:r>
          </w:p>
        </w:tc>
      </w:tr>
      <w:tr w:rsidR="003663AF" w:rsidRPr="00B7760C" w14:paraId="3F29DF63" w14:textId="77777777" w:rsidTr="00E804B7">
        <w:trPr>
          <w:jc w:val="center"/>
        </w:trPr>
        <w:tc>
          <w:tcPr>
            <w:tcW w:w="4876" w:type="dxa"/>
          </w:tcPr>
          <w:p w14:paraId="57FA0EBE" w14:textId="77777777" w:rsidR="003663AF" w:rsidRPr="00B7760C" w:rsidRDefault="003663AF" w:rsidP="00E804B7">
            <w:pPr>
              <w:pStyle w:val="Normal6"/>
              <w:rPr>
                <w:vertAlign w:val="superscript"/>
              </w:rPr>
            </w:pPr>
            <w:r w:rsidRPr="00B7760C">
              <w:rPr>
                <w:vertAlign w:val="superscript"/>
              </w:rPr>
              <w:t>12</w:t>
            </w:r>
            <w:r w:rsidR="00E75B00" w:rsidRPr="00B7760C">
              <w:tab/>
            </w:r>
            <w:r w:rsidRPr="00B7760C">
              <w:t>Direktiva 2009/147/ES Evropskega parlamenta in Sveta z dne 30. novembra 2009 o ohranjanju prosto živečih ptic (UL L 20, 26.1.2010, str. 7).</w:t>
            </w:r>
          </w:p>
        </w:tc>
        <w:tc>
          <w:tcPr>
            <w:tcW w:w="4876" w:type="dxa"/>
          </w:tcPr>
          <w:p w14:paraId="2F14771A" w14:textId="77777777" w:rsidR="003663AF" w:rsidRPr="00B7760C" w:rsidRDefault="003663AF" w:rsidP="00E804B7">
            <w:pPr>
              <w:pStyle w:val="Normal6"/>
              <w:rPr>
                <w:vertAlign w:val="superscript"/>
              </w:rPr>
            </w:pPr>
            <w:r w:rsidRPr="00B7760C">
              <w:rPr>
                <w:vertAlign w:val="superscript"/>
              </w:rPr>
              <w:t>12</w:t>
            </w:r>
            <w:r w:rsidR="00E75B00" w:rsidRPr="00B7760C">
              <w:tab/>
            </w:r>
            <w:r w:rsidRPr="00B7760C">
              <w:t>Direktiva 2009/147/ES Evropskega parlamenta in Sveta z dne 30. novembra 2009 o ohranjanju prosto živečih ptic (UL L 20, 26.1.2010, str. 7).</w:t>
            </w:r>
          </w:p>
        </w:tc>
      </w:tr>
      <w:tr w:rsidR="003663AF" w:rsidRPr="00B7760C" w14:paraId="73AEAE3B" w14:textId="77777777" w:rsidTr="00E804B7">
        <w:trPr>
          <w:jc w:val="center"/>
        </w:trPr>
        <w:tc>
          <w:tcPr>
            <w:tcW w:w="4876" w:type="dxa"/>
          </w:tcPr>
          <w:p w14:paraId="446BA29F" w14:textId="77777777" w:rsidR="003663AF" w:rsidRPr="00B7760C" w:rsidRDefault="003663AF" w:rsidP="00E804B7">
            <w:pPr>
              <w:pStyle w:val="Normal6"/>
              <w:rPr>
                <w:vertAlign w:val="superscript"/>
              </w:rPr>
            </w:pPr>
            <w:r w:rsidRPr="00B7760C">
              <w:rPr>
                <w:vertAlign w:val="superscript"/>
              </w:rPr>
              <w:t>13</w:t>
            </w:r>
            <w:r w:rsidR="00E75B00" w:rsidRPr="00B7760C">
              <w:tab/>
            </w:r>
            <w:r w:rsidRPr="00B7760C">
              <w:t>Direktiva Sveta 91/676/EGS z dne 12. decembra 1991 o varstvu voda pred onesnaženjem z nitrati iz kmetijskih virov (UL L 375, 31.12.1991, str. 1).</w:t>
            </w:r>
          </w:p>
        </w:tc>
        <w:tc>
          <w:tcPr>
            <w:tcW w:w="4876" w:type="dxa"/>
          </w:tcPr>
          <w:p w14:paraId="704A7671" w14:textId="77777777" w:rsidR="003663AF" w:rsidRPr="00B7760C" w:rsidRDefault="003663AF" w:rsidP="00E804B7">
            <w:pPr>
              <w:pStyle w:val="Normal6"/>
              <w:rPr>
                <w:vertAlign w:val="superscript"/>
              </w:rPr>
            </w:pPr>
            <w:r w:rsidRPr="00B7760C">
              <w:rPr>
                <w:vertAlign w:val="superscript"/>
              </w:rPr>
              <w:t>13</w:t>
            </w:r>
            <w:r w:rsidR="00E75B00" w:rsidRPr="00B7760C">
              <w:tab/>
            </w:r>
            <w:r w:rsidRPr="00B7760C">
              <w:t>Direktiva Sveta 91/676/EGS z dne 12. decembra 1991 o varstvu voda pred onesnaženjem z nitrati iz kmetijskih virov (UL L 375, 31.12.1991, str. 1).</w:t>
            </w:r>
          </w:p>
        </w:tc>
      </w:tr>
      <w:tr w:rsidR="003663AF" w:rsidRPr="00B7760C" w14:paraId="7A649BAF" w14:textId="77777777" w:rsidTr="00E804B7">
        <w:trPr>
          <w:jc w:val="center"/>
        </w:trPr>
        <w:tc>
          <w:tcPr>
            <w:tcW w:w="4876" w:type="dxa"/>
          </w:tcPr>
          <w:p w14:paraId="0F5EFDE7" w14:textId="77777777" w:rsidR="003663AF" w:rsidRPr="00B7760C" w:rsidRDefault="003663AF" w:rsidP="00E804B7">
            <w:pPr>
              <w:pStyle w:val="Normal6"/>
              <w:rPr>
                <w:vertAlign w:val="superscript"/>
              </w:rPr>
            </w:pPr>
            <w:r w:rsidRPr="00B7760C">
              <w:rPr>
                <w:vertAlign w:val="superscript"/>
              </w:rPr>
              <w:t>14</w:t>
            </w:r>
            <w:r w:rsidR="00E75B00" w:rsidRPr="00B7760C">
              <w:tab/>
            </w:r>
            <w:r w:rsidRPr="00B7760C">
              <w:t>Uredba (EU) št. 1306/2013 Evropskega parlamenta in Sveta z dne 17. decembra 2013 o financiranju, upravljanju in spremljanju skupne kmetijske politike in razveljavitvi uredb Sveta (EGS) št. 352/78, (ES) št. 165/94, (ES) št. 2799/98, (EC) št. 814/2000, (ES) št. 1290/2005 in (ES) št. 485/2008 (UL L 347, 20.12.2013, str. 549).</w:t>
            </w:r>
          </w:p>
        </w:tc>
        <w:tc>
          <w:tcPr>
            <w:tcW w:w="4876" w:type="dxa"/>
          </w:tcPr>
          <w:p w14:paraId="4A3F531F" w14:textId="77777777" w:rsidR="003663AF" w:rsidRPr="00B7760C" w:rsidRDefault="003663AF" w:rsidP="00E804B7">
            <w:pPr>
              <w:pStyle w:val="Normal6"/>
              <w:rPr>
                <w:vertAlign w:val="superscript"/>
              </w:rPr>
            </w:pPr>
            <w:r w:rsidRPr="00B7760C">
              <w:rPr>
                <w:vertAlign w:val="superscript"/>
              </w:rPr>
              <w:t>14</w:t>
            </w:r>
            <w:r w:rsidR="00E75B00" w:rsidRPr="00B7760C">
              <w:tab/>
            </w:r>
            <w:r w:rsidRPr="00B7760C">
              <w:t>Uredba (EU) št. 1306/2013 Evropskega parlamenta in Sveta z dne 17. decembra 2013 o financiranju, upravljanju in spremljanju skupne kmetijske politike in razveljavitvi uredb Sveta (EGS) št. 352/78, (ES) št. 165/94, (ES) št. 2799/98, (EC) št. 814/2000, (ES) št. 1290/2005 in (ES) št. 485/2008 (UL L 347, 20.12.2013, str. 549).</w:t>
            </w:r>
          </w:p>
        </w:tc>
      </w:tr>
      <w:tr w:rsidR="003663AF" w:rsidRPr="00B7760C" w14:paraId="30EA1DCC" w14:textId="77777777" w:rsidTr="00E804B7">
        <w:trPr>
          <w:jc w:val="center"/>
        </w:trPr>
        <w:tc>
          <w:tcPr>
            <w:tcW w:w="4876" w:type="dxa"/>
          </w:tcPr>
          <w:p w14:paraId="00B57719" w14:textId="77777777" w:rsidR="003663AF" w:rsidRPr="00B7760C" w:rsidRDefault="003663AF" w:rsidP="00E804B7">
            <w:pPr>
              <w:pStyle w:val="Normal6"/>
              <w:rPr>
                <w:b/>
                <w:vertAlign w:val="superscript"/>
              </w:rPr>
            </w:pPr>
            <w:r w:rsidRPr="00B7760C">
              <w:rPr>
                <w:vertAlign w:val="superscript"/>
              </w:rPr>
              <w:t>15</w:t>
            </w:r>
            <w:r w:rsidR="00E75B00" w:rsidRPr="00B7760C">
              <w:tab/>
            </w:r>
            <w:r w:rsidRPr="00B7760C">
              <w:t>Direktiva Evropskega parlamenta in Sveta 2000/60/ES z dne 23. oktobra 2000 o določitvi okvira za ukrepe Skupnosti na področju vodne politike (UL L 327, 22.12.2000, str. 1).</w:t>
            </w:r>
          </w:p>
        </w:tc>
        <w:tc>
          <w:tcPr>
            <w:tcW w:w="4876" w:type="dxa"/>
          </w:tcPr>
          <w:p w14:paraId="4CA6AA8F" w14:textId="77777777" w:rsidR="003663AF" w:rsidRPr="00B7760C" w:rsidRDefault="003663AF" w:rsidP="00E804B7">
            <w:pPr>
              <w:pStyle w:val="Normal6"/>
              <w:rPr>
                <w:vertAlign w:val="superscript"/>
              </w:rPr>
            </w:pPr>
            <w:r w:rsidRPr="00B7760C">
              <w:rPr>
                <w:vertAlign w:val="superscript"/>
              </w:rPr>
              <w:t>15</w:t>
            </w:r>
            <w:r w:rsidR="00E75B00" w:rsidRPr="00B7760C">
              <w:tab/>
            </w:r>
            <w:r w:rsidRPr="00B7760C">
              <w:t>Direktiva Evropskega parlamenta in Sveta 2000/60/ES z dne 23. oktobra 2000 o določitvi okvira za ukrepe Skupnosti na področju vodne politike (UL L 327, 22.12.2000, str. 1).</w:t>
            </w:r>
          </w:p>
        </w:tc>
      </w:tr>
      <w:tr w:rsidR="003663AF" w:rsidRPr="00B7760C" w14:paraId="04902BF6" w14:textId="77777777" w:rsidTr="00E804B7">
        <w:trPr>
          <w:jc w:val="center"/>
        </w:trPr>
        <w:tc>
          <w:tcPr>
            <w:tcW w:w="4876" w:type="dxa"/>
          </w:tcPr>
          <w:p w14:paraId="2085E4FE" w14:textId="77777777" w:rsidR="003663AF" w:rsidRPr="00B7760C" w:rsidRDefault="003663AF" w:rsidP="00E804B7">
            <w:pPr>
              <w:pStyle w:val="Normal6"/>
              <w:rPr>
                <w:vertAlign w:val="superscript"/>
              </w:rPr>
            </w:pPr>
            <w:r w:rsidRPr="00B7760C">
              <w:rPr>
                <w:vertAlign w:val="superscript"/>
              </w:rPr>
              <w:t>16</w:t>
            </w:r>
            <w:r w:rsidR="00E75B00" w:rsidRPr="00B7760C">
              <w:tab/>
            </w:r>
            <w:r w:rsidRPr="00B7760C">
              <w:t>Direktiva 2009/128/ES Evropskega parlamenta in Sveta z dne 21. oktobra 2009 o določitvi okvira za ukrepe Skupnosti za doseganje trajnostne rabe pesticidov (UL L 309, 24.11.2009, str. 71).</w:t>
            </w:r>
          </w:p>
        </w:tc>
        <w:tc>
          <w:tcPr>
            <w:tcW w:w="4876" w:type="dxa"/>
          </w:tcPr>
          <w:p w14:paraId="4BAE9B7F" w14:textId="77777777" w:rsidR="003663AF" w:rsidRPr="00B7760C" w:rsidRDefault="003663AF" w:rsidP="00E804B7">
            <w:pPr>
              <w:pStyle w:val="Normal6"/>
              <w:rPr>
                <w:vertAlign w:val="superscript"/>
              </w:rPr>
            </w:pPr>
            <w:r w:rsidRPr="00B7760C">
              <w:rPr>
                <w:vertAlign w:val="superscript"/>
              </w:rPr>
              <w:t>16</w:t>
            </w:r>
            <w:r w:rsidR="00E75B00" w:rsidRPr="00B7760C">
              <w:tab/>
            </w:r>
            <w:r w:rsidRPr="00B7760C">
              <w:t>Direktiva 2009/128/ES Evropskega parlamenta in Sveta z dne 21. oktobra 2009 o določitvi okvira za ukrepe Skupnosti za doseganje trajnostne rabe pesticidov (UL L 309, 24.11.2009, str. 71).</w:t>
            </w:r>
          </w:p>
        </w:tc>
      </w:tr>
    </w:tbl>
    <w:p w14:paraId="29F32129" w14:textId="77777777" w:rsidR="003663AF" w:rsidRPr="00B7760C" w:rsidRDefault="003663AF" w:rsidP="003663AF">
      <w:pPr>
        <w:pStyle w:val="Normal6"/>
      </w:pPr>
    </w:p>
    <w:p w14:paraId="6F4BDC7C" w14:textId="19199347" w:rsidR="003663AF" w:rsidRPr="00B7760C" w:rsidRDefault="00877691" w:rsidP="003663AF">
      <w:pPr>
        <w:pStyle w:val="AMNumberTabs"/>
      </w:pPr>
      <w:r w:rsidRPr="00B7760C">
        <w:t>Sprememba</w:t>
      </w:r>
      <w:r w:rsidR="003663AF" w:rsidRPr="00B7760C">
        <w:tab/>
      </w:r>
      <w:r w:rsidR="003663AF" w:rsidRPr="00B7760C">
        <w:tab/>
        <w:t>24</w:t>
      </w:r>
    </w:p>
    <w:p w14:paraId="4C5682E6" w14:textId="77777777" w:rsidR="003663AF" w:rsidRPr="00B7760C" w:rsidRDefault="003663AF" w:rsidP="003663AF">
      <w:pPr>
        <w:pStyle w:val="NormalBold12b"/>
      </w:pPr>
      <w:r w:rsidRPr="00B7760C">
        <w:t>Predlog uredbe</w:t>
      </w:r>
    </w:p>
    <w:p w14:paraId="2DE88327" w14:textId="77777777" w:rsidR="003663AF" w:rsidRPr="00B7760C" w:rsidRDefault="003663AF" w:rsidP="003663AF">
      <w:pPr>
        <w:pStyle w:val="NormalBold"/>
      </w:pPr>
      <w:r w:rsidRPr="00B7760C">
        <w:t>Uvodna izjava 24</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76D1034" w14:textId="77777777" w:rsidTr="00E804B7">
        <w:trPr>
          <w:trHeight w:hRule="exact" w:val="240"/>
          <w:jc w:val="center"/>
        </w:trPr>
        <w:tc>
          <w:tcPr>
            <w:tcW w:w="9752" w:type="dxa"/>
            <w:gridSpan w:val="2"/>
          </w:tcPr>
          <w:p w14:paraId="4BFC4197" w14:textId="77777777" w:rsidR="003663AF" w:rsidRPr="00B7760C" w:rsidRDefault="003663AF" w:rsidP="00E804B7"/>
        </w:tc>
      </w:tr>
      <w:tr w:rsidR="003663AF" w:rsidRPr="00B7760C" w14:paraId="6BB86DCC" w14:textId="77777777" w:rsidTr="00E804B7">
        <w:trPr>
          <w:trHeight w:val="240"/>
          <w:jc w:val="center"/>
        </w:trPr>
        <w:tc>
          <w:tcPr>
            <w:tcW w:w="4876" w:type="dxa"/>
          </w:tcPr>
          <w:p w14:paraId="1E136645" w14:textId="77777777" w:rsidR="003663AF" w:rsidRPr="00B7760C" w:rsidRDefault="003663AF" w:rsidP="00E804B7">
            <w:pPr>
              <w:pStyle w:val="ColumnHeading"/>
            </w:pPr>
            <w:r w:rsidRPr="00B7760C">
              <w:t>Besedilo, ki ga predlaga Komisija</w:t>
            </w:r>
          </w:p>
        </w:tc>
        <w:tc>
          <w:tcPr>
            <w:tcW w:w="4876" w:type="dxa"/>
          </w:tcPr>
          <w:p w14:paraId="69473490" w14:textId="0533BBBA" w:rsidR="003663AF" w:rsidRPr="00B7760C" w:rsidRDefault="00877691" w:rsidP="00E804B7">
            <w:pPr>
              <w:pStyle w:val="ColumnHeading"/>
            </w:pPr>
            <w:r w:rsidRPr="00B7760C">
              <w:t>Sprememba</w:t>
            </w:r>
          </w:p>
        </w:tc>
      </w:tr>
      <w:tr w:rsidR="003663AF" w:rsidRPr="00B7760C" w14:paraId="3C1CC90E" w14:textId="77777777" w:rsidTr="00E804B7">
        <w:trPr>
          <w:jc w:val="center"/>
        </w:trPr>
        <w:tc>
          <w:tcPr>
            <w:tcW w:w="4876" w:type="dxa"/>
          </w:tcPr>
          <w:p w14:paraId="1D59241F" w14:textId="77777777" w:rsidR="003663AF" w:rsidRPr="00B7760C" w:rsidRDefault="003663AF" w:rsidP="00E804B7">
            <w:pPr>
              <w:pStyle w:val="Normal6"/>
            </w:pPr>
            <w:r w:rsidRPr="00B7760C">
              <w:t>(24)</w:t>
            </w:r>
            <w:r w:rsidRPr="00B7760C">
              <w:tab/>
              <w:t xml:space="preserve">Države članice bi morale </w:t>
            </w:r>
            <w:r w:rsidRPr="00B7760C">
              <w:rPr>
                <w:b/>
                <w:i/>
              </w:rPr>
              <w:t>vzpostaviti</w:t>
            </w:r>
            <w:r w:rsidRPr="00B7760C">
              <w:t xml:space="preserve"> storitve kmetijskega svetovanja, da bi se izboljšala trajnostno upravljanje in splošna uspešnost kmetijskih gospodarstev in podeželskih podjetij, pri čemer bi bila zajeta gospodarska, okoljska in socialna razsežnost, ter da bi se opredelile potrebne izboljšave, kar zadeva vse ukrepe na ravni kmetij, določene v strateških načrtih SKP. Te storitve kmetijskega svetovanja naj bi kmetom in drugim upravičencem do podpore v okviru SKP pomagale, da se bolj zavedajo razmerja med upravljanjem s kmetijskimi gospodarstvi in upravljanjem z zemljišči na eni strani ter nekaterimi standardi, zahtevami in informacijami, vključno z okoljskimi in podnebnimi, na drugi strani. Seznam slednjih vključuje standarde, ki veljajo ali so potrebni za kmete in druge upravičence do podpore v okviru SKP ter so določeni v strateškem načrtu SKP, kot tudi standarde, ki izhajajo iz zakonodaje o vodi in trajnostni rabi pesticidov, ter pobude zoper odpornost proti antimikrobikom in obvladovanje tveganj. Za večjo kakovost in učinkovitost svetovanja bi morale države članice svetovalce vključiti v sisteme znanja in inovacij v kmetijstvu (AKIS), da bi lahko zagotovile posodobljene tehnološke in znanstvene informacije, pridobljene z raziskavami in inovacijami.</w:t>
            </w:r>
          </w:p>
        </w:tc>
        <w:tc>
          <w:tcPr>
            <w:tcW w:w="4876" w:type="dxa"/>
          </w:tcPr>
          <w:p w14:paraId="7FCB7A39" w14:textId="77777777" w:rsidR="003663AF" w:rsidRPr="00B7760C" w:rsidRDefault="003663AF" w:rsidP="00E804B7">
            <w:pPr>
              <w:pStyle w:val="Normal6"/>
            </w:pPr>
            <w:r w:rsidRPr="00B7760C">
              <w:t>(24)</w:t>
            </w:r>
            <w:r w:rsidRPr="00B7760C">
              <w:tab/>
              <w:t xml:space="preserve">Države članice bi morale </w:t>
            </w:r>
            <w:r w:rsidRPr="00B7760C">
              <w:rPr>
                <w:b/>
                <w:i/>
              </w:rPr>
              <w:t>zagotavljati visokokakovostne</w:t>
            </w:r>
            <w:r w:rsidRPr="00B7760C">
              <w:t xml:space="preserve"> storitve kmetijskega svetovanja, da bi se izboljšala trajnostno upravljanje in splošna uspešnost kmetijskih gospodarstev in podeželskih podjetij, pri čemer bi bila zajeta gospodarska, okoljska in socialna razsežnost, ter da bi se opredelile potrebne izboljšave, kar zadeva vse ukrepe na ravni kmetij, določene v strateških načrtih SKP. Te storitve kmetijskega svetovanja naj bi kmetom in drugim upravičencem do podpore v okviru SKP pomagale, da se bolj zavedajo razmerja med upravljanjem s kmetijskimi gospodarstvi in upravljanjem z zemljišči na eni strani ter nekaterimi standardi, zahtevami in informacijami, vključno z okoljskimi in podnebnimi, na drugi strani. Seznam slednjih vključuje standarde, ki veljajo ali so potrebni za kmete in druge upravičence do podpore v okviru SKP ter so določeni v strateškem načrtu SKP, kot tudi standarde, ki izhajajo iz zakonodaje o vodi in trajnostni rabi pesticidov, ter pobude zoper odpornost proti antimikrobikom in obvladovanje tveganj. Za večjo kakovost in učinkovitost svetovanja bi morale države članice svetovalce vključiti v sisteme znanja in inovacij v kmetijstvu (AKIS), da bi lahko zagotovile posodobljene tehnološke in znanstvene informacije, pridobljene z raziskavami in inovacijami. </w:t>
            </w:r>
            <w:r w:rsidRPr="00B7760C">
              <w:rPr>
                <w:b/>
                <w:i/>
              </w:rPr>
              <w:t>Vse pobude Unije v zvezi s storitvami svetovanja in sistemi inovacij morajo, kadar je to mogoče, temeljiti na že obstoječih pobudah na ravni držav članic.</w:t>
            </w:r>
          </w:p>
        </w:tc>
      </w:tr>
    </w:tbl>
    <w:p w14:paraId="3759EABD" w14:textId="77777777" w:rsidR="003663AF" w:rsidRPr="00B7760C" w:rsidRDefault="003663AF" w:rsidP="003663AF"/>
    <w:p w14:paraId="0F8F2789" w14:textId="2CB57323" w:rsidR="003663AF" w:rsidRPr="00B7760C" w:rsidRDefault="00877691" w:rsidP="003663AF">
      <w:pPr>
        <w:pStyle w:val="AMNumberTabs"/>
      </w:pPr>
      <w:r w:rsidRPr="00B7760C">
        <w:t>Sprememba</w:t>
      </w:r>
      <w:r w:rsidR="003663AF" w:rsidRPr="00B7760C">
        <w:tab/>
      </w:r>
      <w:r w:rsidR="003663AF" w:rsidRPr="00B7760C">
        <w:tab/>
        <w:t>25</w:t>
      </w:r>
    </w:p>
    <w:p w14:paraId="01EC6234" w14:textId="77777777" w:rsidR="003663AF" w:rsidRPr="00B7760C" w:rsidRDefault="003663AF" w:rsidP="003663AF">
      <w:pPr>
        <w:pStyle w:val="NormalBold12b"/>
      </w:pPr>
      <w:r w:rsidRPr="00B7760C">
        <w:t>Predlog uredbe</w:t>
      </w:r>
    </w:p>
    <w:p w14:paraId="6480178A" w14:textId="77777777" w:rsidR="003663AF" w:rsidRPr="00B7760C" w:rsidRDefault="003663AF" w:rsidP="003663AF">
      <w:pPr>
        <w:pStyle w:val="NormalBold"/>
      </w:pPr>
      <w:r w:rsidRPr="00B7760C">
        <w:t>Uvodna izjava 26</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7809EE3" w14:textId="77777777" w:rsidTr="00E804B7">
        <w:trPr>
          <w:trHeight w:hRule="exact" w:val="240"/>
          <w:jc w:val="center"/>
        </w:trPr>
        <w:tc>
          <w:tcPr>
            <w:tcW w:w="9752" w:type="dxa"/>
            <w:gridSpan w:val="2"/>
          </w:tcPr>
          <w:p w14:paraId="2114013F" w14:textId="77777777" w:rsidR="003663AF" w:rsidRPr="00B7760C" w:rsidRDefault="003663AF" w:rsidP="00E804B7"/>
        </w:tc>
      </w:tr>
      <w:tr w:rsidR="003663AF" w:rsidRPr="00B7760C" w14:paraId="3FDADA4F" w14:textId="77777777" w:rsidTr="00E804B7">
        <w:trPr>
          <w:trHeight w:val="240"/>
          <w:jc w:val="center"/>
        </w:trPr>
        <w:tc>
          <w:tcPr>
            <w:tcW w:w="4876" w:type="dxa"/>
          </w:tcPr>
          <w:p w14:paraId="3C5C2B81" w14:textId="77777777" w:rsidR="003663AF" w:rsidRPr="00B7760C" w:rsidRDefault="003663AF" w:rsidP="00E804B7">
            <w:pPr>
              <w:pStyle w:val="ColumnHeading"/>
            </w:pPr>
            <w:r w:rsidRPr="00B7760C">
              <w:t>Besedilo, ki ga predlaga Komisija</w:t>
            </w:r>
          </w:p>
        </w:tc>
        <w:tc>
          <w:tcPr>
            <w:tcW w:w="4876" w:type="dxa"/>
          </w:tcPr>
          <w:p w14:paraId="36FDC0D1" w14:textId="480ED1C4" w:rsidR="003663AF" w:rsidRPr="00B7760C" w:rsidRDefault="00877691" w:rsidP="00E804B7">
            <w:pPr>
              <w:pStyle w:val="ColumnHeading"/>
            </w:pPr>
            <w:r w:rsidRPr="00B7760C">
              <w:t>Sprememba</w:t>
            </w:r>
          </w:p>
        </w:tc>
      </w:tr>
      <w:tr w:rsidR="003663AF" w:rsidRPr="00B7760C" w14:paraId="1FBBF730" w14:textId="77777777" w:rsidTr="00E804B7">
        <w:trPr>
          <w:jc w:val="center"/>
        </w:trPr>
        <w:tc>
          <w:tcPr>
            <w:tcW w:w="4876" w:type="dxa"/>
          </w:tcPr>
          <w:p w14:paraId="49F5CE02" w14:textId="77777777" w:rsidR="003663AF" w:rsidRPr="00B7760C" w:rsidRDefault="003663AF" w:rsidP="00E804B7">
            <w:pPr>
              <w:pStyle w:val="Normal6"/>
            </w:pPr>
            <w:r w:rsidRPr="00B7760C">
              <w:t>(26)</w:t>
            </w:r>
            <w:r w:rsidRPr="00B7760C">
              <w:tab/>
              <w:t xml:space="preserve">Zakonodaja Unije bi morala določati, da države članice v svojem strateškem načrtu SKP določijo zahteve glede minimalne površine, ki prejme nevezana plačila. Takšne zahteve bi se morale nanašati na potrebo, da se prepreči prekomerno upravno breme, ki ga povzroči upravljanje številnih plačil majhnih zneskov, in potrebo po zagotavljanju učinkovitega prispevanja podpore k ciljem SKP, h katerim prispevajo nevezana neposredna plačila. Da bi zagotovili minimalno raven kmetijske dohodkovne podpore za vse </w:t>
            </w:r>
            <w:r w:rsidRPr="00B7760C">
              <w:rPr>
                <w:b/>
                <w:i/>
              </w:rPr>
              <w:t>prave</w:t>
            </w:r>
            <w:r w:rsidRPr="00B7760C">
              <w:t xml:space="preserve"> kmete in izpolnili cilj Pogodbe, tj. kmetijski skupnosti zagotoviti primeren življenjski standard, bi bilo treba letno nevezano plačilo na površino določiti kot vrsto intervencije „osnovna dohodkovna podpora za trajnostnost“. Za boljšo ciljno usmerjenost te podpore so zneski plačil lahko diferencirani po skupinah ozemelj na podlagi socialno-ekonomskih in/ali agronomskih razmer. Države članice se lahko za preprečitev motenj za dohodke kmetov odločijo, da bodo osnovno dohodkovno podporo za trajnostnost izvajale na podlagi plačilnih pravic. V tem primeru bi morala biti vrednost plačilnih pravic pred kakršno koli nadaljnjo konvergenco sorazmerna z njihovo vrednostjo, določeno v okviru shem osnovnega plačila v skladu z Uredbo (EU) št. 1307/2013, pri čemer se upoštevajo tudi plačila za kmetijske prakse, ki ugodno vplivajo na podnebje in okolje. Države članice bi poleg tega morale doseči nadaljnjo konvergenco, da bi </w:t>
            </w:r>
            <w:r w:rsidRPr="00B7760C">
              <w:rPr>
                <w:b/>
                <w:i/>
              </w:rPr>
              <w:t>se še naprej</w:t>
            </w:r>
            <w:r w:rsidRPr="00B7760C">
              <w:t xml:space="preserve"> postopoma </w:t>
            </w:r>
            <w:r w:rsidRPr="00B7760C">
              <w:rPr>
                <w:b/>
                <w:i/>
              </w:rPr>
              <w:t>odmikale od preteklih vrednosti</w:t>
            </w:r>
            <w:r w:rsidRPr="00B7760C">
              <w:t>.</w:t>
            </w:r>
          </w:p>
        </w:tc>
        <w:tc>
          <w:tcPr>
            <w:tcW w:w="4876" w:type="dxa"/>
          </w:tcPr>
          <w:p w14:paraId="75ECFD3D" w14:textId="77777777" w:rsidR="003663AF" w:rsidRPr="00B7760C" w:rsidRDefault="003663AF" w:rsidP="00E804B7">
            <w:pPr>
              <w:pStyle w:val="Normal6"/>
            </w:pPr>
            <w:r w:rsidRPr="00B7760C">
              <w:t>(26)</w:t>
            </w:r>
            <w:r w:rsidRPr="00B7760C">
              <w:tab/>
              <w:t xml:space="preserve">Zakonodaja Unije bi morala določati, da države članice v svojem strateškem načrtu SKP določijo zahteve glede minimalne površine, ki prejme nevezana plačila. Takšne zahteve bi se morale nanašati na potrebo, da se prepreči prekomerno upravno breme, ki ga povzroči upravljanje številnih plačil majhnih zneskov, in potrebo po zagotavljanju učinkovitega prispevanja podpore k ciljem SKP, h katerim prispevajo nevezana neposredna plačila. Da bi zagotovili minimalno raven kmetijske dohodkovne podpore za vse </w:t>
            </w:r>
            <w:r w:rsidRPr="00B7760C">
              <w:rPr>
                <w:b/>
                <w:i/>
              </w:rPr>
              <w:t>dejavne</w:t>
            </w:r>
            <w:r w:rsidRPr="00B7760C">
              <w:t xml:space="preserve"> kmete in izpolnili cilj Pogodbe, tj. kmetijski skupnosti zagotoviti primeren življenjski standard, bi bilo treba letno nevezano plačilo na površino določiti kot vrsto intervencije „osnovna dohodkovna podpora za trajnostnost“. Za boljšo ciljno usmerjenost te podpore so zneski plačil lahko diferencirani po skupinah ozemelj na podlagi socialno-ekonomskih</w:t>
            </w:r>
            <w:r w:rsidRPr="00B7760C">
              <w:rPr>
                <w:b/>
                <w:i/>
              </w:rPr>
              <w:t>, okoljskih</w:t>
            </w:r>
            <w:r w:rsidRPr="00B7760C">
              <w:t xml:space="preserve"> in/ali agronomskih razmer. Države članice se lahko za preprečitev motenj za dohodke kmetov odločijo, da bodo osnovno dohodkovno podporo za trajnostnost izvajale na podlagi plačilnih pravic. V tem primeru bi morala biti vrednost plačilnih pravic pred kakršno koli nadaljnjo konvergenco sorazmerna z njihovo vrednostjo, določeno v okviru shem osnovnega plačila v skladu z Uredbo (EU) št. 1307/2013, pri čemer se upoštevajo tudi plačila za kmetijske prakse, ki ugodno vplivajo na podnebje in okolje. Države članice bi poleg tega morale doseči nadaljnjo konvergenco, da bi </w:t>
            </w:r>
            <w:r w:rsidRPr="00B7760C">
              <w:rPr>
                <w:b/>
                <w:i/>
              </w:rPr>
              <w:t>do leta 2026</w:t>
            </w:r>
            <w:r w:rsidRPr="00B7760C">
              <w:t xml:space="preserve"> postopoma </w:t>
            </w:r>
            <w:r w:rsidRPr="00B7760C">
              <w:rPr>
                <w:b/>
                <w:i/>
              </w:rPr>
              <w:t>dosegle polno konvergenco</w:t>
            </w:r>
            <w:r w:rsidRPr="00B7760C">
              <w:t>.</w:t>
            </w:r>
          </w:p>
        </w:tc>
      </w:tr>
    </w:tbl>
    <w:p w14:paraId="5E542420" w14:textId="77777777" w:rsidR="003663AF" w:rsidRPr="00B7760C" w:rsidRDefault="003663AF" w:rsidP="003663AF">
      <w:pPr>
        <w:pStyle w:val="Normal6"/>
      </w:pPr>
    </w:p>
    <w:p w14:paraId="5CFAD449" w14:textId="7B92340D" w:rsidR="003663AF" w:rsidRPr="00B7760C" w:rsidRDefault="00877691" w:rsidP="003663AF">
      <w:pPr>
        <w:pStyle w:val="AMNumberTabs"/>
      </w:pPr>
      <w:r w:rsidRPr="00B7760C">
        <w:t>Sprememba</w:t>
      </w:r>
      <w:r w:rsidR="003663AF" w:rsidRPr="00B7760C">
        <w:tab/>
      </w:r>
      <w:r w:rsidR="003663AF" w:rsidRPr="00B7760C">
        <w:tab/>
        <w:t>26</w:t>
      </w:r>
    </w:p>
    <w:p w14:paraId="1DAEED9B" w14:textId="77777777" w:rsidR="003663AF" w:rsidRPr="00B7760C" w:rsidRDefault="003663AF" w:rsidP="003663AF">
      <w:pPr>
        <w:pStyle w:val="NormalBold12b"/>
      </w:pPr>
      <w:r w:rsidRPr="00B7760C">
        <w:t>Predlog uredbe</w:t>
      </w:r>
    </w:p>
    <w:p w14:paraId="5ADE1B2A" w14:textId="77777777" w:rsidR="003663AF" w:rsidRPr="00B7760C" w:rsidRDefault="003663AF" w:rsidP="003663AF">
      <w:pPr>
        <w:pStyle w:val="NormalBold"/>
      </w:pPr>
      <w:r w:rsidRPr="00B7760C">
        <w:t>Uvodna izjava 26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0F1C7F3" w14:textId="77777777" w:rsidTr="00E804B7">
        <w:trPr>
          <w:trHeight w:hRule="exact" w:val="240"/>
          <w:jc w:val="center"/>
        </w:trPr>
        <w:tc>
          <w:tcPr>
            <w:tcW w:w="9752" w:type="dxa"/>
            <w:gridSpan w:val="2"/>
          </w:tcPr>
          <w:p w14:paraId="15C4FB85" w14:textId="77777777" w:rsidR="003663AF" w:rsidRPr="00B7760C" w:rsidRDefault="003663AF" w:rsidP="00E804B7"/>
        </w:tc>
      </w:tr>
      <w:tr w:rsidR="003663AF" w:rsidRPr="00B7760C" w14:paraId="1C28EFA4" w14:textId="77777777" w:rsidTr="00E804B7">
        <w:trPr>
          <w:trHeight w:val="240"/>
          <w:jc w:val="center"/>
        </w:trPr>
        <w:tc>
          <w:tcPr>
            <w:tcW w:w="4876" w:type="dxa"/>
          </w:tcPr>
          <w:p w14:paraId="16909CAE" w14:textId="77777777" w:rsidR="003663AF" w:rsidRPr="00B7760C" w:rsidRDefault="003663AF" w:rsidP="00E804B7">
            <w:pPr>
              <w:pStyle w:val="ColumnHeading"/>
            </w:pPr>
            <w:r w:rsidRPr="00B7760C">
              <w:t>Besedilo, ki ga predlaga Komisija</w:t>
            </w:r>
          </w:p>
        </w:tc>
        <w:tc>
          <w:tcPr>
            <w:tcW w:w="4876" w:type="dxa"/>
          </w:tcPr>
          <w:p w14:paraId="44D78C2A" w14:textId="32E3CD7C" w:rsidR="003663AF" w:rsidRPr="00B7760C" w:rsidRDefault="00877691" w:rsidP="00E804B7">
            <w:pPr>
              <w:pStyle w:val="ColumnHeading"/>
            </w:pPr>
            <w:r w:rsidRPr="00B7760C">
              <w:t>Sprememba</w:t>
            </w:r>
          </w:p>
        </w:tc>
      </w:tr>
      <w:tr w:rsidR="003663AF" w:rsidRPr="00B7760C" w14:paraId="7EFBC9D7" w14:textId="77777777" w:rsidTr="00E804B7">
        <w:trPr>
          <w:jc w:val="center"/>
        </w:trPr>
        <w:tc>
          <w:tcPr>
            <w:tcW w:w="4876" w:type="dxa"/>
          </w:tcPr>
          <w:p w14:paraId="697E2BE2" w14:textId="77777777" w:rsidR="003663AF" w:rsidRPr="00B7760C" w:rsidRDefault="003663AF" w:rsidP="00E804B7">
            <w:pPr>
              <w:pStyle w:val="Normal6"/>
            </w:pPr>
          </w:p>
        </w:tc>
        <w:tc>
          <w:tcPr>
            <w:tcW w:w="4876" w:type="dxa"/>
          </w:tcPr>
          <w:p w14:paraId="28667DFB" w14:textId="3692E9BA" w:rsidR="003663AF" w:rsidRPr="00B7760C" w:rsidRDefault="003663AF" w:rsidP="000D6036">
            <w:pPr>
              <w:pStyle w:val="Normal6"/>
            </w:pPr>
            <w:r w:rsidRPr="00B7760C">
              <w:rPr>
                <w:b/>
                <w:i/>
              </w:rPr>
              <w:t>(26a)</w:t>
            </w:r>
            <w:r w:rsidRPr="00B7760C">
              <w:tab/>
            </w:r>
            <w:r w:rsidRPr="00B7760C">
              <w:rPr>
                <w:b/>
                <w:i/>
              </w:rPr>
              <w:t>Dohodkovna podpora v okviru SKP veliko prispeva k stabilnosti in trajnosti številnih malih in družinskih kmetij v Evropi. Čeprav so se pričakovanja do kmetov povečala, pa to ne velja za njihove denarne prejemke.</w:t>
            </w:r>
            <w:r w:rsidRPr="00B7760C">
              <w:t xml:space="preserve"> </w:t>
            </w:r>
            <w:r w:rsidRPr="00B7760C">
              <w:rPr>
                <w:b/>
                <w:i/>
              </w:rPr>
              <w:t xml:space="preserve">Skupni delež SKP v EU se zmanjšuje, pri tem pa krize na trgu v tem sektorju in vedno manjše število </w:t>
            </w:r>
            <w:r w:rsidR="000D6036" w:rsidRPr="00B7760C">
              <w:rPr>
                <w:b/>
                <w:i/>
              </w:rPr>
              <w:t xml:space="preserve">dejavnih </w:t>
            </w:r>
            <w:r w:rsidRPr="00B7760C">
              <w:rPr>
                <w:b/>
                <w:i/>
              </w:rPr>
              <w:t>kmetov še naprej ogrožajo preživetje sektorja.</w:t>
            </w:r>
            <w:r w:rsidRPr="00B7760C">
              <w:t xml:space="preserve"> </w:t>
            </w:r>
            <w:r w:rsidRPr="00B7760C">
              <w:rPr>
                <w:b/>
                <w:i/>
              </w:rPr>
              <w:t>Model družinske kmetije je treba ohraniti v okviru splošnih ciljev SKP in strateških načrtov držav članic ter priznati njegovo pomembno vlogo pri ohranjanju družbene strukture na podeželju in zagotavljanju načina življenja številnih prebivalcev podeželja.</w:t>
            </w:r>
            <w:r w:rsidRPr="00B7760C">
              <w:t xml:space="preserve"> </w:t>
            </w:r>
            <w:r w:rsidRPr="00B7760C">
              <w:rPr>
                <w:b/>
                <w:i/>
              </w:rPr>
              <w:t>Družinske kmetije prispevajo k trajnostni proizvodnji hrane, ohranjanju naravnih virov, diverzifikaciji in zagotavljanju prehranske varnosti.</w:t>
            </w:r>
            <w:r w:rsidRPr="00B7760C">
              <w:t xml:space="preserve"> </w:t>
            </w:r>
            <w:r w:rsidRPr="00B7760C">
              <w:rPr>
                <w:b/>
                <w:i/>
              </w:rPr>
              <w:t>Izjemen pritisk globalizacije bodo najprej občutili prav kmetje na malih družinskih kmetijah.</w:t>
            </w:r>
            <w:r w:rsidRPr="00B7760C">
              <w:t xml:space="preserve"> </w:t>
            </w:r>
            <w:r w:rsidRPr="00B7760C">
              <w:rPr>
                <w:b/>
                <w:i/>
              </w:rPr>
              <w:t>To bi pomenilo, da cilji SKP očitno niso doseženi, in spodkopalo argumente za podporo SKP v prihodnje.</w:t>
            </w:r>
            <w:r w:rsidRPr="00B7760C">
              <w:t xml:space="preserve"> </w:t>
            </w:r>
            <w:r w:rsidRPr="00B7760C">
              <w:rPr>
                <w:b/>
                <w:i/>
              </w:rPr>
              <w:t>Zato bi si morali strateški načrti SKP v svojih specifičnih ciljih prizadevati za zaščito tega modela kmetovanja.</w:t>
            </w:r>
          </w:p>
        </w:tc>
      </w:tr>
    </w:tbl>
    <w:p w14:paraId="1C7B3E22" w14:textId="77777777" w:rsidR="003663AF" w:rsidRPr="00B7760C" w:rsidRDefault="003663AF" w:rsidP="003663AF"/>
    <w:p w14:paraId="3F0B7019" w14:textId="684EE423" w:rsidR="003663AF" w:rsidRPr="00B7760C" w:rsidRDefault="00877691" w:rsidP="003663AF">
      <w:pPr>
        <w:pStyle w:val="AMNumberTabs"/>
      </w:pPr>
      <w:r w:rsidRPr="00B7760C">
        <w:t>Sprememba</w:t>
      </w:r>
      <w:r w:rsidR="003663AF" w:rsidRPr="00B7760C">
        <w:tab/>
      </w:r>
      <w:r w:rsidR="003663AF" w:rsidRPr="00B7760C">
        <w:tab/>
        <w:t>27</w:t>
      </w:r>
    </w:p>
    <w:p w14:paraId="34D84F71" w14:textId="77777777" w:rsidR="003663AF" w:rsidRPr="00B7760C" w:rsidRDefault="003663AF" w:rsidP="003663AF">
      <w:pPr>
        <w:pStyle w:val="NormalBold12b"/>
      </w:pPr>
      <w:r w:rsidRPr="00B7760C">
        <w:t>Predlog uredbe</w:t>
      </w:r>
    </w:p>
    <w:p w14:paraId="696C6C27" w14:textId="77777777" w:rsidR="003663AF" w:rsidRPr="00B7760C" w:rsidRDefault="003663AF" w:rsidP="003663AF">
      <w:pPr>
        <w:pStyle w:val="NormalBold"/>
      </w:pPr>
      <w:r w:rsidRPr="00B7760C">
        <w:t>Uvodna izjava 28</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0D249DA" w14:textId="77777777" w:rsidTr="00E804B7">
        <w:trPr>
          <w:trHeight w:hRule="exact" w:val="240"/>
          <w:jc w:val="center"/>
        </w:trPr>
        <w:tc>
          <w:tcPr>
            <w:tcW w:w="9752" w:type="dxa"/>
            <w:gridSpan w:val="2"/>
          </w:tcPr>
          <w:p w14:paraId="7F7E06A8" w14:textId="77777777" w:rsidR="003663AF" w:rsidRPr="00B7760C" w:rsidRDefault="003663AF" w:rsidP="00E804B7"/>
        </w:tc>
      </w:tr>
      <w:tr w:rsidR="003663AF" w:rsidRPr="00B7760C" w14:paraId="45219E9F" w14:textId="77777777" w:rsidTr="00E804B7">
        <w:trPr>
          <w:trHeight w:val="240"/>
          <w:jc w:val="center"/>
        </w:trPr>
        <w:tc>
          <w:tcPr>
            <w:tcW w:w="4876" w:type="dxa"/>
          </w:tcPr>
          <w:p w14:paraId="3E67FC8C" w14:textId="77777777" w:rsidR="003663AF" w:rsidRPr="00B7760C" w:rsidRDefault="003663AF" w:rsidP="00E804B7">
            <w:pPr>
              <w:pStyle w:val="ColumnHeading"/>
            </w:pPr>
            <w:r w:rsidRPr="00B7760C">
              <w:t>Besedilo, ki ga predlaga Komisija</w:t>
            </w:r>
          </w:p>
        </w:tc>
        <w:tc>
          <w:tcPr>
            <w:tcW w:w="4876" w:type="dxa"/>
          </w:tcPr>
          <w:p w14:paraId="36506439" w14:textId="3593079B" w:rsidR="003663AF" w:rsidRPr="00B7760C" w:rsidRDefault="00877691" w:rsidP="00E804B7">
            <w:pPr>
              <w:pStyle w:val="ColumnHeading"/>
            </w:pPr>
            <w:r w:rsidRPr="00B7760C">
              <w:t>Sprememba</w:t>
            </w:r>
          </w:p>
        </w:tc>
      </w:tr>
      <w:tr w:rsidR="003663AF" w:rsidRPr="00B7760C" w14:paraId="3E42D02E" w14:textId="77777777" w:rsidTr="00E804B7">
        <w:trPr>
          <w:jc w:val="center"/>
        </w:trPr>
        <w:tc>
          <w:tcPr>
            <w:tcW w:w="4876" w:type="dxa"/>
          </w:tcPr>
          <w:p w14:paraId="35CF1147" w14:textId="77777777" w:rsidR="003663AF" w:rsidRPr="00B7760C" w:rsidRDefault="003663AF" w:rsidP="00E804B7">
            <w:pPr>
              <w:pStyle w:val="Normal6"/>
            </w:pPr>
            <w:r w:rsidRPr="00B7760C">
              <w:t>(28)</w:t>
            </w:r>
            <w:r w:rsidRPr="00B7760C">
              <w:tab/>
              <w:t xml:space="preserve">Male kmetije so še vedno temelj kmetijstva Unije, saj imajo ključno vlogo pri podpiranju zaposlovanja na podeželju in prispevajo k teritorialnemu razvoju. Da bi spodbujali bolj uravnoteženo porazdelitev podpore in zmanjšali upravno breme za upravičence do majhnih zneskov, bi morale države članice imeti možnost, da malim kmetom ponudijo možnost nadomestitve </w:t>
            </w:r>
            <w:r w:rsidRPr="00B7760C">
              <w:rPr>
                <w:b/>
                <w:i/>
              </w:rPr>
              <w:t>drugih</w:t>
            </w:r>
            <w:r w:rsidRPr="00B7760C">
              <w:t xml:space="preserve"> neposrednih plačil z zaokroženim zneskom plačila za male kmete.</w:t>
            </w:r>
          </w:p>
        </w:tc>
        <w:tc>
          <w:tcPr>
            <w:tcW w:w="4876" w:type="dxa"/>
          </w:tcPr>
          <w:p w14:paraId="63D6B0A0" w14:textId="77777777" w:rsidR="003663AF" w:rsidRPr="00B7760C" w:rsidRDefault="003663AF" w:rsidP="00E804B7">
            <w:pPr>
              <w:pStyle w:val="Normal6"/>
            </w:pPr>
            <w:r w:rsidRPr="00B7760C">
              <w:t>(28)</w:t>
            </w:r>
            <w:r w:rsidRPr="00B7760C">
              <w:tab/>
              <w:t>Male kmetije so še vedno temelj kmetijstva Unije, saj imajo ključno vlogo pri podpiranju zaposlovanja na podeželju in prispevajo k teritorialnemu razvoju. Da bi spodbujali bolj uravnoteženo porazdelitev podpore in zmanjšali upravno breme za upravičence do majhnih zneskov, bi morale države članice imeti možnost, da malim kmetom ponudijo možnost nadomestitve neposrednih plačil z zaokroženim zneskom plačila za male kmete.</w:t>
            </w:r>
            <w:r w:rsidRPr="00B7760C">
              <w:rPr>
                <w:b/>
                <w:i/>
              </w:rPr>
              <w:t xml:space="preserve"> Vendar bi bilo treba države članice z namenom večjega zmanjšanja upravnega bremena pooblastiti, da na začetku nekatere kmete samodejno vključijo v poenostavljeno shemo in jim ponudijo možnost, da se v določenem roku iz nje umaknejo. V skladu z načelom sorazmernosti je treba državam članicam omogočiti, da za male kmete, ki sodelujejo v poenostavljeni shemi, uvedejo v poenostavljeno shemo pregledov pogojenosti.</w:t>
            </w:r>
          </w:p>
        </w:tc>
      </w:tr>
    </w:tbl>
    <w:p w14:paraId="24393753" w14:textId="77777777" w:rsidR="003663AF" w:rsidRPr="00B7760C" w:rsidRDefault="003663AF" w:rsidP="003663AF"/>
    <w:p w14:paraId="420C30FC" w14:textId="3D1D6800" w:rsidR="003663AF" w:rsidRPr="00B7760C" w:rsidRDefault="00877691" w:rsidP="003663AF">
      <w:pPr>
        <w:pStyle w:val="AMNumberTabs"/>
      </w:pPr>
      <w:r w:rsidRPr="00B7760C">
        <w:t>Sprememb</w:t>
      </w:r>
      <w:r w:rsidR="006B241B" w:rsidRPr="00B7760C">
        <w:t>i</w:t>
      </w:r>
      <w:r w:rsidR="003663AF" w:rsidRPr="00B7760C">
        <w:tab/>
      </w:r>
      <w:r w:rsidR="003663AF" w:rsidRPr="00B7760C">
        <w:tab/>
        <w:t>28</w:t>
      </w:r>
      <w:r w:rsidR="006B241B" w:rsidRPr="00B7760C">
        <w:t xml:space="preserve"> in 791</w:t>
      </w:r>
    </w:p>
    <w:p w14:paraId="68C01879" w14:textId="77777777" w:rsidR="003663AF" w:rsidRPr="00B7760C" w:rsidRDefault="003663AF" w:rsidP="003663AF">
      <w:pPr>
        <w:pStyle w:val="NormalBold12b"/>
      </w:pPr>
      <w:r w:rsidRPr="00B7760C">
        <w:t>Predlog uredbe</w:t>
      </w:r>
    </w:p>
    <w:p w14:paraId="2C77CD7F" w14:textId="77777777" w:rsidR="003663AF" w:rsidRPr="00B7760C" w:rsidRDefault="003663AF" w:rsidP="003663AF">
      <w:pPr>
        <w:pStyle w:val="NormalBold"/>
      </w:pPr>
      <w:r w:rsidRPr="00B7760C">
        <w:t>Uvodna izjava 30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11A348C" w14:textId="77777777" w:rsidTr="00E804B7">
        <w:trPr>
          <w:trHeight w:hRule="exact" w:val="240"/>
          <w:jc w:val="center"/>
        </w:trPr>
        <w:tc>
          <w:tcPr>
            <w:tcW w:w="9752" w:type="dxa"/>
            <w:gridSpan w:val="2"/>
          </w:tcPr>
          <w:p w14:paraId="0B135E6D" w14:textId="77777777" w:rsidR="003663AF" w:rsidRPr="00B7760C" w:rsidRDefault="003663AF" w:rsidP="00E804B7"/>
        </w:tc>
      </w:tr>
      <w:tr w:rsidR="003663AF" w:rsidRPr="00B7760C" w14:paraId="71E2E93C" w14:textId="77777777" w:rsidTr="00E804B7">
        <w:trPr>
          <w:trHeight w:val="240"/>
          <w:jc w:val="center"/>
        </w:trPr>
        <w:tc>
          <w:tcPr>
            <w:tcW w:w="4876" w:type="dxa"/>
          </w:tcPr>
          <w:p w14:paraId="655E9422" w14:textId="77777777" w:rsidR="003663AF" w:rsidRPr="00B7760C" w:rsidRDefault="003663AF" w:rsidP="00E804B7">
            <w:pPr>
              <w:pStyle w:val="ColumnHeading"/>
            </w:pPr>
            <w:r w:rsidRPr="00B7760C">
              <w:t>Besedilo, ki ga predlaga Komisija</w:t>
            </w:r>
          </w:p>
        </w:tc>
        <w:tc>
          <w:tcPr>
            <w:tcW w:w="4876" w:type="dxa"/>
          </w:tcPr>
          <w:p w14:paraId="7865BBCF" w14:textId="7281E392" w:rsidR="003663AF" w:rsidRPr="00B7760C" w:rsidRDefault="00877691" w:rsidP="00E804B7">
            <w:pPr>
              <w:pStyle w:val="ColumnHeading"/>
            </w:pPr>
            <w:r w:rsidRPr="00B7760C">
              <w:t>Sprememba</w:t>
            </w:r>
          </w:p>
        </w:tc>
      </w:tr>
      <w:tr w:rsidR="003663AF" w:rsidRPr="00B7760C" w14:paraId="14967F0E" w14:textId="77777777" w:rsidTr="00E804B7">
        <w:trPr>
          <w:jc w:val="center"/>
        </w:trPr>
        <w:tc>
          <w:tcPr>
            <w:tcW w:w="4876" w:type="dxa"/>
          </w:tcPr>
          <w:p w14:paraId="291A9883" w14:textId="77777777" w:rsidR="003663AF" w:rsidRPr="00B7760C" w:rsidRDefault="003663AF" w:rsidP="00E804B7">
            <w:pPr>
              <w:pStyle w:val="Normal6"/>
            </w:pPr>
          </w:p>
        </w:tc>
        <w:tc>
          <w:tcPr>
            <w:tcW w:w="4876" w:type="dxa"/>
          </w:tcPr>
          <w:p w14:paraId="7C599AD9" w14:textId="77777777" w:rsidR="003663AF" w:rsidRPr="00B7760C" w:rsidRDefault="003663AF" w:rsidP="00E804B7">
            <w:pPr>
              <w:pStyle w:val="Normal6"/>
            </w:pPr>
            <w:r w:rsidRPr="00B7760C">
              <w:rPr>
                <w:b/>
                <w:i/>
              </w:rPr>
              <w:t>(30a)</w:t>
            </w:r>
            <w:r w:rsidRPr="00B7760C">
              <w:tab/>
            </w:r>
            <w:r w:rsidRPr="00B7760C">
              <w:rPr>
                <w:b/>
                <w:i/>
              </w:rPr>
              <w:t>Ekološko kmetovanje se razvija v številnih državah članicah in dokazano proizvaja javne dobrine, ohranja ekosistemske storitve in naravne vire, zmanjšuje vložke, privablja mlade kmete, zlasti ženske, ustvarja delovna mesta, preizkuša nove poslovne modele, izpolnjuje družbene zahteve in oživlja podeželska območja.</w:t>
            </w:r>
            <w:r w:rsidRPr="00B7760C">
              <w:t xml:space="preserve"> </w:t>
            </w:r>
            <w:r w:rsidRPr="00B7760C">
              <w:rPr>
                <w:b/>
                <w:i/>
              </w:rPr>
              <w:t>Kljub temu je rast v povpraševanju po ekoloških proizvodih večja od rasti ekološke proizvodnje.</w:t>
            </w:r>
            <w:r w:rsidRPr="00B7760C">
              <w:t xml:space="preserve"> </w:t>
            </w:r>
            <w:r w:rsidRPr="00B7760C">
              <w:rPr>
                <w:b/>
                <w:i/>
              </w:rPr>
              <w:t>Za izpolnitev vse večjega povpraševanja po ekoloških proizvodih in za razvoj celotne ekološke dobavne verige bi morale države članice zagotoviti, da bi njihovi strateški načrti SKP vključevali cilje za povečanje deleža kmetijskih zemljišč, namenjenih ekološkemu kmetovanju.</w:t>
            </w:r>
            <w:r w:rsidRPr="00B7760C">
              <w:t xml:space="preserve"> </w:t>
            </w:r>
            <w:r w:rsidRPr="00B7760C">
              <w:rPr>
                <w:b/>
                <w:i/>
              </w:rPr>
              <w:t>Države članice bi morale imeti možnost, da bi lahko preusmeritev v ekološko kmetovanje financirale prek ukrepov za razvoj podeželja, ekoshem ali v kombinaciji obojega in bi morale zagotoviti, da bi dodeljena sredstva ustrezala pričakovani rasti ekološke pridelave.</w:t>
            </w:r>
          </w:p>
        </w:tc>
      </w:tr>
    </w:tbl>
    <w:p w14:paraId="6C94F840" w14:textId="77777777" w:rsidR="003663AF" w:rsidRPr="00B7760C" w:rsidRDefault="003663AF" w:rsidP="003663AF"/>
    <w:p w14:paraId="2A04A9FC" w14:textId="2C2BA344" w:rsidR="003663AF" w:rsidRPr="00B7760C" w:rsidRDefault="00877691" w:rsidP="003663AF">
      <w:pPr>
        <w:pStyle w:val="AMNumberTabs"/>
      </w:pPr>
      <w:r w:rsidRPr="00B7760C">
        <w:t>Sprememb</w:t>
      </w:r>
      <w:r w:rsidR="009350D5" w:rsidRPr="00B7760C">
        <w:t>i</w:t>
      </w:r>
      <w:r w:rsidR="003663AF" w:rsidRPr="00B7760C">
        <w:tab/>
      </w:r>
      <w:r w:rsidR="003663AF" w:rsidRPr="00B7760C">
        <w:tab/>
        <w:t>29</w:t>
      </w:r>
      <w:r w:rsidR="009350D5" w:rsidRPr="00B7760C">
        <w:t xml:space="preserve"> in 792</w:t>
      </w:r>
    </w:p>
    <w:p w14:paraId="0FF9F068" w14:textId="77777777" w:rsidR="003663AF" w:rsidRPr="00B7760C" w:rsidRDefault="003663AF" w:rsidP="003663AF">
      <w:pPr>
        <w:pStyle w:val="NormalBold12b"/>
      </w:pPr>
      <w:r w:rsidRPr="00B7760C">
        <w:t>Predlog uredbe</w:t>
      </w:r>
    </w:p>
    <w:p w14:paraId="028880AE" w14:textId="77777777" w:rsidR="003663AF" w:rsidRPr="00B7760C" w:rsidRDefault="003663AF" w:rsidP="003663AF">
      <w:pPr>
        <w:pStyle w:val="NormalBold"/>
      </w:pPr>
      <w:r w:rsidRPr="00B7760C">
        <w:t>Uvodna izjava 31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BFA6EDE" w14:textId="77777777" w:rsidTr="00E804B7">
        <w:trPr>
          <w:trHeight w:hRule="exact" w:val="240"/>
          <w:jc w:val="center"/>
        </w:trPr>
        <w:tc>
          <w:tcPr>
            <w:tcW w:w="9752" w:type="dxa"/>
            <w:gridSpan w:val="2"/>
          </w:tcPr>
          <w:p w14:paraId="49BD3DD8" w14:textId="77777777" w:rsidR="003663AF" w:rsidRPr="00B7760C" w:rsidRDefault="003663AF" w:rsidP="00E804B7"/>
        </w:tc>
      </w:tr>
      <w:tr w:rsidR="003663AF" w:rsidRPr="00B7760C" w14:paraId="599F4B04" w14:textId="77777777" w:rsidTr="00E804B7">
        <w:trPr>
          <w:trHeight w:val="240"/>
          <w:jc w:val="center"/>
        </w:trPr>
        <w:tc>
          <w:tcPr>
            <w:tcW w:w="4876" w:type="dxa"/>
          </w:tcPr>
          <w:p w14:paraId="517C44F7" w14:textId="77777777" w:rsidR="003663AF" w:rsidRPr="00B7760C" w:rsidRDefault="003663AF" w:rsidP="00E804B7">
            <w:pPr>
              <w:pStyle w:val="ColumnHeading"/>
            </w:pPr>
            <w:r w:rsidRPr="00B7760C">
              <w:t>Besedilo, ki ga predlaga Komisija</w:t>
            </w:r>
          </w:p>
        </w:tc>
        <w:tc>
          <w:tcPr>
            <w:tcW w:w="4876" w:type="dxa"/>
          </w:tcPr>
          <w:p w14:paraId="276E9D8F" w14:textId="4AD195B1" w:rsidR="003663AF" w:rsidRPr="00B7760C" w:rsidRDefault="00877691" w:rsidP="00E804B7">
            <w:pPr>
              <w:pStyle w:val="ColumnHeading"/>
            </w:pPr>
            <w:r w:rsidRPr="00B7760C">
              <w:t>Sprememba</w:t>
            </w:r>
          </w:p>
        </w:tc>
      </w:tr>
      <w:tr w:rsidR="003663AF" w:rsidRPr="00B7760C" w14:paraId="1DF17FEF" w14:textId="77777777" w:rsidTr="00E804B7">
        <w:trPr>
          <w:jc w:val="center"/>
        </w:trPr>
        <w:tc>
          <w:tcPr>
            <w:tcW w:w="4876" w:type="dxa"/>
          </w:tcPr>
          <w:p w14:paraId="4F0DD103" w14:textId="77777777" w:rsidR="003663AF" w:rsidRPr="00B7760C" w:rsidRDefault="003663AF" w:rsidP="00E804B7">
            <w:pPr>
              <w:pStyle w:val="Normal6"/>
            </w:pPr>
            <w:r w:rsidRPr="00B7760C">
              <w:t>(31)</w:t>
            </w:r>
            <w:r w:rsidRPr="00B7760C">
              <w:tab/>
              <w:t>SKP bi morala zagotoviti, da države članice okrepijo doseganje okoljskih ciljev ob upoštevanju lokalnih potreb in dejanskih razmer kmetov. Države članice lahko v okviru neposrednih plačil v strateškem načrtu SKP vzpostavijo ekosheme, pri katerih bi lahko kmetje prostovoljno sodelovali in ki bi morale biti v celoti usklajene z drugimi ustreznimi intervencijami. Države članice bi jih morale opredeliti kot plačilo, odobreno bodisi za spodbujanje in poplačilo zagotavljanja javnih dobrin s kmetijskimi praksami, ki ugodno vplivajo na okolje in podnebje</w:t>
            </w:r>
            <w:r w:rsidRPr="00B7760C">
              <w:rPr>
                <w:b/>
                <w:i/>
              </w:rPr>
              <w:t>, ali kot nadomestilo za uvedbo teh praks. V obeh primerih</w:t>
            </w:r>
            <w:r w:rsidRPr="00B7760C">
              <w:t xml:space="preserve"> morajo stremeti k povečanju okoljske in podnebne uspešnosti SKP in bi morale biti zato zasnovane tako, da presegajo obvezne zahteve, ki jih že določa sistem pogojenosti. Države članice se lahko odločijo, da vzpostavijo ekosheme za </w:t>
            </w:r>
            <w:r w:rsidRPr="00B7760C">
              <w:rPr>
                <w:b/>
                <w:i/>
              </w:rPr>
              <w:t>kmetijske prakse</w:t>
            </w:r>
            <w:r w:rsidRPr="00B7760C">
              <w:t xml:space="preserve">, kot so okrepljeno upravljanje trajnih pašnikov in </w:t>
            </w:r>
            <w:r w:rsidRPr="00B7760C">
              <w:rPr>
                <w:b/>
                <w:i/>
              </w:rPr>
              <w:t>krajinskih značilnosti ter</w:t>
            </w:r>
            <w:r w:rsidRPr="00B7760C">
              <w:t xml:space="preserve"> ekološko kmetovanje. Te sheme lahko vključujejo tudi „sheme na začetni ravni“, ki so lahko pogoj za prevzem ambicioznejših obveznosti v okviru razvoja podeželja.</w:t>
            </w:r>
          </w:p>
        </w:tc>
        <w:tc>
          <w:tcPr>
            <w:tcW w:w="4876" w:type="dxa"/>
          </w:tcPr>
          <w:p w14:paraId="601843E5" w14:textId="005650A8" w:rsidR="003663AF" w:rsidRPr="00B7760C" w:rsidRDefault="003663AF" w:rsidP="008313BF">
            <w:pPr>
              <w:pStyle w:val="Normal6"/>
            </w:pPr>
            <w:r w:rsidRPr="00B7760C">
              <w:t>(31)</w:t>
            </w:r>
            <w:r w:rsidRPr="00B7760C">
              <w:tab/>
              <w:t xml:space="preserve">SKP bi morala zagotoviti, da države članice okrepijo doseganje okoljskih ciljev ob upoštevanju lokalnih potreb in dejanskih razmer kmetov. Države članice lahko v okviru neposrednih plačil v strateškem načrtu SKP </w:t>
            </w:r>
            <w:r w:rsidR="006B241B" w:rsidRPr="00B7760C">
              <w:rPr>
                <w:b/>
                <w:i/>
              </w:rPr>
              <w:t>na podlagi seznama, ki ga pripravi Komisija in vsebuje kmetijske prakse, ki ugodno vplivajo na podnebje in okolje,</w:t>
            </w:r>
            <w:r w:rsidR="006B241B" w:rsidRPr="00B7760C">
              <w:t xml:space="preserve"> </w:t>
            </w:r>
            <w:r w:rsidRPr="00B7760C">
              <w:t>vzpostavijo ekosheme, pri katerih bi lahko kmetje prostovoljno sodelovali in ki bi morale biti v celoti usklajene z drugimi ustreznimi intervencijami. Države članice bi jih morale opredeliti kot plačilo, odobreno bodisi za spodbujanje in poplačilo zagotavljanja javnih dobrin s kmetijskimi praksami, ki ugodno vplivajo na okolje in podnebje</w:t>
            </w:r>
            <w:r w:rsidRPr="00B7760C">
              <w:rPr>
                <w:b/>
                <w:i/>
              </w:rPr>
              <w:t xml:space="preserve"> in</w:t>
            </w:r>
            <w:r w:rsidRPr="00B7760C">
              <w:t xml:space="preserve"> morajo stremeti k povečanju okoljske in podnebne uspešnosti SKP in bi morale biti zato zasnovane tako, da presegajo obvezne zahteve, ki jih že določa sistem pogojenosti. </w:t>
            </w:r>
            <w:r w:rsidR="006B241B" w:rsidRPr="00B7760C">
              <w:rPr>
                <w:b/>
                <w:bCs/>
                <w:i/>
                <w:iCs/>
              </w:rPr>
              <w:t xml:space="preserve">Države članice </w:t>
            </w:r>
            <w:r w:rsidR="006B241B" w:rsidRPr="00B7760C">
              <w:rPr>
                <w:b/>
                <w:i/>
              </w:rPr>
              <w:t xml:space="preserve">bi morale določen delež svojih dodelitev za neposredna plačila nameniti za ekosheme. </w:t>
            </w:r>
            <w:r w:rsidRPr="00B7760C">
              <w:t xml:space="preserve">Države članice se lahko odločijo, da vzpostavijo ekosheme za </w:t>
            </w:r>
            <w:r w:rsidRPr="00B7760C">
              <w:rPr>
                <w:b/>
                <w:i/>
              </w:rPr>
              <w:t>spodbujanje modelov pridelave, ki ugodno vplivajo na okolje, zlasti ekstenzivne živinoreje, ter vseh vrst kmetijskih praks</w:t>
            </w:r>
            <w:r w:rsidRPr="00B7760C">
              <w:t>, kot so okrepljeno upravljanje trajnih pašnikov</w:t>
            </w:r>
            <w:r w:rsidRPr="00B7760C">
              <w:rPr>
                <w:b/>
                <w:i/>
              </w:rPr>
              <w:t xml:space="preserve">, </w:t>
            </w:r>
            <w:r w:rsidR="006B241B" w:rsidRPr="00B7760C">
              <w:rPr>
                <w:b/>
                <w:i/>
              </w:rPr>
              <w:t xml:space="preserve">trajnih </w:t>
            </w:r>
            <w:r w:rsidRPr="00B7760C">
              <w:rPr>
                <w:b/>
                <w:i/>
              </w:rPr>
              <w:t>krajinskih značilnosti</w:t>
            </w:r>
            <w:r w:rsidRPr="00B7760C">
              <w:t xml:space="preserve"> in </w:t>
            </w:r>
            <w:r w:rsidR="008313BF" w:rsidRPr="00B7760C">
              <w:rPr>
                <w:b/>
                <w:i/>
              </w:rPr>
              <w:t>si</w:t>
            </w:r>
            <w:r w:rsidRPr="00B7760C">
              <w:rPr>
                <w:b/>
                <w:i/>
              </w:rPr>
              <w:t>stem</w:t>
            </w:r>
            <w:r w:rsidR="008313BF" w:rsidRPr="00B7760C">
              <w:rPr>
                <w:b/>
                <w:i/>
              </w:rPr>
              <w:t>i</w:t>
            </w:r>
            <w:r w:rsidRPr="00B7760C">
              <w:rPr>
                <w:b/>
                <w:i/>
              </w:rPr>
              <w:t xml:space="preserve"> okoljskega certificiranja</w:t>
            </w:r>
            <w:r w:rsidR="008313BF" w:rsidRPr="00B7760C">
              <w:rPr>
                <w:b/>
                <w:i/>
              </w:rPr>
              <w:t xml:space="preserve"> ter</w:t>
            </w:r>
            <w:r w:rsidRPr="00B7760C">
              <w:t xml:space="preserve"> ekološko kmetovanje</w:t>
            </w:r>
            <w:r w:rsidRPr="00B7760C">
              <w:rPr>
                <w:b/>
                <w:i/>
              </w:rPr>
              <w:t>, integrirana pridelava ali konzervacijsko kmetijstvo</w:t>
            </w:r>
            <w:r w:rsidRPr="00B7760C">
              <w:t>. Te sheme lahko vključujejo tudi</w:t>
            </w:r>
            <w:r w:rsidRPr="00B7760C">
              <w:rPr>
                <w:b/>
                <w:i/>
              </w:rPr>
              <w:t xml:space="preserve"> drugačne vrste ukrepov, ki niso kmetijsko-okoljsko-podnebne obveznosti za razvoj podeželja, ter enake ukrepe, ki se lahko uvrščajo med</w:t>
            </w:r>
            <w:r w:rsidRPr="00B7760C">
              <w:t xml:space="preserve"> „sheme na začetni ravni“, ki so lahko pogoj za prevzem ambicioznejših obveznosti v okviru razvoja podeželja.</w:t>
            </w:r>
          </w:p>
        </w:tc>
      </w:tr>
    </w:tbl>
    <w:p w14:paraId="1700981B" w14:textId="77777777" w:rsidR="006B241B" w:rsidRPr="00B7760C" w:rsidRDefault="006B241B" w:rsidP="003663AF">
      <w:pPr>
        <w:pStyle w:val="Normal6"/>
      </w:pPr>
    </w:p>
    <w:p w14:paraId="49BA4014" w14:textId="656879F2" w:rsidR="003663AF" w:rsidRPr="00B7760C" w:rsidRDefault="00877691" w:rsidP="003663AF">
      <w:pPr>
        <w:pStyle w:val="AMNumberTabs"/>
      </w:pPr>
      <w:r w:rsidRPr="00B7760C">
        <w:t>Sprememba</w:t>
      </w:r>
      <w:r w:rsidR="003663AF" w:rsidRPr="00B7760C">
        <w:tab/>
      </w:r>
      <w:r w:rsidR="003663AF" w:rsidRPr="00B7760C">
        <w:tab/>
        <w:t>30</w:t>
      </w:r>
    </w:p>
    <w:p w14:paraId="093920E7" w14:textId="77777777" w:rsidR="003663AF" w:rsidRPr="00B7760C" w:rsidRDefault="003663AF" w:rsidP="003663AF">
      <w:pPr>
        <w:pStyle w:val="NormalBold12b"/>
      </w:pPr>
      <w:r w:rsidRPr="00B7760C">
        <w:t>Predlog uredbe</w:t>
      </w:r>
    </w:p>
    <w:p w14:paraId="6FAFE507" w14:textId="77777777" w:rsidR="003663AF" w:rsidRPr="00B7760C" w:rsidRDefault="003663AF" w:rsidP="003663AF">
      <w:pPr>
        <w:pStyle w:val="NormalBold"/>
      </w:pPr>
      <w:r w:rsidRPr="00B7760C">
        <w:t>Uvodna izjava 33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C29664A" w14:textId="77777777" w:rsidTr="00E804B7">
        <w:trPr>
          <w:trHeight w:hRule="exact" w:val="240"/>
          <w:jc w:val="center"/>
        </w:trPr>
        <w:tc>
          <w:tcPr>
            <w:tcW w:w="9752" w:type="dxa"/>
            <w:gridSpan w:val="2"/>
          </w:tcPr>
          <w:p w14:paraId="49F236B4" w14:textId="77777777" w:rsidR="003663AF" w:rsidRPr="00B7760C" w:rsidRDefault="003663AF" w:rsidP="00E804B7"/>
        </w:tc>
      </w:tr>
      <w:tr w:rsidR="003663AF" w:rsidRPr="00B7760C" w14:paraId="098DCC27" w14:textId="77777777" w:rsidTr="00E804B7">
        <w:trPr>
          <w:trHeight w:val="240"/>
          <w:jc w:val="center"/>
        </w:trPr>
        <w:tc>
          <w:tcPr>
            <w:tcW w:w="4876" w:type="dxa"/>
          </w:tcPr>
          <w:p w14:paraId="0B4608FE" w14:textId="77777777" w:rsidR="003663AF" w:rsidRPr="00B7760C" w:rsidRDefault="003663AF" w:rsidP="00E804B7">
            <w:pPr>
              <w:pStyle w:val="ColumnHeading"/>
            </w:pPr>
            <w:r w:rsidRPr="00B7760C">
              <w:t>Besedilo, ki ga predlaga Komisija</w:t>
            </w:r>
          </w:p>
        </w:tc>
        <w:tc>
          <w:tcPr>
            <w:tcW w:w="4876" w:type="dxa"/>
          </w:tcPr>
          <w:p w14:paraId="18D39F2A" w14:textId="741B202A" w:rsidR="003663AF" w:rsidRPr="00B7760C" w:rsidRDefault="00877691" w:rsidP="00E804B7">
            <w:pPr>
              <w:pStyle w:val="ColumnHeading"/>
            </w:pPr>
            <w:r w:rsidRPr="00B7760C">
              <w:t>Sprememba</w:t>
            </w:r>
          </w:p>
        </w:tc>
      </w:tr>
      <w:tr w:rsidR="003663AF" w:rsidRPr="00B7760C" w14:paraId="0DB07076" w14:textId="77777777" w:rsidTr="00E804B7">
        <w:trPr>
          <w:jc w:val="center"/>
        </w:trPr>
        <w:tc>
          <w:tcPr>
            <w:tcW w:w="4876" w:type="dxa"/>
          </w:tcPr>
          <w:p w14:paraId="1FDDA8FF" w14:textId="77777777" w:rsidR="003663AF" w:rsidRPr="00B7760C" w:rsidRDefault="003663AF" w:rsidP="00E804B7">
            <w:pPr>
              <w:pStyle w:val="Normal6"/>
            </w:pPr>
            <w:r w:rsidRPr="00B7760C">
              <w:rPr>
                <w:b/>
                <w:i/>
              </w:rPr>
              <w:t>(33)</w:t>
            </w:r>
            <w:r w:rsidRPr="00B7760C">
              <w:tab/>
            </w:r>
            <w:r w:rsidRPr="00B7760C">
              <w:rPr>
                <w:b/>
                <w:i/>
              </w:rPr>
              <w:t>Zagotoviti bi bilo treba skladnost vezane dohodkovne podpore z mednarodnimi obveznostmi Unije. To vključuje zlasti zahteve iz Memoranduma o soglasju o oljnicah, sklenjenega med Evropsko gospodarsko skupnostjo in Združenimi državami Amerike v okviru GATT, kot velja po spremembah ločene osnovne površine EU za oljnice zaradi spremenjene sestave EU. Komisija bi morala biti pooblaščena za sprejemanje izvedbenih aktov v ta namen z določitvijo podrobnih pravil v zvezi s tem.</w:t>
            </w:r>
          </w:p>
        </w:tc>
        <w:tc>
          <w:tcPr>
            <w:tcW w:w="4876" w:type="dxa"/>
          </w:tcPr>
          <w:p w14:paraId="15A8F44A" w14:textId="77777777" w:rsidR="003663AF" w:rsidRPr="00B7760C" w:rsidRDefault="003663AF" w:rsidP="00E804B7">
            <w:pPr>
              <w:pStyle w:val="Normal6"/>
            </w:pPr>
            <w:r w:rsidRPr="00B7760C">
              <w:rPr>
                <w:b/>
                <w:i/>
              </w:rPr>
              <w:t>črtano</w:t>
            </w:r>
          </w:p>
        </w:tc>
      </w:tr>
      <w:tr w:rsidR="003663AF" w:rsidRPr="00B7760C" w14:paraId="13040914" w14:textId="77777777" w:rsidTr="00E804B7">
        <w:trPr>
          <w:jc w:val="center"/>
        </w:trPr>
        <w:tc>
          <w:tcPr>
            <w:tcW w:w="4876" w:type="dxa"/>
          </w:tcPr>
          <w:p w14:paraId="44D70D79" w14:textId="77777777" w:rsidR="003663AF" w:rsidRPr="00B7760C" w:rsidRDefault="003663AF" w:rsidP="00E804B7">
            <w:pPr>
              <w:pStyle w:val="Normal6"/>
            </w:pPr>
            <w:r w:rsidRPr="00B7760C">
              <w:t>_________________</w:t>
            </w:r>
          </w:p>
        </w:tc>
        <w:tc>
          <w:tcPr>
            <w:tcW w:w="4876" w:type="dxa"/>
          </w:tcPr>
          <w:p w14:paraId="092CB40D" w14:textId="77777777" w:rsidR="003663AF" w:rsidRPr="00B7760C" w:rsidRDefault="003663AF" w:rsidP="00E804B7">
            <w:pPr>
              <w:pStyle w:val="Normal6"/>
            </w:pPr>
          </w:p>
        </w:tc>
      </w:tr>
      <w:tr w:rsidR="003663AF" w:rsidRPr="00B7760C" w14:paraId="77C9938D" w14:textId="77777777" w:rsidTr="00E804B7">
        <w:trPr>
          <w:jc w:val="center"/>
        </w:trPr>
        <w:tc>
          <w:tcPr>
            <w:tcW w:w="4876" w:type="dxa"/>
          </w:tcPr>
          <w:p w14:paraId="1CDCFA24" w14:textId="77777777" w:rsidR="003663AF" w:rsidRPr="00B7760C" w:rsidRDefault="003663AF" w:rsidP="00E804B7">
            <w:pPr>
              <w:pStyle w:val="Normal6"/>
              <w:rPr>
                <w:b/>
                <w:i/>
              </w:rPr>
            </w:pPr>
            <w:r w:rsidRPr="00B7760C">
              <w:rPr>
                <w:b/>
                <w:i/>
                <w:vertAlign w:val="superscript"/>
              </w:rPr>
              <w:t>17</w:t>
            </w:r>
            <w:r w:rsidRPr="00B7760C">
              <w:rPr>
                <w:b/>
                <w:i/>
              </w:rPr>
              <w:t xml:space="preserve"> </w:t>
            </w:r>
            <w:r w:rsidR="00441375" w:rsidRPr="00B7760C">
              <w:rPr>
                <w:b/>
                <w:i/>
              </w:rPr>
              <w:tab/>
            </w:r>
            <w:r w:rsidRPr="00B7760C">
              <w:rPr>
                <w:b/>
                <w:i/>
              </w:rPr>
              <w:t>Memorandum o soglasju o oljnicah, sklenjen med Evropsko gospodarsko skupnostjo in Združenimi državami Amerike v okviru GATT (UL L 147, 18.6.1993).</w:t>
            </w:r>
          </w:p>
        </w:tc>
        <w:tc>
          <w:tcPr>
            <w:tcW w:w="4876" w:type="dxa"/>
          </w:tcPr>
          <w:p w14:paraId="6475018E" w14:textId="77777777" w:rsidR="003663AF" w:rsidRPr="00B7760C" w:rsidRDefault="003663AF" w:rsidP="00E804B7">
            <w:pPr>
              <w:pStyle w:val="Normal6"/>
            </w:pPr>
          </w:p>
        </w:tc>
      </w:tr>
    </w:tbl>
    <w:p w14:paraId="0B2E88CE" w14:textId="77777777" w:rsidR="003663AF" w:rsidRPr="00B7760C" w:rsidRDefault="003663AF" w:rsidP="003663AF"/>
    <w:p w14:paraId="1342EEA0" w14:textId="4FADD0A3" w:rsidR="003663AF" w:rsidRPr="00B7760C" w:rsidRDefault="00877691" w:rsidP="003663AF">
      <w:pPr>
        <w:pStyle w:val="AMNumberTabs"/>
      </w:pPr>
      <w:r w:rsidRPr="00B7760C">
        <w:t>Sprememba</w:t>
      </w:r>
      <w:r w:rsidR="003663AF" w:rsidRPr="00B7760C">
        <w:tab/>
      </w:r>
      <w:r w:rsidR="003663AF" w:rsidRPr="00B7760C">
        <w:tab/>
        <w:t>31</w:t>
      </w:r>
    </w:p>
    <w:p w14:paraId="09C934EA" w14:textId="77777777" w:rsidR="003663AF" w:rsidRPr="00B7760C" w:rsidRDefault="003663AF" w:rsidP="003663AF">
      <w:pPr>
        <w:pStyle w:val="NormalBold12b"/>
      </w:pPr>
      <w:r w:rsidRPr="00B7760C">
        <w:t>Predlog uredbe</w:t>
      </w:r>
    </w:p>
    <w:p w14:paraId="06FF9EBF" w14:textId="77777777" w:rsidR="003663AF" w:rsidRPr="00B7760C" w:rsidRDefault="003663AF" w:rsidP="003663AF">
      <w:pPr>
        <w:pStyle w:val="NormalBold"/>
      </w:pPr>
      <w:r w:rsidRPr="00B7760C">
        <w:t>Uvodna izjava 35</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4B59C73" w14:textId="77777777" w:rsidTr="00E804B7">
        <w:trPr>
          <w:trHeight w:hRule="exact" w:val="240"/>
          <w:jc w:val="center"/>
        </w:trPr>
        <w:tc>
          <w:tcPr>
            <w:tcW w:w="9752" w:type="dxa"/>
            <w:gridSpan w:val="2"/>
          </w:tcPr>
          <w:p w14:paraId="1779BF89" w14:textId="77777777" w:rsidR="003663AF" w:rsidRPr="00B7760C" w:rsidRDefault="003663AF" w:rsidP="00E804B7"/>
        </w:tc>
      </w:tr>
      <w:tr w:rsidR="003663AF" w:rsidRPr="00B7760C" w14:paraId="542005F7" w14:textId="77777777" w:rsidTr="00E804B7">
        <w:trPr>
          <w:trHeight w:val="240"/>
          <w:jc w:val="center"/>
        </w:trPr>
        <w:tc>
          <w:tcPr>
            <w:tcW w:w="4876" w:type="dxa"/>
          </w:tcPr>
          <w:p w14:paraId="363FABAA" w14:textId="77777777" w:rsidR="003663AF" w:rsidRPr="00B7760C" w:rsidRDefault="003663AF" w:rsidP="00E804B7">
            <w:pPr>
              <w:pStyle w:val="ColumnHeading"/>
            </w:pPr>
            <w:r w:rsidRPr="00B7760C">
              <w:t>Besedilo, ki ga predlaga Komisija</w:t>
            </w:r>
          </w:p>
        </w:tc>
        <w:tc>
          <w:tcPr>
            <w:tcW w:w="4876" w:type="dxa"/>
          </w:tcPr>
          <w:p w14:paraId="43A961F6" w14:textId="5A29CDE9" w:rsidR="003663AF" w:rsidRPr="00B7760C" w:rsidRDefault="00877691" w:rsidP="00E804B7">
            <w:pPr>
              <w:pStyle w:val="ColumnHeading"/>
            </w:pPr>
            <w:r w:rsidRPr="00B7760C">
              <w:t>Sprememba</w:t>
            </w:r>
          </w:p>
        </w:tc>
      </w:tr>
      <w:tr w:rsidR="003663AF" w:rsidRPr="00B7760C" w14:paraId="42EBA8D7" w14:textId="77777777" w:rsidTr="00E804B7">
        <w:trPr>
          <w:jc w:val="center"/>
        </w:trPr>
        <w:tc>
          <w:tcPr>
            <w:tcW w:w="4876" w:type="dxa"/>
          </w:tcPr>
          <w:p w14:paraId="6B91A846" w14:textId="77777777" w:rsidR="003663AF" w:rsidRPr="00B7760C" w:rsidRDefault="003663AF" w:rsidP="00E804B7">
            <w:pPr>
              <w:pStyle w:val="Normal6"/>
            </w:pPr>
            <w:r w:rsidRPr="00B7760C">
              <w:t>(35)</w:t>
            </w:r>
            <w:r w:rsidRPr="00B7760C">
              <w:tab/>
              <w:t xml:space="preserve">Da bi prispevali k doseganju ciljev SKP in okrepili sinergije z drugimi instrumenti SKP, so potrebne sektorske vrste intervencij. V skladu z modelom izvajanja bi bilo treba na ravni Unije opredeliti minimalne zahteve glede vsebine in ciljev takih sektorskih vrst intervencij, da bi zagotovili enake konkurenčne pogoje na notranjem trgu ter preprečili pogoje za neenako in nepravično konkurenco. Države članice bi morale upravičiti njihovo vključitev v strateške načrte SKP in zagotoviti skladnost z drugimi intervencijami na sektorski ravni. Široke vrste intervencij, ki jih je treba določiti na ravni Unije, bi morale zajemati sektorje sadja in zelenjave, vina, čebelarskih proizvodov, oljčnega olja in namiznih oljk, hmelja in drugih proizvodov, </w:t>
            </w:r>
            <w:r w:rsidRPr="00B7760C">
              <w:rPr>
                <w:b/>
                <w:i/>
              </w:rPr>
              <w:t>ki jih je treba določiti</w:t>
            </w:r>
            <w:r w:rsidRPr="00B7760C">
              <w:t>, za katere velja, da ima sprejetje sektorskih programov ugodne učinke na doseganje nekaterih ali vseh splošnih in specifičnih ciljev SKP, določenih v tej uredbi.</w:t>
            </w:r>
          </w:p>
        </w:tc>
        <w:tc>
          <w:tcPr>
            <w:tcW w:w="4876" w:type="dxa"/>
          </w:tcPr>
          <w:p w14:paraId="4DF17393" w14:textId="77777777" w:rsidR="003663AF" w:rsidRPr="00B7760C" w:rsidRDefault="003663AF" w:rsidP="00E804B7">
            <w:pPr>
              <w:pStyle w:val="Normal6"/>
            </w:pPr>
            <w:r w:rsidRPr="00B7760C">
              <w:t>(35)</w:t>
            </w:r>
            <w:r w:rsidRPr="00B7760C">
              <w:tab/>
              <w:t xml:space="preserve">Da bi prispevali k doseganju ciljev SKP in okrepili sinergije z drugimi instrumenti SKP, so potrebne sektorske vrste intervencij. V skladu z modelom izvajanja bi bilo treba na ravni Unije opredeliti minimalne zahteve glede vsebine in ciljev takih sektorskih vrst intervencij, da bi zagotovili enake konkurenčne pogoje na notranjem trgu ter preprečili pogoje za neenako in nepravično konkurenco. Države članice bi morale upravičiti njihovo vključitev v strateške načrte SKP in zagotoviti skladnost z drugimi intervencijami na sektorski ravni. Široke vrste intervencij, ki jih je treba določiti na ravni Unije, bi morale zajemati sektorje sadja in zelenjave, vina, čebelarskih proizvodov, oljčnega olja in namiznih oljk, hmelja in drugih proizvodov, </w:t>
            </w:r>
            <w:r w:rsidRPr="00B7760C">
              <w:rPr>
                <w:b/>
                <w:i/>
              </w:rPr>
              <w:t>določenih v členu 39</w:t>
            </w:r>
            <w:r w:rsidRPr="00B7760C">
              <w:t>, za katere velja, da ima sprejetje sektorskih programov ugodne učinke na doseganje nekaterih ali vseh splošnih in specifičnih ciljev SKP, določenih v tej uredbi.</w:t>
            </w:r>
          </w:p>
        </w:tc>
      </w:tr>
    </w:tbl>
    <w:p w14:paraId="65B92329" w14:textId="77777777" w:rsidR="003663AF" w:rsidRPr="00B7760C" w:rsidRDefault="003663AF" w:rsidP="003663AF"/>
    <w:p w14:paraId="0A86BAAF" w14:textId="10CD558A" w:rsidR="003663AF" w:rsidRPr="00B7760C" w:rsidRDefault="00877691" w:rsidP="003663AF">
      <w:pPr>
        <w:pStyle w:val="AMNumberTabs"/>
      </w:pPr>
      <w:r w:rsidRPr="00B7760C">
        <w:t>Sprememba</w:t>
      </w:r>
      <w:r w:rsidR="003663AF" w:rsidRPr="00B7760C">
        <w:tab/>
      </w:r>
      <w:r w:rsidR="003663AF" w:rsidRPr="00B7760C">
        <w:tab/>
        <w:t>32</w:t>
      </w:r>
    </w:p>
    <w:p w14:paraId="6DB4766E" w14:textId="77777777" w:rsidR="003663AF" w:rsidRPr="00B7760C" w:rsidRDefault="003663AF" w:rsidP="003663AF">
      <w:pPr>
        <w:pStyle w:val="NormalBold12b"/>
      </w:pPr>
      <w:r w:rsidRPr="00B7760C">
        <w:t>Predlog uredbe</w:t>
      </w:r>
    </w:p>
    <w:p w14:paraId="3F305644" w14:textId="77777777" w:rsidR="003663AF" w:rsidRPr="00B7760C" w:rsidRDefault="003663AF" w:rsidP="003663AF">
      <w:pPr>
        <w:pStyle w:val="NormalBold"/>
      </w:pPr>
      <w:r w:rsidRPr="00B7760C">
        <w:t>Uvodna izjava 35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667B768" w14:textId="77777777" w:rsidTr="00E804B7">
        <w:trPr>
          <w:trHeight w:hRule="exact" w:val="240"/>
          <w:jc w:val="center"/>
        </w:trPr>
        <w:tc>
          <w:tcPr>
            <w:tcW w:w="9752" w:type="dxa"/>
            <w:gridSpan w:val="2"/>
          </w:tcPr>
          <w:p w14:paraId="3C6A55BB" w14:textId="77777777" w:rsidR="003663AF" w:rsidRPr="00B7760C" w:rsidRDefault="003663AF" w:rsidP="00E804B7"/>
        </w:tc>
      </w:tr>
      <w:tr w:rsidR="003663AF" w:rsidRPr="00B7760C" w14:paraId="23BD8620" w14:textId="77777777" w:rsidTr="00E804B7">
        <w:trPr>
          <w:trHeight w:val="240"/>
          <w:jc w:val="center"/>
        </w:trPr>
        <w:tc>
          <w:tcPr>
            <w:tcW w:w="4876" w:type="dxa"/>
          </w:tcPr>
          <w:p w14:paraId="63F3EDC4" w14:textId="77777777" w:rsidR="003663AF" w:rsidRPr="00B7760C" w:rsidRDefault="003663AF" w:rsidP="00E804B7">
            <w:pPr>
              <w:pStyle w:val="ColumnHeading"/>
            </w:pPr>
            <w:r w:rsidRPr="00B7760C">
              <w:t>Besedilo, ki ga predlaga Komisija</w:t>
            </w:r>
          </w:p>
        </w:tc>
        <w:tc>
          <w:tcPr>
            <w:tcW w:w="4876" w:type="dxa"/>
          </w:tcPr>
          <w:p w14:paraId="1FF56201" w14:textId="30574635" w:rsidR="003663AF" w:rsidRPr="00B7760C" w:rsidRDefault="00877691" w:rsidP="00E804B7">
            <w:pPr>
              <w:pStyle w:val="ColumnHeading"/>
            </w:pPr>
            <w:r w:rsidRPr="00B7760C">
              <w:t>Sprememba</w:t>
            </w:r>
          </w:p>
        </w:tc>
      </w:tr>
      <w:tr w:rsidR="003663AF" w:rsidRPr="00B7760C" w14:paraId="3E51E846" w14:textId="77777777" w:rsidTr="00E804B7">
        <w:trPr>
          <w:jc w:val="center"/>
        </w:trPr>
        <w:tc>
          <w:tcPr>
            <w:tcW w:w="4876" w:type="dxa"/>
          </w:tcPr>
          <w:p w14:paraId="38CF3139" w14:textId="77777777" w:rsidR="003663AF" w:rsidRPr="00B7760C" w:rsidRDefault="003663AF" w:rsidP="00E804B7">
            <w:pPr>
              <w:pStyle w:val="Normal6"/>
            </w:pPr>
          </w:p>
        </w:tc>
        <w:tc>
          <w:tcPr>
            <w:tcW w:w="4876" w:type="dxa"/>
          </w:tcPr>
          <w:p w14:paraId="7FA02900" w14:textId="77777777" w:rsidR="003663AF" w:rsidRPr="00B7760C" w:rsidRDefault="003663AF" w:rsidP="00E804B7">
            <w:pPr>
              <w:pStyle w:val="Normal6"/>
            </w:pPr>
            <w:r w:rsidRPr="00B7760C">
              <w:rPr>
                <w:b/>
                <w:i/>
              </w:rPr>
              <w:t>(35a)</w:t>
            </w:r>
            <w:r w:rsidRPr="00B7760C">
              <w:tab/>
            </w:r>
            <w:r w:rsidRPr="00B7760C">
              <w:rPr>
                <w:b/>
                <w:i/>
              </w:rPr>
              <w:t>Glede na povečanje sredstev, predvidenih za čebelarski sektor, in v skladu s priznanjem pomembne vloge, ki jo ima ta za ohranjanje biotske raznovrstnosti in pridelavo živil, je treba zvišati tudi zgornjo mejo sofinanciranja Unije in dodati nove upravičene ukrepe, namenjene spodbujanju razvoja tega sektorja.</w:t>
            </w:r>
          </w:p>
        </w:tc>
      </w:tr>
    </w:tbl>
    <w:p w14:paraId="6748A842" w14:textId="77777777" w:rsidR="003663AF" w:rsidRPr="00B7760C" w:rsidRDefault="003663AF" w:rsidP="003663AF"/>
    <w:p w14:paraId="696BDC38" w14:textId="1F2D2623" w:rsidR="003663AF" w:rsidRPr="00B7760C" w:rsidRDefault="00877691" w:rsidP="003663AF">
      <w:pPr>
        <w:pStyle w:val="AMNumberTabs"/>
      </w:pPr>
      <w:r w:rsidRPr="00B7760C">
        <w:t>Sprememba</w:t>
      </w:r>
      <w:r w:rsidR="003663AF" w:rsidRPr="00B7760C">
        <w:tab/>
      </w:r>
      <w:r w:rsidR="003663AF" w:rsidRPr="00B7760C">
        <w:tab/>
        <w:t>33</w:t>
      </w:r>
    </w:p>
    <w:p w14:paraId="69EC2DED" w14:textId="77777777" w:rsidR="003663AF" w:rsidRPr="00B7760C" w:rsidRDefault="003663AF" w:rsidP="003663AF">
      <w:pPr>
        <w:pStyle w:val="NormalBold12b"/>
      </w:pPr>
      <w:r w:rsidRPr="00B7760C">
        <w:t>Predlog uredbe</w:t>
      </w:r>
    </w:p>
    <w:p w14:paraId="24AAD848" w14:textId="77777777" w:rsidR="003663AF" w:rsidRPr="00B7760C" w:rsidRDefault="003663AF" w:rsidP="003663AF">
      <w:pPr>
        <w:pStyle w:val="NormalBold"/>
      </w:pPr>
      <w:r w:rsidRPr="00B7760C">
        <w:t>Uvodna izjava 37</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66370A9" w14:textId="77777777" w:rsidTr="00E804B7">
        <w:trPr>
          <w:trHeight w:hRule="exact" w:val="240"/>
          <w:jc w:val="center"/>
        </w:trPr>
        <w:tc>
          <w:tcPr>
            <w:tcW w:w="9752" w:type="dxa"/>
            <w:gridSpan w:val="2"/>
          </w:tcPr>
          <w:p w14:paraId="49380D4F" w14:textId="77777777" w:rsidR="003663AF" w:rsidRPr="00B7760C" w:rsidRDefault="003663AF" w:rsidP="00E804B7"/>
        </w:tc>
      </w:tr>
      <w:tr w:rsidR="003663AF" w:rsidRPr="00B7760C" w14:paraId="4EA1DE8F" w14:textId="77777777" w:rsidTr="00E804B7">
        <w:trPr>
          <w:trHeight w:val="240"/>
          <w:jc w:val="center"/>
        </w:trPr>
        <w:tc>
          <w:tcPr>
            <w:tcW w:w="4876" w:type="dxa"/>
          </w:tcPr>
          <w:p w14:paraId="2FE5B885" w14:textId="77777777" w:rsidR="003663AF" w:rsidRPr="00B7760C" w:rsidRDefault="003663AF" w:rsidP="00E804B7">
            <w:pPr>
              <w:pStyle w:val="ColumnHeading"/>
            </w:pPr>
            <w:r w:rsidRPr="00B7760C">
              <w:t>Besedilo, ki ga predlaga Komisija</w:t>
            </w:r>
          </w:p>
        </w:tc>
        <w:tc>
          <w:tcPr>
            <w:tcW w:w="4876" w:type="dxa"/>
          </w:tcPr>
          <w:p w14:paraId="1AE497D7" w14:textId="221CE01D" w:rsidR="003663AF" w:rsidRPr="00B7760C" w:rsidRDefault="00877691" w:rsidP="00E804B7">
            <w:pPr>
              <w:pStyle w:val="ColumnHeading"/>
            </w:pPr>
            <w:r w:rsidRPr="00B7760C">
              <w:t>Sprememba</w:t>
            </w:r>
          </w:p>
        </w:tc>
      </w:tr>
      <w:tr w:rsidR="003663AF" w:rsidRPr="00B7760C" w14:paraId="0AADC566" w14:textId="77777777" w:rsidTr="00E804B7">
        <w:trPr>
          <w:jc w:val="center"/>
        </w:trPr>
        <w:tc>
          <w:tcPr>
            <w:tcW w:w="4876" w:type="dxa"/>
          </w:tcPr>
          <w:p w14:paraId="32E3EA6B" w14:textId="77777777" w:rsidR="003663AF" w:rsidRPr="00B7760C" w:rsidRDefault="003663AF" w:rsidP="00E804B7">
            <w:pPr>
              <w:pStyle w:val="Normal6"/>
            </w:pPr>
            <w:r w:rsidRPr="00B7760C">
              <w:t>(37)</w:t>
            </w:r>
            <w:r w:rsidRPr="00B7760C">
              <w:tab/>
              <w:t>Pri intervencijah za razvoj podeželja so načela opredeljena na ravni Unije, zlasti glede osnovnih zahtev za uporabo meril za izbor, namenjenih državam članicam. Vendar bi morale države članice imeti široko diskrecijsko pravico za opredelitev posebnih pogojev glede na svoje potrebe. Vrste intervencij za razvoj podeželja vključujejo plačila za okoljske, podnebne in druge upravljavske obveznosti, ki jih morajo države članice podpirati na svojem celotnem ozemlju v skladu s svojimi nacionalno, regionalno ali lokalno specifičnimi potrebami. Države članice bi morale plačila odobriti kmetom in drugim upravljavcem zemljišč, ki prostovoljno prevzamejo upravljavske obveznosti, ki prispevajo k blažitvi podnebnih sprememb in prilagajanju nanje ter varstvu in izboljšanju okolja, vključno s kakovostjo in količino vode, kakovostjo zraka, tlemi, biotsko raznovrstnostjo in ekosistemskimi storitvami, tudi prostovoljnimi obveznostmi v okviru omrežja Natura 2000 in podporo za gensko raznovrstnost. Podpora v okviru plačil za upravljavske obveznosti se lahko odobri tudi v obliki integriranih ali kooperativnih pristopov pod lokalnim vodstvom in intervencij na podlagi rezultatov.</w:t>
            </w:r>
          </w:p>
        </w:tc>
        <w:tc>
          <w:tcPr>
            <w:tcW w:w="4876" w:type="dxa"/>
          </w:tcPr>
          <w:p w14:paraId="6CA4D5DF" w14:textId="77777777" w:rsidR="003663AF" w:rsidRPr="00B7760C" w:rsidRDefault="003663AF" w:rsidP="00E804B7">
            <w:pPr>
              <w:pStyle w:val="Normal6"/>
            </w:pPr>
            <w:r w:rsidRPr="00B7760C">
              <w:t>(37)</w:t>
            </w:r>
            <w:r w:rsidRPr="00B7760C">
              <w:tab/>
              <w:t>Pri intervencijah za razvoj podeželja so načela opredeljena na ravni Unije, zlasti glede osnovnih zahtev za uporabo meril za izbor, namenjenih državam članicam. Vendar bi morale države članice imeti široko diskrecijsko pravico za opredelitev posebnih pogojev glede na svoje potrebe. Vrste intervencij za razvoj podeželja vključujejo plačila za okoljske, podnebne in druge upravljavske obveznosti, ki jih morajo države članice podpirati na svojem celotnem ozemlju v skladu s svojimi nacionalno, regionalno ali lokalno specifičnimi potrebami. Države članice bi morale plačila odobriti kmetom</w:t>
            </w:r>
            <w:r w:rsidRPr="00B7760C">
              <w:rPr>
                <w:b/>
                <w:i/>
              </w:rPr>
              <w:t xml:space="preserve">, skupinam kmetov </w:t>
            </w:r>
            <w:r w:rsidRPr="00B7760C">
              <w:t xml:space="preserve">in drugim upravljavcem zemljišč, ki prostovoljno prevzamejo upravljavske obveznosti, ki prispevajo k blažitvi podnebnih sprememb in prilagajanju nanje ter varstvu in izboljšanju okolja, vključno s kakovostjo in količino vode, kakovostjo zraka, tlemi, biotsko raznovrstnostjo in ekosistemskimi storitvami, tudi prostovoljnimi obveznostmi v okviru omrežja Natura 2000 in </w:t>
            </w:r>
            <w:r w:rsidRPr="00B7760C">
              <w:rPr>
                <w:b/>
                <w:i/>
              </w:rPr>
              <w:t xml:space="preserve">območij z visoko naravno vrednostjo, in </w:t>
            </w:r>
            <w:r w:rsidRPr="00B7760C">
              <w:t>podporo za gensko raznovrstnost. Podpora v okviru plačil za upravljavske obveznosti se lahko odobri tudi v obliki integriranih</w:t>
            </w:r>
            <w:r w:rsidRPr="00B7760C">
              <w:rPr>
                <w:b/>
                <w:i/>
              </w:rPr>
              <w:t>, kolektivnih</w:t>
            </w:r>
            <w:r w:rsidRPr="00B7760C">
              <w:t xml:space="preserve"> ali kooperativnih pristopov pod lokalnim vodstvom in intervencij na podlagi rezultatov.</w:t>
            </w:r>
          </w:p>
        </w:tc>
      </w:tr>
    </w:tbl>
    <w:p w14:paraId="477A976C" w14:textId="4F5A2BDF" w:rsidR="003663AF" w:rsidRPr="00B7760C" w:rsidRDefault="003663AF" w:rsidP="003663AF"/>
    <w:p w14:paraId="4FB87BAF" w14:textId="4881AD81" w:rsidR="009350D5" w:rsidRPr="00B7760C" w:rsidRDefault="009350D5" w:rsidP="009350D5">
      <w:pPr>
        <w:pStyle w:val="AMNumberTabs"/>
        <w:keepNext/>
      </w:pPr>
      <w:r w:rsidRPr="00B7760C">
        <w:t>Sprememba</w:t>
      </w:r>
      <w:r w:rsidRPr="00B7760C">
        <w:tab/>
      </w:r>
      <w:r w:rsidRPr="00B7760C">
        <w:tab/>
        <w:t>729</w:t>
      </w:r>
    </w:p>
    <w:p w14:paraId="736DBE97" w14:textId="77777777" w:rsidR="009350D5" w:rsidRPr="00B7760C" w:rsidRDefault="009350D5" w:rsidP="009350D5">
      <w:pPr>
        <w:pStyle w:val="NormalBold12b"/>
      </w:pPr>
      <w:r w:rsidRPr="00B7760C">
        <w:t>Predlog uredbe</w:t>
      </w:r>
    </w:p>
    <w:p w14:paraId="543594C6" w14:textId="77777777" w:rsidR="009350D5" w:rsidRPr="00B7760C" w:rsidRDefault="009350D5" w:rsidP="009350D5">
      <w:pPr>
        <w:pStyle w:val="NormalBold"/>
      </w:pPr>
      <w:r w:rsidRPr="00B7760C">
        <w:t>Uvodna izjava 37 a (novo)</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9350D5" w:rsidRPr="00B7760C" w14:paraId="6461BD33" w14:textId="77777777" w:rsidTr="00CC51B6">
        <w:trPr>
          <w:jc w:val="center"/>
        </w:trPr>
        <w:tc>
          <w:tcPr>
            <w:tcW w:w="9752" w:type="dxa"/>
            <w:gridSpan w:val="2"/>
          </w:tcPr>
          <w:p w14:paraId="26995BC1" w14:textId="77777777" w:rsidR="009350D5" w:rsidRPr="00B7760C" w:rsidRDefault="009350D5" w:rsidP="00CC51B6">
            <w:pPr>
              <w:keepNext/>
            </w:pPr>
          </w:p>
        </w:tc>
      </w:tr>
      <w:tr w:rsidR="009350D5" w:rsidRPr="00B7760C" w14:paraId="1A11B417" w14:textId="77777777" w:rsidTr="00CC51B6">
        <w:trPr>
          <w:jc w:val="center"/>
        </w:trPr>
        <w:tc>
          <w:tcPr>
            <w:tcW w:w="4876" w:type="dxa"/>
          </w:tcPr>
          <w:p w14:paraId="14A42F50" w14:textId="77777777" w:rsidR="009350D5" w:rsidRPr="00B7760C" w:rsidRDefault="009350D5" w:rsidP="00CC51B6">
            <w:pPr>
              <w:pStyle w:val="ColumnHeading"/>
              <w:keepNext/>
            </w:pPr>
            <w:r w:rsidRPr="00B7760C">
              <w:t>Besedilo, ki ga predlaga Komisija</w:t>
            </w:r>
          </w:p>
        </w:tc>
        <w:tc>
          <w:tcPr>
            <w:tcW w:w="4876" w:type="dxa"/>
          </w:tcPr>
          <w:p w14:paraId="79B7C51C" w14:textId="3709AA98" w:rsidR="009350D5" w:rsidRPr="00B7760C" w:rsidRDefault="009350D5" w:rsidP="00CC51B6">
            <w:pPr>
              <w:pStyle w:val="ColumnHeading"/>
              <w:keepNext/>
            </w:pPr>
            <w:r w:rsidRPr="00B7760C">
              <w:t>Sprememba</w:t>
            </w:r>
          </w:p>
        </w:tc>
      </w:tr>
      <w:tr w:rsidR="009350D5" w:rsidRPr="00B7760C" w14:paraId="0EBF8D01" w14:textId="77777777" w:rsidTr="00CC51B6">
        <w:trPr>
          <w:jc w:val="center"/>
        </w:trPr>
        <w:tc>
          <w:tcPr>
            <w:tcW w:w="4876" w:type="dxa"/>
          </w:tcPr>
          <w:p w14:paraId="3436A601" w14:textId="77777777" w:rsidR="009350D5" w:rsidRPr="00B7760C" w:rsidRDefault="009350D5" w:rsidP="00CC51B6">
            <w:pPr>
              <w:pStyle w:val="Normal6"/>
            </w:pPr>
          </w:p>
        </w:tc>
        <w:tc>
          <w:tcPr>
            <w:tcW w:w="4876" w:type="dxa"/>
          </w:tcPr>
          <w:p w14:paraId="2F8B516D" w14:textId="77777777" w:rsidR="009350D5" w:rsidRPr="00B7760C" w:rsidRDefault="009350D5" w:rsidP="00CC51B6">
            <w:pPr>
              <w:pStyle w:val="Normal6"/>
              <w:rPr>
                <w:szCs w:val="24"/>
              </w:rPr>
            </w:pPr>
            <w:r w:rsidRPr="00B7760C">
              <w:rPr>
                <w:b/>
                <w:i/>
              </w:rPr>
              <w:t>(37a)</w:t>
            </w:r>
            <w:r w:rsidRPr="00B7760C">
              <w:rPr>
                <w:b/>
                <w:i/>
              </w:rPr>
              <w:tab/>
              <w:t>Države članice bi morale imeti možnost, da za namene zagotovitve odpornosti ekosistemov EU in spodbujanja biotske raznovrstnosti odobrijo sredstva za kmetijsko-okoljske trajnostne prakse, blažitev podnebnih sprememb in prilagajanje nanje ter ohranjanje in izboljšanje genskih virov, zlasti s tradicionalnimi metodami parjenja.</w:t>
            </w:r>
          </w:p>
        </w:tc>
      </w:tr>
    </w:tbl>
    <w:p w14:paraId="5151F1DD" w14:textId="77777777" w:rsidR="009350D5" w:rsidRPr="00B7760C" w:rsidRDefault="009350D5" w:rsidP="003663AF"/>
    <w:p w14:paraId="450FDB02" w14:textId="0A60EC3D" w:rsidR="003663AF" w:rsidRPr="00B7760C" w:rsidRDefault="00877691" w:rsidP="009350D5">
      <w:pPr>
        <w:pStyle w:val="AMNumberTabs"/>
      </w:pPr>
      <w:r w:rsidRPr="00B7760C">
        <w:t>Sprememb</w:t>
      </w:r>
      <w:r w:rsidR="009350D5" w:rsidRPr="00B7760C">
        <w:t>e</w:t>
      </w:r>
      <w:r w:rsidR="003663AF" w:rsidRPr="00B7760C">
        <w:tab/>
      </w:r>
      <w:r w:rsidR="003663AF" w:rsidRPr="00B7760C">
        <w:tab/>
        <w:t>34</w:t>
      </w:r>
      <w:r w:rsidR="009350D5" w:rsidRPr="00B7760C">
        <w:t>, 794 in 856</w:t>
      </w:r>
    </w:p>
    <w:p w14:paraId="0C51AE3A" w14:textId="77777777" w:rsidR="003663AF" w:rsidRPr="00B7760C" w:rsidRDefault="003663AF" w:rsidP="003663AF">
      <w:pPr>
        <w:pStyle w:val="NormalBold12b"/>
      </w:pPr>
      <w:r w:rsidRPr="00B7760C">
        <w:t>Predlog uredbe</w:t>
      </w:r>
    </w:p>
    <w:p w14:paraId="34959A06" w14:textId="77777777" w:rsidR="003663AF" w:rsidRPr="00B7760C" w:rsidRDefault="003663AF" w:rsidP="003663AF">
      <w:pPr>
        <w:pStyle w:val="NormalBold"/>
      </w:pPr>
      <w:r w:rsidRPr="00B7760C">
        <w:t>Uvodna izjava 38</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8EB5B90" w14:textId="77777777" w:rsidTr="00E804B7">
        <w:trPr>
          <w:trHeight w:hRule="exact" w:val="240"/>
          <w:jc w:val="center"/>
        </w:trPr>
        <w:tc>
          <w:tcPr>
            <w:tcW w:w="9752" w:type="dxa"/>
            <w:gridSpan w:val="2"/>
          </w:tcPr>
          <w:p w14:paraId="6A429F6F" w14:textId="77777777" w:rsidR="003663AF" w:rsidRPr="00B7760C" w:rsidRDefault="003663AF" w:rsidP="00E804B7"/>
        </w:tc>
      </w:tr>
      <w:tr w:rsidR="003663AF" w:rsidRPr="00B7760C" w14:paraId="05B70446" w14:textId="77777777" w:rsidTr="00E804B7">
        <w:trPr>
          <w:trHeight w:val="240"/>
          <w:jc w:val="center"/>
        </w:trPr>
        <w:tc>
          <w:tcPr>
            <w:tcW w:w="4876" w:type="dxa"/>
          </w:tcPr>
          <w:p w14:paraId="18246EEB" w14:textId="77777777" w:rsidR="003663AF" w:rsidRPr="00B7760C" w:rsidRDefault="003663AF" w:rsidP="00E804B7">
            <w:pPr>
              <w:pStyle w:val="ColumnHeading"/>
            </w:pPr>
            <w:r w:rsidRPr="00B7760C">
              <w:t>Besedilo, ki ga predlaga Komisija</w:t>
            </w:r>
          </w:p>
        </w:tc>
        <w:tc>
          <w:tcPr>
            <w:tcW w:w="4876" w:type="dxa"/>
          </w:tcPr>
          <w:p w14:paraId="48BFEB69" w14:textId="2843BAF0" w:rsidR="003663AF" w:rsidRPr="00B7760C" w:rsidRDefault="00877691" w:rsidP="00E804B7">
            <w:pPr>
              <w:pStyle w:val="ColumnHeading"/>
            </w:pPr>
            <w:r w:rsidRPr="00B7760C">
              <w:t>Sprememba</w:t>
            </w:r>
          </w:p>
        </w:tc>
      </w:tr>
      <w:tr w:rsidR="003663AF" w:rsidRPr="00B7760C" w14:paraId="3EA8CDE3" w14:textId="77777777" w:rsidTr="00E804B7">
        <w:trPr>
          <w:jc w:val="center"/>
        </w:trPr>
        <w:tc>
          <w:tcPr>
            <w:tcW w:w="4876" w:type="dxa"/>
          </w:tcPr>
          <w:p w14:paraId="592B9ED6" w14:textId="77777777" w:rsidR="003663AF" w:rsidRPr="00B7760C" w:rsidRDefault="003663AF" w:rsidP="00E804B7">
            <w:pPr>
              <w:pStyle w:val="Normal6"/>
            </w:pPr>
            <w:r w:rsidRPr="00B7760C">
              <w:t>(38)</w:t>
            </w:r>
            <w:r w:rsidRPr="00B7760C">
              <w:tab/>
              <w:t xml:space="preserve">Podpora za upravljavske obveznosti </w:t>
            </w:r>
            <w:r w:rsidRPr="00B7760C">
              <w:rPr>
                <w:b/>
                <w:bCs/>
                <w:i/>
                <w:iCs/>
              </w:rPr>
              <w:t>lahko</w:t>
            </w:r>
            <w:r w:rsidRPr="00B7760C">
              <w:t xml:space="preserve"> vključuje premije za ekološko kmetovanje za vzdrževanje ekološko obdelanih zemljišč </w:t>
            </w:r>
            <w:r w:rsidRPr="00B7760C">
              <w:rPr>
                <w:b/>
                <w:bCs/>
                <w:i/>
                <w:iCs/>
              </w:rPr>
              <w:t>in prehod nanje</w:t>
            </w:r>
            <w:r w:rsidRPr="00B7760C">
              <w:t xml:space="preserve">; plačila za druge vrste intervencij, ki podpirajo okolju prijazne sisteme pridelave, kot so agroekologija, </w:t>
            </w:r>
            <w:r w:rsidRPr="00B7760C">
              <w:rPr>
                <w:b/>
                <w:bCs/>
                <w:i/>
                <w:iCs/>
              </w:rPr>
              <w:t>konzervacijsko kmetijstvo in</w:t>
            </w:r>
            <w:r w:rsidRPr="00B7760C">
              <w:t xml:space="preserve"> integrirana pridelava; gozdarsko-okoljske in podnebne storitve ter ohranjanje gozdov; premije za gozdove in vzpostavitev kmetijsko-gozdarskih sistemov; dobrobit živali; ohranjanje, trajnostno rabo in razvoj genskih virov. Države članice lahko v okviru te vrste intervencij razvijejo druge sheme glede na njihove potrebe. Ta vrsta plačil bi morala zajemati le dodatne stroške in izpad dohodka, ki so posledica obveznosti, ki presegajo izhodiščne obvezne standarde in zahteve, določene v zakonodaji Unije in nacionalni zakonodaji, ter pogojenost, določeno v strateškem načrtu SKP. Obveznosti, povezane s to vrsto intervencij, se lahko prevzamejo za vnaprej določeno letno ali večletno obdobje in lahko presegajo sedem let, kadar je to ustrezno utemeljeno.</w:t>
            </w:r>
          </w:p>
        </w:tc>
        <w:tc>
          <w:tcPr>
            <w:tcW w:w="4876" w:type="dxa"/>
          </w:tcPr>
          <w:p w14:paraId="7979546D" w14:textId="7AD1D78D" w:rsidR="003663AF" w:rsidRPr="00B7760C" w:rsidRDefault="003663AF" w:rsidP="008313BF">
            <w:pPr>
              <w:pStyle w:val="Normal6"/>
            </w:pPr>
            <w:r w:rsidRPr="00B7760C">
              <w:t>(38)</w:t>
            </w:r>
            <w:r w:rsidRPr="00B7760C">
              <w:tab/>
              <w:t xml:space="preserve">Podpora za upravljavske obveznosti vključuje premije za ekološko kmetovanje </w:t>
            </w:r>
            <w:r w:rsidR="009350D5" w:rsidRPr="00B7760C">
              <w:rPr>
                <w:b/>
                <w:bCs/>
                <w:i/>
                <w:iCs/>
              </w:rPr>
              <w:t xml:space="preserve">za </w:t>
            </w:r>
            <w:r w:rsidR="009350D5" w:rsidRPr="00B7760C">
              <w:rPr>
                <w:b/>
                <w:i/>
              </w:rPr>
              <w:t xml:space="preserve">prehod na ekološko obdelana zemljišča, vključuje pa lahko tudi premije </w:t>
            </w:r>
            <w:r w:rsidRPr="00B7760C">
              <w:t xml:space="preserve">za vzdrževanje ekološko obdelanih zemljišč in prehod nanje; plačila za druge vrste intervencij, ki podpirajo okolju prijazne sisteme pridelave, kot so </w:t>
            </w:r>
            <w:r w:rsidRPr="00B7760C">
              <w:rPr>
                <w:b/>
                <w:i/>
              </w:rPr>
              <w:t xml:space="preserve">kmetovanje visoke naravne vrednosti, </w:t>
            </w:r>
            <w:r w:rsidRPr="00B7760C">
              <w:t xml:space="preserve">agroekologija, integrirana pridelava; gozdarsko-okoljske in podnebne storitve ter ohranjanje gozdov; premije za gozdove in vzpostavitev kmetijsko-gozdarskih sistemov; </w:t>
            </w:r>
            <w:r w:rsidRPr="00B7760C">
              <w:rPr>
                <w:b/>
                <w:i/>
              </w:rPr>
              <w:t xml:space="preserve">varstvo tradicionalnih kmetijskih krajin, </w:t>
            </w:r>
            <w:r w:rsidRPr="00B7760C">
              <w:t xml:space="preserve">dobrobit </w:t>
            </w:r>
            <w:r w:rsidR="00403DF8" w:rsidRPr="00B7760C">
              <w:rPr>
                <w:b/>
                <w:i/>
              </w:rPr>
              <w:t>in zdravje</w:t>
            </w:r>
            <w:r w:rsidR="00403DF8" w:rsidRPr="00B7760C">
              <w:t xml:space="preserve"> </w:t>
            </w:r>
            <w:r w:rsidRPr="00B7760C">
              <w:t>živali; ohranjanje, trajnostno rabo in razvoj genskih virov</w:t>
            </w:r>
            <w:r w:rsidR="00403DF8" w:rsidRPr="00B7760C">
              <w:t xml:space="preserve"> </w:t>
            </w:r>
            <w:r w:rsidR="00403DF8" w:rsidRPr="00B7760C">
              <w:rPr>
                <w:b/>
                <w:i/>
              </w:rPr>
              <w:t>ter biotske raznovrstnosti</w:t>
            </w:r>
            <w:r w:rsidRPr="00B7760C">
              <w:t>. Države članice lahko v okviru te vrste intervencij razvijejo druge sheme glede na svoje potrebe</w:t>
            </w:r>
            <w:r w:rsidRPr="00B7760C">
              <w:rPr>
                <w:b/>
                <w:i/>
              </w:rPr>
              <w:t xml:space="preserve"> in okrepijo posebne kmetijsko-okoljske ukrepe za sektor čebelarstva, ki v nekaterih regijah U</w:t>
            </w:r>
            <w:r w:rsidR="00D12A9D" w:rsidRPr="00B7760C">
              <w:rPr>
                <w:b/>
                <w:i/>
              </w:rPr>
              <w:t>nije</w:t>
            </w:r>
            <w:r w:rsidRPr="00B7760C">
              <w:rPr>
                <w:b/>
                <w:i/>
              </w:rPr>
              <w:t xml:space="preserve"> že obstajajo, ter pripravijo dodatne ukrepe</w:t>
            </w:r>
            <w:r w:rsidRPr="00B7760C">
              <w:t>.</w:t>
            </w:r>
            <w:r w:rsidRPr="00B7760C">
              <w:rPr>
                <w:b/>
                <w:i/>
              </w:rPr>
              <w:t xml:space="preserve"> </w:t>
            </w:r>
            <w:r w:rsidRPr="00B7760C">
              <w:t>Ta vrsta plačil bi morala zajemati le dodatne stroške</w:t>
            </w:r>
            <w:r w:rsidR="009350D5" w:rsidRPr="00B7760C">
              <w:rPr>
                <w:b/>
                <w:i/>
              </w:rPr>
              <w:t>, finančne spodbude</w:t>
            </w:r>
            <w:r w:rsidRPr="00B7760C">
              <w:t xml:space="preserve"> in izpad dohodka, ki so posledica obveznosti, ki presegajo izhodiščne obvezne standarde in zahteve, določene v zakonodaji Unije in nacionalni zakonodaji, ter pogojenost, določeno v strateškem načrtu SKP.</w:t>
            </w:r>
            <w:r w:rsidRPr="00B7760C">
              <w:rPr>
                <w:b/>
                <w:i/>
              </w:rPr>
              <w:t xml:space="preserve"> Države članice bi lahko zagotovile finančne pobude za upravičence, </w:t>
            </w:r>
            <w:r w:rsidRPr="00B7760C">
              <w:t>obveznosti, povezane s to vrsto intervencij,</w:t>
            </w:r>
            <w:r w:rsidRPr="00B7760C">
              <w:rPr>
                <w:b/>
                <w:i/>
              </w:rPr>
              <w:t xml:space="preserve"> pa</w:t>
            </w:r>
            <w:r w:rsidRPr="00B7760C">
              <w:t xml:space="preserve"> se lahko prevzamejo za vnaprej določeno letno ali večletno obdobje in lahko presegajo sedem let, kadar je to ustrezno utemeljeno.</w:t>
            </w:r>
          </w:p>
        </w:tc>
      </w:tr>
    </w:tbl>
    <w:p w14:paraId="0893469D" w14:textId="77777777" w:rsidR="009350D5" w:rsidRPr="00B7760C" w:rsidRDefault="009350D5" w:rsidP="003663AF"/>
    <w:p w14:paraId="346B2337" w14:textId="5F472DBD" w:rsidR="003663AF" w:rsidRPr="00B7760C" w:rsidRDefault="00877691" w:rsidP="003663AF">
      <w:pPr>
        <w:pStyle w:val="AMNumberTabs"/>
      </w:pPr>
      <w:r w:rsidRPr="00B7760C">
        <w:t>Sprememb</w:t>
      </w:r>
      <w:r w:rsidR="009350D5" w:rsidRPr="00B7760C">
        <w:t>i</w:t>
      </w:r>
      <w:r w:rsidR="003663AF" w:rsidRPr="00B7760C">
        <w:tab/>
      </w:r>
      <w:r w:rsidR="003663AF" w:rsidRPr="00B7760C">
        <w:tab/>
        <w:t>35</w:t>
      </w:r>
      <w:r w:rsidR="009350D5" w:rsidRPr="00B7760C">
        <w:t xml:space="preserve"> in 795</w:t>
      </w:r>
    </w:p>
    <w:p w14:paraId="0D32D484" w14:textId="77777777" w:rsidR="003663AF" w:rsidRPr="00B7760C" w:rsidRDefault="003663AF" w:rsidP="003663AF">
      <w:pPr>
        <w:pStyle w:val="NormalBold12b"/>
      </w:pPr>
      <w:r w:rsidRPr="00B7760C">
        <w:t>Predlog uredbe</w:t>
      </w:r>
    </w:p>
    <w:p w14:paraId="720F9621" w14:textId="77777777" w:rsidR="003663AF" w:rsidRPr="00B7760C" w:rsidRDefault="003663AF" w:rsidP="003663AF">
      <w:pPr>
        <w:pStyle w:val="NormalBold"/>
      </w:pPr>
      <w:r w:rsidRPr="00B7760C">
        <w:t>Uvodna izjava 39</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37D2531" w14:textId="77777777" w:rsidTr="00E804B7">
        <w:trPr>
          <w:trHeight w:hRule="exact" w:val="240"/>
          <w:jc w:val="center"/>
        </w:trPr>
        <w:tc>
          <w:tcPr>
            <w:tcW w:w="9752" w:type="dxa"/>
            <w:gridSpan w:val="2"/>
          </w:tcPr>
          <w:p w14:paraId="5AFF6972" w14:textId="77777777" w:rsidR="003663AF" w:rsidRPr="00B7760C" w:rsidRDefault="003663AF" w:rsidP="00E804B7"/>
        </w:tc>
      </w:tr>
      <w:tr w:rsidR="003663AF" w:rsidRPr="00B7760C" w14:paraId="166336B3" w14:textId="77777777" w:rsidTr="00E804B7">
        <w:trPr>
          <w:trHeight w:val="240"/>
          <w:jc w:val="center"/>
        </w:trPr>
        <w:tc>
          <w:tcPr>
            <w:tcW w:w="4876" w:type="dxa"/>
          </w:tcPr>
          <w:p w14:paraId="4308760F" w14:textId="77777777" w:rsidR="003663AF" w:rsidRPr="00B7760C" w:rsidRDefault="003663AF" w:rsidP="00E804B7">
            <w:pPr>
              <w:pStyle w:val="ColumnHeading"/>
            </w:pPr>
            <w:r w:rsidRPr="00B7760C">
              <w:t>Besedilo, ki ga predlaga Komisija</w:t>
            </w:r>
          </w:p>
        </w:tc>
        <w:tc>
          <w:tcPr>
            <w:tcW w:w="4876" w:type="dxa"/>
          </w:tcPr>
          <w:p w14:paraId="36A5EC33" w14:textId="1B973484" w:rsidR="003663AF" w:rsidRPr="00B7760C" w:rsidRDefault="00877691" w:rsidP="00E804B7">
            <w:pPr>
              <w:pStyle w:val="ColumnHeading"/>
            </w:pPr>
            <w:r w:rsidRPr="00B7760C">
              <w:t>Sprememba</w:t>
            </w:r>
          </w:p>
        </w:tc>
      </w:tr>
      <w:tr w:rsidR="003663AF" w:rsidRPr="00B7760C" w14:paraId="2D957581" w14:textId="77777777" w:rsidTr="00E804B7">
        <w:trPr>
          <w:jc w:val="center"/>
        </w:trPr>
        <w:tc>
          <w:tcPr>
            <w:tcW w:w="4876" w:type="dxa"/>
          </w:tcPr>
          <w:p w14:paraId="77362027" w14:textId="77777777" w:rsidR="003663AF" w:rsidRPr="00B7760C" w:rsidRDefault="003663AF" w:rsidP="00E804B7">
            <w:pPr>
              <w:pStyle w:val="Normal6"/>
            </w:pPr>
            <w:r w:rsidRPr="00B7760C">
              <w:t>(39)</w:t>
            </w:r>
            <w:r w:rsidRPr="00B7760C">
              <w:tab/>
              <w:t xml:space="preserve">Ukrepi na področju gozdarstva bi morali prispevati k izvajanju gozdarske strategije Unije in temeljiti na nacionalnih ali podnacionalnih gozdnih programih ali enakovrednih instrumentih držav članic, ki bi morali temeljiti na obveznostih, ki izhajajo iz uredbe </w:t>
            </w:r>
            <w:r w:rsidRPr="00B7760C">
              <w:rPr>
                <w:b/>
                <w:i/>
              </w:rPr>
              <w:t>o vključitvi emisij toplogrednih plinov</w:t>
            </w:r>
            <w:r w:rsidRPr="00B7760C">
              <w:t xml:space="preserve"> in </w:t>
            </w:r>
            <w:r w:rsidRPr="00B7760C">
              <w:rPr>
                <w:b/>
                <w:i/>
              </w:rPr>
              <w:t>odvzemov zaradi rabe zemljišč, energije rabe zemljišč</w:t>
            </w:r>
            <w:r w:rsidRPr="00B7760C">
              <w:t xml:space="preserve"> in </w:t>
            </w:r>
            <w:r w:rsidRPr="00B7760C">
              <w:rPr>
                <w:b/>
                <w:i/>
              </w:rPr>
              <w:t>gozdarstva [LULUCF], in obveznostih</w:t>
            </w:r>
            <w:r w:rsidRPr="00B7760C">
              <w:t>, sprejetih na ministrskih konferencah o varstvu gozdov v Evropi. Intervencije bi morale temeljiti na načrtih za gospodarjenje z gozdovi ali enakovrednih instrumentih ter bi lahko obsegale razvoj gozdnih območij in trajnostno gospodarjenje z gozdovi, vključno s pogozdovanjem zemljišč ter vzpostavitvijo in obnovo kmetijsko-gozdarskih sistemov; varstvo, obnovo in izboljšanje gozdnih virov ob upoštevanju potreb po prilagajanju; naložbe za zagotavljanje in krepitev ohranjanja in odpornosti gozdov ter zagotavljanje gozdnih ekosistemskih in podnebnih storitev ter ukrepe in naložbe v podporo energiji iz obnovljivih virov in biogospodarstvu.</w:t>
            </w:r>
          </w:p>
        </w:tc>
        <w:tc>
          <w:tcPr>
            <w:tcW w:w="4876" w:type="dxa"/>
          </w:tcPr>
          <w:p w14:paraId="727C8209" w14:textId="7A19C8F2" w:rsidR="003663AF" w:rsidRPr="00B7760C" w:rsidRDefault="003663AF" w:rsidP="00E804B7">
            <w:pPr>
              <w:pStyle w:val="Normal6"/>
            </w:pPr>
            <w:r w:rsidRPr="00B7760C">
              <w:t>(39)</w:t>
            </w:r>
            <w:r w:rsidRPr="00B7760C">
              <w:tab/>
              <w:t xml:space="preserve">Ukrepi na področju gozdarstva bi morali prispevati k </w:t>
            </w:r>
            <w:r w:rsidRPr="00B7760C">
              <w:rPr>
                <w:b/>
                <w:i/>
              </w:rPr>
              <w:t xml:space="preserve">širši uporabi kmetijsko-gozdarskih sistemov in </w:t>
            </w:r>
            <w:r w:rsidRPr="00B7760C">
              <w:t xml:space="preserve">izvajanju gozdarske strategije Unije in temeljiti na nacionalnih ali podnacionalnih gozdnih programih ali enakovrednih instrumentih držav članic, ki bi morali temeljiti na obveznostih, ki izhajajo iz uredbe </w:t>
            </w:r>
            <w:r w:rsidRPr="00B7760C">
              <w:rPr>
                <w:b/>
                <w:i/>
              </w:rPr>
              <w:t>(EU) 2018/841 Evropskega parlamenta</w:t>
            </w:r>
            <w:r w:rsidRPr="00B7760C">
              <w:t xml:space="preserve"> in </w:t>
            </w:r>
            <w:r w:rsidRPr="00B7760C">
              <w:rPr>
                <w:b/>
                <w:i/>
              </w:rPr>
              <w:t>Sveta</w:t>
            </w:r>
            <w:r w:rsidRPr="00B7760C">
              <w:rPr>
                <w:b/>
                <w:i/>
                <w:vertAlign w:val="superscript"/>
              </w:rPr>
              <w:t>1a</w:t>
            </w:r>
            <w:r w:rsidRPr="00B7760C">
              <w:t xml:space="preserve">, in obveznostih, sprejetih na ministrskih konferencah o varstvu gozdov v Evropi. Intervencije bi morale temeljiti na načrtih za </w:t>
            </w:r>
            <w:r w:rsidR="009350D5" w:rsidRPr="00B7760C">
              <w:rPr>
                <w:b/>
                <w:i/>
              </w:rPr>
              <w:t xml:space="preserve">trajnostno </w:t>
            </w:r>
            <w:r w:rsidRPr="00B7760C">
              <w:t>gospodarjenje z gozdovi ali enakovrednih instrumentih</w:t>
            </w:r>
            <w:r w:rsidR="009350D5" w:rsidRPr="00B7760C">
              <w:rPr>
                <w:b/>
                <w:i/>
              </w:rPr>
              <w:t>, ki učinkovito izkoriščajo potencial gozdov za sekvestracijo ogljika iz ozračja ob hkratni krepitvi biotske raznovrstnosti,</w:t>
            </w:r>
            <w:r w:rsidRPr="00B7760C">
              <w:t xml:space="preserve"> ter bi lahko obsegale razvoj gozdnih območij in trajnostno gospodarjenje z gozdovi, vključno s pogozdovanjem zemljišč</w:t>
            </w:r>
            <w:r w:rsidRPr="00B7760C">
              <w:rPr>
                <w:b/>
                <w:i/>
              </w:rPr>
              <w:t>, preprečevanjem požarov</w:t>
            </w:r>
            <w:r w:rsidRPr="00B7760C">
              <w:t xml:space="preserve"> ter vzpostavitvijo in obnovo kmetijsko-gozdarskih sistemov; varstvo, obnovo in izboljšanje gozdnih virov ob upoštevanju potreb po prilagajanju; naložbe za zagotavljanje in krepitev ohranjanja in odpornosti gozdov ter zagotavljanje gozdnih ekosistemskih in podnebnih storitev ter ukrepe in naložbe v podporo energiji iz obnovljivih virov in biogospodarstvu.</w:t>
            </w:r>
          </w:p>
        </w:tc>
      </w:tr>
      <w:tr w:rsidR="003663AF" w:rsidRPr="00B7760C" w14:paraId="1513BDC0" w14:textId="77777777" w:rsidTr="00E804B7">
        <w:trPr>
          <w:jc w:val="center"/>
        </w:trPr>
        <w:tc>
          <w:tcPr>
            <w:tcW w:w="4876" w:type="dxa"/>
          </w:tcPr>
          <w:p w14:paraId="59C98E6F" w14:textId="77777777" w:rsidR="003663AF" w:rsidRPr="00B7760C" w:rsidRDefault="003663AF" w:rsidP="00E804B7">
            <w:pPr>
              <w:pStyle w:val="Normal6"/>
            </w:pPr>
          </w:p>
        </w:tc>
        <w:tc>
          <w:tcPr>
            <w:tcW w:w="4876" w:type="dxa"/>
          </w:tcPr>
          <w:p w14:paraId="246A177C" w14:textId="77777777" w:rsidR="003663AF" w:rsidRPr="00B7760C" w:rsidRDefault="003663AF" w:rsidP="00E804B7">
            <w:pPr>
              <w:pStyle w:val="Normal6"/>
              <w:rPr>
                <w:b/>
                <w:i/>
                <w:sz w:val="20"/>
              </w:rPr>
            </w:pPr>
            <w:r w:rsidRPr="00B7760C">
              <w:t>_____________________</w:t>
            </w:r>
          </w:p>
        </w:tc>
      </w:tr>
      <w:tr w:rsidR="003663AF" w:rsidRPr="00B7760C" w14:paraId="2917C430" w14:textId="77777777" w:rsidTr="00E804B7">
        <w:trPr>
          <w:jc w:val="center"/>
        </w:trPr>
        <w:tc>
          <w:tcPr>
            <w:tcW w:w="4876" w:type="dxa"/>
          </w:tcPr>
          <w:p w14:paraId="31633017" w14:textId="77777777" w:rsidR="003663AF" w:rsidRPr="00B7760C" w:rsidRDefault="003663AF" w:rsidP="00E804B7">
            <w:pPr>
              <w:pStyle w:val="Normal6"/>
            </w:pPr>
          </w:p>
        </w:tc>
        <w:tc>
          <w:tcPr>
            <w:tcW w:w="4876" w:type="dxa"/>
          </w:tcPr>
          <w:p w14:paraId="4538A4D1" w14:textId="77777777" w:rsidR="003663AF" w:rsidRPr="00B7760C" w:rsidRDefault="003663AF" w:rsidP="00E804B7">
            <w:pPr>
              <w:pStyle w:val="Normal6"/>
              <w:rPr>
                <w:b/>
                <w:i/>
                <w:szCs w:val="24"/>
              </w:rPr>
            </w:pPr>
            <w:r w:rsidRPr="00B7760C">
              <w:rPr>
                <w:b/>
                <w:i/>
                <w:szCs w:val="24"/>
                <w:vertAlign w:val="superscript"/>
              </w:rPr>
              <w:t>1a</w:t>
            </w:r>
            <w:r w:rsidRPr="00B7760C">
              <w:rPr>
                <w:b/>
                <w:i/>
                <w:szCs w:val="24"/>
              </w:rPr>
              <w:t xml:space="preserve"> </w:t>
            </w:r>
            <w:r w:rsidR="00441375" w:rsidRPr="00B7760C">
              <w:rPr>
                <w:b/>
                <w:i/>
                <w:szCs w:val="24"/>
              </w:rPr>
              <w:tab/>
            </w:r>
            <w:r w:rsidRPr="00B7760C">
              <w:rPr>
                <w:b/>
                <w:i/>
                <w:szCs w:val="24"/>
              </w:rPr>
              <w:t>Uredba (EU) 2018/841 Evropskega parlamenta in Sveta z dne 30. maja 2018 o vključitvi emisij toplogrednih plinov in odvzemov zaradi rabe zemljišč, spremembe rabe zemljišč in gozdarstva v okvir podnebne in energetske politike do leta 2030 ter spremembi Uredbe (EU) št. 525/2013 in Sklepa št. 529/2013/EU (UL L 156, 19.6.2018, str. 1).</w:t>
            </w:r>
          </w:p>
        </w:tc>
      </w:tr>
    </w:tbl>
    <w:p w14:paraId="1924F41D" w14:textId="77777777" w:rsidR="009350D5" w:rsidRPr="00B7760C" w:rsidRDefault="009350D5" w:rsidP="003663AF"/>
    <w:p w14:paraId="73843950" w14:textId="12C65ED5" w:rsidR="003663AF" w:rsidRPr="00B7760C" w:rsidRDefault="00877691" w:rsidP="003663AF">
      <w:pPr>
        <w:pStyle w:val="AMNumberTabs"/>
      </w:pPr>
      <w:r w:rsidRPr="00B7760C">
        <w:t>Sprememba</w:t>
      </w:r>
      <w:r w:rsidR="003663AF" w:rsidRPr="00B7760C">
        <w:tab/>
      </w:r>
      <w:r w:rsidR="003663AF" w:rsidRPr="00B7760C">
        <w:tab/>
        <w:t>36</w:t>
      </w:r>
    </w:p>
    <w:p w14:paraId="32979665" w14:textId="77777777" w:rsidR="003663AF" w:rsidRPr="00B7760C" w:rsidRDefault="003663AF" w:rsidP="003663AF">
      <w:pPr>
        <w:pStyle w:val="NormalBold12b"/>
      </w:pPr>
      <w:r w:rsidRPr="00B7760C">
        <w:t>Predlog uredbe</w:t>
      </w:r>
    </w:p>
    <w:p w14:paraId="7C715C8E" w14:textId="77777777" w:rsidR="003663AF" w:rsidRPr="00B7760C" w:rsidRDefault="003663AF" w:rsidP="003663AF">
      <w:pPr>
        <w:pStyle w:val="NormalBold"/>
      </w:pPr>
      <w:r w:rsidRPr="00B7760C">
        <w:t>Uvodna izjava 40</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7D6B58B" w14:textId="77777777" w:rsidTr="00E804B7">
        <w:trPr>
          <w:trHeight w:hRule="exact" w:val="240"/>
          <w:jc w:val="center"/>
        </w:trPr>
        <w:tc>
          <w:tcPr>
            <w:tcW w:w="9752" w:type="dxa"/>
            <w:gridSpan w:val="2"/>
          </w:tcPr>
          <w:p w14:paraId="23F8B8CF" w14:textId="77777777" w:rsidR="003663AF" w:rsidRPr="00B7760C" w:rsidRDefault="003663AF" w:rsidP="00E804B7"/>
        </w:tc>
      </w:tr>
      <w:tr w:rsidR="003663AF" w:rsidRPr="00B7760C" w14:paraId="1FA65ABE" w14:textId="77777777" w:rsidTr="00E804B7">
        <w:trPr>
          <w:trHeight w:val="240"/>
          <w:jc w:val="center"/>
        </w:trPr>
        <w:tc>
          <w:tcPr>
            <w:tcW w:w="4876" w:type="dxa"/>
          </w:tcPr>
          <w:p w14:paraId="22FF4EE5" w14:textId="77777777" w:rsidR="003663AF" w:rsidRPr="00B7760C" w:rsidRDefault="003663AF" w:rsidP="00E804B7">
            <w:pPr>
              <w:pStyle w:val="ColumnHeading"/>
            </w:pPr>
            <w:r w:rsidRPr="00B7760C">
              <w:t>Besedilo, ki ga predlaga Komisija</w:t>
            </w:r>
          </w:p>
        </w:tc>
        <w:tc>
          <w:tcPr>
            <w:tcW w:w="4876" w:type="dxa"/>
          </w:tcPr>
          <w:p w14:paraId="37825FEA" w14:textId="6EE8611D" w:rsidR="003663AF" w:rsidRPr="00B7760C" w:rsidRDefault="00877691" w:rsidP="00E804B7">
            <w:pPr>
              <w:pStyle w:val="ColumnHeading"/>
            </w:pPr>
            <w:r w:rsidRPr="00B7760C">
              <w:t>Sprememba</w:t>
            </w:r>
          </w:p>
        </w:tc>
      </w:tr>
      <w:tr w:rsidR="003663AF" w:rsidRPr="00B7760C" w14:paraId="67160522" w14:textId="77777777" w:rsidTr="00E804B7">
        <w:trPr>
          <w:jc w:val="center"/>
        </w:trPr>
        <w:tc>
          <w:tcPr>
            <w:tcW w:w="4876" w:type="dxa"/>
          </w:tcPr>
          <w:p w14:paraId="4BF3F07B" w14:textId="77777777" w:rsidR="003663AF" w:rsidRPr="00B7760C" w:rsidRDefault="003663AF" w:rsidP="00E804B7">
            <w:pPr>
              <w:pStyle w:val="Normal6"/>
            </w:pPr>
            <w:r w:rsidRPr="00B7760C">
              <w:t>(40)</w:t>
            </w:r>
            <w:r w:rsidRPr="00B7760C">
              <w:tab/>
              <w:t xml:space="preserve">Države članice lahko za zagotavljanje primernega dohodka in odpornega kmetijskega sektorja po vsem ozemlju Unije odobrijo podporo kmetom na območjih z naravnimi in drugimi omejitvami, značilnimi za posamezno območje. Glede plačil za območja z naravnimi omejitvami bi bilo treba še naprej uporabljati politiko razvoja podeželja za obdobje 2014–2020. Da bi SKP lahko dosegla večjo dodano vrednost Unije za okolje in okrepila svoje sinergije s financiranjem naložb v naravo in biotsko raznovrstnost, je potreben ločen ukrep, s katerim bi se upravičencem zagotovilo nadomestilo za slabosti, povezane z izvajanjem omrežja Natura 2000 in </w:t>
            </w:r>
            <w:r w:rsidRPr="00B7760C">
              <w:rPr>
                <w:b/>
                <w:i/>
              </w:rPr>
              <w:t>okvirnih direktiv</w:t>
            </w:r>
            <w:r w:rsidRPr="00B7760C">
              <w:t xml:space="preserve"> o vodah. Kmetom in gozdnim posestnikom bi bilo zato treba še naprej odobriti podporo, da bi lažje premagovali specifične slabosti, ki izhajajo iz izvajanja Direktive 2009/147/ES in Direktive 92/43/EGS, ter da bi pripomogli k učinkovitemu upravljanju območij Natura 2000. Kmetom bi bilo treba zagotoviti tudi podporo za lažje premagovanje slabosti na območjih povodij, ki izhajajo iz izvajanja okvirne direktive o vodah. Podpora bi morala biti vezana na posebne zahteve, opisane v strateških načrtih SKP, ki presegajo ustrezne obvezne standarde in zahteve. Države članice bi morale tudi zagotoviti, da plačila kmetom ne bi povzročila dvojnega financiranja iz ekoshem. Poleg tega bi morale države članice pri celotnem oblikovanju svojih strateških načrtov SKP upoštevati specifične potrebe območij Natura 2000.</w:t>
            </w:r>
          </w:p>
        </w:tc>
        <w:tc>
          <w:tcPr>
            <w:tcW w:w="4876" w:type="dxa"/>
          </w:tcPr>
          <w:p w14:paraId="685D8722" w14:textId="77777777" w:rsidR="003663AF" w:rsidRPr="00B7760C" w:rsidRDefault="003663AF" w:rsidP="00E804B7">
            <w:pPr>
              <w:pStyle w:val="Normal6"/>
            </w:pPr>
            <w:r w:rsidRPr="00B7760C">
              <w:t>(40)</w:t>
            </w:r>
            <w:r w:rsidRPr="00B7760C">
              <w:tab/>
              <w:t>Države članice lahko za zagotavljanje primernega dohodka in odpornega kmetijskega sektorja po vsem ozemlju Unije odobrijo podporo kmetom na območjih z naravnimi in drugimi omejitvami, značilnimi za posamezno območje</w:t>
            </w:r>
            <w:r w:rsidRPr="00B7760C">
              <w:rPr>
                <w:b/>
                <w:i/>
              </w:rPr>
              <w:t>, vključno z gorskimi območji in otoškimi regijami</w:t>
            </w:r>
            <w:r w:rsidRPr="00B7760C">
              <w:t>. Glede plačil za območja z naravnimi omejitvami bi bilo treba še naprej uporabljati politiko razvoja podeželja za obdobje 2014–2020. Da bi SKP lahko dosegla večjo dodano vrednost Unije za okolje in okrepila svoje sinergije s financiranjem naložb v naravo in biotsko raznovrstnost, je potreben ločen ukrep, s katerim bi se upravičencem zagotovilo nadomestilo za slabosti, povezane z izvajanjem omrežja Natura 2000</w:t>
            </w:r>
            <w:r w:rsidRPr="00B7760C">
              <w:rPr>
                <w:b/>
                <w:i/>
              </w:rPr>
              <w:t>, uvedenim z Direktivo Sveta 92/43/EGS</w:t>
            </w:r>
            <w:r w:rsidRPr="00B7760C">
              <w:rPr>
                <w:b/>
                <w:i/>
                <w:vertAlign w:val="superscript"/>
              </w:rPr>
              <w:t>1a</w:t>
            </w:r>
            <w:r w:rsidRPr="00B7760C">
              <w:t xml:space="preserve"> in </w:t>
            </w:r>
            <w:r w:rsidRPr="00B7760C">
              <w:rPr>
                <w:b/>
                <w:i/>
              </w:rPr>
              <w:t>okvirno direktivo</w:t>
            </w:r>
            <w:r w:rsidRPr="00B7760C">
              <w:t xml:space="preserve"> o vodah. Kmetom in gozdnim posestnikom bi bilo zato treba še naprej odobriti podporo, da bi lažje premagovali specifične slabosti, ki izhajajo iz izvajanja Direktive 2009/147/ES in Direktive 92/43/EGS, ter da bi pripomogli k učinkovitemu upravljanju območij Natura 2000. Kmetom bi bilo treba zagotoviti tudi podporo za lažje premagovanje slabosti na območjih povodij, ki izhajajo iz izvajanja okvirne direktive o vodah. Podpora bi morala biti vezana na posebne zahteve, opisane v strateških načrtih SKP, ki presegajo ustrezne obvezne standarde in zahteve. Države članice bi morale tudi zagotoviti, da plačila kmetom ne bi povzročila dvojnega financiranja iz ekoshem</w:t>
            </w:r>
            <w:r w:rsidRPr="00B7760C">
              <w:rPr>
                <w:b/>
                <w:i/>
              </w:rPr>
              <w:t>, obenem pa v strateških načrtih omogočiti dovolj prožnosti za lažje dopolnjevanje med različnimi intervencijami</w:t>
            </w:r>
            <w:r w:rsidRPr="00B7760C">
              <w:t>. Poleg tega bi morale države članice pri celotnem oblikovanju svojih strateških načrtov SKP upoštevati specifične potrebe območij Natura 2000.</w:t>
            </w:r>
          </w:p>
        </w:tc>
      </w:tr>
      <w:tr w:rsidR="003663AF" w:rsidRPr="00B7760C" w14:paraId="6065AB0C" w14:textId="77777777" w:rsidTr="00E804B7">
        <w:trPr>
          <w:jc w:val="center"/>
        </w:trPr>
        <w:tc>
          <w:tcPr>
            <w:tcW w:w="4876" w:type="dxa"/>
          </w:tcPr>
          <w:p w14:paraId="52CFC4C3" w14:textId="77777777" w:rsidR="003663AF" w:rsidRPr="00B7760C" w:rsidRDefault="003663AF" w:rsidP="00E804B7">
            <w:pPr>
              <w:pStyle w:val="Normal6"/>
              <w:rPr>
                <w:b/>
                <w:bCs/>
                <w:i/>
                <w:iCs/>
              </w:rPr>
            </w:pPr>
          </w:p>
        </w:tc>
        <w:tc>
          <w:tcPr>
            <w:tcW w:w="4876" w:type="dxa"/>
          </w:tcPr>
          <w:p w14:paraId="07BC5DC3" w14:textId="77777777" w:rsidR="003663AF" w:rsidRPr="00B7760C" w:rsidRDefault="003663AF" w:rsidP="00E804B7">
            <w:pPr>
              <w:pStyle w:val="Normal6"/>
              <w:rPr>
                <w:b/>
                <w:bCs/>
                <w:i/>
                <w:iCs/>
                <w:szCs w:val="24"/>
              </w:rPr>
            </w:pPr>
            <w:r w:rsidRPr="00B7760C">
              <w:rPr>
                <w:b/>
                <w:bCs/>
                <w:i/>
                <w:iCs/>
                <w:szCs w:val="24"/>
              </w:rPr>
              <w:t>____________________</w:t>
            </w:r>
          </w:p>
        </w:tc>
      </w:tr>
      <w:tr w:rsidR="003663AF" w:rsidRPr="00B7760C" w14:paraId="27BD2268" w14:textId="77777777" w:rsidTr="00E804B7">
        <w:trPr>
          <w:jc w:val="center"/>
        </w:trPr>
        <w:tc>
          <w:tcPr>
            <w:tcW w:w="4876" w:type="dxa"/>
          </w:tcPr>
          <w:p w14:paraId="375FE7D1" w14:textId="77777777" w:rsidR="003663AF" w:rsidRPr="00B7760C" w:rsidRDefault="003663AF" w:rsidP="00E804B7">
            <w:pPr>
              <w:pStyle w:val="Normal6"/>
              <w:rPr>
                <w:b/>
                <w:bCs/>
                <w:i/>
                <w:iCs/>
              </w:rPr>
            </w:pPr>
          </w:p>
        </w:tc>
        <w:tc>
          <w:tcPr>
            <w:tcW w:w="4876" w:type="dxa"/>
          </w:tcPr>
          <w:p w14:paraId="754D0B73" w14:textId="77777777" w:rsidR="003663AF" w:rsidRPr="00B7760C" w:rsidRDefault="003663AF" w:rsidP="00E804B7">
            <w:pPr>
              <w:pStyle w:val="Normal6"/>
              <w:rPr>
                <w:b/>
                <w:bCs/>
                <w:i/>
                <w:iCs/>
                <w:szCs w:val="24"/>
              </w:rPr>
            </w:pPr>
            <w:r w:rsidRPr="00B7760C">
              <w:rPr>
                <w:b/>
                <w:bCs/>
                <w:i/>
                <w:iCs/>
                <w:szCs w:val="24"/>
                <w:vertAlign w:val="superscript"/>
              </w:rPr>
              <w:t>1a</w:t>
            </w:r>
            <w:r w:rsidRPr="00B7760C">
              <w:rPr>
                <w:b/>
                <w:bCs/>
                <w:i/>
                <w:iCs/>
                <w:szCs w:val="24"/>
              </w:rPr>
              <w:t xml:space="preserve"> </w:t>
            </w:r>
            <w:r w:rsidR="00441375" w:rsidRPr="00B7760C">
              <w:rPr>
                <w:b/>
                <w:bCs/>
                <w:i/>
                <w:iCs/>
                <w:szCs w:val="24"/>
              </w:rPr>
              <w:tab/>
            </w:r>
            <w:r w:rsidRPr="00B7760C">
              <w:rPr>
                <w:b/>
                <w:bCs/>
                <w:i/>
                <w:iCs/>
                <w:szCs w:val="24"/>
              </w:rPr>
              <w:t>Direktiva Sveta 92/43/EGS z dne 21. maja 1992 o ohranjanju naravnih habitatov ter prosto živečih živalskih in rastlinskih vrst (UL L 206, 22.7.1992, str. 7).</w:t>
            </w:r>
          </w:p>
        </w:tc>
      </w:tr>
    </w:tbl>
    <w:p w14:paraId="1DDDAB5A" w14:textId="77777777" w:rsidR="003663AF" w:rsidRPr="00B7760C" w:rsidRDefault="003663AF" w:rsidP="003663AF"/>
    <w:p w14:paraId="5C035EAE" w14:textId="63E28720" w:rsidR="003663AF" w:rsidRPr="00B7760C" w:rsidRDefault="00877691" w:rsidP="003663AF">
      <w:pPr>
        <w:pStyle w:val="AMNumberTabs"/>
      </w:pPr>
      <w:r w:rsidRPr="00B7760C">
        <w:t>Sprememba</w:t>
      </w:r>
      <w:r w:rsidR="003663AF" w:rsidRPr="00B7760C">
        <w:tab/>
      </w:r>
      <w:r w:rsidR="003663AF" w:rsidRPr="00B7760C">
        <w:tab/>
        <w:t>37</w:t>
      </w:r>
    </w:p>
    <w:p w14:paraId="085421E4" w14:textId="77777777" w:rsidR="003663AF" w:rsidRPr="00B7760C" w:rsidRDefault="003663AF" w:rsidP="003663AF">
      <w:pPr>
        <w:pStyle w:val="NormalBold12b"/>
      </w:pPr>
      <w:r w:rsidRPr="00B7760C">
        <w:t>Predlog uredbe</w:t>
      </w:r>
    </w:p>
    <w:p w14:paraId="1EA4D1CA" w14:textId="77777777" w:rsidR="003663AF" w:rsidRPr="00B7760C" w:rsidRDefault="003663AF" w:rsidP="003663AF">
      <w:pPr>
        <w:pStyle w:val="NormalBold"/>
      </w:pPr>
      <w:r w:rsidRPr="00B7760C">
        <w:t>Uvodna izjava 41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B70CB01" w14:textId="77777777" w:rsidTr="00E804B7">
        <w:trPr>
          <w:trHeight w:hRule="exact" w:val="240"/>
          <w:jc w:val="center"/>
        </w:trPr>
        <w:tc>
          <w:tcPr>
            <w:tcW w:w="9752" w:type="dxa"/>
            <w:gridSpan w:val="2"/>
          </w:tcPr>
          <w:p w14:paraId="3411016F" w14:textId="77777777" w:rsidR="003663AF" w:rsidRPr="00B7760C" w:rsidRDefault="003663AF" w:rsidP="00E804B7"/>
        </w:tc>
      </w:tr>
      <w:tr w:rsidR="003663AF" w:rsidRPr="00B7760C" w14:paraId="3F511319" w14:textId="77777777" w:rsidTr="00E804B7">
        <w:trPr>
          <w:trHeight w:val="240"/>
          <w:jc w:val="center"/>
        </w:trPr>
        <w:tc>
          <w:tcPr>
            <w:tcW w:w="4876" w:type="dxa"/>
          </w:tcPr>
          <w:p w14:paraId="0128AA60" w14:textId="77777777" w:rsidR="003663AF" w:rsidRPr="00B7760C" w:rsidRDefault="003663AF" w:rsidP="00E804B7">
            <w:pPr>
              <w:pStyle w:val="ColumnHeading"/>
            </w:pPr>
            <w:r w:rsidRPr="00B7760C">
              <w:t>Besedilo, ki ga predlaga Komisija</w:t>
            </w:r>
          </w:p>
        </w:tc>
        <w:tc>
          <w:tcPr>
            <w:tcW w:w="4876" w:type="dxa"/>
          </w:tcPr>
          <w:p w14:paraId="101CE385" w14:textId="0466BE8E" w:rsidR="003663AF" w:rsidRPr="00B7760C" w:rsidRDefault="00877691" w:rsidP="00E804B7">
            <w:pPr>
              <w:pStyle w:val="ColumnHeading"/>
            </w:pPr>
            <w:r w:rsidRPr="00B7760C">
              <w:t>Sprememba</w:t>
            </w:r>
          </w:p>
        </w:tc>
      </w:tr>
      <w:tr w:rsidR="003663AF" w:rsidRPr="00B7760C" w14:paraId="06018E71" w14:textId="77777777" w:rsidTr="00E804B7">
        <w:trPr>
          <w:jc w:val="center"/>
        </w:trPr>
        <w:tc>
          <w:tcPr>
            <w:tcW w:w="4876" w:type="dxa"/>
          </w:tcPr>
          <w:p w14:paraId="24568AC0" w14:textId="77777777" w:rsidR="003663AF" w:rsidRPr="00B7760C" w:rsidRDefault="003663AF" w:rsidP="00E804B7">
            <w:pPr>
              <w:pStyle w:val="Normal6"/>
            </w:pPr>
            <w:r w:rsidRPr="00B7760C">
              <w:t>(41)</w:t>
            </w:r>
            <w:r w:rsidRPr="00B7760C">
              <w:tab/>
              <w:t xml:space="preserve">Za uresničevanje ciljev SKP bi si bilo treba prizadevati tudi s podporo za naložbe, tako produktivne kot neproduktivne, </w:t>
            </w:r>
            <w:r w:rsidRPr="00B7760C">
              <w:rPr>
                <w:b/>
                <w:i/>
              </w:rPr>
              <w:t>na kmetiji in zunaj kmetije</w:t>
            </w:r>
            <w:r w:rsidRPr="00B7760C">
              <w:t>. Take naložbe lahko med drugim zadevajo infrastrukturo, povezano z razvojem, modernizacijo ali prilagajanjem kmetijstva in gozdarstva na podnebne spremembe, vključno z dostopom do kmetijskih in gozdnih zemljišč, komasacijami in izboljšanjem zemljišč, kmetijsko-gozdarskimi praksami ter oskrbo in varčevanjem z energijo in vodo. Da bi zagotovili usklajenost strateških načrtov SKP s cilji Unije ter enake konkurenčne pogoje med državami članicami, je v to uredbo vključen negativni seznam vrst naložb.</w:t>
            </w:r>
          </w:p>
        </w:tc>
        <w:tc>
          <w:tcPr>
            <w:tcW w:w="4876" w:type="dxa"/>
          </w:tcPr>
          <w:p w14:paraId="2715AFAF" w14:textId="77777777" w:rsidR="003663AF" w:rsidRPr="00B7760C" w:rsidRDefault="003663AF" w:rsidP="00E804B7">
            <w:pPr>
              <w:pStyle w:val="Normal6"/>
            </w:pPr>
            <w:r w:rsidRPr="00B7760C">
              <w:t>(41)</w:t>
            </w:r>
            <w:r w:rsidRPr="00B7760C">
              <w:tab/>
              <w:t xml:space="preserve">Za uresničevanje ciljev SKP bi si bilo treba prizadevati tudi s podporo za naložbe, tako produktivne kot neproduktivne, </w:t>
            </w:r>
            <w:r w:rsidRPr="00B7760C">
              <w:rPr>
                <w:b/>
                <w:i/>
              </w:rPr>
              <w:t>katerih namen je povečati odpornost kmetij</w:t>
            </w:r>
            <w:r w:rsidRPr="00B7760C">
              <w:t>. Take naložbe lahko med drugim zadevajo infrastrukturo, povezano z razvojem, modernizacijo ali prilagajanjem kmetijstva in gozdarstva na podnebne spremembe, vključno z dostopom do kmetijskih in gozdnih zemljišč, komasacijami in izboljšanjem zemljišč, kmetijsko-gozdarskimi praksami ter oskrbo in varčevanjem z energijo in vodo. Da bi zagotovili usklajenost strateških načrtov SKP s cilji Unije ter enake konkurenčne pogoje med državami članicami, je v to uredbo vključen negativni seznam vrst naložb.</w:t>
            </w:r>
          </w:p>
        </w:tc>
      </w:tr>
    </w:tbl>
    <w:p w14:paraId="04C22B91" w14:textId="77777777" w:rsidR="003663AF" w:rsidRPr="00B7760C" w:rsidRDefault="003663AF" w:rsidP="003663AF"/>
    <w:p w14:paraId="280E1B17" w14:textId="74A8FE96" w:rsidR="003663AF" w:rsidRPr="00B7760C" w:rsidRDefault="00877691" w:rsidP="003663AF">
      <w:pPr>
        <w:pStyle w:val="AMNumberTabs"/>
      </w:pPr>
      <w:r w:rsidRPr="00B7760C">
        <w:t>Sprememba</w:t>
      </w:r>
      <w:r w:rsidR="003663AF" w:rsidRPr="00B7760C">
        <w:tab/>
      </w:r>
      <w:r w:rsidR="003663AF" w:rsidRPr="00B7760C">
        <w:tab/>
        <w:t>38</w:t>
      </w:r>
    </w:p>
    <w:p w14:paraId="40320AC9" w14:textId="77777777" w:rsidR="003663AF" w:rsidRPr="00B7760C" w:rsidRDefault="003663AF" w:rsidP="003663AF">
      <w:pPr>
        <w:pStyle w:val="NormalBold12b"/>
      </w:pPr>
      <w:r w:rsidRPr="00B7760C">
        <w:t>Predlog uredbe</w:t>
      </w:r>
    </w:p>
    <w:p w14:paraId="5AD49B28" w14:textId="77777777" w:rsidR="003663AF" w:rsidRPr="00B7760C" w:rsidRDefault="003663AF" w:rsidP="003663AF">
      <w:pPr>
        <w:pStyle w:val="NormalBold"/>
      </w:pPr>
      <w:r w:rsidRPr="00B7760C">
        <w:t>Uvodna izjava 42</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C54372C" w14:textId="77777777" w:rsidTr="00E804B7">
        <w:trPr>
          <w:trHeight w:hRule="exact" w:val="240"/>
          <w:jc w:val="center"/>
        </w:trPr>
        <w:tc>
          <w:tcPr>
            <w:tcW w:w="9752" w:type="dxa"/>
            <w:gridSpan w:val="2"/>
          </w:tcPr>
          <w:p w14:paraId="29513B14" w14:textId="77777777" w:rsidR="003663AF" w:rsidRPr="00B7760C" w:rsidRDefault="003663AF" w:rsidP="00E804B7"/>
        </w:tc>
      </w:tr>
      <w:tr w:rsidR="003663AF" w:rsidRPr="00B7760C" w14:paraId="5509EE4D" w14:textId="77777777" w:rsidTr="00E804B7">
        <w:trPr>
          <w:trHeight w:val="240"/>
          <w:jc w:val="center"/>
        </w:trPr>
        <w:tc>
          <w:tcPr>
            <w:tcW w:w="4876" w:type="dxa"/>
          </w:tcPr>
          <w:p w14:paraId="35D562B6" w14:textId="77777777" w:rsidR="003663AF" w:rsidRPr="00B7760C" w:rsidRDefault="003663AF" w:rsidP="00E804B7">
            <w:pPr>
              <w:pStyle w:val="ColumnHeading"/>
            </w:pPr>
            <w:r w:rsidRPr="00B7760C">
              <w:t>Besedilo, ki ga predlaga Komisija</w:t>
            </w:r>
          </w:p>
        </w:tc>
        <w:tc>
          <w:tcPr>
            <w:tcW w:w="4876" w:type="dxa"/>
          </w:tcPr>
          <w:p w14:paraId="56389DC8" w14:textId="123BB8C1" w:rsidR="003663AF" w:rsidRPr="00B7760C" w:rsidRDefault="00877691" w:rsidP="00E804B7">
            <w:pPr>
              <w:pStyle w:val="ColumnHeading"/>
            </w:pPr>
            <w:r w:rsidRPr="00B7760C">
              <w:t>Sprememba</w:t>
            </w:r>
          </w:p>
        </w:tc>
      </w:tr>
      <w:tr w:rsidR="003663AF" w:rsidRPr="00B7760C" w14:paraId="4C595FF9" w14:textId="77777777" w:rsidTr="00E804B7">
        <w:trPr>
          <w:jc w:val="center"/>
        </w:trPr>
        <w:tc>
          <w:tcPr>
            <w:tcW w:w="4876" w:type="dxa"/>
          </w:tcPr>
          <w:p w14:paraId="7907E858" w14:textId="77777777" w:rsidR="003663AF" w:rsidRPr="00B7760C" w:rsidRDefault="003663AF" w:rsidP="00E804B7">
            <w:pPr>
              <w:pStyle w:val="Normal6"/>
            </w:pPr>
            <w:r w:rsidRPr="00B7760C">
              <w:t>(42)</w:t>
            </w:r>
            <w:r w:rsidRPr="00B7760C">
              <w:tab/>
              <w:t xml:space="preserve">Ker je treba zmanjšati naložbeno vrzel v kmetijskem sektorju Unije in izboljšati dostop do finančnih instrumentov za prednostne skupine, zlasti mlade kmete in nove udeležence z višjimi profili tveganja, bi bilo treba spodbujati </w:t>
            </w:r>
            <w:r w:rsidRPr="00B7760C">
              <w:rPr>
                <w:b/>
                <w:i/>
              </w:rPr>
              <w:t xml:space="preserve">uporabo jamstva InvestEU ter </w:t>
            </w:r>
            <w:r w:rsidRPr="00B7760C">
              <w:t>kombiniranje nepovratnih sredstev s finančnimi instrumenti. Ker se uporaba finančnih instrumentov po državah članicah znatno razlikuje zaradi razlik v dostopu do finančnih sredstev, razvoju bančnega sektorja, prisotnosti tveganega kapitala, seznanjenosti z javnimi upravami in obsegu morebitnih upravičencev, bi morale države članice v strateških načrtih SKP določiti ustrezne ciljne vrednosti, upravičence, prednostne pogoje in druga možna pravila o upravičenosti.</w:t>
            </w:r>
          </w:p>
        </w:tc>
        <w:tc>
          <w:tcPr>
            <w:tcW w:w="4876" w:type="dxa"/>
          </w:tcPr>
          <w:p w14:paraId="3F697925" w14:textId="77777777" w:rsidR="003663AF" w:rsidRPr="00B7760C" w:rsidRDefault="003663AF" w:rsidP="00E804B7">
            <w:pPr>
              <w:pStyle w:val="Normal6"/>
            </w:pPr>
            <w:r w:rsidRPr="00B7760C">
              <w:t>(42)</w:t>
            </w:r>
            <w:r w:rsidRPr="00B7760C">
              <w:tab/>
              <w:t>Ker je treba zmanjšati naložbeno vrzel v kmetijskem sektorju Unije in izboljšati dostop do finančnih instrumentov za prednostne skupine, zlasti mlade kmete in nove udeležence z višjimi profili tveganja, bi bilo treba spodbujati kombiniranje nepovratnih sredstev s finančnimi instrumenti. Ker se uporaba finančnih instrumentov po državah članicah znatno razlikuje zaradi razlik v dostopu do finančnih sredstev, razvoju bančnega sektorja, prisotnosti tveganega kapitala, seznanjenosti z javnimi upravami in obsegu morebitnih upravičencev, bi morale države članice v strateških načrtih SKP določiti ustrezne ciljne vrednosti, upravičence, prednostne pogoje in druga možna pravila o upravičenosti.</w:t>
            </w:r>
          </w:p>
        </w:tc>
      </w:tr>
    </w:tbl>
    <w:p w14:paraId="1BC3C400" w14:textId="77777777" w:rsidR="003663AF" w:rsidRPr="00B7760C" w:rsidRDefault="003663AF" w:rsidP="003663AF"/>
    <w:p w14:paraId="40430719" w14:textId="182B8C1F" w:rsidR="003663AF" w:rsidRPr="00B7760C" w:rsidRDefault="00877691" w:rsidP="003663AF">
      <w:pPr>
        <w:pStyle w:val="AMNumberTabs"/>
      </w:pPr>
      <w:r w:rsidRPr="00B7760C">
        <w:t>Sprememba</w:t>
      </w:r>
      <w:r w:rsidR="003663AF" w:rsidRPr="00B7760C">
        <w:tab/>
      </w:r>
      <w:r w:rsidR="003663AF" w:rsidRPr="00B7760C">
        <w:tab/>
        <w:t>39</w:t>
      </w:r>
    </w:p>
    <w:p w14:paraId="66740E6A" w14:textId="77777777" w:rsidR="003663AF" w:rsidRPr="00B7760C" w:rsidRDefault="003663AF" w:rsidP="003663AF">
      <w:pPr>
        <w:pStyle w:val="NormalBold12b"/>
      </w:pPr>
      <w:r w:rsidRPr="00B7760C">
        <w:t>Predlog uredbe</w:t>
      </w:r>
    </w:p>
    <w:p w14:paraId="0D59EB87" w14:textId="77777777" w:rsidR="003663AF" w:rsidRPr="00B7760C" w:rsidRDefault="003663AF" w:rsidP="003663AF">
      <w:pPr>
        <w:pStyle w:val="NormalBold"/>
      </w:pPr>
      <w:r w:rsidRPr="00B7760C">
        <w:t>Uvodna izjava 43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B786505" w14:textId="77777777" w:rsidTr="00E804B7">
        <w:trPr>
          <w:trHeight w:hRule="exact" w:val="240"/>
          <w:jc w:val="center"/>
        </w:trPr>
        <w:tc>
          <w:tcPr>
            <w:tcW w:w="9752" w:type="dxa"/>
            <w:gridSpan w:val="2"/>
          </w:tcPr>
          <w:p w14:paraId="4DAD468D" w14:textId="77777777" w:rsidR="003663AF" w:rsidRPr="00B7760C" w:rsidRDefault="003663AF" w:rsidP="00E804B7"/>
        </w:tc>
      </w:tr>
      <w:tr w:rsidR="003663AF" w:rsidRPr="00B7760C" w14:paraId="47B2DDF7" w14:textId="77777777" w:rsidTr="00E804B7">
        <w:trPr>
          <w:trHeight w:val="240"/>
          <w:jc w:val="center"/>
        </w:trPr>
        <w:tc>
          <w:tcPr>
            <w:tcW w:w="4876" w:type="dxa"/>
          </w:tcPr>
          <w:p w14:paraId="24C82378" w14:textId="77777777" w:rsidR="003663AF" w:rsidRPr="00B7760C" w:rsidRDefault="003663AF" w:rsidP="00E804B7">
            <w:pPr>
              <w:pStyle w:val="ColumnHeading"/>
            </w:pPr>
            <w:r w:rsidRPr="00B7760C">
              <w:t>Besedilo, ki ga predlaga Komisija</w:t>
            </w:r>
          </w:p>
        </w:tc>
        <w:tc>
          <w:tcPr>
            <w:tcW w:w="4876" w:type="dxa"/>
          </w:tcPr>
          <w:p w14:paraId="2D058458" w14:textId="59AB4A17" w:rsidR="003663AF" w:rsidRPr="00B7760C" w:rsidRDefault="00877691" w:rsidP="00E804B7">
            <w:pPr>
              <w:pStyle w:val="ColumnHeading"/>
            </w:pPr>
            <w:r w:rsidRPr="00B7760C">
              <w:t>Sprememba</w:t>
            </w:r>
          </w:p>
        </w:tc>
      </w:tr>
      <w:tr w:rsidR="003663AF" w:rsidRPr="00B7760C" w14:paraId="7EE1C277" w14:textId="77777777" w:rsidTr="00E804B7">
        <w:trPr>
          <w:jc w:val="center"/>
        </w:trPr>
        <w:tc>
          <w:tcPr>
            <w:tcW w:w="4876" w:type="dxa"/>
          </w:tcPr>
          <w:p w14:paraId="33FA16D6" w14:textId="77777777" w:rsidR="003663AF" w:rsidRPr="00B7760C" w:rsidRDefault="003663AF" w:rsidP="00E804B7">
            <w:pPr>
              <w:pStyle w:val="Normal6"/>
            </w:pPr>
            <w:r w:rsidRPr="00B7760C">
              <w:t>(43)</w:t>
            </w:r>
            <w:r w:rsidRPr="00B7760C">
              <w:tab/>
              <w:t xml:space="preserve">Mladi kmetje in novi </w:t>
            </w:r>
            <w:r w:rsidRPr="00B7760C">
              <w:rPr>
                <w:b/>
                <w:i/>
              </w:rPr>
              <w:t>udeleženci</w:t>
            </w:r>
            <w:r w:rsidRPr="00B7760C">
              <w:t xml:space="preserve"> se še vedno spopadajo z znatnimi ovirami pri dostopu do zemljišč in posojil ter visokimi cenami. Njihova podjetja bolj ogroža nestanovitnost cen (surovin in pridelka) in nujno potrebujejo usposabljanje na področju podjetniških sposobnosti in sposobnosti upravljanja tveganj. Zato je bistvenega pomena, da se nadaljuje podpora za ustanavljanje novih podjetij in kmetij. Države članice bi morale določiti strateški pristop ter opredeliti jasen in skladen niz intervencij za generacijsko pomladitev v okviru specifičnega cilja, posvečenega temu vprašanju. V ta namen lahko države članice v svojih strateških načrtih SKP določijo prednostne pogoje za finančne instrumente za mlade kmete in nove udeležence ter bi morale v te načrte vključiti omejitev finančnih sredstev na najmanj znesek, ki ustreza 2</w:t>
            </w:r>
            <w:r w:rsidRPr="00B7760C">
              <w:rPr>
                <w:b/>
                <w:i/>
              </w:rPr>
              <w:t> </w:t>
            </w:r>
            <w:r w:rsidRPr="00B7760C">
              <w:t>% letnega zneska za neposredna plačila. Določiti bi bilo treba povečanje najvišjega zneska pomoči za vzpostavitev gospodarstev mladih kmetov in zagon podeželskih podjetij na največ 100 000 EUR, do katerega se lahko dostopa tudi prek podpore v obliki finančnega instrumenta ali v kombinaciji z njo.</w:t>
            </w:r>
          </w:p>
        </w:tc>
        <w:tc>
          <w:tcPr>
            <w:tcW w:w="4876" w:type="dxa"/>
          </w:tcPr>
          <w:p w14:paraId="1C4ADBDF" w14:textId="77777777" w:rsidR="003663AF" w:rsidRPr="00B7760C" w:rsidRDefault="003663AF" w:rsidP="00E804B7">
            <w:pPr>
              <w:pStyle w:val="Normal6"/>
            </w:pPr>
            <w:r w:rsidRPr="00B7760C">
              <w:t>(43)</w:t>
            </w:r>
            <w:r w:rsidRPr="00B7760C">
              <w:tab/>
              <w:t xml:space="preserve">Mladi kmetje in novi </w:t>
            </w:r>
            <w:r w:rsidRPr="00B7760C">
              <w:rPr>
                <w:b/>
                <w:i/>
              </w:rPr>
              <w:t>kmetje</w:t>
            </w:r>
            <w:r w:rsidRPr="00B7760C">
              <w:t xml:space="preserve"> se še vedno spopadajo z znatnimi ovirami pri dostopu do zemljišč in posojil ter visokimi cenami. Njihova podjetja bolj ogroža nestanovitnost cen (surovin in pridelka) in nujno potrebujejo usposabljanje na področju podjetniških sposobnosti in sposobnosti</w:t>
            </w:r>
            <w:r w:rsidRPr="00B7760C">
              <w:rPr>
                <w:b/>
                <w:i/>
              </w:rPr>
              <w:t xml:space="preserve"> preprečevanja in</w:t>
            </w:r>
            <w:r w:rsidRPr="00B7760C">
              <w:t xml:space="preserve"> upravljanja tveganj. Zato je bistvenega pomena, da se nadaljuje podpora za ustanavljanje novih podjetij in kmetij. Države članice bi morale določiti strateški pristop ter opredeliti jasen in skladen niz intervencij za generacijsko pomladitev v okviru specifičnega cilja, posvečenega temu vprašanju. V ta namen lahko države članice v svojih strateških načrtih SKP določijo prednostne pogoje za finančne instrumente za mlade kmete in nove udeležence ter bi morale v te načrte vključiti omejitev finančnih sredstev na najmanj znesek, ki ustreza 2</w:t>
            </w:r>
            <w:r w:rsidRPr="00B7760C">
              <w:rPr>
                <w:b/>
                <w:i/>
              </w:rPr>
              <w:t xml:space="preserve"> </w:t>
            </w:r>
            <w:r w:rsidRPr="00B7760C">
              <w:t>% letnega zneska za neposredna plačila</w:t>
            </w:r>
            <w:r w:rsidRPr="00B7760C">
              <w:rPr>
                <w:b/>
                <w:i/>
              </w:rPr>
              <w:t xml:space="preserve"> v prvem stebru</w:t>
            </w:r>
            <w:r w:rsidRPr="00B7760C">
              <w:t>. Določiti bi bilo treba povečanje najvišjega zneska pomoči za vzpostavitev gospodarstev mladih kmetov in zagon podeželskih podjetij na največ 100 000 EUR, do katerega se lahko dostopa tudi prek podpore v obliki finančnega instrumenta ali v kombinaciji z njo.</w:t>
            </w:r>
          </w:p>
        </w:tc>
      </w:tr>
    </w:tbl>
    <w:p w14:paraId="1061DE8F" w14:textId="77777777" w:rsidR="003663AF" w:rsidRPr="00B7760C" w:rsidRDefault="003663AF" w:rsidP="003663AF">
      <w:pPr>
        <w:pStyle w:val="Normal6"/>
      </w:pPr>
    </w:p>
    <w:p w14:paraId="15A3BF8F" w14:textId="7197611B" w:rsidR="003663AF" w:rsidRPr="00B7760C" w:rsidRDefault="00877691" w:rsidP="003663AF">
      <w:pPr>
        <w:pStyle w:val="AMNumberTabs"/>
      </w:pPr>
      <w:r w:rsidRPr="00B7760C">
        <w:t>Sprememba</w:t>
      </w:r>
      <w:r w:rsidR="003663AF" w:rsidRPr="00B7760C">
        <w:tab/>
      </w:r>
      <w:r w:rsidR="003663AF" w:rsidRPr="00B7760C">
        <w:tab/>
        <w:t>40</w:t>
      </w:r>
    </w:p>
    <w:p w14:paraId="45F89FD9" w14:textId="77777777" w:rsidR="003663AF" w:rsidRPr="00B7760C" w:rsidRDefault="003663AF" w:rsidP="003663AF">
      <w:pPr>
        <w:pStyle w:val="NormalBold12b"/>
      </w:pPr>
      <w:r w:rsidRPr="00B7760C">
        <w:t>Predlog uredbe</w:t>
      </w:r>
    </w:p>
    <w:p w14:paraId="6E192BEF" w14:textId="77777777" w:rsidR="003663AF" w:rsidRPr="00B7760C" w:rsidRDefault="003663AF" w:rsidP="003663AF">
      <w:pPr>
        <w:pStyle w:val="NormalBold"/>
      </w:pPr>
      <w:r w:rsidRPr="00B7760C">
        <w:t>Uvodna izjava 44</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46EA404" w14:textId="77777777" w:rsidTr="00E804B7">
        <w:trPr>
          <w:trHeight w:hRule="exact" w:val="240"/>
          <w:jc w:val="center"/>
        </w:trPr>
        <w:tc>
          <w:tcPr>
            <w:tcW w:w="9752" w:type="dxa"/>
            <w:gridSpan w:val="2"/>
          </w:tcPr>
          <w:p w14:paraId="56B76370" w14:textId="77777777" w:rsidR="003663AF" w:rsidRPr="00B7760C" w:rsidRDefault="003663AF" w:rsidP="00E804B7"/>
        </w:tc>
      </w:tr>
      <w:tr w:rsidR="003663AF" w:rsidRPr="00B7760C" w14:paraId="10488FA1" w14:textId="77777777" w:rsidTr="00E804B7">
        <w:trPr>
          <w:trHeight w:val="240"/>
          <w:jc w:val="center"/>
        </w:trPr>
        <w:tc>
          <w:tcPr>
            <w:tcW w:w="4876" w:type="dxa"/>
          </w:tcPr>
          <w:p w14:paraId="33970F9C" w14:textId="77777777" w:rsidR="003663AF" w:rsidRPr="00B7760C" w:rsidRDefault="003663AF" w:rsidP="00E804B7">
            <w:pPr>
              <w:pStyle w:val="ColumnHeading"/>
            </w:pPr>
            <w:r w:rsidRPr="00B7760C">
              <w:t>Besedilo, ki ga predlaga Komisija</w:t>
            </w:r>
          </w:p>
        </w:tc>
        <w:tc>
          <w:tcPr>
            <w:tcW w:w="4876" w:type="dxa"/>
          </w:tcPr>
          <w:p w14:paraId="453EAB90" w14:textId="57753514" w:rsidR="003663AF" w:rsidRPr="00B7760C" w:rsidRDefault="00877691" w:rsidP="00E804B7">
            <w:pPr>
              <w:pStyle w:val="ColumnHeading"/>
            </w:pPr>
            <w:r w:rsidRPr="00B7760C">
              <w:t>Sprememba</w:t>
            </w:r>
          </w:p>
        </w:tc>
      </w:tr>
      <w:tr w:rsidR="003663AF" w:rsidRPr="00B7760C" w14:paraId="6DD9CC0D" w14:textId="77777777" w:rsidTr="00E804B7">
        <w:trPr>
          <w:jc w:val="center"/>
        </w:trPr>
        <w:tc>
          <w:tcPr>
            <w:tcW w:w="4876" w:type="dxa"/>
          </w:tcPr>
          <w:p w14:paraId="4ABABE92" w14:textId="77777777" w:rsidR="003663AF" w:rsidRPr="00B7760C" w:rsidRDefault="003663AF" w:rsidP="00E804B7">
            <w:pPr>
              <w:pStyle w:val="Normal6"/>
            </w:pPr>
            <w:r w:rsidRPr="00B7760C">
              <w:t>(44)</w:t>
            </w:r>
            <w:r w:rsidRPr="00B7760C">
              <w:tab/>
              <w:t>Glede na potrebo po zagotavljanju ustreznih instrumentov za obvladovanje tveganj bi bilo treba ohraniti zavarovalne premije in vzajemne sklade, ki se financirajo iz EKSRP. Kategorija vzajemnih skladov obsega tako sklade, ki so povezani z izgubami pri proizvodnji, ter splošne in sektorske instrumente za stabilizacijo dohodka, povezane z izgubo dohodka.</w:t>
            </w:r>
          </w:p>
        </w:tc>
        <w:tc>
          <w:tcPr>
            <w:tcW w:w="4876" w:type="dxa"/>
          </w:tcPr>
          <w:p w14:paraId="792DD1E2" w14:textId="77777777" w:rsidR="003663AF" w:rsidRPr="00B7760C" w:rsidRDefault="003663AF" w:rsidP="00E804B7">
            <w:pPr>
              <w:pStyle w:val="Normal6"/>
              <w:rPr>
                <w:b/>
                <w:i/>
              </w:rPr>
            </w:pPr>
            <w:r w:rsidRPr="00B7760C">
              <w:t>(44)</w:t>
            </w:r>
            <w:r w:rsidRPr="00B7760C">
              <w:tab/>
              <w:t xml:space="preserve">Glede na potrebo po zagotavljanju ustreznih instrumentov za obvladovanje tveganj bi bilo treba ohraniti zavarovalne premije in vzajemne sklade, ki se financirajo iz EKSRP. Kategorija vzajemnih skladov obsega tako sklade, ki so povezani z izgubami pri proizvodnji, ter splošne in sektorske instrumente za stabilizacijo dohodka, povezane z izgubo dohodka. </w:t>
            </w:r>
            <w:r w:rsidRPr="00B7760C">
              <w:rPr>
                <w:b/>
                <w:i/>
              </w:rPr>
              <w:t>Da bi instrumente za obvladovanje tveganj prilagodili izzivom, s katerimi se srečujejo kmetje, zlasti podnebnim spremembam, je treba v zbirko instrumentov SKP vključiti nadomestilo za stroške in izgube kmetov zvezi z ukrepi za zatiranje bolezni živali in organizmov, škodljivih za rastline, ali izgube kmetov, ki se ukvarjajo z ekološkim kmetovanjem, zaradi zunanje onesnaženosti, za katero niso odgovorni. Kljub temu bi bilo treba zagotoviti združljivost intervencij, ki se financirajo iz EKSRP, z nacionalnimi sistemi za obvladovanje tveganj.</w:t>
            </w:r>
          </w:p>
        </w:tc>
      </w:tr>
    </w:tbl>
    <w:p w14:paraId="5775FFCA" w14:textId="77777777" w:rsidR="003663AF" w:rsidRPr="00B7760C" w:rsidRDefault="003663AF" w:rsidP="003663AF"/>
    <w:p w14:paraId="64E2C5F7" w14:textId="04CC44C3" w:rsidR="003663AF" w:rsidRPr="00B7760C" w:rsidRDefault="00877691" w:rsidP="003663AF">
      <w:pPr>
        <w:pStyle w:val="AMNumberTabs"/>
      </w:pPr>
      <w:r w:rsidRPr="00B7760C">
        <w:t>Sprememb</w:t>
      </w:r>
      <w:r w:rsidR="008D4463" w:rsidRPr="00B7760C">
        <w:t>i</w:t>
      </w:r>
      <w:r w:rsidR="003663AF" w:rsidRPr="00B7760C">
        <w:tab/>
        <w:t>41</w:t>
      </w:r>
      <w:r w:rsidR="008D4463" w:rsidRPr="00B7760C">
        <w:t xml:space="preserve"> in 796</w:t>
      </w:r>
    </w:p>
    <w:p w14:paraId="6AD18FE9" w14:textId="77777777" w:rsidR="003663AF" w:rsidRPr="00B7760C" w:rsidRDefault="003663AF" w:rsidP="003663AF">
      <w:pPr>
        <w:pStyle w:val="NormalBold12b"/>
      </w:pPr>
      <w:r w:rsidRPr="00B7760C">
        <w:t>Predlog uredbe</w:t>
      </w:r>
    </w:p>
    <w:p w14:paraId="048ACF2A" w14:textId="77777777" w:rsidR="003663AF" w:rsidRPr="00B7760C" w:rsidRDefault="003663AF" w:rsidP="003663AF">
      <w:pPr>
        <w:pStyle w:val="NormalBold"/>
      </w:pPr>
      <w:r w:rsidRPr="00B7760C">
        <w:t>Uvodna izjava 45</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0A6BE8E" w14:textId="77777777" w:rsidTr="00E804B7">
        <w:trPr>
          <w:trHeight w:hRule="exact" w:val="240"/>
          <w:jc w:val="center"/>
        </w:trPr>
        <w:tc>
          <w:tcPr>
            <w:tcW w:w="9752" w:type="dxa"/>
            <w:gridSpan w:val="2"/>
          </w:tcPr>
          <w:p w14:paraId="5C3A38ED" w14:textId="77777777" w:rsidR="003663AF" w:rsidRPr="00B7760C" w:rsidRDefault="003663AF" w:rsidP="00E804B7"/>
        </w:tc>
      </w:tr>
      <w:tr w:rsidR="003663AF" w:rsidRPr="00B7760C" w14:paraId="07AA509C" w14:textId="77777777" w:rsidTr="00E804B7">
        <w:trPr>
          <w:trHeight w:val="240"/>
          <w:jc w:val="center"/>
        </w:trPr>
        <w:tc>
          <w:tcPr>
            <w:tcW w:w="4876" w:type="dxa"/>
          </w:tcPr>
          <w:p w14:paraId="57E91AFC" w14:textId="77777777" w:rsidR="003663AF" w:rsidRPr="00B7760C" w:rsidRDefault="003663AF" w:rsidP="00E804B7">
            <w:pPr>
              <w:pStyle w:val="ColumnHeading"/>
            </w:pPr>
            <w:r w:rsidRPr="00B7760C">
              <w:t>Besedilo, ki ga predlaga Komisija</w:t>
            </w:r>
          </w:p>
        </w:tc>
        <w:tc>
          <w:tcPr>
            <w:tcW w:w="4876" w:type="dxa"/>
          </w:tcPr>
          <w:p w14:paraId="24BD27BD" w14:textId="0AE7F030" w:rsidR="003663AF" w:rsidRPr="00B7760C" w:rsidRDefault="00877691" w:rsidP="00E804B7">
            <w:pPr>
              <w:pStyle w:val="ColumnHeading"/>
            </w:pPr>
            <w:r w:rsidRPr="00B7760C">
              <w:t>Sprememba</w:t>
            </w:r>
          </w:p>
        </w:tc>
      </w:tr>
      <w:tr w:rsidR="003663AF" w:rsidRPr="00B7760C" w14:paraId="7FF01E71" w14:textId="77777777" w:rsidTr="00E804B7">
        <w:trPr>
          <w:jc w:val="center"/>
        </w:trPr>
        <w:tc>
          <w:tcPr>
            <w:tcW w:w="4876" w:type="dxa"/>
          </w:tcPr>
          <w:p w14:paraId="2BE32712" w14:textId="77777777" w:rsidR="003663AF" w:rsidRPr="00B7760C" w:rsidRDefault="003663AF" w:rsidP="00E804B7">
            <w:pPr>
              <w:pStyle w:val="Normal6"/>
            </w:pPr>
            <w:r w:rsidRPr="00B7760C">
              <w:t>(45)</w:t>
            </w:r>
            <w:r w:rsidRPr="00B7760C">
              <w:tab/>
              <w:t xml:space="preserve">Podpora bi morala omogočati vzpostavitev in izvajanje sodelovanja med vsaj dvema subjektom z namenom doseganja ciljev SKP. Podpora lahko vključuje vse vidike tega sodelovanja, kot so vzpostavitev shem kakovosti; skupni okoljski in podnebni ukrepi; spodbujanje kratkih dobavnih verig in lokalnih trgov; pilotni projekti;, projekti operativne skupine v okviru evropskega inovacijskega partnerstva za kmetijsko produktivnost in trajnostnost, projekti lokalnega razvoja, pametne vasi, klubi kupcev in kmetijske strojne zadruge; partnerstva kmetij; načrti za gospodarjenje z gozdovi; mreže in grozdi; socialno kmetijstvo; kmetijstvo s podporo skupnosti; ukrepi v okviru programa LEADER; ter ustanavljanje skupin proizvajalcev, organizacij proizvajalcev in drugih oblik sodelovanja, ki veljajo za nujne za doseganje specifičnih ciljev SKP. </w:t>
            </w:r>
          </w:p>
        </w:tc>
        <w:tc>
          <w:tcPr>
            <w:tcW w:w="4876" w:type="dxa"/>
          </w:tcPr>
          <w:p w14:paraId="445EB26F" w14:textId="7F13EA90" w:rsidR="003663AF" w:rsidRPr="00B7760C" w:rsidRDefault="003663AF" w:rsidP="00753E5D">
            <w:pPr>
              <w:pStyle w:val="Normal6"/>
            </w:pPr>
            <w:r w:rsidRPr="00B7760C">
              <w:t>(45)</w:t>
            </w:r>
            <w:r w:rsidRPr="00B7760C">
              <w:tab/>
              <w:t>Podpora bi morala omogočati vzpostavitev in izvajanje sodelovanja med vsaj dvema subjektom z namenom doseganja ciljev SKP. Podpora lahko vključuje vse vidike tega sodelovanja, kot so vzpostavitev</w:t>
            </w:r>
            <w:r w:rsidR="00753E5D" w:rsidRPr="00B7760C">
              <w:t>,</w:t>
            </w:r>
            <w:r w:rsidRPr="00B7760C">
              <w:rPr>
                <w:b/>
                <w:i/>
              </w:rPr>
              <w:t xml:space="preserve"> spodbujanje </w:t>
            </w:r>
            <w:r w:rsidR="008D4463" w:rsidRPr="00B7760C">
              <w:rPr>
                <w:b/>
                <w:i/>
              </w:rPr>
              <w:t xml:space="preserve">in vzdrževanje </w:t>
            </w:r>
            <w:r w:rsidRPr="00B7760C">
              <w:t>shem kakovosti</w:t>
            </w:r>
            <w:r w:rsidRPr="00B7760C">
              <w:rPr>
                <w:b/>
                <w:i/>
              </w:rPr>
              <w:t xml:space="preserve"> ter stroški certificiranja</w:t>
            </w:r>
            <w:r w:rsidRPr="00B7760C">
              <w:t>; skupni okoljski in podnebni ukrepi; spodbujanje kratkih dobavnih verig in lokalnih trgov; pilotni projekti; projekti operativne skupine v okviru evropskega inovacijskega partnerstva za kmetijsko produktivnost in trajnostnost, projekti lokalnega razvoja, pametne vasi, klubi kupcev in kmetijske strojne zadruge; partnerstva kmetij; načrti za gospodarjenje z gozdovi</w:t>
            </w:r>
            <w:r w:rsidR="008D4463" w:rsidRPr="00B7760C">
              <w:rPr>
                <w:b/>
                <w:i/>
              </w:rPr>
              <w:t>, vključno z gozdnim kmetijstvom</w:t>
            </w:r>
            <w:r w:rsidRPr="00B7760C">
              <w:t>; mreže in grozdi; socialno kmetijstvo; kmetijstvo s podporo skupnosti; ukrepi v okviru programa LEADER ter ustanavljanje skupin proizvajalcev, organizacij proizvajalcev</w:t>
            </w:r>
            <w:r w:rsidRPr="00B7760C">
              <w:rPr>
                <w:b/>
                <w:i/>
              </w:rPr>
              <w:t>, vključno s skupinami proizvajalcev, priznanimi na podlagi Uredbe (EU) št. 115/</w:t>
            </w:r>
            <w:r w:rsidR="00FB68E1" w:rsidRPr="00B7760C">
              <w:rPr>
                <w:b/>
                <w:i/>
              </w:rPr>
              <w:t>20</w:t>
            </w:r>
            <w:r w:rsidRPr="00B7760C">
              <w:rPr>
                <w:b/>
                <w:i/>
              </w:rPr>
              <w:t>12,</w:t>
            </w:r>
            <w:r w:rsidRPr="00B7760C">
              <w:t xml:space="preserve"> in drugih oblik sodelovanja, ki veljajo za nujne za doseganje specifičnih ciljev SKP. </w:t>
            </w:r>
            <w:r w:rsidRPr="00B7760C">
              <w:rPr>
                <w:b/>
                <w:i/>
              </w:rPr>
              <w:t>Da bi spodbudili generacijsko pomladitev, bi bilo treba razmisliti o odobritvi posebne podpore za kmete, ki želijo prenehati kmetovati, preden dosežejo zakonsko upokojitveno starost, in svojo kmetijo nameravajo predati mlajšemu kmetu, ki je pripravljen sodelovati.</w:t>
            </w:r>
          </w:p>
        </w:tc>
      </w:tr>
    </w:tbl>
    <w:p w14:paraId="121FB0DF" w14:textId="77777777" w:rsidR="008D4463" w:rsidRPr="00B7760C" w:rsidRDefault="008D4463" w:rsidP="003663AF"/>
    <w:p w14:paraId="0290EB31" w14:textId="7EF6149C" w:rsidR="003663AF" w:rsidRPr="00B7760C" w:rsidRDefault="00877691" w:rsidP="003663AF">
      <w:pPr>
        <w:pStyle w:val="AMNumberTabs"/>
      </w:pPr>
      <w:r w:rsidRPr="00B7760C">
        <w:t>Sprememba</w:t>
      </w:r>
      <w:r w:rsidR="003663AF" w:rsidRPr="00B7760C">
        <w:tab/>
      </w:r>
      <w:r w:rsidR="003663AF" w:rsidRPr="00B7760C">
        <w:tab/>
        <w:t>42</w:t>
      </w:r>
    </w:p>
    <w:p w14:paraId="0C9B6569" w14:textId="77777777" w:rsidR="003663AF" w:rsidRPr="00B7760C" w:rsidRDefault="003663AF" w:rsidP="003663AF">
      <w:pPr>
        <w:pStyle w:val="NormalBold12b"/>
      </w:pPr>
      <w:r w:rsidRPr="00B7760C">
        <w:t>Predlog uredbe</w:t>
      </w:r>
    </w:p>
    <w:p w14:paraId="408E1FE0" w14:textId="77777777" w:rsidR="003663AF" w:rsidRPr="00B7760C" w:rsidRDefault="003663AF" w:rsidP="003663AF">
      <w:pPr>
        <w:pStyle w:val="NormalBold"/>
      </w:pPr>
      <w:r w:rsidRPr="00B7760C">
        <w:t>Uvodna izjava 47</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9D48618" w14:textId="77777777" w:rsidTr="00E804B7">
        <w:trPr>
          <w:trHeight w:hRule="exact" w:val="240"/>
          <w:jc w:val="center"/>
        </w:trPr>
        <w:tc>
          <w:tcPr>
            <w:tcW w:w="9752" w:type="dxa"/>
            <w:gridSpan w:val="2"/>
          </w:tcPr>
          <w:p w14:paraId="27699DB9" w14:textId="77777777" w:rsidR="003663AF" w:rsidRPr="00B7760C" w:rsidRDefault="003663AF" w:rsidP="00E804B7"/>
        </w:tc>
      </w:tr>
      <w:tr w:rsidR="003663AF" w:rsidRPr="00B7760C" w14:paraId="58C9DC6C" w14:textId="77777777" w:rsidTr="00E804B7">
        <w:trPr>
          <w:trHeight w:val="240"/>
          <w:jc w:val="center"/>
        </w:trPr>
        <w:tc>
          <w:tcPr>
            <w:tcW w:w="4876" w:type="dxa"/>
          </w:tcPr>
          <w:p w14:paraId="09290FED" w14:textId="77777777" w:rsidR="003663AF" w:rsidRPr="00B7760C" w:rsidRDefault="003663AF" w:rsidP="00E804B7">
            <w:pPr>
              <w:pStyle w:val="ColumnHeading"/>
            </w:pPr>
            <w:r w:rsidRPr="00B7760C">
              <w:t>Besedilo, ki ga predlaga Komisija</w:t>
            </w:r>
          </w:p>
        </w:tc>
        <w:tc>
          <w:tcPr>
            <w:tcW w:w="4876" w:type="dxa"/>
          </w:tcPr>
          <w:p w14:paraId="0754BC56" w14:textId="4181A732" w:rsidR="003663AF" w:rsidRPr="00B7760C" w:rsidRDefault="00877691" w:rsidP="00E804B7">
            <w:pPr>
              <w:pStyle w:val="ColumnHeading"/>
            </w:pPr>
            <w:r w:rsidRPr="00B7760C">
              <w:t>Sprememba</w:t>
            </w:r>
          </w:p>
        </w:tc>
      </w:tr>
      <w:tr w:rsidR="003663AF" w:rsidRPr="00B7760C" w14:paraId="33DC182A" w14:textId="77777777" w:rsidTr="00E804B7">
        <w:trPr>
          <w:jc w:val="center"/>
        </w:trPr>
        <w:tc>
          <w:tcPr>
            <w:tcW w:w="4876" w:type="dxa"/>
          </w:tcPr>
          <w:p w14:paraId="531A0961" w14:textId="77777777" w:rsidR="003663AF" w:rsidRPr="00B7760C" w:rsidRDefault="003663AF" w:rsidP="00E804B7">
            <w:pPr>
              <w:pStyle w:val="Normal6"/>
            </w:pPr>
            <w:r w:rsidRPr="00B7760C">
              <w:t>(47)</w:t>
            </w:r>
            <w:r w:rsidRPr="00B7760C">
              <w:tab/>
              <w:t>EKJS bi moral še naprej financirati vrste intervencij v obliki neposrednih plačil in sektorske vrste intervencij, EKSRP pa bi moral še naprej financirati vrste intervencij za razvoj podeželja, kot je opisano v tej uredbi. Pravila za finančno upravljanje SKP bi bilo treba določiti ločeno za oba sklada in dejavnosti, ki jih vsak podpira, pri čemer bi bilo treba upoštevati, da novi model izvajanja državam članicam omogoča več prilagodljivosti in subsidiarnosti pri doseganju njihovih ciljev. Vrste intervencij na podlagi te uredbe bi morale zajemati obdobje od 1.</w:t>
            </w:r>
            <w:r w:rsidRPr="00B7760C">
              <w:rPr>
                <w:b/>
                <w:i/>
              </w:rPr>
              <w:t xml:space="preserve"> </w:t>
            </w:r>
            <w:r w:rsidRPr="00B7760C">
              <w:t xml:space="preserve">januarja </w:t>
            </w:r>
            <w:r w:rsidRPr="00B7760C">
              <w:rPr>
                <w:b/>
                <w:i/>
              </w:rPr>
              <w:t>2021</w:t>
            </w:r>
            <w:r w:rsidRPr="00B7760C">
              <w:t xml:space="preserve"> do 31.</w:t>
            </w:r>
            <w:r w:rsidRPr="00B7760C">
              <w:rPr>
                <w:b/>
                <w:i/>
              </w:rPr>
              <w:t xml:space="preserve"> </w:t>
            </w:r>
            <w:r w:rsidRPr="00B7760C">
              <w:t>decembra 2027.</w:t>
            </w:r>
          </w:p>
        </w:tc>
        <w:tc>
          <w:tcPr>
            <w:tcW w:w="4876" w:type="dxa"/>
          </w:tcPr>
          <w:p w14:paraId="28E6A887" w14:textId="77777777" w:rsidR="003663AF" w:rsidRPr="00B7760C" w:rsidRDefault="003663AF" w:rsidP="00E804B7">
            <w:pPr>
              <w:pStyle w:val="Normal6"/>
            </w:pPr>
            <w:r w:rsidRPr="00B7760C">
              <w:t>(47)</w:t>
            </w:r>
            <w:r w:rsidRPr="00B7760C">
              <w:tab/>
              <w:t>EKJS bi moral še naprej financirati vrste intervencij v obliki neposrednih plačil in sektorske vrste intervencij, EKSRP pa bi moral še naprej financirati vrste intervencij za razvoj podeželja, kot je opisano v tej uredbi. Pravila za finančno upravljanje SKP bi bilo treba določiti ločeno za oba sklada in dejavnosti, ki jih vsak podpira, pri čemer bi bilo treba upoštevati, da novi model izvajanja državam članicam omogoča več prilagodljivosti in subsidiarnosti pri doseganju njihovih ciljev. Vrste intervencij na podlagi te uredbe bi morale zajemati obdobje od 1.</w:t>
            </w:r>
            <w:r w:rsidRPr="00B7760C">
              <w:rPr>
                <w:b/>
                <w:i/>
              </w:rPr>
              <w:t> </w:t>
            </w:r>
            <w:r w:rsidRPr="00B7760C">
              <w:t xml:space="preserve">januarja </w:t>
            </w:r>
            <w:r w:rsidRPr="00B7760C">
              <w:rPr>
                <w:b/>
                <w:i/>
              </w:rPr>
              <w:t>2022</w:t>
            </w:r>
            <w:r w:rsidRPr="00B7760C">
              <w:t xml:space="preserve"> do 31.</w:t>
            </w:r>
            <w:r w:rsidRPr="00B7760C">
              <w:rPr>
                <w:b/>
                <w:i/>
              </w:rPr>
              <w:t> </w:t>
            </w:r>
            <w:r w:rsidRPr="00B7760C">
              <w:t>decembra 2027.</w:t>
            </w:r>
          </w:p>
        </w:tc>
      </w:tr>
    </w:tbl>
    <w:p w14:paraId="62440535" w14:textId="77777777" w:rsidR="003663AF" w:rsidRPr="00B7760C" w:rsidRDefault="003663AF" w:rsidP="003663AF">
      <w:pPr>
        <w:pStyle w:val="Normal6"/>
      </w:pPr>
    </w:p>
    <w:p w14:paraId="66889F3D" w14:textId="25F81331" w:rsidR="003663AF" w:rsidRPr="00B7760C" w:rsidRDefault="00877691" w:rsidP="003663AF">
      <w:pPr>
        <w:pStyle w:val="AMNumberTabs"/>
      </w:pPr>
      <w:r w:rsidRPr="00B7760C">
        <w:t>Sprememba</w:t>
      </w:r>
      <w:r w:rsidR="003663AF" w:rsidRPr="00B7760C">
        <w:tab/>
      </w:r>
      <w:r w:rsidR="003663AF" w:rsidRPr="00B7760C">
        <w:tab/>
        <w:t>43</w:t>
      </w:r>
    </w:p>
    <w:p w14:paraId="2251D0F6" w14:textId="77777777" w:rsidR="003663AF" w:rsidRPr="00B7760C" w:rsidRDefault="003663AF" w:rsidP="003663AF">
      <w:pPr>
        <w:pStyle w:val="NormalBold12b"/>
      </w:pPr>
      <w:r w:rsidRPr="00B7760C">
        <w:t>Predlog uredbe</w:t>
      </w:r>
    </w:p>
    <w:p w14:paraId="37CA3320" w14:textId="77777777" w:rsidR="003663AF" w:rsidRPr="00B7760C" w:rsidRDefault="003663AF" w:rsidP="003663AF">
      <w:pPr>
        <w:pStyle w:val="NormalBold"/>
      </w:pPr>
      <w:r w:rsidRPr="00B7760C">
        <w:t>Uvodna izjava 48</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20CBBCA" w14:textId="77777777" w:rsidTr="00E804B7">
        <w:trPr>
          <w:trHeight w:hRule="exact" w:val="240"/>
          <w:jc w:val="center"/>
        </w:trPr>
        <w:tc>
          <w:tcPr>
            <w:tcW w:w="9752" w:type="dxa"/>
            <w:gridSpan w:val="2"/>
          </w:tcPr>
          <w:p w14:paraId="63183095" w14:textId="77777777" w:rsidR="003663AF" w:rsidRPr="00B7760C" w:rsidRDefault="003663AF" w:rsidP="00E804B7"/>
        </w:tc>
      </w:tr>
      <w:tr w:rsidR="003663AF" w:rsidRPr="00B7760C" w14:paraId="1FE2C226" w14:textId="77777777" w:rsidTr="00E804B7">
        <w:trPr>
          <w:trHeight w:val="240"/>
          <w:jc w:val="center"/>
        </w:trPr>
        <w:tc>
          <w:tcPr>
            <w:tcW w:w="4876" w:type="dxa"/>
          </w:tcPr>
          <w:p w14:paraId="2D8D114C" w14:textId="77777777" w:rsidR="003663AF" w:rsidRPr="00B7760C" w:rsidRDefault="003663AF" w:rsidP="00E804B7">
            <w:pPr>
              <w:pStyle w:val="ColumnHeading"/>
            </w:pPr>
            <w:r w:rsidRPr="00B7760C">
              <w:t>Besedilo, ki ga predlaga Komisija</w:t>
            </w:r>
          </w:p>
        </w:tc>
        <w:tc>
          <w:tcPr>
            <w:tcW w:w="4876" w:type="dxa"/>
          </w:tcPr>
          <w:p w14:paraId="17DD4D14" w14:textId="3904F31A" w:rsidR="003663AF" w:rsidRPr="00B7760C" w:rsidRDefault="00877691" w:rsidP="00E804B7">
            <w:pPr>
              <w:pStyle w:val="ColumnHeading"/>
            </w:pPr>
            <w:r w:rsidRPr="00B7760C">
              <w:t>Sprememba</w:t>
            </w:r>
          </w:p>
        </w:tc>
      </w:tr>
      <w:tr w:rsidR="003663AF" w:rsidRPr="00B7760C" w14:paraId="5B82B2F0" w14:textId="77777777" w:rsidTr="00E804B7">
        <w:trPr>
          <w:jc w:val="center"/>
        </w:trPr>
        <w:tc>
          <w:tcPr>
            <w:tcW w:w="4876" w:type="dxa"/>
          </w:tcPr>
          <w:p w14:paraId="593EE307" w14:textId="77777777" w:rsidR="003663AF" w:rsidRPr="00B7760C" w:rsidRDefault="003663AF" w:rsidP="00E804B7">
            <w:pPr>
              <w:pStyle w:val="Normal6"/>
            </w:pPr>
            <w:r w:rsidRPr="00B7760C">
              <w:t>(48)</w:t>
            </w:r>
            <w:r w:rsidRPr="00B7760C">
              <w:tab/>
              <w:t>Podpora za neposredna plačila na podlagi strateških načrtov SKP bi morala biti odobrena v okviru nacionalnih dodelitev, ki se določijo s to uredbo. Pri teh nacionalnih dodeljenih sredstvih bi se moralo upoštevati nadaljevanje sprememb, pri čemer se dodeljena sredstva državam članicam z najnižjo ravnijo podpore na hektar postopno povečujejo, da se zapolni 50 % vrzeli do 90 % povprečja Unije. Da bi upoštevali zmanjšanje mehanizma plačil in uporabo sledeče vrednosti v državi članici, bi bilo treba dovoliti, da skupna okvirna dodeljena finančna sredstva na leto v strateškem načrtu SKP države članice presegajo nacionalna dodeljena sredstva.</w:t>
            </w:r>
          </w:p>
        </w:tc>
        <w:tc>
          <w:tcPr>
            <w:tcW w:w="4876" w:type="dxa"/>
          </w:tcPr>
          <w:p w14:paraId="5C98585C" w14:textId="77777777" w:rsidR="003663AF" w:rsidRPr="00B7760C" w:rsidRDefault="003663AF" w:rsidP="00E804B7">
            <w:pPr>
              <w:pStyle w:val="Normal6"/>
            </w:pPr>
            <w:r w:rsidRPr="00B7760C">
              <w:t>(48)</w:t>
            </w:r>
            <w:r w:rsidRPr="00B7760C">
              <w:tab/>
            </w:r>
            <w:r w:rsidRPr="00B7760C">
              <w:rPr>
                <w:b/>
                <w:i/>
              </w:rPr>
              <w:t>V skladu z načeli trajnostnega kmetijskega upravljanja s sredstvi iz EKJS ne bi smeli podpirati dejavnosti, ki škodujejo okolju in ki niso združljive s podnebnimi in okoljskimi cilji.</w:t>
            </w:r>
            <w:r w:rsidRPr="00B7760C">
              <w:t xml:space="preserve"> Podpora za neposredna plačila na podlagi strateških načrtov SKP bi morala biti odobrena v okviru nacionalnih dodelitev, ki se določijo s to uredbo. Pri teh nacionalnih dodeljenih sredstvih bi se moralo upoštevati nadaljevanje sprememb, pri čemer se dodeljena sredstva državam članicam z najnižjo ravnijo podpore na hektar postopno povečujejo, da se zapolni 50 % vrzeli do 90 % povprečja Unije. Da bi upoštevali zmanjšanje mehanizma plačil in uporabo sledeče vrednosti v državi članici, bi bilo treba dovoliti, da skupna okvirna dodeljena finančna sredstva na leto v strateškem načrtu SKP države članice presegajo nacionalna dodeljena sredstva.</w:t>
            </w:r>
          </w:p>
        </w:tc>
      </w:tr>
    </w:tbl>
    <w:p w14:paraId="40178225" w14:textId="77777777" w:rsidR="003663AF" w:rsidRPr="00B7760C" w:rsidRDefault="003663AF" w:rsidP="003663AF"/>
    <w:p w14:paraId="60E8A0ED" w14:textId="0DEEFE0C" w:rsidR="003663AF" w:rsidRPr="00B7760C" w:rsidRDefault="00877691" w:rsidP="003663AF">
      <w:pPr>
        <w:pStyle w:val="AMNumberTabs"/>
      </w:pPr>
      <w:r w:rsidRPr="00B7760C">
        <w:t>Sprememba</w:t>
      </w:r>
      <w:r w:rsidR="003663AF" w:rsidRPr="00B7760C">
        <w:tab/>
      </w:r>
      <w:r w:rsidR="003663AF" w:rsidRPr="00B7760C">
        <w:tab/>
        <w:t>44</w:t>
      </w:r>
    </w:p>
    <w:p w14:paraId="57729BFB" w14:textId="77777777" w:rsidR="003663AF" w:rsidRPr="00B7760C" w:rsidRDefault="003663AF" w:rsidP="003663AF">
      <w:pPr>
        <w:pStyle w:val="NormalBold12b"/>
      </w:pPr>
      <w:r w:rsidRPr="00B7760C">
        <w:t>Predlog uredbe</w:t>
      </w:r>
    </w:p>
    <w:p w14:paraId="62D6DDFF" w14:textId="77777777" w:rsidR="003663AF" w:rsidRPr="00B7760C" w:rsidRDefault="003663AF" w:rsidP="003663AF">
      <w:pPr>
        <w:pStyle w:val="NormalBold"/>
      </w:pPr>
      <w:r w:rsidRPr="00B7760C">
        <w:t>Uvodna izjava 49</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526D299" w14:textId="77777777" w:rsidTr="00E804B7">
        <w:trPr>
          <w:trHeight w:hRule="exact" w:val="240"/>
          <w:jc w:val="center"/>
        </w:trPr>
        <w:tc>
          <w:tcPr>
            <w:tcW w:w="9752" w:type="dxa"/>
            <w:gridSpan w:val="2"/>
          </w:tcPr>
          <w:p w14:paraId="680F7C77" w14:textId="77777777" w:rsidR="003663AF" w:rsidRPr="00B7760C" w:rsidRDefault="003663AF" w:rsidP="00E804B7"/>
        </w:tc>
      </w:tr>
      <w:tr w:rsidR="003663AF" w:rsidRPr="00B7760C" w14:paraId="3585529F" w14:textId="77777777" w:rsidTr="00E804B7">
        <w:trPr>
          <w:trHeight w:val="240"/>
          <w:jc w:val="center"/>
        </w:trPr>
        <w:tc>
          <w:tcPr>
            <w:tcW w:w="4876" w:type="dxa"/>
          </w:tcPr>
          <w:p w14:paraId="2D6A0A9B" w14:textId="77777777" w:rsidR="003663AF" w:rsidRPr="00B7760C" w:rsidRDefault="003663AF" w:rsidP="00E804B7">
            <w:pPr>
              <w:pStyle w:val="ColumnHeading"/>
            </w:pPr>
            <w:r w:rsidRPr="00B7760C">
              <w:t>Besedilo, ki ga predlaga Komisija</w:t>
            </w:r>
          </w:p>
        </w:tc>
        <w:tc>
          <w:tcPr>
            <w:tcW w:w="4876" w:type="dxa"/>
          </w:tcPr>
          <w:p w14:paraId="582599AC" w14:textId="2494BE6B" w:rsidR="003663AF" w:rsidRPr="00B7760C" w:rsidRDefault="00877691" w:rsidP="00E804B7">
            <w:pPr>
              <w:pStyle w:val="ColumnHeading"/>
            </w:pPr>
            <w:r w:rsidRPr="00B7760C">
              <w:t>Sprememba</w:t>
            </w:r>
          </w:p>
        </w:tc>
      </w:tr>
      <w:tr w:rsidR="003663AF" w:rsidRPr="00B7760C" w14:paraId="54679D81" w14:textId="77777777" w:rsidTr="00E804B7">
        <w:trPr>
          <w:jc w:val="center"/>
        </w:trPr>
        <w:tc>
          <w:tcPr>
            <w:tcW w:w="4876" w:type="dxa"/>
          </w:tcPr>
          <w:p w14:paraId="56BF7042" w14:textId="77777777" w:rsidR="003663AF" w:rsidRPr="00B7760C" w:rsidRDefault="003663AF" w:rsidP="00E804B7">
            <w:pPr>
              <w:pStyle w:val="Normal6"/>
            </w:pPr>
            <w:r w:rsidRPr="00B7760C">
              <w:t>(49)</w:t>
            </w:r>
            <w:r w:rsidRPr="00B7760C">
              <w:tab/>
              <w:t xml:space="preserve">Za lažje upravljanje sredstev EKSRP bi bilo treba določiti </w:t>
            </w:r>
            <w:r w:rsidRPr="00B7760C">
              <w:rPr>
                <w:b/>
                <w:i/>
              </w:rPr>
              <w:t>enotno</w:t>
            </w:r>
            <w:r w:rsidRPr="00B7760C">
              <w:t xml:space="preserve"> stopnjo prispevka za podporo iz EKSRP glede na javne odhodke v državah članicah. Da bi upoštevali poseben pomen oziroma naravo nekaterih vrst operacij, bi bilo treba zanje določiti posebne stopnje prispevka. Za omilitev posebnih omejitev zaradi ravni razvoja, oddaljenosti in otoške lege </w:t>
            </w:r>
            <w:r w:rsidRPr="00B7760C">
              <w:rPr>
                <w:b/>
                <w:i/>
              </w:rPr>
              <w:t>bi bilo treba določiti ustrezno stopnjo prispevka EKSRP za manj razvite in najbolj oddaljene regije iz člena 349 PDEU ter manjše egejske otoke</w:t>
            </w:r>
            <w:r w:rsidRPr="00B7760C">
              <w:t>.</w:t>
            </w:r>
          </w:p>
        </w:tc>
        <w:tc>
          <w:tcPr>
            <w:tcW w:w="4876" w:type="dxa"/>
          </w:tcPr>
          <w:p w14:paraId="09426D4B" w14:textId="77777777" w:rsidR="003663AF" w:rsidRPr="00B7760C" w:rsidRDefault="003663AF" w:rsidP="00E804B7">
            <w:pPr>
              <w:pStyle w:val="Normal6"/>
            </w:pPr>
            <w:r w:rsidRPr="00B7760C">
              <w:t>(49)</w:t>
            </w:r>
            <w:r w:rsidRPr="00B7760C">
              <w:tab/>
              <w:t xml:space="preserve">Za lažje upravljanje sredstev EKSRP bi bilo treba določiti </w:t>
            </w:r>
            <w:r w:rsidRPr="00B7760C">
              <w:rPr>
                <w:b/>
                <w:i/>
              </w:rPr>
              <w:t>splošno</w:t>
            </w:r>
            <w:r w:rsidRPr="00B7760C">
              <w:t xml:space="preserve"> stopnjo prispevka za podporo iz EKSRP glede na javne odhodke v državah članicah. Da bi upoštevali poseben pomen oziroma naravo nekaterih vrst operacij, bi bilo treba zanje določiti posebne stopnje prispevka. Za omilitev posebnih omejitev zaradi ravni razvoja, oddaljenosti in otoške lege </w:t>
            </w:r>
            <w:r w:rsidRPr="00B7760C">
              <w:rPr>
                <w:b/>
                <w:i/>
              </w:rPr>
              <w:t>najbolj oddaljenih regij iz člena 349 PDEU in manjših egejskih otokov, kot so opredeljeni v členu 1(2) Uredbe (EU) št. 229/2013, bi bilo treba za navedene regije določiti višjo stopnjo prispevka EKSRP</w:t>
            </w:r>
            <w:r w:rsidRPr="00B7760C">
              <w:t>.</w:t>
            </w:r>
          </w:p>
        </w:tc>
      </w:tr>
    </w:tbl>
    <w:p w14:paraId="26122DBD" w14:textId="77777777" w:rsidR="003663AF" w:rsidRPr="00B7760C" w:rsidRDefault="003663AF" w:rsidP="003663AF"/>
    <w:p w14:paraId="22717744" w14:textId="7959E137" w:rsidR="003663AF" w:rsidRPr="00B7760C" w:rsidRDefault="00877691" w:rsidP="003663AF">
      <w:pPr>
        <w:pStyle w:val="AMNumberTabs"/>
        <w:keepNext/>
      </w:pPr>
      <w:r w:rsidRPr="00B7760C">
        <w:t>Sprememba</w:t>
      </w:r>
      <w:r w:rsidR="003663AF" w:rsidRPr="00B7760C">
        <w:tab/>
      </w:r>
      <w:r w:rsidR="003663AF" w:rsidRPr="00B7760C">
        <w:tab/>
        <w:t>45</w:t>
      </w:r>
    </w:p>
    <w:p w14:paraId="75F929BE" w14:textId="77777777" w:rsidR="003663AF" w:rsidRPr="00B7760C" w:rsidRDefault="003663AF" w:rsidP="003663AF">
      <w:pPr>
        <w:pStyle w:val="NormalBold12b"/>
        <w:keepNext/>
      </w:pPr>
      <w:r w:rsidRPr="00B7760C">
        <w:t>Predlog uredbe</w:t>
      </w:r>
    </w:p>
    <w:p w14:paraId="72C34725" w14:textId="77777777" w:rsidR="003663AF" w:rsidRPr="00B7760C" w:rsidRDefault="003663AF" w:rsidP="003663AF">
      <w:pPr>
        <w:pStyle w:val="NormalBold"/>
      </w:pPr>
      <w:r w:rsidRPr="00B7760C">
        <w:t>Uvodna izjava 49 a (novo)</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05BD408" w14:textId="77777777" w:rsidTr="00B7760C">
        <w:trPr>
          <w:jc w:val="center"/>
        </w:trPr>
        <w:tc>
          <w:tcPr>
            <w:tcW w:w="9752" w:type="dxa"/>
            <w:gridSpan w:val="2"/>
          </w:tcPr>
          <w:p w14:paraId="488D50A6" w14:textId="77777777" w:rsidR="003663AF" w:rsidRPr="00B7760C" w:rsidRDefault="003663AF" w:rsidP="00E804B7">
            <w:pPr>
              <w:keepNext/>
            </w:pPr>
          </w:p>
        </w:tc>
      </w:tr>
      <w:tr w:rsidR="003663AF" w:rsidRPr="00B7760C" w14:paraId="49C330D4" w14:textId="77777777" w:rsidTr="00B7760C">
        <w:trPr>
          <w:jc w:val="center"/>
        </w:trPr>
        <w:tc>
          <w:tcPr>
            <w:tcW w:w="4876" w:type="dxa"/>
            <w:hideMark/>
          </w:tcPr>
          <w:p w14:paraId="0DE22E0C" w14:textId="77777777" w:rsidR="003663AF" w:rsidRPr="00B7760C" w:rsidRDefault="003663AF" w:rsidP="00E804B7">
            <w:pPr>
              <w:pStyle w:val="ColumnHeading"/>
              <w:keepNext/>
            </w:pPr>
            <w:r w:rsidRPr="00B7760C">
              <w:t>Besedilo, ki ga predlaga Komisija</w:t>
            </w:r>
          </w:p>
        </w:tc>
        <w:tc>
          <w:tcPr>
            <w:tcW w:w="4876" w:type="dxa"/>
            <w:hideMark/>
          </w:tcPr>
          <w:p w14:paraId="390D2EA5" w14:textId="0821ECBA" w:rsidR="003663AF" w:rsidRPr="00B7760C" w:rsidRDefault="00877691" w:rsidP="00E804B7">
            <w:pPr>
              <w:pStyle w:val="ColumnHeading"/>
              <w:keepNext/>
            </w:pPr>
            <w:r w:rsidRPr="00B7760C">
              <w:t>Sprememba</w:t>
            </w:r>
          </w:p>
        </w:tc>
      </w:tr>
      <w:tr w:rsidR="003663AF" w:rsidRPr="00B7760C" w14:paraId="3E3598FC" w14:textId="77777777" w:rsidTr="00B7760C">
        <w:trPr>
          <w:jc w:val="center"/>
        </w:trPr>
        <w:tc>
          <w:tcPr>
            <w:tcW w:w="4876" w:type="dxa"/>
          </w:tcPr>
          <w:p w14:paraId="60351A64" w14:textId="77777777" w:rsidR="003663AF" w:rsidRPr="00B7760C" w:rsidRDefault="003663AF" w:rsidP="00E804B7">
            <w:pPr>
              <w:pStyle w:val="Normal6"/>
            </w:pPr>
          </w:p>
        </w:tc>
        <w:tc>
          <w:tcPr>
            <w:tcW w:w="4876" w:type="dxa"/>
            <w:hideMark/>
          </w:tcPr>
          <w:p w14:paraId="70426550" w14:textId="77777777" w:rsidR="003663AF" w:rsidRPr="00B7760C" w:rsidRDefault="003663AF" w:rsidP="00E804B7">
            <w:pPr>
              <w:pStyle w:val="Normal6"/>
              <w:rPr>
                <w:szCs w:val="24"/>
              </w:rPr>
            </w:pPr>
            <w:r w:rsidRPr="00B7760C">
              <w:rPr>
                <w:b/>
                <w:i/>
              </w:rPr>
              <w:t>(49a)</w:t>
            </w:r>
            <w:r w:rsidRPr="00B7760C">
              <w:rPr>
                <w:b/>
                <w:i/>
              </w:rPr>
              <w:tab/>
              <w:t>Za kategorizacijo regij in območij na ravni Unije, ki so upravičeni do podpore iz EKSRP, bi bilo treba določiti nepristranska merila. Zato mora določanje regij in območij na ravni Unije temeljiti na skupnem sistemu klasifikacije regij iz Uredbe (ES) št. 1059/2003 Evropskega parlamenta in Sveta.</w:t>
            </w:r>
            <w:r w:rsidR="00441375" w:rsidRPr="00B7760C">
              <w:rPr>
                <w:b/>
                <w:i/>
              </w:rPr>
              <w:t xml:space="preserve"> </w:t>
            </w:r>
            <w:r w:rsidRPr="00B7760C">
              <w:rPr>
                <w:b/>
                <w:i/>
              </w:rPr>
              <w:t>Za primerno podporo, zlasti pomoč zaostalim regijam in odpravo medregionalnih razlik znotraj posameznih držav članic, bi bilo treba uporabljati najnovejše razvrstitve in podatke.</w:t>
            </w:r>
          </w:p>
        </w:tc>
      </w:tr>
      <w:tr w:rsidR="003663AF" w:rsidRPr="00B7760C" w14:paraId="1508333C" w14:textId="77777777" w:rsidTr="00B7760C">
        <w:trPr>
          <w:jc w:val="center"/>
        </w:trPr>
        <w:tc>
          <w:tcPr>
            <w:tcW w:w="4876" w:type="dxa"/>
          </w:tcPr>
          <w:p w14:paraId="293ADD2E" w14:textId="77777777" w:rsidR="003663AF" w:rsidRPr="00B7760C" w:rsidRDefault="003663AF" w:rsidP="00E804B7">
            <w:pPr>
              <w:pStyle w:val="Normal6"/>
            </w:pPr>
          </w:p>
        </w:tc>
        <w:tc>
          <w:tcPr>
            <w:tcW w:w="4876" w:type="dxa"/>
          </w:tcPr>
          <w:p w14:paraId="5243FB30" w14:textId="3A1A8F9F" w:rsidR="003663AF" w:rsidRPr="00B7760C" w:rsidRDefault="003663AF" w:rsidP="00E804B7">
            <w:pPr>
              <w:pStyle w:val="Normal6"/>
              <w:rPr>
                <w:b/>
                <w:i/>
              </w:rPr>
            </w:pPr>
          </w:p>
        </w:tc>
      </w:tr>
    </w:tbl>
    <w:p w14:paraId="40D23ED9" w14:textId="77777777" w:rsidR="003663AF" w:rsidRPr="00B7760C" w:rsidRDefault="003663AF" w:rsidP="003663AF"/>
    <w:p w14:paraId="5CC1E56B" w14:textId="55050071" w:rsidR="003663AF" w:rsidRPr="00B7760C" w:rsidRDefault="00877691" w:rsidP="003663AF">
      <w:pPr>
        <w:pStyle w:val="AMNumberTabs"/>
      </w:pPr>
      <w:r w:rsidRPr="00B7760C">
        <w:t>Sprememb</w:t>
      </w:r>
      <w:r w:rsidR="00372E97" w:rsidRPr="00B7760C">
        <w:t>i</w:t>
      </w:r>
      <w:r w:rsidR="003663AF" w:rsidRPr="00B7760C">
        <w:tab/>
        <w:t>46</w:t>
      </w:r>
      <w:r w:rsidR="00372E97" w:rsidRPr="00B7760C">
        <w:t xml:space="preserve"> in 797</w:t>
      </w:r>
    </w:p>
    <w:p w14:paraId="158B2ADE" w14:textId="77777777" w:rsidR="003663AF" w:rsidRPr="00B7760C" w:rsidRDefault="003663AF" w:rsidP="003663AF">
      <w:pPr>
        <w:pStyle w:val="NormalBold12b"/>
      </w:pPr>
      <w:r w:rsidRPr="00B7760C">
        <w:t>Predlog uredbe</w:t>
      </w:r>
    </w:p>
    <w:p w14:paraId="16F836D5" w14:textId="77777777" w:rsidR="003663AF" w:rsidRPr="00B7760C" w:rsidRDefault="003663AF" w:rsidP="003663AF">
      <w:pPr>
        <w:pStyle w:val="NormalBold"/>
      </w:pPr>
      <w:r w:rsidRPr="00B7760C">
        <w:t>Uvodna izjava 50</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B699CD0" w14:textId="77777777" w:rsidTr="00372E97">
        <w:trPr>
          <w:trHeight w:hRule="exact" w:val="240"/>
          <w:jc w:val="center"/>
        </w:trPr>
        <w:tc>
          <w:tcPr>
            <w:tcW w:w="9752" w:type="dxa"/>
            <w:gridSpan w:val="2"/>
          </w:tcPr>
          <w:p w14:paraId="4B5C34FD" w14:textId="77777777" w:rsidR="003663AF" w:rsidRPr="00B7760C" w:rsidRDefault="003663AF" w:rsidP="00E804B7"/>
        </w:tc>
      </w:tr>
      <w:tr w:rsidR="003663AF" w:rsidRPr="00B7760C" w14:paraId="1C05C4C0" w14:textId="77777777" w:rsidTr="00372E97">
        <w:trPr>
          <w:trHeight w:val="240"/>
          <w:jc w:val="center"/>
        </w:trPr>
        <w:tc>
          <w:tcPr>
            <w:tcW w:w="4876" w:type="dxa"/>
          </w:tcPr>
          <w:p w14:paraId="0DB1954F" w14:textId="77777777" w:rsidR="003663AF" w:rsidRPr="00B7760C" w:rsidRDefault="003663AF" w:rsidP="00E804B7">
            <w:pPr>
              <w:pStyle w:val="ColumnHeading"/>
            </w:pPr>
            <w:r w:rsidRPr="00B7760C">
              <w:t>Besedilo, ki ga predlaga Komisija</w:t>
            </w:r>
          </w:p>
        </w:tc>
        <w:tc>
          <w:tcPr>
            <w:tcW w:w="4876" w:type="dxa"/>
          </w:tcPr>
          <w:p w14:paraId="70B99E96" w14:textId="7EF5629E" w:rsidR="003663AF" w:rsidRPr="00B7760C" w:rsidRDefault="00877691" w:rsidP="00E804B7">
            <w:pPr>
              <w:pStyle w:val="ColumnHeading"/>
            </w:pPr>
            <w:r w:rsidRPr="00B7760C">
              <w:t>Sprememba</w:t>
            </w:r>
          </w:p>
        </w:tc>
      </w:tr>
      <w:tr w:rsidR="003663AF" w:rsidRPr="00B7760C" w14:paraId="12E7A73B" w14:textId="77777777" w:rsidTr="00372E97">
        <w:trPr>
          <w:jc w:val="center"/>
        </w:trPr>
        <w:tc>
          <w:tcPr>
            <w:tcW w:w="4876" w:type="dxa"/>
          </w:tcPr>
          <w:p w14:paraId="2459AEBA" w14:textId="77777777" w:rsidR="003663AF" w:rsidRPr="00B7760C" w:rsidRDefault="003663AF" w:rsidP="00E804B7">
            <w:pPr>
              <w:pStyle w:val="Normal6"/>
            </w:pPr>
            <w:r w:rsidRPr="00B7760C">
              <w:t>(50)</w:t>
            </w:r>
            <w:r w:rsidRPr="00B7760C">
              <w:tab/>
              <w:t xml:space="preserve">EKSRP </w:t>
            </w:r>
            <w:r w:rsidRPr="00B7760C">
              <w:rPr>
                <w:b/>
                <w:i/>
              </w:rPr>
              <w:t xml:space="preserve">ne </w:t>
            </w:r>
            <w:r w:rsidRPr="00B7760C">
              <w:t xml:space="preserve">bi </w:t>
            </w:r>
            <w:r w:rsidRPr="00B7760C">
              <w:rPr>
                <w:b/>
                <w:i/>
              </w:rPr>
              <w:t>smel</w:t>
            </w:r>
            <w:r w:rsidRPr="00B7760C">
              <w:t xml:space="preserve"> zagotavljati </w:t>
            </w:r>
            <w:r w:rsidRPr="00B7760C">
              <w:rPr>
                <w:b/>
                <w:i/>
              </w:rPr>
              <w:t>podpore za naložbe</w:t>
            </w:r>
            <w:r w:rsidRPr="00B7760C">
              <w:t>, ki bi lahko škodovale okolju.</w:t>
            </w:r>
            <w:r w:rsidRPr="00B7760C">
              <w:rPr>
                <w:b/>
                <w:i/>
              </w:rPr>
              <w:t xml:space="preserve"> </w:t>
            </w:r>
            <w:r w:rsidRPr="00B7760C">
              <w:t xml:space="preserve">Zato je treba v tej uredbi določiti številna pravila o izključitvi ter možnosti za nadaljnji razvoj teh jamstev v delegiranih aktih. Zlasti EKSRP ne bi smel financirati naložb v </w:t>
            </w:r>
            <w:r w:rsidRPr="00B7760C">
              <w:rPr>
                <w:b/>
                <w:i/>
              </w:rPr>
              <w:t>namakanje</w:t>
            </w:r>
            <w:r w:rsidRPr="00B7760C">
              <w:t xml:space="preserve">, ki </w:t>
            </w:r>
            <w:r w:rsidRPr="00B7760C">
              <w:rPr>
                <w:b/>
                <w:i/>
              </w:rPr>
              <w:t>ne prispevajo k doseganju ali ohranjanju dobrega stanja zadevnega vodnega telesa ali teles, in</w:t>
            </w:r>
            <w:r w:rsidRPr="00B7760C">
              <w:t xml:space="preserve"> naložb v </w:t>
            </w:r>
            <w:r w:rsidRPr="00B7760C">
              <w:rPr>
                <w:b/>
                <w:i/>
              </w:rPr>
              <w:t>pogozdovanje</w:t>
            </w:r>
            <w:r w:rsidRPr="00B7760C">
              <w:t xml:space="preserve">, ki </w:t>
            </w:r>
            <w:r w:rsidRPr="00B7760C">
              <w:rPr>
                <w:b/>
                <w:i/>
              </w:rPr>
              <w:t>niso skladne s podnebnimi in okoljskimi cilji v skladu z načeli trajnostnega gospodarjenja z gozdovi</w:t>
            </w:r>
            <w:r w:rsidRPr="00B7760C">
              <w:t>.</w:t>
            </w:r>
          </w:p>
        </w:tc>
        <w:tc>
          <w:tcPr>
            <w:tcW w:w="4876" w:type="dxa"/>
          </w:tcPr>
          <w:p w14:paraId="1F90D928" w14:textId="03F66D6F" w:rsidR="003663AF" w:rsidRPr="00B7760C" w:rsidRDefault="003663AF" w:rsidP="008D23C1">
            <w:pPr>
              <w:pStyle w:val="Normal6"/>
            </w:pPr>
            <w:r w:rsidRPr="00B7760C">
              <w:t>(50)</w:t>
            </w:r>
            <w:r w:rsidRPr="00B7760C">
              <w:tab/>
              <w:t xml:space="preserve">EKSRP bi </w:t>
            </w:r>
            <w:r w:rsidRPr="00B7760C">
              <w:rPr>
                <w:b/>
                <w:i/>
              </w:rPr>
              <w:t>moral</w:t>
            </w:r>
            <w:r w:rsidRPr="00B7760C">
              <w:t xml:space="preserve"> zagotavljati </w:t>
            </w:r>
            <w:r w:rsidRPr="00B7760C">
              <w:rPr>
                <w:b/>
                <w:i/>
              </w:rPr>
              <w:t>podporo zlasti naložbam, ki bi hkrati ugodno vplivale na gospodarstvo in okolje, a ne naložbam</w:t>
            </w:r>
            <w:r w:rsidRPr="00B7760C">
              <w:t>, ki bi lahko škodovale okolju</w:t>
            </w:r>
            <w:r w:rsidR="00372E97" w:rsidRPr="00B7760C">
              <w:t xml:space="preserve"> </w:t>
            </w:r>
            <w:r w:rsidR="00372E97" w:rsidRPr="00B7760C">
              <w:rPr>
                <w:b/>
                <w:i/>
              </w:rPr>
              <w:t>ali niso skladne s podnebnimi in okoljskimi cilji, z dobrobitjo živali ali s cilji glede biotske raznovrstnosti</w:t>
            </w:r>
            <w:r w:rsidR="00372E97" w:rsidRPr="00B7760C">
              <w:t>.</w:t>
            </w:r>
            <w:r w:rsidR="00372E97" w:rsidRPr="00B7760C">
              <w:rPr>
                <w:b/>
                <w:i/>
              </w:rPr>
              <w:t xml:space="preserve"> Poudarek mora biti na naložbah, ki ustvarjajo gospodarske in okoljske koristi</w:t>
            </w:r>
            <w:r w:rsidRPr="00B7760C">
              <w:t xml:space="preserve">. Zato je treba v tej uredbi določiti številna </w:t>
            </w:r>
            <w:r w:rsidR="00372E97" w:rsidRPr="00B7760C">
              <w:rPr>
                <w:b/>
                <w:i/>
              </w:rPr>
              <w:t>bolj natančna</w:t>
            </w:r>
            <w:r w:rsidR="00372E97" w:rsidRPr="00B7760C">
              <w:t xml:space="preserve"> </w:t>
            </w:r>
            <w:r w:rsidRPr="00B7760C">
              <w:t xml:space="preserve">pravila o izključitvi ter možnosti za nadaljnji razvoj teh jamstev v delegiranih aktih. Zlasti EKSRP ne bi smel financirati naložb v </w:t>
            </w:r>
            <w:r w:rsidRPr="00B7760C">
              <w:rPr>
                <w:b/>
                <w:i/>
              </w:rPr>
              <w:t>pogozdovanje</w:t>
            </w:r>
            <w:r w:rsidRPr="00B7760C">
              <w:t xml:space="preserve">, ki </w:t>
            </w:r>
            <w:r w:rsidRPr="00B7760C">
              <w:rPr>
                <w:b/>
                <w:i/>
              </w:rPr>
              <w:t>niso skladne s podnebnimi in okoljskimi cilji v skladu z načeli trajnostnega gospodarjenja z gozdovi.</w:t>
            </w:r>
            <w:r w:rsidRPr="00B7760C">
              <w:t xml:space="preserve"> </w:t>
            </w:r>
            <w:r w:rsidRPr="00B7760C">
              <w:rPr>
                <w:b/>
                <w:i/>
              </w:rPr>
              <w:t>Poleg tega EKSRP ne bi smel zajemati naložb v namakanje, ki ne prispevajo k doseganju ali ohranjanju dobrega stanja zadevnega vodnega telesa ali teles.</w:t>
            </w:r>
            <w:r w:rsidR="00372E97" w:rsidRPr="00B7760C">
              <w:rPr>
                <w:b/>
                <w:i/>
              </w:rPr>
              <w:t xml:space="preserve"> Države članice bi morale zagotoviti, da imajo organi dejavno vlogo v ekologiji in obvladovanju gozdnih požarov prek ukrepov za pogozdovanje in ponovno pogozdovanje, ter okrepiti vlogo mehkih preventivnih ukrepov in upravljanja rabe zemljišč.</w:t>
            </w:r>
          </w:p>
        </w:tc>
      </w:tr>
    </w:tbl>
    <w:p w14:paraId="1B0DE46F" w14:textId="77777777" w:rsidR="003663AF" w:rsidRPr="00B7760C" w:rsidRDefault="003663AF" w:rsidP="003663AF">
      <w:pPr>
        <w:pStyle w:val="Normal6"/>
      </w:pPr>
    </w:p>
    <w:p w14:paraId="7F0125D3" w14:textId="26D5382B" w:rsidR="003663AF" w:rsidRPr="00B7760C" w:rsidRDefault="00877691" w:rsidP="003663AF">
      <w:pPr>
        <w:pStyle w:val="AMNumberTabs"/>
      </w:pPr>
      <w:r w:rsidRPr="00B7760C">
        <w:t>Sprememba</w:t>
      </w:r>
      <w:r w:rsidR="003663AF" w:rsidRPr="00B7760C">
        <w:tab/>
      </w:r>
      <w:r w:rsidR="003663AF" w:rsidRPr="00B7760C">
        <w:tab/>
        <w:t>47</w:t>
      </w:r>
    </w:p>
    <w:p w14:paraId="6A1515FF" w14:textId="77777777" w:rsidR="003663AF" w:rsidRPr="00B7760C" w:rsidRDefault="003663AF" w:rsidP="003663AF">
      <w:pPr>
        <w:pStyle w:val="NormalBold12b"/>
      </w:pPr>
      <w:r w:rsidRPr="00B7760C">
        <w:t>Predlog uredbe</w:t>
      </w:r>
    </w:p>
    <w:p w14:paraId="45F9CBB3" w14:textId="77777777" w:rsidR="003663AF" w:rsidRPr="00B7760C" w:rsidRDefault="003663AF" w:rsidP="003663AF">
      <w:pPr>
        <w:pStyle w:val="NormalBold"/>
      </w:pPr>
      <w:r w:rsidRPr="00B7760C">
        <w:t>Uvodna izjava 51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F32BD65" w14:textId="77777777" w:rsidTr="00E804B7">
        <w:trPr>
          <w:trHeight w:hRule="exact" w:val="240"/>
          <w:jc w:val="center"/>
        </w:trPr>
        <w:tc>
          <w:tcPr>
            <w:tcW w:w="9752" w:type="dxa"/>
            <w:gridSpan w:val="2"/>
          </w:tcPr>
          <w:p w14:paraId="1B0879BB" w14:textId="77777777" w:rsidR="003663AF" w:rsidRPr="00B7760C" w:rsidRDefault="003663AF" w:rsidP="00E804B7"/>
        </w:tc>
      </w:tr>
      <w:tr w:rsidR="003663AF" w:rsidRPr="00B7760C" w14:paraId="1A965435" w14:textId="77777777" w:rsidTr="00E804B7">
        <w:trPr>
          <w:trHeight w:val="240"/>
          <w:jc w:val="center"/>
        </w:trPr>
        <w:tc>
          <w:tcPr>
            <w:tcW w:w="4876" w:type="dxa"/>
          </w:tcPr>
          <w:p w14:paraId="4898A9F3" w14:textId="77777777" w:rsidR="003663AF" w:rsidRPr="00B7760C" w:rsidRDefault="003663AF" w:rsidP="00E804B7">
            <w:pPr>
              <w:pStyle w:val="ColumnHeading"/>
            </w:pPr>
            <w:r w:rsidRPr="00B7760C">
              <w:t>Besedilo, ki ga predlaga Komisija</w:t>
            </w:r>
          </w:p>
        </w:tc>
        <w:tc>
          <w:tcPr>
            <w:tcW w:w="4876" w:type="dxa"/>
          </w:tcPr>
          <w:p w14:paraId="23BCBC73" w14:textId="5CD88B55" w:rsidR="003663AF" w:rsidRPr="00B7760C" w:rsidRDefault="00877691" w:rsidP="00E804B7">
            <w:pPr>
              <w:pStyle w:val="ColumnHeading"/>
            </w:pPr>
            <w:r w:rsidRPr="00B7760C">
              <w:t>Sprememba</w:t>
            </w:r>
          </w:p>
        </w:tc>
      </w:tr>
      <w:tr w:rsidR="003663AF" w:rsidRPr="00B7760C" w14:paraId="663E7F64" w14:textId="77777777" w:rsidTr="00E804B7">
        <w:trPr>
          <w:jc w:val="center"/>
        </w:trPr>
        <w:tc>
          <w:tcPr>
            <w:tcW w:w="4876" w:type="dxa"/>
          </w:tcPr>
          <w:p w14:paraId="14293339" w14:textId="77777777" w:rsidR="003663AF" w:rsidRPr="00B7760C" w:rsidRDefault="003663AF" w:rsidP="00E804B7">
            <w:pPr>
              <w:pStyle w:val="Normal6"/>
            </w:pPr>
          </w:p>
        </w:tc>
        <w:tc>
          <w:tcPr>
            <w:tcW w:w="4876" w:type="dxa"/>
          </w:tcPr>
          <w:p w14:paraId="0B9ECD81" w14:textId="77777777" w:rsidR="003663AF" w:rsidRPr="00B7760C" w:rsidRDefault="003663AF" w:rsidP="00E804B7">
            <w:pPr>
              <w:pStyle w:val="Normal6"/>
            </w:pPr>
            <w:r w:rsidRPr="00B7760C">
              <w:rPr>
                <w:b/>
                <w:i/>
              </w:rPr>
              <w:t>(51a)</w:t>
            </w:r>
            <w:r w:rsidRPr="00B7760C">
              <w:tab/>
            </w:r>
            <w:r w:rsidRPr="00B7760C">
              <w:rPr>
                <w:b/>
                <w:i/>
              </w:rPr>
              <w:t>Da bi bila Unija neodvisna od uvoza rastlinskih beljakovin, želi SKP v skladu z direktivo o energiji iz obnovljivih virov spodbujati uveljavljanje biogoriv iz oljnih stranskih proizvodov beljakovinskih rastlin;</w:t>
            </w:r>
          </w:p>
        </w:tc>
      </w:tr>
    </w:tbl>
    <w:p w14:paraId="06A9FBA5" w14:textId="31AD3FDA" w:rsidR="003663AF" w:rsidRPr="00B7760C" w:rsidRDefault="003663AF" w:rsidP="003663AF"/>
    <w:p w14:paraId="237D8E5C" w14:textId="44D070A1" w:rsidR="00372E97" w:rsidRPr="00B7760C" w:rsidRDefault="00372E97" w:rsidP="00372E97">
      <w:pPr>
        <w:pStyle w:val="AmNumberTabs0"/>
      </w:pPr>
      <w:r w:rsidRPr="00B7760C">
        <w:t>Sprememba</w:t>
      </w:r>
      <w:r w:rsidRPr="00B7760C">
        <w:tab/>
      </w:r>
      <w:r w:rsidRPr="00B7760C">
        <w:tab/>
        <w:t>858</w:t>
      </w:r>
    </w:p>
    <w:p w14:paraId="22CB301F" w14:textId="77777777" w:rsidR="00372E97" w:rsidRPr="00B7760C" w:rsidRDefault="00372E97" w:rsidP="00372E97">
      <w:pPr>
        <w:pStyle w:val="NormalBold12b"/>
      </w:pPr>
      <w:r w:rsidRPr="00B7760C">
        <w:t>Predlog uredbe</w:t>
      </w:r>
    </w:p>
    <w:p w14:paraId="6801E0CA" w14:textId="349FE229" w:rsidR="00372E97" w:rsidRPr="00B7760C" w:rsidRDefault="00372E97" w:rsidP="00372E97">
      <w:pPr>
        <w:pStyle w:val="NormalBold"/>
      </w:pPr>
      <w:r w:rsidRPr="00B7760C">
        <w:t>Uvodna izjava 51 b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72E97" w:rsidRPr="00B7760C" w14:paraId="0CBC792D" w14:textId="77777777" w:rsidTr="008313BF">
        <w:trPr>
          <w:trHeight w:hRule="exact" w:val="240"/>
          <w:jc w:val="center"/>
        </w:trPr>
        <w:tc>
          <w:tcPr>
            <w:tcW w:w="9752" w:type="dxa"/>
            <w:gridSpan w:val="2"/>
          </w:tcPr>
          <w:p w14:paraId="2B1982D2" w14:textId="77777777" w:rsidR="00372E97" w:rsidRPr="00B7760C" w:rsidRDefault="00372E97" w:rsidP="008313BF"/>
        </w:tc>
      </w:tr>
      <w:tr w:rsidR="00372E97" w:rsidRPr="00B7760C" w14:paraId="2C1D7CF2" w14:textId="77777777" w:rsidTr="008313BF">
        <w:trPr>
          <w:trHeight w:val="240"/>
          <w:jc w:val="center"/>
        </w:trPr>
        <w:tc>
          <w:tcPr>
            <w:tcW w:w="4876" w:type="dxa"/>
          </w:tcPr>
          <w:p w14:paraId="35816061" w14:textId="77777777" w:rsidR="00372E97" w:rsidRPr="00B7760C" w:rsidRDefault="00372E97" w:rsidP="008313BF">
            <w:pPr>
              <w:pStyle w:val="AmColumnHeading"/>
            </w:pPr>
            <w:r w:rsidRPr="00B7760C">
              <w:t>Besedilo, ki ga predlaga Komisija</w:t>
            </w:r>
          </w:p>
        </w:tc>
        <w:tc>
          <w:tcPr>
            <w:tcW w:w="4876" w:type="dxa"/>
          </w:tcPr>
          <w:p w14:paraId="3F5B4972" w14:textId="6BB1184C" w:rsidR="00372E97" w:rsidRPr="00B7760C" w:rsidRDefault="00372E97" w:rsidP="008313BF">
            <w:pPr>
              <w:pStyle w:val="AmColumnHeading"/>
            </w:pPr>
            <w:r w:rsidRPr="00B7760C">
              <w:t>Sprememba</w:t>
            </w:r>
          </w:p>
        </w:tc>
      </w:tr>
      <w:tr w:rsidR="00372E97" w:rsidRPr="00B7760C" w14:paraId="11BAA065" w14:textId="77777777" w:rsidTr="008313BF">
        <w:trPr>
          <w:jc w:val="center"/>
        </w:trPr>
        <w:tc>
          <w:tcPr>
            <w:tcW w:w="4876" w:type="dxa"/>
          </w:tcPr>
          <w:p w14:paraId="024F244A" w14:textId="77777777" w:rsidR="00372E97" w:rsidRPr="00B7760C" w:rsidRDefault="00372E97" w:rsidP="008313BF">
            <w:pPr>
              <w:pStyle w:val="Normal6a"/>
            </w:pPr>
          </w:p>
        </w:tc>
        <w:tc>
          <w:tcPr>
            <w:tcW w:w="4876" w:type="dxa"/>
          </w:tcPr>
          <w:p w14:paraId="312FCC3A" w14:textId="30E8032C" w:rsidR="00372E97" w:rsidRPr="00B7760C" w:rsidRDefault="00372E97" w:rsidP="00372E97">
            <w:pPr>
              <w:pStyle w:val="Normal6a"/>
            </w:pPr>
            <w:r w:rsidRPr="00B7760C">
              <w:rPr>
                <w:b/>
                <w:i/>
              </w:rPr>
              <w:t>(51b)</w:t>
            </w:r>
            <w:r w:rsidRPr="00B7760C">
              <w:tab/>
            </w:r>
            <w:r w:rsidRPr="00B7760C">
              <w:rPr>
                <w:b/>
                <w:i/>
              </w:rPr>
              <w:t>EKJS in EKSRP ne bi smela zagotavljati podpore kmetom, katerih dejavnosti vključujejo vzrejo bikov za bikoborbe. Takšno financiranje je očitna kršitev Evropske konvencije za zaščito živali v vzrejne namene.</w:t>
            </w:r>
          </w:p>
        </w:tc>
      </w:tr>
    </w:tbl>
    <w:p w14:paraId="5E775826" w14:textId="5E46C8C2" w:rsidR="00372E97" w:rsidRPr="00B7760C" w:rsidRDefault="00372E97" w:rsidP="003663AF"/>
    <w:p w14:paraId="36A43EE7" w14:textId="0938CE37" w:rsidR="00372E97" w:rsidRPr="00B7760C" w:rsidRDefault="00372E97" w:rsidP="00372E97">
      <w:pPr>
        <w:pStyle w:val="AmNumberTabs0"/>
      </w:pPr>
      <w:r w:rsidRPr="00B7760C">
        <w:t>Sprememba</w:t>
      </w:r>
      <w:r w:rsidRPr="00B7760C">
        <w:tab/>
      </w:r>
      <w:r w:rsidRPr="00B7760C">
        <w:tab/>
        <w:t>798</w:t>
      </w:r>
    </w:p>
    <w:p w14:paraId="560DF045" w14:textId="77777777" w:rsidR="00372E97" w:rsidRPr="00B7760C" w:rsidRDefault="00372E97" w:rsidP="00372E97">
      <w:pPr>
        <w:pStyle w:val="NormalBold12b"/>
      </w:pPr>
      <w:r w:rsidRPr="00B7760C">
        <w:t>Predlog uredbe</w:t>
      </w:r>
    </w:p>
    <w:p w14:paraId="6FC7646D" w14:textId="77777777" w:rsidR="00372E97" w:rsidRPr="00B7760C" w:rsidRDefault="00372E97" w:rsidP="00372E97">
      <w:pPr>
        <w:pStyle w:val="NormalBold"/>
      </w:pPr>
      <w:r w:rsidRPr="00B7760C">
        <w:t>Uvodna izjava 52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72E97" w:rsidRPr="00B7760C" w14:paraId="5FF05BF7" w14:textId="77777777" w:rsidTr="008313BF">
        <w:trPr>
          <w:trHeight w:hRule="exact" w:val="240"/>
          <w:jc w:val="center"/>
        </w:trPr>
        <w:tc>
          <w:tcPr>
            <w:tcW w:w="9752" w:type="dxa"/>
            <w:gridSpan w:val="2"/>
          </w:tcPr>
          <w:p w14:paraId="4F648FE0" w14:textId="77777777" w:rsidR="00372E97" w:rsidRPr="00B7760C" w:rsidRDefault="00372E97" w:rsidP="008313BF"/>
        </w:tc>
      </w:tr>
      <w:tr w:rsidR="00372E97" w:rsidRPr="00B7760C" w14:paraId="57DDA497" w14:textId="77777777" w:rsidTr="008313BF">
        <w:trPr>
          <w:trHeight w:val="240"/>
          <w:jc w:val="center"/>
        </w:trPr>
        <w:tc>
          <w:tcPr>
            <w:tcW w:w="4876" w:type="dxa"/>
          </w:tcPr>
          <w:p w14:paraId="2304F989" w14:textId="77777777" w:rsidR="00372E97" w:rsidRPr="00B7760C" w:rsidRDefault="00372E97" w:rsidP="008313BF">
            <w:pPr>
              <w:pStyle w:val="AmColumnHeading"/>
            </w:pPr>
            <w:r w:rsidRPr="00B7760C">
              <w:t>Besedilo, ki ga predlaga Komisija</w:t>
            </w:r>
          </w:p>
        </w:tc>
        <w:tc>
          <w:tcPr>
            <w:tcW w:w="4876" w:type="dxa"/>
          </w:tcPr>
          <w:p w14:paraId="10E5B857" w14:textId="010ECC60" w:rsidR="00372E97" w:rsidRPr="00B7760C" w:rsidRDefault="00372E97" w:rsidP="008313BF">
            <w:pPr>
              <w:pStyle w:val="AmColumnHeading"/>
            </w:pPr>
            <w:r w:rsidRPr="00B7760C">
              <w:t>Sprememba</w:t>
            </w:r>
          </w:p>
        </w:tc>
      </w:tr>
      <w:tr w:rsidR="00372E97" w:rsidRPr="00B7760C" w14:paraId="30FD66FC" w14:textId="77777777" w:rsidTr="008313BF">
        <w:trPr>
          <w:jc w:val="center"/>
        </w:trPr>
        <w:tc>
          <w:tcPr>
            <w:tcW w:w="4876" w:type="dxa"/>
          </w:tcPr>
          <w:p w14:paraId="6D001D87" w14:textId="77777777" w:rsidR="00372E97" w:rsidRPr="00B7760C" w:rsidRDefault="00372E97" w:rsidP="008313BF">
            <w:pPr>
              <w:pStyle w:val="Normal6a"/>
            </w:pPr>
            <w:r w:rsidRPr="00B7760C">
              <w:t>(52)</w:t>
            </w:r>
            <w:r w:rsidRPr="00B7760C">
              <w:tab/>
              <w:t xml:space="preserve">Glede na to, kako pomembno je obvladovanje podnebnih sprememb v skladu z zavezami Unije za izvajanje Pariškega sporazuma in doseganje ciljev Združenih narodov za trajnostni razvoj, bo ta program prispeval k vključevanju podnebnih ukrepov v politike Unije in doseganju skupnega cilja, da bi bilo </w:t>
            </w:r>
            <w:r w:rsidRPr="00B7760C">
              <w:rPr>
                <w:b/>
                <w:i/>
              </w:rPr>
              <w:t>25 %</w:t>
            </w:r>
            <w:r w:rsidRPr="00B7760C">
              <w:t xml:space="preserve"> proračunskih odhodkov EU namenjenih za podnebne cilje. Ukrepi v okviru SKP </w:t>
            </w:r>
            <w:r w:rsidRPr="00B7760C">
              <w:rPr>
                <w:b/>
                <w:i/>
              </w:rPr>
              <w:t>bodo predvidoma prispevali</w:t>
            </w:r>
            <w:r w:rsidRPr="00B7760C">
              <w:t xml:space="preserve"> 40 % skupnih finančnih sredstev SKP za podnebne cilje. Ustrezni ukrepi bodo opredeljeni med pripravo in izvajanjem programa ter ponovno ocenjeni v okviru ustreznih postopkov ocenjevanja in pregledovanja.</w:t>
            </w:r>
          </w:p>
        </w:tc>
        <w:tc>
          <w:tcPr>
            <w:tcW w:w="4876" w:type="dxa"/>
          </w:tcPr>
          <w:p w14:paraId="3879BABB" w14:textId="77777777" w:rsidR="00372E97" w:rsidRPr="00B7760C" w:rsidRDefault="00372E97" w:rsidP="008313BF">
            <w:pPr>
              <w:pStyle w:val="Normal6a"/>
            </w:pPr>
            <w:r w:rsidRPr="00B7760C">
              <w:t>(52)</w:t>
            </w:r>
            <w:r w:rsidRPr="00B7760C">
              <w:tab/>
              <w:t>Glede na to, kako pomembno je obvladovanje podnebnih sprememb v skladu z zavezami Unije za izvajanje Pariškega sporazuma in doseganje ciljev Združenih narodov za trajnostni razvoj, bo ta program prispeval k vključevanju podnebnih ukrepov v politike Unije</w:t>
            </w:r>
            <w:r w:rsidRPr="00B7760C">
              <w:rPr>
                <w:b/>
                <w:i/>
              </w:rPr>
              <w:t>, postopni odpravi okolju škodljivih subvencij</w:t>
            </w:r>
            <w:r w:rsidRPr="00B7760C">
              <w:t xml:space="preserve"> in doseganju skupnega cilja, da bi bilo </w:t>
            </w:r>
            <w:r w:rsidRPr="00B7760C">
              <w:rPr>
                <w:b/>
                <w:i/>
              </w:rPr>
              <w:t>vsaj 30 %</w:t>
            </w:r>
            <w:r w:rsidRPr="00B7760C">
              <w:t xml:space="preserve"> proračunskih odhodkov EU namenjenih za podnebne cilje. Ukrepi v okviru SKP </w:t>
            </w:r>
            <w:r w:rsidRPr="00B7760C">
              <w:rPr>
                <w:b/>
                <w:i/>
              </w:rPr>
              <w:t>bi morali prispevati najmanj</w:t>
            </w:r>
            <w:r w:rsidRPr="00B7760C">
              <w:t xml:space="preserve"> 40 % skupnih finančnih sredstev SKP za podnebne cilje. Ustrezni ukrepi bodo opredeljeni med pripravo in izvajanjem programa ter ponovno ocenjeni v okviru ustreznih postopkov ocenjevanja in pregledovanja.</w:t>
            </w:r>
          </w:p>
        </w:tc>
      </w:tr>
    </w:tbl>
    <w:p w14:paraId="5C90B608" w14:textId="77777777" w:rsidR="00372E97" w:rsidRPr="00B7760C" w:rsidRDefault="00372E97" w:rsidP="003663AF"/>
    <w:p w14:paraId="42279406" w14:textId="7A66212E" w:rsidR="003663AF" w:rsidRPr="00B7760C" w:rsidRDefault="00877691" w:rsidP="003663AF">
      <w:pPr>
        <w:pStyle w:val="AMNumberTabs"/>
      </w:pPr>
      <w:r w:rsidRPr="00B7760C">
        <w:t>Sprememba</w:t>
      </w:r>
      <w:r w:rsidR="003663AF" w:rsidRPr="00B7760C">
        <w:tab/>
      </w:r>
      <w:r w:rsidR="003663AF" w:rsidRPr="00B7760C">
        <w:tab/>
        <w:t>48</w:t>
      </w:r>
    </w:p>
    <w:p w14:paraId="03669508" w14:textId="77777777" w:rsidR="003663AF" w:rsidRPr="00B7760C" w:rsidRDefault="003663AF" w:rsidP="003663AF">
      <w:pPr>
        <w:pStyle w:val="NormalBold12b"/>
      </w:pPr>
      <w:r w:rsidRPr="00B7760C">
        <w:t>Predlog uredbe</w:t>
      </w:r>
    </w:p>
    <w:p w14:paraId="11700822" w14:textId="77777777" w:rsidR="003663AF" w:rsidRPr="00B7760C" w:rsidRDefault="003663AF" w:rsidP="003663AF">
      <w:pPr>
        <w:pStyle w:val="NormalBold"/>
      </w:pPr>
      <w:r w:rsidRPr="00B7760C">
        <w:t>Uvodna izjava 54</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71BD5B9" w14:textId="77777777" w:rsidTr="00E804B7">
        <w:trPr>
          <w:trHeight w:hRule="exact" w:val="240"/>
          <w:jc w:val="center"/>
        </w:trPr>
        <w:tc>
          <w:tcPr>
            <w:tcW w:w="9752" w:type="dxa"/>
            <w:gridSpan w:val="2"/>
          </w:tcPr>
          <w:p w14:paraId="11F4CAFC" w14:textId="77777777" w:rsidR="003663AF" w:rsidRPr="00B7760C" w:rsidRDefault="003663AF" w:rsidP="00E804B7"/>
        </w:tc>
      </w:tr>
      <w:tr w:rsidR="003663AF" w:rsidRPr="00B7760C" w14:paraId="021F1F8B" w14:textId="77777777" w:rsidTr="00E804B7">
        <w:trPr>
          <w:trHeight w:val="240"/>
          <w:jc w:val="center"/>
        </w:trPr>
        <w:tc>
          <w:tcPr>
            <w:tcW w:w="4876" w:type="dxa"/>
          </w:tcPr>
          <w:p w14:paraId="01E3128C" w14:textId="77777777" w:rsidR="003663AF" w:rsidRPr="00B7760C" w:rsidRDefault="003663AF" w:rsidP="00E804B7">
            <w:pPr>
              <w:pStyle w:val="ColumnHeading"/>
            </w:pPr>
            <w:r w:rsidRPr="00B7760C">
              <w:t>Besedilo, ki ga predlaga Komisija</w:t>
            </w:r>
          </w:p>
        </w:tc>
        <w:tc>
          <w:tcPr>
            <w:tcW w:w="4876" w:type="dxa"/>
          </w:tcPr>
          <w:p w14:paraId="7F4B2D8B" w14:textId="3B13D1BB" w:rsidR="003663AF" w:rsidRPr="00B7760C" w:rsidRDefault="00877691" w:rsidP="00E804B7">
            <w:pPr>
              <w:pStyle w:val="ColumnHeading"/>
            </w:pPr>
            <w:r w:rsidRPr="00B7760C">
              <w:t>Sprememba</w:t>
            </w:r>
          </w:p>
        </w:tc>
      </w:tr>
      <w:tr w:rsidR="003663AF" w:rsidRPr="00B7760C" w14:paraId="08663F2E" w14:textId="77777777" w:rsidTr="00E804B7">
        <w:trPr>
          <w:jc w:val="center"/>
        </w:trPr>
        <w:tc>
          <w:tcPr>
            <w:tcW w:w="4876" w:type="dxa"/>
          </w:tcPr>
          <w:p w14:paraId="7F09CD37" w14:textId="77777777" w:rsidR="003663AF" w:rsidRPr="00B7760C" w:rsidRDefault="003663AF" w:rsidP="00E804B7">
            <w:pPr>
              <w:pStyle w:val="Normal6"/>
            </w:pPr>
            <w:r w:rsidRPr="00B7760C">
              <w:t>(54)</w:t>
            </w:r>
            <w:r w:rsidRPr="00B7760C">
              <w:tab/>
              <w:t>Da bi povečali dodano vrednost Unije in ohranili delovanje notranjega kmetijskega trga ter prispevali k doseganju že navedenih splošnih in specifičnih ciljev, države članice odločitev v skladu s to uredbo ne bi smele sprejemati ločeno, temveč v okviru strukturiranega procesa, na podlagi katerega bi bil pripravljen strateški načrt SKP. Pravila od zgoraj navzdol bi morala za celotno Unijo določati specifične cilje SKP, glavne vrste intervencij, okvir uspešnosti in strukturo upravljanja. Namen take razdelitve nalog je zagotoviti popolno skladnost med vloženimi finančnimi viri in doseženimi rezultati.</w:t>
            </w:r>
          </w:p>
        </w:tc>
        <w:tc>
          <w:tcPr>
            <w:tcW w:w="4876" w:type="dxa"/>
          </w:tcPr>
          <w:p w14:paraId="3612C041" w14:textId="6ED7D783" w:rsidR="003663AF" w:rsidRPr="00B7760C" w:rsidRDefault="003663AF" w:rsidP="00E804B7">
            <w:pPr>
              <w:pStyle w:val="Normal6"/>
            </w:pPr>
            <w:r w:rsidRPr="00B7760C">
              <w:rPr>
                <w:i/>
              </w:rPr>
              <w:t>(Ne zadeva slovenske različice.)</w:t>
            </w:r>
          </w:p>
        </w:tc>
      </w:tr>
    </w:tbl>
    <w:p w14:paraId="6F2DD660" w14:textId="77777777" w:rsidR="003663AF" w:rsidRPr="00B7760C" w:rsidRDefault="003663AF" w:rsidP="003663AF">
      <w:pPr>
        <w:pStyle w:val="Normal6"/>
      </w:pPr>
    </w:p>
    <w:p w14:paraId="4C860F2B" w14:textId="0261BBB1" w:rsidR="003663AF" w:rsidRPr="00B7760C" w:rsidRDefault="00877691" w:rsidP="003663AF">
      <w:pPr>
        <w:pStyle w:val="AMNumberTabs"/>
      </w:pPr>
      <w:r w:rsidRPr="00B7760C">
        <w:t>Sprememba</w:t>
      </w:r>
      <w:r w:rsidR="003663AF" w:rsidRPr="00B7760C">
        <w:tab/>
      </w:r>
      <w:r w:rsidR="003663AF" w:rsidRPr="00B7760C">
        <w:tab/>
        <w:t>49</w:t>
      </w:r>
    </w:p>
    <w:p w14:paraId="4E00CCD9" w14:textId="77777777" w:rsidR="003663AF" w:rsidRPr="00B7760C" w:rsidRDefault="003663AF" w:rsidP="003663AF">
      <w:pPr>
        <w:pStyle w:val="NormalBold12b"/>
      </w:pPr>
      <w:r w:rsidRPr="00B7760C">
        <w:t>Predlog uredbe</w:t>
      </w:r>
    </w:p>
    <w:p w14:paraId="0FBF6DB6" w14:textId="77777777" w:rsidR="003663AF" w:rsidRPr="00B7760C" w:rsidRDefault="003663AF" w:rsidP="003663AF">
      <w:pPr>
        <w:pStyle w:val="NormalBold"/>
      </w:pPr>
      <w:r w:rsidRPr="00B7760C">
        <w:t>Uvodna izjava 55</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D7B4AD5" w14:textId="77777777" w:rsidTr="00E804B7">
        <w:trPr>
          <w:trHeight w:hRule="exact" w:val="240"/>
          <w:jc w:val="center"/>
        </w:trPr>
        <w:tc>
          <w:tcPr>
            <w:tcW w:w="9752" w:type="dxa"/>
            <w:gridSpan w:val="2"/>
          </w:tcPr>
          <w:p w14:paraId="3DE0A088" w14:textId="77777777" w:rsidR="003663AF" w:rsidRPr="00B7760C" w:rsidRDefault="003663AF" w:rsidP="00E804B7"/>
        </w:tc>
      </w:tr>
      <w:tr w:rsidR="003663AF" w:rsidRPr="00B7760C" w14:paraId="2F867F4C" w14:textId="77777777" w:rsidTr="00E804B7">
        <w:trPr>
          <w:trHeight w:val="240"/>
          <w:jc w:val="center"/>
        </w:trPr>
        <w:tc>
          <w:tcPr>
            <w:tcW w:w="4876" w:type="dxa"/>
          </w:tcPr>
          <w:p w14:paraId="2DF2CDE2" w14:textId="77777777" w:rsidR="003663AF" w:rsidRPr="00B7760C" w:rsidRDefault="003663AF" w:rsidP="00E804B7">
            <w:pPr>
              <w:pStyle w:val="ColumnHeading"/>
            </w:pPr>
            <w:r w:rsidRPr="00B7760C">
              <w:t>Besedilo, ki ga predlaga Komisija</w:t>
            </w:r>
          </w:p>
        </w:tc>
        <w:tc>
          <w:tcPr>
            <w:tcW w:w="4876" w:type="dxa"/>
          </w:tcPr>
          <w:p w14:paraId="56D11E5B" w14:textId="7A6A3716" w:rsidR="003663AF" w:rsidRPr="00B7760C" w:rsidRDefault="00877691" w:rsidP="00E804B7">
            <w:pPr>
              <w:pStyle w:val="ColumnHeading"/>
            </w:pPr>
            <w:r w:rsidRPr="00B7760C">
              <w:t>Sprememba</w:t>
            </w:r>
          </w:p>
        </w:tc>
      </w:tr>
      <w:tr w:rsidR="003663AF" w:rsidRPr="00B7760C" w14:paraId="6E9D96F0" w14:textId="77777777" w:rsidTr="00E804B7">
        <w:trPr>
          <w:jc w:val="center"/>
        </w:trPr>
        <w:tc>
          <w:tcPr>
            <w:tcW w:w="4876" w:type="dxa"/>
          </w:tcPr>
          <w:p w14:paraId="55CE5236" w14:textId="77777777" w:rsidR="003663AF" w:rsidRPr="00B7760C" w:rsidRDefault="003663AF" w:rsidP="00E804B7">
            <w:pPr>
              <w:pStyle w:val="Normal6"/>
            </w:pPr>
            <w:r w:rsidRPr="00B7760C">
              <w:t>(55)</w:t>
            </w:r>
            <w:r w:rsidRPr="00B7760C">
              <w:tab/>
              <w:t>Da bi zagotovili jasno strateško naravo strateških načrtov SKP ter spodbujali povezave z drugimi politikami Unije, zlasti z določenimi dolgoročnimi nacionalnimi ciljnimi vrednostmi, ki izhajajo iz zakonodaje Unije ali mednarodnih sporazumov na področju podnebnih sprememb, gozdov, biotske raznovrstnosti in voda, je primerno, da ima vsaka država članica le en sam strateški načrt SKP.</w:t>
            </w:r>
          </w:p>
        </w:tc>
        <w:tc>
          <w:tcPr>
            <w:tcW w:w="4876" w:type="dxa"/>
          </w:tcPr>
          <w:p w14:paraId="6734C605" w14:textId="77777777" w:rsidR="003663AF" w:rsidRPr="00B7760C" w:rsidRDefault="003663AF" w:rsidP="00E804B7">
            <w:pPr>
              <w:pStyle w:val="Normal6"/>
            </w:pPr>
            <w:r w:rsidRPr="00B7760C">
              <w:t>(55)</w:t>
            </w:r>
            <w:r w:rsidRPr="00B7760C">
              <w:tab/>
              <w:t xml:space="preserve">Da bi zagotovili jasno strateško naravo strateških načrtov SKP ter spodbujali povezave z drugimi politikami Unije, zlasti z določenimi dolgoročnimi nacionalnimi ciljnimi vrednostmi, ki izhajajo iz zakonodaje Unije ali mednarodnih sporazumov na področju podnebnih sprememb, gozdov, biotske raznovrstnosti in voda, je primerno, da ima vsaka država članica le en sam strateški načrt SKP. </w:t>
            </w:r>
            <w:r w:rsidRPr="00B7760C">
              <w:rPr>
                <w:b/>
                <w:i/>
              </w:rPr>
              <w:t>Zaradi upoštevanja upravne strukture držav članic bi moral strateški načrt po potrebi vključevati regionalizirane ukrepe za razvoj podeželja.</w:t>
            </w:r>
          </w:p>
        </w:tc>
      </w:tr>
    </w:tbl>
    <w:p w14:paraId="2EB46F52" w14:textId="77777777" w:rsidR="003663AF" w:rsidRPr="00B7760C" w:rsidRDefault="003663AF" w:rsidP="003663AF"/>
    <w:p w14:paraId="5B1F79A0" w14:textId="57D03344" w:rsidR="003663AF" w:rsidRPr="00B7760C" w:rsidRDefault="00877691" w:rsidP="003663AF">
      <w:pPr>
        <w:pStyle w:val="AMNumberTabs"/>
      </w:pPr>
      <w:r w:rsidRPr="00B7760C">
        <w:t>Sprememba</w:t>
      </w:r>
      <w:r w:rsidR="003663AF" w:rsidRPr="00B7760C">
        <w:tab/>
      </w:r>
      <w:r w:rsidR="003663AF" w:rsidRPr="00B7760C">
        <w:tab/>
        <w:t>50</w:t>
      </w:r>
    </w:p>
    <w:p w14:paraId="6189CAFC" w14:textId="77777777" w:rsidR="003663AF" w:rsidRPr="00B7760C" w:rsidRDefault="003663AF" w:rsidP="003663AF">
      <w:pPr>
        <w:pStyle w:val="NormalBold12b"/>
      </w:pPr>
      <w:r w:rsidRPr="00B7760C">
        <w:t>Predlog uredbe</w:t>
      </w:r>
    </w:p>
    <w:p w14:paraId="7E3D19E8" w14:textId="77777777" w:rsidR="003663AF" w:rsidRPr="00B7760C" w:rsidRDefault="003663AF" w:rsidP="003663AF">
      <w:pPr>
        <w:pStyle w:val="NormalBold"/>
      </w:pPr>
      <w:r w:rsidRPr="00B7760C">
        <w:t>Uvodna izjava 55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38095E5" w14:textId="77777777" w:rsidTr="00E804B7">
        <w:trPr>
          <w:trHeight w:hRule="exact" w:val="240"/>
          <w:jc w:val="center"/>
        </w:trPr>
        <w:tc>
          <w:tcPr>
            <w:tcW w:w="9752" w:type="dxa"/>
            <w:gridSpan w:val="2"/>
          </w:tcPr>
          <w:p w14:paraId="0917DCDC" w14:textId="77777777" w:rsidR="003663AF" w:rsidRPr="00B7760C" w:rsidRDefault="003663AF" w:rsidP="00E804B7"/>
        </w:tc>
      </w:tr>
      <w:tr w:rsidR="003663AF" w:rsidRPr="00B7760C" w14:paraId="5D195C47" w14:textId="77777777" w:rsidTr="00E804B7">
        <w:trPr>
          <w:trHeight w:val="240"/>
          <w:jc w:val="center"/>
        </w:trPr>
        <w:tc>
          <w:tcPr>
            <w:tcW w:w="4876" w:type="dxa"/>
          </w:tcPr>
          <w:p w14:paraId="27037851" w14:textId="77777777" w:rsidR="003663AF" w:rsidRPr="00B7760C" w:rsidRDefault="003663AF" w:rsidP="00E804B7">
            <w:pPr>
              <w:pStyle w:val="ColumnHeading"/>
            </w:pPr>
            <w:r w:rsidRPr="00B7760C">
              <w:t>Besedilo, ki ga predlaga Komisija</w:t>
            </w:r>
          </w:p>
        </w:tc>
        <w:tc>
          <w:tcPr>
            <w:tcW w:w="4876" w:type="dxa"/>
          </w:tcPr>
          <w:p w14:paraId="4B2B744C" w14:textId="694B943D" w:rsidR="003663AF" w:rsidRPr="00B7760C" w:rsidRDefault="00877691" w:rsidP="00E804B7">
            <w:pPr>
              <w:pStyle w:val="ColumnHeading"/>
            </w:pPr>
            <w:r w:rsidRPr="00B7760C">
              <w:t>Sprememba</w:t>
            </w:r>
          </w:p>
        </w:tc>
      </w:tr>
      <w:tr w:rsidR="003663AF" w:rsidRPr="00B7760C" w14:paraId="4E055CDB" w14:textId="77777777" w:rsidTr="00E804B7">
        <w:trPr>
          <w:jc w:val="center"/>
        </w:trPr>
        <w:tc>
          <w:tcPr>
            <w:tcW w:w="4876" w:type="dxa"/>
          </w:tcPr>
          <w:p w14:paraId="30F5F360" w14:textId="77777777" w:rsidR="003663AF" w:rsidRPr="00B7760C" w:rsidRDefault="003663AF" w:rsidP="00E804B7">
            <w:pPr>
              <w:pStyle w:val="Normal6"/>
            </w:pPr>
          </w:p>
        </w:tc>
        <w:tc>
          <w:tcPr>
            <w:tcW w:w="4876" w:type="dxa"/>
          </w:tcPr>
          <w:p w14:paraId="66866CB6" w14:textId="77777777" w:rsidR="003663AF" w:rsidRPr="00B7760C" w:rsidRDefault="003663AF" w:rsidP="00E804B7">
            <w:pPr>
              <w:pStyle w:val="Normal6"/>
            </w:pPr>
            <w:r w:rsidRPr="00B7760C">
              <w:rPr>
                <w:b/>
                <w:i/>
              </w:rPr>
              <w:t>(55a)</w:t>
            </w:r>
            <w:r w:rsidRPr="00B7760C">
              <w:tab/>
            </w:r>
            <w:r w:rsidRPr="00B7760C">
              <w:rPr>
                <w:b/>
                <w:i/>
              </w:rPr>
              <w:t>Nujno je, da imajo strateški načrti SKP jasen, preprost in nedvoumen okvir, da bi preprečili zapletanje politik na nacionalni, regionalni ali lokalni ravni z dodatnimi pravili.</w:t>
            </w:r>
          </w:p>
        </w:tc>
      </w:tr>
    </w:tbl>
    <w:p w14:paraId="50846428" w14:textId="77777777" w:rsidR="00372E97" w:rsidRPr="00B7760C" w:rsidRDefault="00372E97" w:rsidP="003663AF"/>
    <w:p w14:paraId="1D0597ED" w14:textId="1382CE84" w:rsidR="003663AF" w:rsidRPr="00B7760C" w:rsidRDefault="00877691" w:rsidP="003663AF">
      <w:pPr>
        <w:pStyle w:val="AMNumberTabs"/>
      </w:pPr>
      <w:r w:rsidRPr="00B7760C">
        <w:t>Sprememba</w:t>
      </w:r>
      <w:r w:rsidR="003663AF" w:rsidRPr="00B7760C">
        <w:tab/>
      </w:r>
      <w:r w:rsidR="003663AF" w:rsidRPr="00B7760C">
        <w:tab/>
        <w:t>51</w:t>
      </w:r>
    </w:p>
    <w:p w14:paraId="7AA231D1" w14:textId="77777777" w:rsidR="003663AF" w:rsidRPr="00B7760C" w:rsidRDefault="003663AF" w:rsidP="003663AF">
      <w:pPr>
        <w:pStyle w:val="NormalBold12b"/>
      </w:pPr>
      <w:r w:rsidRPr="00B7760C">
        <w:t>Predlog uredbe</w:t>
      </w:r>
    </w:p>
    <w:p w14:paraId="3B5E0D25" w14:textId="77777777" w:rsidR="003663AF" w:rsidRPr="00B7760C" w:rsidRDefault="003663AF" w:rsidP="003663AF">
      <w:pPr>
        <w:pStyle w:val="NormalBold"/>
      </w:pPr>
      <w:r w:rsidRPr="00B7760C">
        <w:t>Uvodna izjava 55 b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C54F4E5" w14:textId="77777777" w:rsidTr="00E804B7">
        <w:trPr>
          <w:trHeight w:hRule="exact" w:val="240"/>
          <w:jc w:val="center"/>
        </w:trPr>
        <w:tc>
          <w:tcPr>
            <w:tcW w:w="9752" w:type="dxa"/>
            <w:gridSpan w:val="2"/>
          </w:tcPr>
          <w:p w14:paraId="222B25C7" w14:textId="77777777" w:rsidR="003663AF" w:rsidRPr="00B7760C" w:rsidRDefault="003663AF" w:rsidP="00E804B7"/>
        </w:tc>
      </w:tr>
      <w:tr w:rsidR="003663AF" w:rsidRPr="00B7760C" w14:paraId="228E0040" w14:textId="77777777" w:rsidTr="00E804B7">
        <w:trPr>
          <w:trHeight w:val="240"/>
          <w:jc w:val="center"/>
        </w:trPr>
        <w:tc>
          <w:tcPr>
            <w:tcW w:w="4876" w:type="dxa"/>
          </w:tcPr>
          <w:p w14:paraId="1243D879" w14:textId="77777777" w:rsidR="003663AF" w:rsidRPr="00B7760C" w:rsidRDefault="003663AF" w:rsidP="00E804B7">
            <w:pPr>
              <w:pStyle w:val="ColumnHeading"/>
            </w:pPr>
            <w:r w:rsidRPr="00B7760C">
              <w:t>Besedilo, ki ga predlaga Komisija</w:t>
            </w:r>
          </w:p>
        </w:tc>
        <w:tc>
          <w:tcPr>
            <w:tcW w:w="4876" w:type="dxa"/>
          </w:tcPr>
          <w:p w14:paraId="4FD4675B" w14:textId="1C395614" w:rsidR="003663AF" w:rsidRPr="00B7760C" w:rsidRDefault="00877691" w:rsidP="00E804B7">
            <w:pPr>
              <w:pStyle w:val="ColumnHeading"/>
            </w:pPr>
            <w:r w:rsidRPr="00B7760C">
              <w:t>Sprememba</w:t>
            </w:r>
          </w:p>
        </w:tc>
      </w:tr>
      <w:tr w:rsidR="003663AF" w:rsidRPr="00B7760C" w14:paraId="7A9244FD" w14:textId="77777777" w:rsidTr="00E804B7">
        <w:trPr>
          <w:jc w:val="center"/>
        </w:trPr>
        <w:tc>
          <w:tcPr>
            <w:tcW w:w="4876" w:type="dxa"/>
          </w:tcPr>
          <w:p w14:paraId="3CAC6A32" w14:textId="77777777" w:rsidR="003663AF" w:rsidRPr="00B7760C" w:rsidRDefault="003663AF" w:rsidP="00E804B7">
            <w:pPr>
              <w:pStyle w:val="Normal6"/>
            </w:pPr>
          </w:p>
        </w:tc>
        <w:tc>
          <w:tcPr>
            <w:tcW w:w="4876" w:type="dxa"/>
          </w:tcPr>
          <w:p w14:paraId="3D72DCED" w14:textId="74BC9EA5" w:rsidR="003663AF" w:rsidRPr="00B7760C" w:rsidRDefault="003663AF" w:rsidP="00E804B7">
            <w:pPr>
              <w:pStyle w:val="Normal6"/>
            </w:pPr>
            <w:r w:rsidRPr="00B7760C">
              <w:rPr>
                <w:b/>
                <w:i/>
              </w:rPr>
              <w:t>(55b)</w:t>
            </w:r>
            <w:r w:rsidRPr="00B7760C">
              <w:tab/>
            </w:r>
            <w:r w:rsidRPr="00B7760C">
              <w:rPr>
                <w:b/>
                <w:i/>
              </w:rPr>
              <w:t>Novi model dodeljevanja ne sme ogroziti celovitosti notranjega trga in tudi ne zgodovinske evropske usmerjenosti SKP, ki bi morala ostati zares skupna politika in zagotavljati evropski pristop in enake pogoje</w:t>
            </w:r>
            <w:r w:rsidR="00AD1DD2" w:rsidRPr="00B7760C">
              <w:rPr>
                <w:b/>
                <w:i/>
              </w:rPr>
              <w:t>.</w:t>
            </w:r>
          </w:p>
        </w:tc>
      </w:tr>
    </w:tbl>
    <w:p w14:paraId="586D9665" w14:textId="232B774B" w:rsidR="003663AF" w:rsidRPr="00B7760C" w:rsidRDefault="003663AF" w:rsidP="003663AF"/>
    <w:p w14:paraId="7FA99087" w14:textId="21808FB2" w:rsidR="00372E97" w:rsidRPr="00B7760C" w:rsidRDefault="00372E97" w:rsidP="00372E97">
      <w:pPr>
        <w:pStyle w:val="AMNumberTabs"/>
        <w:keepNext/>
      </w:pPr>
      <w:r w:rsidRPr="00B7760C">
        <w:t>Sprememba</w:t>
      </w:r>
      <w:r w:rsidRPr="00B7760C">
        <w:tab/>
      </w:r>
      <w:r w:rsidRPr="00B7760C">
        <w:tab/>
        <w:t>730</w:t>
      </w:r>
    </w:p>
    <w:p w14:paraId="271A88B3" w14:textId="77777777" w:rsidR="00372E97" w:rsidRPr="00B7760C" w:rsidRDefault="00372E97" w:rsidP="00372E97">
      <w:pPr>
        <w:pStyle w:val="NormalBold12b"/>
      </w:pPr>
      <w:r w:rsidRPr="00B7760C">
        <w:t>Predlog uredbe</w:t>
      </w:r>
    </w:p>
    <w:p w14:paraId="3FFB0608" w14:textId="0AB97AB7" w:rsidR="00372E97" w:rsidRPr="00B7760C" w:rsidRDefault="00372E97" w:rsidP="00372E97">
      <w:pPr>
        <w:pStyle w:val="NormalBold"/>
      </w:pPr>
      <w:r w:rsidRPr="00B7760C">
        <w:t>Uvodna izjava 55 c (novo)</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72E97" w:rsidRPr="00B7760C" w14:paraId="0D8BEED5" w14:textId="77777777" w:rsidTr="008313BF">
        <w:trPr>
          <w:jc w:val="center"/>
        </w:trPr>
        <w:tc>
          <w:tcPr>
            <w:tcW w:w="9752" w:type="dxa"/>
            <w:gridSpan w:val="2"/>
          </w:tcPr>
          <w:p w14:paraId="1C2333EE" w14:textId="77777777" w:rsidR="00372E97" w:rsidRPr="00B7760C" w:rsidRDefault="00372E97" w:rsidP="008313BF">
            <w:pPr>
              <w:keepNext/>
            </w:pPr>
          </w:p>
        </w:tc>
      </w:tr>
      <w:tr w:rsidR="00372E97" w:rsidRPr="00B7760C" w14:paraId="09ED8F0E" w14:textId="77777777" w:rsidTr="008313BF">
        <w:trPr>
          <w:jc w:val="center"/>
        </w:trPr>
        <w:tc>
          <w:tcPr>
            <w:tcW w:w="4876" w:type="dxa"/>
          </w:tcPr>
          <w:p w14:paraId="4C560BCA" w14:textId="77777777" w:rsidR="00372E97" w:rsidRPr="00B7760C" w:rsidRDefault="00372E97" w:rsidP="008313BF">
            <w:pPr>
              <w:pStyle w:val="ColumnHeading"/>
              <w:keepNext/>
            </w:pPr>
            <w:r w:rsidRPr="00B7760C">
              <w:t>Besedilo, ki ga predlaga Komisija</w:t>
            </w:r>
          </w:p>
        </w:tc>
        <w:tc>
          <w:tcPr>
            <w:tcW w:w="4876" w:type="dxa"/>
          </w:tcPr>
          <w:p w14:paraId="1C0F16E2" w14:textId="77777777" w:rsidR="00372E97" w:rsidRPr="00B7760C" w:rsidRDefault="00372E97" w:rsidP="008313BF">
            <w:pPr>
              <w:pStyle w:val="ColumnHeading"/>
              <w:keepNext/>
            </w:pPr>
            <w:r w:rsidRPr="00B7760C">
              <w:t>Predlog spremembe</w:t>
            </w:r>
          </w:p>
        </w:tc>
      </w:tr>
      <w:tr w:rsidR="00372E97" w:rsidRPr="00B7760C" w14:paraId="4FE27838" w14:textId="77777777" w:rsidTr="008313BF">
        <w:trPr>
          <w:jc w:val="center"/>
        </w:trPr>
        <w:tc>
          <w:tcPr>
            <w:tcW w:w="4876" w:type="dxa"/>
          </w:tcPr>
          <w:p w14:paraId="7995D357" w14:textId="77777777" w:rsidR="00372E97" w:rsidRPr="00B7760C" w:rsidRDefault="00372E97" w:rsidP="008313BF">
            <w:pPr>
              <w:pStyle w:val="Normal6"/>
            </w:pPr>
          </w:p>
        </w:tc>
        <w:tc>
          <w:tcPr>
            <w:tcW w:w="4876" w:type="dxa"/>
          </w:tcPr>
          <w:p w14:paraId="03D9A6D9" w14:textId="4BD58F69" w:rsidR="00372E97" w:rsidRPr="00B7760C" w:rsidRDefault="00372E97" w:rsidP="00372E97">
            <w:pPr>
              <w:pStyle w:val="Normal6"/>
              <w:rPr>
                <w:szCs w:val="24"/>
              </w:rPr>
            </w:pPr>
            <w:r w:rsidRPr="00B7760C">
              <w:rPr>
                <w:b/>
                <w:i/>
              </w:rPr>
              <w:t>(55c)</w:t>
            </w:r>
            <w:r w:rsidRPr="00B7760C">
              <w:rPr>
                <w:b/>
                <w:i/>
              </w:rPr>
              <w:tab/>
              <w:t>V skladu s členom 208 PDEU Unija in države članice zagotovijo, da se cilji razvojnega sodelovanja upoštevajo pri vseh intervencijah SKP, ter spoštujejo pravico do hrane in pravico do razvoja. Države članice bi morale tudi zagotoviti, da strateški načrti SKP čim bolj prispevajo k uresničevanju ciljev iz agende za trajnostni razvoj do leta 2030 in Pariškega sporazuma ter k ciljem evropskega zelenega dogovora, okoljskih in podnebnih zavez Unije ter ustrezne zakonodaje, ki sta jo sprejela Evropski parlament in Svet na podlagi strategije „od vil do vilic“ in strategije za biotsko raznovrstnost.</w:t>
            </w:r>
          </w:p>
        </w:tc>
      </w:tr>
    </w:tbl>
    <w:p w14:paraId="558C3A68" w14:textId="77777777" w:rsidR="00372E97" w:rsidRPr="00B7760C" w:rsidRDefault="00372E97" w:rsidP="003663AF"/>
    <w:p w14:paraId="7F2F7D86" w14:textId="5EA7F29D" w:rsidR="003663AF" w:rsidRPr="00B7760C" w:rsidRDefault="00877691" w:rsidP="003663AF">
      <w:pPr>
        <w:pStyle w:val="AMNumberTabs"/>
      </w:pPr>
      <w:r w:rsidRPr="00B7760C">
        <w:t>Sprememba</w:t>
      </w:r>
      <w:r w:rsidR="003663AF" w:rsidRPr="00B7760C">
        <w:tab/>
      </w:r>
      <w:r w:rsidR="003663AF" w:rsidRPr="00B7760C">
        <w:tab/>
        <w:t>52</w:t>
      </w:r>
    </w:p>
    <w:p w14:paraId="5BEF7FE7" w14:textId="77777777" w:rsidR="003663AF" w:rsidRPr="00B7760C" w:rsidRDefault="003663AF" w:rsidP="003663AF">
      <w:pPr>
        <w:pStyle w:val="NormalBold12b"/>
      </w:pPr>
      <w:r w:rsidRPr="00B7760C">
        <w:t>Predlog uredbe</w:t>
      </w:r>
    </w:p>
    <w:p w14:paraId="0E0AB56F" w14:textId="77777777" w:rsidR="003663AF" w:rsidRPr="00B7760C" w:rsidRDefault="003663AF" w:rsidP="003663AF">
      <w:pPr>
        <w:pStyle w:val="NormalBold"/>
      </w:pPr>
      <w:r w:rsidRPr="00B7760C">
        <w:t>Uvodna izjava 56</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B128A45" w14:textId="77777777" w:rsidTr="00E804B7">
        <w:trPr>
          <w:trHeight w:hRule="exact" w:val="240"/>
          <w:jc w:val="center"/>
        </w:trPr>
        <w:tc>
          <w:tcPr>
            <w:tcW w:w="9752" w:type="dxa"/>
            <w:gridSpan w:val="2"/>
          </w:tcPr>
          <w:p w14:paraId="4BDF281C" w14:textId="77777777" w:rsidR="003663AF" w:rsidRPr="00B7760C" w:rsidRDefault="003663AF" w:rsidP="00E804B7"/>
        </w:tc>
      </w:tr>
      <w:tr w:rsidR="003663AF" w:rsidRPr="00B7760C" w14:paraId="46E4BD4D" w14:textId="77777777" w:rsidTr="00E804B7">
        <w:trPr>
          <w:trHeight w:val="240"/>
          <w:jc w:val="center"/>
        </w:trPr>
        <w:tc>
          <w:tcPr>
            <w:tcW w:w="4876" w:type="dxa"/>
          </w:tcPr>
          <w:p w14:paraId="214F5994" w14:textId="77777777" w:rsidR="003663AF" w:rsidRPr="00B7760C" w:rsidRDefault="003663AF" w:rsidP="00E804B7">
            <w:pPr>
              <w:pStyle w:val="ColumnHeading"/>
            </w:pPr>
            <w:r w:rsidRPr="00B7760C">
              <w:t>Besedilo, ki ga predlaga Komisija</w:t>
            </w:r>
          </w:p>
        </w:tc>
        <w:tc>
          <w:tcPr>
            <w:tcW w:w="4876" w:type="dxa"/>
          </w:tcPr>
          <w:p w14:paraId="7C2C3471" w14:textId="6C135776" w:rsidR="003663AF" w:rsidRPr="00B7760C" w:rsidRDefault="00877691" w:rsidP="00E804B7">
            <w:pPr>
              <w:pStyle w:val="ColumnHeading"/>
            </w:pPr>
            <w:r w:rsidRPr="00B7760C">
              <w:t>Sprememba</w:t>
            </w:r>
          </w:p>
        </w:tc>
      </w:tr>
      <w:tr w:rsidR="003663AF" w:rsidRPr="00B7760C" w14:paraId="3E782C3E" w14:textId="77777777" w:rsidTr="00E804B7">
        <w:trPr>
          <w:jc w:val="center"/>
        </w:trPr>
        <w:tc>
          <w:tcPr>
            <w:tcW w:w="4876" w:type="dxa"/>
          </w:tcPr>
          <w:p w14:paraId="503EFC54" w14:textId="77777777" w:rsidR="003663AF" w:rsidRPr="00B7760C" w:rsidRDefault="003663AF" w:rsidP="00E804B7">
            <w:pPr>
              <w:pStyle w:val="Normal6"/>
            </w:pPr>
            <w:r w:rsidRPr="00B7760C">
              <w:t>(56)</w:t>
            </w:r>
            <w:r w:rsidRPr="00B7760C">
              <w:tab/>
              <w:t>Države članice bi morale pri oblikovanju strateških načrtov SKP analizirati svoje specifične razmere in potrebe, določiti ciljne vrednosti, povezane z doseganjem ciljev SKP, in oblikovati intervencije, ki bodo omogočale dosego teh ciljnih vrednosti, obenem pa bodo prilagojene nacionalnim in regionalnim okoliščinam, vključno z najbolj oddaljenimi regijami v skladu s členom 349 PDEU. Ta proces bi moral spodbujati večjo subsidiarnost v skupnem okviru Unije, obenem pa bi moral biti skladen s splošnimi načeli prava Unije in cilji SKP. Zato je primerno, da se določijo pravila o strukturi in vsebini strateških načrtov SKP.</w:t>
            </w:r>
          </w:p>
        </w:tc>
        <w:tc>
          <w:tcPr>
            <w:tcW w:w="4876" w:type="dxa"/>
          </w:tcPr>
          <w:p w14:paraId="1B62F5B0" w14:textId="77777777" w:rsidR="003663AF" w:rsidRPr="00B7760C" w:rsidRDefault="003663AF" w:rsidP="00E804B7">
            <w:pPr>
              <w:pStyle w:val="Normal6"/>
            </w:pPr>
            <w:r w:rsidRPr="00B7760C">
              <w:t>(56)</w:t>
            </w:r>
            <w:r w:rsidRPr="00B7760C">
              <w:tab/>
              <w:t xml:space="preserve">Države članice bi morale pri oblikovanju strateških načrtov SKP analizirati svoje specifične razmere in potrebe, določiti ciljne vrednosti, </w:t>
            </w:r>
            <w:r w:rsidRPr="00B7760C">
              <w:rPr>
                <w:b/>
                <w:i/>
              </w:rPr>
              <w:t xml:space="preserve">ki so realistične in </w:t>
            </w:r>
            <w:r w:rsidRPr="00B7760C">
              <w:t>povezane z doseganjem ciljev SKP, in oblikovati intervencije, ki bodo omogočale dosego teh ciljnih vrednosti, obenem pa</w:t>
            </w:r>
            <w:r w:rsidRPr="00B7760C">
              <w:rPr>
                <w:b/>
                <w:i/>
              </w:rPr>
              <w:t xml:space="preserve"> bodo zagotovile varnost za končne upravičence in</w:t>
            </w:r>
            <w:r w:rsidRPr="00B7760C">
              <w:t xml:space="preserve"> bodo prilagojene nacionalnim in regionalnim okoliščinam, vključno z najbolj oddaljenimi regijami v skladu s členom 349 PDEU. Ta proces bi moral spodbujati večjo subsidiarnost v skupnem okviru Unije, obenem pa bi moral biti skladen s splošnimi načeli prava Unije in cilji SKP. Zato je primerno, da se določijo pravila o strukturi in vsebini strateških načrtov SKP. </w:t>
            </w:r>
            <w:r w:rsidRPr="00B7760C">
              <w:rPr>
                <w:b/>
                <w:i/>
              </w:rPr>
              <w:t>Da bi zagotovili, da je določanje ciljnih vrednosti s strani držav članic in oblikovanje intervencij ustrezno in kar najbolj povečuje prispevek k ciljem SKP in je zagotovljena tudi skupna usmerjenost te politike, mora strategija za strateške načrte SKP temeljiti na predhodni analizi lokalnih razmer in oceni potreb v zvezi s cilji SKP. Pri oblikovanju strateških načrtov SKP morajo sodelovati kmetje in organizacije kmetov.</w:t>
            </w:r>
          </w:p>
        </w:tc>
      </w:tr>
    </w:tbl>
    <w:p w14:paraId="23460F0E" w14:textId="77777777" w:rsidR="003663AF" w:rsidRPr="00B7760C" w:rsidRDefault="003663AF" w:rsidP="003663AF"/>
    <w:p w14:paraId="51BC5F55" w14:textId="3D0F2F52" w:rsidR="003663AF" w:rsidRPr="00B7760C" w:rsidRDefault="00877691" w:rsidP="003663AF">
      <w:pPr>
        <w:pStyle w:val="AMNumberTabs"/>
      </w:pPr>
      <w:r w:rsidRPr="00B7760C">
        <w:t>Sprememba</w:t>
      </w:r>
      <w:r w:rsidR="003663AF" w:rsidRPr="00B7760C">
        <w:tab/>
      </w:r>
      <w:r w:rsidR="003663AF" w:rsidRPr="00B7760C">
        <w:tab/>
        <w:t>53</w:t>
      </w:r>
    </w:p>
    <w:p w14:paraId="42A21226" w14:textId="77777777" w:rsidR="003663AF" w:rsidRPr="00B7760C" w:rsidRDefault="003663AF" w:rsidP="003663AF">
      <w:pPr>
        <w:pStyle w:val="NormalBold12b"/>
      </w:pPr>
      <w:r w:rsidRPr="00B7760C">
        <w:t>Predlog uredbe</w:t>
      </w:r>
    </w:p>
    <w:p w14:paraId="5E9F2693" w14:textId="77777777" w:rsidR="003663AF" w:rsidRPr="00B7760C" w:rsidRDefault="003663AF" w:rsidP="003663AF">
      <w:pPr>
        <w:pStyle w:val="NormalBold"/>
      </w:pPr>
      <w:r w:rsidRPr="00B7760C">
        <w:t>Uvodna izjava 57</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CFBD7B7" w14:textId="77777777" w:rsidTr="00E804B7">
        <w:trPr>
          <w:trHeight w:hRule="exact" w:val="240"/>
          <w:jc w:val="center"/>
        </w:trPr>
        <w:tc>
          <w:tcPr>
            <w:tcW w:w="9752" w:type="dxa"/>
            <w:gridSpan w:val="2"/>
          </w:tcPr>
          <w:p w14:paraId="1A97CF63" w14:textId="77777777" w:rsidR="003663AF" w:rsidRPr="00B7760C" w:rsidRDefault="003663AF" w:rsidP="00E804B7"/>
        </w:tc>
      </w:tr>
      <w:tr w:rsidR="003663AF" w:rsidRPr="00B7760C" w14:paraId="4FF53BB0" w14:textId="77777777" w:rsidTr="00E804B7">
        <w:trPr>
          <w:trHeight w:val="240"/>
          <w:jc w:val="center"/>
        </w:trPr>
        <w:tc>
          <w:tcPr>
            <w:tcW w:w="4876" w:type="dxa"/>
          </w:tcPr>
          <w:p w14:paraId="748F5DA5" w14:textId="77777777" w:rsidR="003663AF" w:rsidRPr="00B7760C" w:rsidRDefault="003663AF" w:rsidP="00E804B7">
            <w:pPr>
              <w:pStyle w:val="ColumnHeading"/>
            </w:pPr>
            <w:r w:rsidRPr="00B7760C">
              <w:t>Besedilo, ki ga predlaga Komisija</w:t>
            </w:r>
          </w:p>
        </w:tc>
        <w:tc>
          <w:tcPr>
            <w:tcW w:w="4876" w:type="dxa"/>
          </w:tcPr>
          <w:p w14:paraId="3B087ECC" w14:textId="0A973489" w:rsidR="003663AF" w:rsidRPr="00B7760C" w:rsidRDefault="00877691" w:rsidP="00E804B7">
            <w:pPr>
              <w:pStyle w:val="ColumnHeading"/>
            </w:pPr>
            <w:r w:rsidRPr="00B7760C">
              <w:t>Sprememba</w:t>
            </w:r>
          </w:p>
        </w:tc>
      </w:tr>
      <w:tr w:rsidR="003663AF" w:rsidRPr="00B7760C" w14:paraId="3106C7B5" w14:textId="77777777" w:rsidTr="00E804B7">
        <w:trPr>
          <w:jc w:val="center"/>
        </w:trPr>
        <w:tc>
          <w:tcPr>
            <w:tcW w:w="4876" w:type="dxa"/>
          </w:tcPr>
          <w:p w14:paraId="0DFFB824" w14:textId="77777777" w:rsidR="003663AF" w:rsidRPr="00B7760C" w:rsidRDefault="003663AF" w:rsidP="00E804B7">
            <w:pPr>
              <w:pStyle w:val="Normal6"/>
            </w:pPr>
            <w:r w:rsidRPr="00B7760C">
              <w:t>(57)</w:t>
            </w:r>
            <w:r w:rsidRPr="00B7760C">
              <w:tab/>
            </w:r>
            <w:r w:rsidRPr="00B7760C">
              <w:rPr>
                <w:b/>
                <w:bCs/>
                <w:i/>
                <w:iCs/>
              </w:rPr>
              <w:t xml:space="preserve">Da bi zagotovili, da je določanje ciljnih vrednosti s strani držav članic in oblikovanje intervencij ustrezno in kar najbolj povečuje prispevek k ciljem SKP, mora strategija za strateške načrte SKP temeljiti na predhodni analizi lokalnih razmer in oceni potreb v zvezi s cilji SKP. </w:t>
            </w:r>
          </w:p>
        </w:tc>
        <w:tc>
          <w:tcPr>
            <w:tcW w:w="4876" w:type="dxa"/>
          </w:tcPr>
          <w:p w14:paraId="2647F174" w14:textId="57DCAE55" w:rsidR="003663AF" w:rsidRPr="00B7760C" w:rsidRDefault="003663AF" w:rsidP="00AD1DD2">
            <w:pPr>
              <w:pStyle w:val="Normal6"/>
            </w:pPr>
            <w:r w:rsidRPr="00B7760C">
              <w:t>(57)</w:t>
            </w:r>
            <w:r w:rsidRPr="00B7760C">
              <w:tab/>
            </w:r>
            <w:r w:rsidRPr="00B7760C">
              <w:rPr>
                <w:b/>
                <w:i/>
              </w:rPr>
              <w:t>Pomembno je tudi, da lahko strateški načrti SKP ustrezno odražajo spremembe v razmerah, (notranjih in zunanjih) strukturah in tržnih razmerah držav članic ter da jih bo mogoče sčasoma ustrezno prilagoditi glede na te spremembe.</w:t>
            </w:r>
          </w:p>
        </w:tc>
      </w:tr>
    </w:tbl>
    <w:p w14:paraId="6C28390D" w14:textId="77777777" w:rsidR="003663AF" w:rsidRPr="00B7760C" w:rsidRDefault="003663AF" w:rsidP="003663AF"/>
    <w:p w14:paraId="5E21A0CE" w14:textId="65C713C7" w:rsidR="003663AF" w:rsidRPr="00B7760C" w:rsidRDefault="00877691" w:rsidP="003663AF">
      <w:pPr>
        <w:pStyle w:val="AMNumberTabs"/>
      </w:pPr>
      <w:r w:rsidRPr="00B7760C">
        <w:t>Sprememba</w:t>
      </w:r>
      <w:r w:rsidR="003663AF" w:rsidRPr="00B7760C">
        <w:tab/>
      </w:r>
      <w:r w:rsidR="003663AF" w:rsidRPr="00B7760C">
        <w:tab/>
        <w:t>54</w:t>
      </w:r>
    </w:p>
    <w:p w14:paraId="4B22ED0E" w14:textId="77777777" w:rsidR="003663AF" w:rsidRPr="00B7760C" w:rsidRDefault="003663AF" w:rsidP="003663AF">
      <w:pPr>
        <w:pStyle w:val="NormalBold12b"/>
      </w:pPr>
      <w:r w:rsidRPr="00B7760C">
        <w:t>Predlog uredbe</w:t>
      </w:r>
    </w:p>
    <w:p w14:paraId="15ED1359" w14:textId="77777777" w:rsidR="003663AF" w:rsidRPr="00B7760C" w:rsidRDefault="003663AF" w:rsidP="003663AF">
      <w:pPr>
        <w:pStyle w:val="NormalBold"/>
      </w:pPr>
      <w:r w:rsidRPr="00B7760C">
        <w:t>Uvodna izjava 58</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ACED622" w14:textId="77777777" w:rsidTr="00E804B7">
        <w:trPr>
          <w:trHeight w:hRule="exact" w:val="240"/>
          <w:jc w:val="center"/>
        </w:trPr>
        <w:tc>
          <w:tcPr>
            <w:tcW w:w="9752" w:type="dxa"/>
            <w:gridSpan w:val="2"/>
          </w:tcPr>
          <w:p w14:paraId="430BE7F7" w14:textId="77777777" w:rsidR="003663AF" w:rsidRPr="00B7760C" w:rsidRDefault="003663AF" w:rsidP="00E804B7"/>
        </w:tc>
      </w:tr>
      <w:tr w:rsidR="003663AF" w:rsidRPr="00B7760C" w14:paraId="0633EB28" w14:textId="77777777" w:rsidTr="00E804B7">
        <w:trPr>
          <w:trHeight w:val="240"/>
          <w:jc w:val="center"/>
        </w:trPr>
        <w:tc>
          <w:tcPr>
            <w:tcW w:w="4876" w:type="dxa"/>
          </w:tcPr>
          <w:p w14:paraId="2BF9A34E" w14:textId="77777777" w:rsidR="003663AF" w:rsidRPr="00B7760C" w:rsidRDefault="003663AF" w:rsidP="00E804B7">
            <w:pPr>
              <w:pStyle w:val="ColumnHeading"/>
            </w:pPr>
            <w:r w:rsidRPr="00B7760C">
              <w:t>Besedilo, ki ga predlaga Komisija</w:t>
            </w:r>
          </w:p>
        </w:tc>
        <w:tc>
          <w:tcPr>
            <w:tcW w:w="4876" w:type="dxa"/>
          </w:tcPr>
          <w:p w14:paraId="22FAAFB8" w14:textId="214EB959" w:rsidR="003663AF" w:rsidRPr="00B7760C" w:rsidRDefault="00877691" w:rsidP="00E804B7">
            <w:pPr>
              <w:pStyle w:val="ColumnHeading"/>
            </w:pPr>
            <w:r w:rsidRPr="00B7760C">
              <w:t>Sprememba</w:t>
            </w:r>
          </w:p>
        </w:tc>
      </w:tr>
      <w:tr w:rsidR="003663AF" w:rsidRPr="00B7760C" w14:paraId="7E811A75" w14:textId="77777777" w:rsidTr="00E804B7">
        <w:trPr>
          <w:jc w:val="center"/>
        </w:trPr>
        <w:tc>
          <w:tcPr>
            <w:tcW w:w="4876" w:type="dxa"/>
          </w:tcPr>
          <w:p w14:paraId="10D111AF" w14:textId="77777777" w:rsidR="003663AF" w:rsidRPr="00B7760C" w:rsidRDefault="003663AF" w:rsidP="00E804B7">
            <w:pPr>
              <w:pStyle w:val="Normal6"/>
            </w:pPr>
            <w:r w:rsidRPr="00B7760C">
              <w:t>(58)</w:t>
            </w:r>
            <w:r w:rsidRPr="00B7760C">
              <w:tab/>
              <w:t>Namen strateških načrtov SKP je zagotoviti večjo usklajenost različnih instrumentov SKP, saj bi morali zajemati vrste intervencij v obliki neposrednih plačil, sektorske vrste intervencij in vrste intervencij za razvoj podeželja. Prav tako bi morali zagotavljati in dokazovati usklajenost in ustreznost izbire držav članic glede na prednostne naloge in cilje Unije. Zato je primerno, da vsebujejo strategijo za intervencije, usmerjeno v rezultate, ki je oblikovana ob upoštevanju specifičnih ciljev SKP, vključno s količinsko opredeljenimi ciljnimi vrednostmi v zvezi s temi cilji. Da bi omogočili njihovo spremljanje</w:t>
            </w:r>
            <w:r w:rsidRPr="00B7760C">
              <w:rPr>
                <w:b/>
                <w:i/>
              </w:rPr>
              <w:t xml:space="preserve"> na letni ravni</w:t>
            </w:r>
            <w:r w:rsidRPr="00B7760C">
              <w:t>, je ustrezno, da te ciljne vrednosti temeljijo na kazalnikih rezultatov.</w:t>
            </w:r>
          </w:p>
        </w:tc>
        <w:tc>
          <w:tcPr>
            <w:tcW w:w="4876" w:type="dxa"/>
          </w:tcPr>
          <w:p w14:paraId="3FA02A3C" w14:textId="77777777" w:rsidR="003663AF" w:rsidRPr="00B7760C" w:rsidRDefault="003663AF" w:rsidP="00E804B7">
            <w:pPr>
              <w:pStyle w:val="Normal6"/>
            </w:pPr>
            <w:r w:rsidRPr="00B7760C">
              <w:t>(58)</w:t>
            </w:r>
            <w:r w:rsidRPr="00B7760C">
              <w:tab/>
              <w:t>Namen strateških načrtov SKP je zagotoviti večjo usklajenost različnih instrumentov SKP, saj bi morali zajemati vrste intervencij v obliki neposrednih plačil, sektorske vrste intervencij in vrste intervencij za razvoj podeželja. Prav tako bi morali zagotavljati in dokazovati usklajenost in ustreznost izbire držav članic glede na prednostne naloge in cilje Unije. Zato je primerno, da vsebujejo strategijo za intervencije, usmerjeno v rezultate, ki je oblikovana ob upoštevanju specifičnih ciljev SKP, vključno s količinsko opredeljenimi ciljnimi vrednostmi v zvezi s temi cilji. Da bi omogočili njihovo spremljanje, je ustrezno, da te ciljne vrednosti temeljijo na kazalnikih rezultatov.</w:t>
            </w:r>
          </w:p>
        </w:tc>
      </w:tr>
    </w:tbl>
    <w:p w14:paraId="39E0F277" w14:textId="4FF89A8E" w:rsidR="003663AF" w:rsidRPr="00B7760C" w:rsidRDefault="003663AF" w:rsidP="003663AF"/>
    <w:p w14:paraId="3F9721ED" w14:textId="72424711" w:rsidR="0057403D" w:rsidRPr="00B7760C" w:rsidRDefault="0057403D" w:rsidP="0057403D">
      <w:pPr>
        <w:pStyle w:val="AmNumberTabs0"/>
      </w:pPr>
      <w:r w:rsidRPr="00B7760C">
        <w:t>Sprememba</w:t>
      </w:r>
      <w:r w:rsidRPr="00B7760C">
        <w:tab/>
      </w:r>
      <w:r w:rsidRPr="00B7760C">
        <w:tab/>
        <w:t>800</w:t>
      </w:r>
    </w:p>
    <w:p w14:paraId="23FD6714" w14:textId="77777777" w:rsidR="0057403D" w:rsidRPr="00B7760C" w:rsidRDefault="0057403D" w:rsidP="0057403D">
      <w:pPr>
        <w:pStyle w:val="NormalBold12b"/>
      </w:pPr>
      <w:r w:rsidRPr="00B7760C">
        <w:t>Predlog uredbe</w:t>
      </w:r>
    </w:p>
    <w:p w14:paraId="4B6825E8" w14:textId="77777777" w:rsidR="0057403D" w:rsidRPr="00B7760C" w:rsidRDefault="0057403D" w:rsidP="0057403D">
      <w:pPr>
        <w:pStyle w:val="NormalBold"/>
      </w:pPr>
      <w:r w:rsidRPr="00B7760C">
        <w:t>Uvodna izjava 58 a (novo)</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57403D" w:rsidRPr="00B7760C" w14:paraId="43464323" w14:textId="77777777" w:rsidTr="0057403D">
        <w:trPr>
          <w:trHeight w:hRule="exact" w:val="240"/>
          <w:jc w:val="center"/>
        </w:trPr>
        <w:tc>
          <w:tcPr>
            <w:tcW w:w="9752" w:type="dxa"/>
            <w:gridSpan w:val="2"/>
          </w:tcPr>
          <w:p w14:paraId="75832599" w14:textId="77777777" w:rsidR="0057403D" w:rsidRPr="00B7760C" w:rsidRDefault="0057403D" w:rsidP="008313BF"/>
        </w:tc>
      </w:tr>
      <w:tr w:rsidR="0057403D" w:rsidRPr="00B7760C" w14:paraId="47D256A3" w14:textId="77777777" w:rsidTr="0057403D">
        <w:trPr>
          <w:trHeight w:val="240"/>
          <w:jc w:val="center"/>
        </w:trPr>
        <w:tc>
          <w:tcPr>
            <w:tcW w:w="4876" w:type="dxa"/>
          </w:tcPr>
          <w:p w14:paraId="798A668F" w14:textId="77777777" w:rsidR="0057403D" w:rsidRPr="00B7760C" w:rsidRDefault="0057403D" w:rsidP="008313BF">
            <w:pPr>
              <w:pStyle w:val="AmColumnHeading"/>
            </w:pPr>
            <w:r w:rsidRPr="00B7760C">
              <w:t>Besedilo, ki ga predlaga Komisija</w:t>
            </w:r>
          </w:p>
        </w:tc>
        <w:tc>
          <w:tcPr>
            <w:tcW w:w="4876" w:type="dxa"/>
          </w:tcPr>
          <w:p w14:paraId="4D8D7BC7" w14:textId="57D73316" w:rsidR="0057403D" w:rsidRPr="00B7760C" w:rsidRDefault="0057403D" w:rsidP="008313BF">
            <w:pPr>
              <w:pStyle w:val="AmColumnHeading"/>
            </w:pPr>
            <w:r w:rsidRPr="00B7760C">
              <w:t>Sprememba</w:t>
            </w:r>
          </w:p>
        </w:tc>
      </w:tr>
      <w:tr w:rsidR="0057403D" w:rsidRPr="00B7760C" w14:paraId="039EC72D" w14:textId="77777777" w:rsidTr="0057403D">
        <w:trPr>
          <w:jc w:val="center"/>
        </w:trPr>
        <w:tc>
          <w:tcPr>
            <w:tcW w:w="4876" w:type="dxa"/>
          </w:tcPr>
          <w:p w14:paraId="6B5280C8" w14:textId="77777777" w:rsidR="0057403D" w:rsidRPr="00B7760C" w:rsidRDefault="0057403D" w:rsidP="008313BF">
            <w:pPr>
              <w:pStyle w:val="Normal6a"/>
            </w:pPr>
          </w:p>
        </w:tc>
        <w:tc>
          <w:tcPr>
            <w:tcW w:w="4876" w:type="dxa"/>
          </w:tcPr>
          <w:p w14:paraId="57236321" w14:textId="75CFACC1" w:rsidR="0057403D" w:rsidRPr="00B7760C" w:rsidRDefault="0057403D" w:rsidP="0057403D">
            <w:pPr>
              <w:pStyle w:val="Normal6a"/>
            </w:pPr>
            <w:r w:rsidRPr="00B7760C">
              <w:rPr>
                <w:b/>
                <w:i/>
              </w:rPr>
              <w:t>(58a)</w:t>
            </w:r>
            <w:r w:rsidRPr="00B7760C">
              <w:tab/>
            </w:r>
            <w:r w:rsidRPr="00B7760C">
              <w:rPr>
                <w:b/>
                <w:i/>
              </w:rPr>
              <w:t>Obstoječa baza znanja je zelo raznolika z vidika količine in kakovosti razpoložljivih informacij za spremljanje specifičnih ciljev iz člena 6 tega predloga. Za nekatere specifične cilje, zlasti za spremljanje biotske raznovrstnosti, je baza znanja trenutno šibka ali premalo prilagojena oblikovanju zanesljivih kazalnikov učinka, na primer v zvezi z opraševalci in biotsko raznovrstnostjo kmetijskih rastlin. Specifični cilji in kazalniki, določeni v členu 6 in Prilogi 1 za celotno Unijo, bi morali temeljiti na skupni ali primerljivi bazi znanja in metodologijah v vseh državah članicah. Komisija bi morala določiti področja, kjer obstajajo vrzeli v znanju ali kjer je baza znanja premalo prilagojena spremljanju učinka SKP. Uporabiti bi morala proračun Unije za zagotovitev skupnih rešitev za ovire, povezane z znanjem in spremljanjem, za vse specifične cilje in kazalnike iz člena 6. O tem vprašanju bi morala pripraviti poročilo in javno objaviti ugotovitve iz tega poročila.</w:t>
            </w:r>
          </w:p>
        </w:tc>
      </w:tr>
    </w:tbl>
    <w:p w14:paraId="595D3150" w14:textId="77777777" w:rsidR="0057403D" w:rsidRPr="00B7760C" w:rsidRDefault="0057403D" w:rsidP="0057403D">
      <w:pPr>
        <w:pStyle w:val="AmNumberTabs0"/>
      </w:pPr>
      <w:r w:rsidRPr="00B7760C">
        <w:t>Sprememba</w:t>
      </w:r>
      <w:r w:rsidRPr="00B7760C">
        <w:tab/>
      </w:r>
      <w:r w:rsidRPr="00B7760C">
        <w:tab/>
        <w:t>801</w:t>
      </w:r>
    </w:p>
    <w:p w14:paraId="6739BEA6" w14:textId="77777777" w:rsidR="0057403D" w:rsidRPr="00B7760C" w:rsidRDefault="0057403D" w:rsidP="0057403D">
      <w:pPr>
        <w:pStyle w:val="NormalBold12b"/>
      </w:pPr>
      <w:r w:rsidRPr="00B7760C">
        <w:t>Predlog uredbe</w:t>
      </w:r>
    </w:p>
    <w:p w14:paraId="2D53D86C" w14:textId="77777777" w:rsidR="0057403D" w:rsidRPr="00B7760C" w:rsidRDefault="0057403D" w:rsidP="0057403D">
      <w:pPr>
        <w:pStyle w:val="NormalBold"/>
      </w:pPr>
      <w:r w:rsidRPr="00B7760C">
        <w:t>Uvodna izjava 59</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7403D" w:rsidRPr="00B7760C" w14:paraId="672ABF7F" w14:textId="77777777" w:rsidTr="008313BF">
        <w:trPr>
          <w:trHeight w:hRule="exact" w:val="240"/>
          <w:jc w:val="center"/>
        </w:trPr>
        <w:tc>
          <w:tcPr>
            <w:tcW w:w="9752" w:type="dxa"/>
            <w:gridSpan w:val="2"/>
          </w:tcPr>
          <w:p w14:paraId="04A27337" w14:textId="77777777" w:rsidR="0057403D" w:rsidRPr="00B7760C" w:rsidRDefault="0057403D" w:rsidP="008313BF"/>
        </w:tc>
      </w:tr>
      <w:tr w:rsidR="0057403D" w:rsidRPr="00B7760C" w14:paraId="7492B104" w14:textId="77777777" w:rsidTr="008313BF">
        <w:trPr>
          <w:trHeight w:val="240"/>
          <w:jc w:val="center"/>
        </w:trPr>
        <w:tc>
          <w:tcPr>
            <w:tcW w:w="4876" w:type="dxa"/>
          </w:tcPr>
          <w:p w14:paraId="6E016604" w14:textId="77777777" w:rsidR="0057403D" w:rsidRPr="00B7760C" w:rsidRDefault="0057403D" w:rsidP="008313BF">
            <w:pPr>
              <w:pStyle w:val="AmColumnHeading"/>
            </w:pPr>
            <w:r w:rsidRPr="00B7760C">
              <w:t>Besedilo, ki ga predlaga Komisija</w:t>
            </w:r>
          </w:p>
        </w:tc>
        <w:tc>
          <w:tcPr>
            <w:tcW w:w="4876" w:type="dxa"/>
          </w:tcPr>
          <w:p w14:paraId="46B3A376" w14:textId="77777777" w:rsidR="0057403D" w:rsidRPr="00B7760C" w:rsidRDefault="0057403D" w:rsidP="008313BF">
            <w:pPr>
              <w:pStyle w:val="AmColumnHeading"/>
            </w:pPr>
            <w:r w:rsidRPr="00B7760C">
              <w:t>Sprememba</w:t>
            </w:r>
          </w:p>
        </w:tc>
      </w:tr>
      <w:tr w:rsidR="0057403D" w:rsidRPr="00B7760C" w14:paraId="3A97BA23" w14:textId="77777777" w:rsidTr="008313BF">
        <w:trPr>
          <w:jc w:val="center"/>
        </w:trPr>
        <w:tc>
          <w:tcPr>
            <w:tcW w:w="4876" w:type="dxa"/>
          </w:tcPr>
          <w:p w14:paraId="3A9DEDC6" w14:textId="77777777" w:rsidR="0057403D" w:rsidRPr="00B7760C" w:rsidRDefault="0057403D" w:rsidP="008313BF">
            <w:pPr>
              <w:pStyle w:val="Normal6a"/>
            </w:pPr>
            <w:r w:rsidRPr="00B7760C">
              <w:t>(59)</w:t>
            </w:r>
            <w:r w:rsidRPr="00B7760C">
              <w:tab/>
              <w:t xml:space="preserve">V strategiji bi moralo biti poudarjeno tudi dopolnjevanje instrumentov SKP z drugimi politikami Unije. Zlasti bi morala biti v vsakem strateškem načrtu SKP </w:t>
            </w:r>
            <w:r w:rsidRPr="00B7760C">
              <w:rPr>
                <w:b/>
                <w:i/>
              </w:rPr>
              <w:t>po potrebi</w:t>
            </w:r>
            <w:r w:rsidRPr="00B7760C">
              <w:t xml:space="preserve"> upoštevana okoljska in podnebna zakonodaja, nacionalni načrti, ki izvirajo iz te zakonodaje, pa bi morali biti opisani kot del analize trenutnih razmer (analize SWOT). Primerno je, da se navedejo zakonodajni instrumenti, ki bi morali biti posebej opredeljeni v strateškem načrtu SKP.</w:t>
            </w:r>
          </w:p>
        </w:tc>
        <w:tc>
          <w:tcPr>
            <w:tcW w:w="4876" w:type="dxa"/>
          </w:tcPr>
          <w:p w14:paraId="57B7A091" w14:textId="77777777" w:rsidR="0057403D" w:rsidRPr="00B7760C" w:rsidRDefault="0057403D" w:rsidP="008313BF">
            <w:pPr>
              <w:pStyle w:val="Normal6a"/>
            </w:pPr>
            <w:r w:rsidRPr="00B7760C">
              <w:t>(59)</w:t>
            </w:r>
            <w:r w:rsidRPr="00B7760C">
              <w:tab/>
              <w:t>V strategiji bi moralo biti poudarjeno tudi dopolnjevanje instrumentov SKP z drugimi politikami Unije</w:t>
            </w:r>
            <w:r w:rsidRPr="00B7760C">
              <w:rPr>
                <w:b/>
                <w:i/>
              </w:rPr>
              <w:t>, vključno s kohezijsko politiko</w:t>
            </w:r>
            <w:r w:rsidRPr="00B7760C">
              <w:t xml:space="preserve">. Zlasti bi morala biti v vsakem strateškem načrtu SKP upoštevana okoljska in podnebna zakonodaja </w:t>
            </w:r>
            <w:r w:rsidRPr="00B7760C">
              <w:rPr>
                <w:b/>
                <w:i/>
              </w:rPr>
              <w:t>ter zavezanost Unije skladnosti politik za razvoj</w:t>
            </w:r>
            <w:r w:rsidRPr="00B7760C">
              <w:t>, nacionalni načrti, ki izvirajo iz te zakonodaje, pa bi morali biti opisani kot del analize trenutnih razmer (analize SWOT). Primerno je, da se navedejo zakonodajni instrumenti, ki bi morali biti posebej opredeljeni v strateškem načrtu SKP.</w:t>
            </w:r>
          </w:p>
        </w:tc>
      </w:tr>
    </w:tbl>
    <w:p w14:paraId="0F4E080A" w14:textId="77777777" w:rsidR="0057403D" w:rsidRPr="00B7760C" w:rsidRDefault="0057403D" w:rsidP="003663AF"/>
    <w:p w14:paraId="05C291BB" w14:textId="64294F11" w:rsidR="003663AF" w:rsidRPr="00B7760C" w:rsidRDefault="00877691" w:rsidP="003663AF">
      <w:pPr>
        <w:pStyle w:val="AMNumberTabs"/>
      </w:pPr>
      <w:r w:rsidRPr="00B7760C">
        <w:t>Sprememba</w:t>
      </w:r>
      <w:r w:rsidR="003663AF" w:rsidRPr="00B7760C">
        <w:tab/>
      </w:r>
      <w:r w:rsidR="003663AF" w:rsidRPr="00B7760C">
        <w:tab/>
        <w:t>55</w:t>
      </w:r>
    </w:p>
    <w:p w14:paraId="145D65E3" w14:textId="77777777" w:rsidR="003663AF" w:rsidRPr="00B7760C" w:rsidRDefault="003663AF" w:rsidP="003663AF">
      <w:pPr>
        <w:pStyle w:val="NormalBold12b"/>
      </w:pPr>
      <w:r w:rsidRPr="00B7760C">
        <w:t>Predlog uredbe</w:t>
      </w:r>
    </w:p>
    <w:p w14:paraId="5E1A7CB8" w14:textId="77777777" w:rsidR="003663AF" w:rsidRPr="00B7760C" w:rsidRDefault="003663AF" w:rsidP="003663AF">
      <w:pPr>
        <w:pStyle w:val="NormalBold"/>
      </w:pPr>
      <w:r w:rsidRPr="00B7760C">
        <w:t>Uvodna izjava 59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177123B" w14:textId="77777777" w:rsidTr="00E804B7">
        <w:trPr>
          <w:trHeight w:hRule="exact" w:val="240"/>
          <w:jc w:val="center"/>
        </w:trPr>
        <w:tc>
          <w:tcPr>
            <w:tcW w:w="9752" w:type="dxa"/>
            <w:gridSpan w:val="2"/>
          </w:tcPr>
          <w:p w14:paraId="392F9515" w14:textId="77777777" w:rsidR="003663AF" w:rsidRPr="00B7760C" w:rsidRDefault="003663AF" w:rsidP="00E804B7"/>
        </w:tc>
      </w:tr>
      <w:tr w:rsidR="003663AF" w:rsidRPr="00B7760C" w14:paraId="0F23176C" w14:textId="77777777" w:rsidTr="00E804B7">
        <w:trPr>
          <w:trHeight w:val="240"/>
          <w:jc w:val="center"/>
        </w:trPr>
        <w:tc>
          <w:tcPr>
            <w:tcW w:w="4876" w:type="dxa"/>
          </w:tcPr>
          <w:p w14:paraId="000345D7" w14:textId="77777777" w:rsidR="003663AF" w:rsidRPr="00B7760C" w:rsidRDefault="003663AF" w:rsidP="00E804B7">
            <w:pPr>
              <w:pStyle w:val="ColumnHeading"/>
            </w:pPr>
            <w:r w:rsidRPr="00B7760C">
              <w:t>Besedilo, ki ga predlaga Komisija</w:t>
            </w:r>
          </w:p>
        </w:tc>
        <w:tc>
          <w:tcPr>
            <w:tcW w:w="4876" w:type="dxa"/>
          </w:tcPr>
          <w:p w14:paraId="189B0BDF" w14:textId="1FCB20CF" w:rsidR="003663AF" w:rsidRPr="00B7760C" w:rsidRDefault="00877691" w:rsidP="00E804B7">
            <w:pPr>
              <w:pStyle w:val="ColumnHeading"/>
            </w:pPr>
            <w:r w:rsidRPr="00B7760C">
              <w:t>Sprememba</w:t>
            </w:r>
          </w:p>
        </w:tc>
      </w:tr>
      <w:tr w:rsidR="003663AF" w:rsidRPr="00B7760C" w14:paraId="2987677C" w14:textId="77777777" w:rsidTr="00E804B7">
        <w:trPr>
          <w:jc w:val="center"/>
        </w:trPr>
        <w:tc>
          <w:tcPr>
            <w:tcW w:w="4876" w:type="dxa"/>
          </w:tcPr>
          <w:p w14:paraId="50464E62" w14:textId="77777777" w:rsidR="003663AF" w:rsidRPr="00B7760C" w:rsidRDefault="003663AF" w:rsidP="00E804B7">
            <w:pPr>
              <w:pStyle w:val="Normal6"/>
            </w:pPr>
          </w:p>
        </w:tc>
        <w:tc>
          <w:tcPr>
            <w:tcW w:w="4876" w:type="dxa"/>
          </w:tcPr>
          <w:p w14:paraId="3439D404" w14:textId="77777777" w:rsidR="003663AF" w:rsidRPr="00B7760C" w:rsidRDefault="003663AF" w:rsidP="00E804B7">
            <w:pPr>
              <w:pStyle w:val="Normal6"/>
            </w:pPr>
            <w:r w:rsidRPr="00B7760C">
              <w:rPr>
                <w:b/>
                <w:i/>
              </w:rPr>
              <w:t>(59a)</w:t>
            </w:r>
            <w:r w:rsidRPr="00B7760C">
              <w:tab/>
            </w:r>
            <w:r w:rsidRPr="00B7760C">
              <w:rPr>
                <w:b/>
                <w:i/>
              </w:rPr>
              <w:t>Ker ima shema dohodkovne podpore pomembno vlogo pri zagotavljanju ekonomske zmožnosti kmetij za preživetje, je primerno upoštevati socialne učinke, ki jih ima SKP na zagotavljanje delovnih mest na podeželju.</w:t>
            </w:r>
            <w:r w:rsidRPr="00B7760C">
              <w:t xml:space="preserve"> </w:t>
            </w:r>
            <w:r w:rsidRPr="00B7760C">
              <w:rPr>
                <w:b/>
                <w:i/>
              </w:rPr>
              <w:t>Zato bi morale države članice pri načrtovanju svojih strateških načrtov upoštevati tudi učinek na zaposlovanje, ki ga bo imel novi gospodarski subjekt na določenem območju.</w:t>
            </w:r>
            <w:r w:rsidRPr="00B7760C">
              <w:t xml:space="preserve"> </w:t>
            </w:r>
            <w:r w:rsidRPr="00B7760C">
              <w:rPr>
                <w:b/>
                <w:i/>
              </w:rPr>
              <w:t>Pri pripravi in izvajanju ustreznih političnih orodij bi bilo treba prednostno obravnavati ukrepe in dejavnosti, ki ustvarjajo več možnosti za zaposlovanje.</w:t>
            </w:r>
          </w:p>
        </w:tc>
      </w:tr>
    </w:tbl>
    <w:p w14:paraId="5CDD418B" w14:textId="77777777" w:rsidR="0057403D" w:rsidRPr="00B7760C" w:rsidRDefault="0057403D" w:rsidP="003663AF"/>
    <w:p w14:paraId="082F4ED6" w14:textId="4EB672AD" w:rsidR="003663AF" w:rsidRPr="00B7760C" w:rsidRDefault="00877691" w:rsidP="003663AF">
      <w:pPr>
        <w:pStyle w:val="AMNumberTabs"/>
      </w:pPr>
      <w:r w:rsidRPr="00B7760C">
        <w:t>Sprememba</w:t>
      </w:r>
      <w:r w:rsidR="003663AF" w:rsidRPr="00B7760C">
        <w:tab/>
      </w:r>
      <w:r w:rsidR="003663AF" w:rsidRPr="00B7760C">
        <w:tab/>
        <w:t>56</w:t>
      </w:r>
    </w:p>
    <w:p w14:paraId="19F00D49" w14:textId="77777777" w:rsidR="003663AF" w:rsidRPr="00B7760C" w:rsidRDefault="003663AF" w:rsidP="003663AF">
      <w:pPr>
        <w:pStyle w:val="NormalBold12b"/>
      </w:pPr>
      <w:r w:rsidRPr="00B7760C">
        <w:t>Predlog uredbe</w:t>
      </w:r>
    </w:p>
    <w:p w14:paraId="293A5D12" w14:textId="77777777" w:rsidR="003663AF" w:rsidRPr="00B7760C" w:rsidRDefault="003663AF" w:rsidP="003663AF">
      <w:pPr>
        <w:pStyle w:val="NormalBold"/>
      </w:pPr>
      <w:r w:rsidRPr="00B7760C">
        <w:t>Uvodna izjava 60</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6D73DFB" w14:textId="77777777" w:rsidTr="00E804B7">
        <w:trPr>
          <w:trHeight w:hRule="exact" w:val="240"/>
          <w:jc w:val="center"/>
        </w:trPr>
        <w:tc>
          <w:tcPr>
            <w:tcW w:w="9752" w:type="dxa"/>
            <w:gridSpan w:val="2"/>
          </w:tcPr>
          <w:p w14:paraId="3F11542E" w14:textId="77777777" w:rsidR="003663AF" w:rsidRPr="00B7760C" w:rsidRDefault="003663AF" w:rsidP="00E804B7"/>
        </w:tc>
      </w:tr>
      <w:tr w:rsidR="003663AF" w:rsidRPr="00B7760C" w14:paraId="216793FD" w14:textId="77777777" w:rsidTr="00E804B7">
        <w:trPr>
          <w:trHeight w:val="240"/>
          <w:jc w:val="center"/>
        </w:trPr>
        <w:tc>
          <w:tcPr>
            <w:tcW w:w="4876" w:type="dxa"/>
          </w:tcPr>
          <w:p w14:paraId="5A7194C8" w14:textId="77777777" w:rsidR="003663AF" w:rsidRPr="00B7760C" w:rsidRDefault="003663AF" w:rsidP="00E804B7">
            <w:pPr>
              <w:pStyle w:val="ColumnHeading"/>
            </w:pPr>
            <w:r w:rsidRPr="00B7760C">
              <w:t>Besedilo, ki ga predlaga Komisija</w:t>
            </w:r>
          </w:p>
        </w:tc>
        <w:tc>
          <w:tcPr>
            <w:tcW w:w="4876" w:type="dxa"/>
          </w:tcPr>
          <w:p w14:paraId="5265AB40" w14:textId="485A29A5" w:rsidR="003663AF" w:rsidRPr="00B7760C" w:rsidRDefault="00877691" w:rsidP="00E804B7">
            <w:pPr>
              <w:pStyle w:val="ColumnHeading"/>
            </w:pPr>
            <w:r w:rsidRPr="00B7760C">
              <w:t>Sprememba</w:t>
            </w:r>
          </w:p>
        </w:tc>
      </w:tr>
      <w:tr w:rsidR="003663AF" w:rsidRPr="00B7760C" w14:paraId="683A4E97" w14:textId="77777777" w:rsidTr="00E804B7">
        <w:trPr>
          <w:jc w:val="center"/>
        </w:trPr>
        <w:tc>
          <w:tcPr>
            <w:tcW w:w="4876" w:type="dxa"/>
          </w:tcPr>
          <w:p w14:paraId="1DA50D4E" w14:textId="77777777" w:rsidR="003663AF" w:rsidRPr="00B7760C" w:rsidRDefault="003663AF" w:rsidP="00E804B7">
            <w:pPr>
              <w:pStyle w:val="Normal6"/>
            </w:pPr>
            <w:r w:rsidRPr="00B7760C">
              <w:t>(60)</w:t>
            </w:r>
            <w:r w:rsidRPr="00B7760C">
              <w:tab/>
              <w:t xml:space="preserve">Glede na to, da je treba državam članicam omogočiti prožnost glede izbire delegiranega dela izvajanja strateškega načrta SKP na regionalni ravni </w:t>
            </w:r>
            <w:r w:rsidRPr="00B7760C">
              <w:rPr>
                <w:b/>
                <w:i/>
              </w:rPr>
              <w:t>na podlagi nacionalnega okvira</w:t>
            </w:r>
            <w:r w:rsidRPr="00B7760C">
              <w:t>, da se spodbuja usklajevanje med regijami pri obravnavanju izzivov na ravni države, je primerno, da strateški načrti SKP vsebujejo opis medsebojnega delovanja med nacionalnimi in regionalnimi intervencijami.</w:t>
            </w:r>
          </w:p>
        </w:tc>
        <w:tc>
          <w:tcPr>
            <w:tcW w:w="4876" w:type="dxa"/>
          </w:tcPr>
          <w:p w14:paraId="5FFC2C3F" w14:textId="77777777" w:rsidR="003663AF" w:rsidRPr="00B7760C" w:rsidRDefault="003663AF" w:rsidP="00E804B7">
            <w:pPr>
              <w:pStyle w:val="Normal6"/>
            </w:pPr>
            <w:r w:rsidRPr="00B7760C">
              <w:t>(60)</w:t>
            </w:r>
            <w:r w:rsidRPr="00B7760C">
              <w:tab/>
              <w:t xml:space="preserve">Glede na to, da je treba državam članicam omogočiti prožnost glede izbire delegiranega dela </w:t>
            </w:r>
            <w:r w:rsidRPr="00B7760C">
              <w:rPr>
                <w:b/>
                <w:i/>
              </w:rPr>
              <w:t xml:space="preserve">oblikovanja in </w:t>
            </w:r>
            <w:r w:rsidRPr="00B7760C">
              <w:t xml:space="preserve">izvajanja strateškega načrta SKP na regionalni ravni </w:t>
            </w:r>
            <w:r w:rsidRPr="00B7760C">
              <w:rPr>
                <w:b/>
                <w:i/>
              </w:rPr>
              <w:t>z regionalnimi intervencijskimi programi v skladu z nacionalnim okvirom</w:t>
            </w:r>
            <w:r w:rsidRPr="00B7760C">
              <w:t>, da se spodbuja usklajevanje med regijami pri obravnavanju izzivov na ravni države, je primerno, da strateški načrti SKP vsebujejo opis medsebojnega delovanja med nacionalnimi in regionalnimi intervencijami.</w:t>
            </w:r>
          </w:p>
        </w:tc>
      </w:tr>
    </w:tbl>
    <w:p w14:paraId="1FE5F1AA" w14:textId="77777777" w:rsidR="003663AF" w:rsidRPr="00B7760C" w:rsidRDefault="003663AF" w:rsidP="003663AF"/>
    <w:p w14:paraId="5374D56F" w14:textId="0711CDC7" w:rsidR="003663AF" w:rsidRPr="00B7760C" w:rsidRDefault="003663AF" w:rsidP="003663AF">
      <w:pPr>
        <w:pStyle w:val="Normal6"/>
      </w:pPr>
    </w:p>
    <w:p w14:paraId="70A47B18" w14:textId="5161FEF6" w:rsidR="0051236E" w:rsidRPr="00B7760C" w:rsidRDefault="0051236E" w:rsidP="0051236E">
      <w:pPr>
        <w:pStyle w:val="AmNumberTabs0"/>
      </w:pPr>
      <w:r w:rsidRPr="00B7760C">
        <w:t>Sprememba</w:t>
      </w:r>
      <w:r w:rsidRPr="00B7760C">
        <w:tab/>
      </w:r>
      <w:r w:rsidRPr="00B7760C">
        <w:tab/>
        <w:t>802</w:t>
      </w:r>
    </w:p>
    <w:p w14:paraId="711339AF" w14:textId="77777777" w:rsidR="0051236E" w:rsidRPr="00B7760C" w:rsidRDefault="0051236E" w:rsidP="0051236E">
      <w:pPr>
        <w:pStyle w:val="NormalBold12b"/>
      </w:pPr>
      <w:r w:rsidRPr="00B7760C">
        <w:t>Predlog uredbe</w:t>
      </w:r>
    </w:p>
    <w:p w14:paraId="0998D30F" w14:textId="77777777" w:rsidR="0051236E" w:rsidRPr="00B7760C" w:rsidRDefault="0051236E" w:rsidP="0051236E">
      <w:pPr>
        <w:pStyle w:val="NormalBold"/>
      </w:pPr>
      <w:r w:rsidRPr="00B7760C">
        <w:t>Uvodna izjava 68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1236E" w:rsidRPr="00B7760C" w14:paraId="6EE7C671" w14:textId="77777777" w:rsidTr="008313BF">
        <w:trPr>
          <w:trHeight w:hRule="exact" w:val="240"/>
          <w:jc w:val="center"/>
        </w:trPr>
        <w:tc>
          <w:tcPr>
            <w:tcW w:w="9752" w:type="dxa"/>
            <w:gridSpan w:val="2"/>
          </w:tcPr>
          <w:p w14:paraId="46E589E4" w14:textId="77777777" w:rsidR="0051236E" w:rsidRPr="00B7760C" w:rsidRDefault="0051236E" w:rsidP="008313BF"/>
        </w:tc>
      </w:tr>
      <w:tr w:rsidR="0051236E" w:rsidRPr="00B7760C" w14:paraId="44642B17" w14:textId="77777777" w:rsidTr="008313BF">
        <w:trPr>
          <w:trHeight w:val="240"/>
          <w:jc w:val="center"/>
        </w:trPr>
        <w:tc>
          <w:tcPr>
            <w:tcW w:w="4876" w:type="dxa"/>
          </w:tcPr>
          <w:p w14:paraId="4CB4DC5A" w14:textId="77777777" w:rsidR="0051236E" w:rsidRPr="00B7760C" w:rsidRDefault="0051236E" w:rsidP="008313BF">
            <w:pPr>
              <w:pStyle w:val="AmColumnHeading"/>
            </w:pPr>
            <w:r w:rsidRPr="00B7760C">
              <w:t>Besedilo, ki ga predlaga Komisija</w:t>
            </w:r>
          </w:p>
        </w:tc>
        <w:tc>
          <w:tcPr>
            <w:tcW w:w="4876" w:type="dxa"/>
          </w:tcPr>
          <w:p w14:paraId="517659E9" w14:textId="135EC65C" w:rsidR="0051236E" w:rsidRPr="00B7760C" w:rsidRDefault="0051236E" w:rsidP="008313BF">
            <w:pPr>
              <w:pStyle w:val="AmColumnHeading"/>
            </w:pPr>
            <w:r w:rsidRPr="00B7760C">
              <w:t>Sprememba</w:t>
            </w:r>
          </w:p>
        </w:tc>
      </w:tr>
      <w:tr w:rsidR="0051236E" w:rsidRPr="00B7760C" w14:paraId="384C3AAC" w14:textId="77777777" w:rsidTr="008313BF">
        <w:trPr>
          <w:jc w:val="center"/>
        </w:trPr>
        <w:tc>
          <w:tcPr>
            <w:tcW w:w="4876" w:type="dxa"/>
          </w:tcPr>
          <w:p w14:paraId="51D5FD54" w14:textId="77777777" w:rsidR="0051236E" w:rsidRPr="00B7760C" w:rsidRDefault="0051236E" w:rsidP="008313BF">
            <w:pPr>
              <w:pStyle w:val="Normal6a"/>
            </w:pPr>
          </w:p>
        </w:tc>
        <w:tc>
          <w:tcPr>
            <w:tcW w:w="4876" w:type="dxa"/>
          </w:tcPr>
          <w:p w14:paraId="19644F8B" w14:textId="77777777" w:rsidR="0051236E" w:rsidRPr="00B7760C" w:rsidRDefault="0051236E" w:rsidP="008313BF">
            <w:pPr>
              <w:pStyle w:val="Normal6a"/>
            </w:pPr>
            <w:r w:rsidRPr="00B7760C">
              <w:rPr>
                <w:b/>
                <w:i/>
              </w:rPr>
              <w:t>(68a)</w:t>
            </w:r>
            <w:r w:rsidRPr="00B7760C">
              <w:tab/>
            </w:r>
            <w:r w:rsidRPr="00B7760C">
              <w:rPr>
                <w:b/>
                <w:i/>
              </w:rPr>
              <w:t>Voda je nepogrešljiv proizvodni dejavnik za kmetijstvo. Upravljanje vode je zato bistvenega pomena in treba ga je izboljšati. Poleg tega bodo podnebne spremembe močno vplivale na vodne vire s pogostejšimi in intenzivnejšimi obdobji suše, pa tudi obdobji močnih padavin. Shranjevanje vode jeseni in pozimi je razumna rešitev. Poleg tega vodna telesa pripomorejo k ustvarjanju okolja, ki spodbuja biotsko raznovrstnost. Omogočajo tudi ohranjanje žive prsti in ustrezne ravni vode v vodotokih, kar spodbuja raznolikost vodnih organizmov.</w:t>
            </w:r>
          </w:p>
        </w:tc>
      </w:tr>
    </w:tbl>
    <w:p w14:paraId="5110128D" w14:textId="77777777" w:rsidR="0051236E" w:rsidRPr="00B7760C" w:rsidRDefault="0051236E" w:rsidP="003663AF">
      <w:pPr>
        <w:pStyle w:val="Normal6"/>
      </w:pPr>
    </w:p>
    <w:p w14:paraId="442CD286" w14:textId="45FC6DC4" w:rsidR="003663AF" w:rsidRPr="00B7760C" w:rsidRDefault="00877691" w:rsidP="003663AF">
      <w:pPr>
        <w:pStyle w:val="AMNumberTabs"/>
      </w:pPr>
      <w:r w:rsidRPr="00B7760C">
        <w:t>Sprememba</w:t>
      </w:r>
      <w:r w:rsidR="003663AF" w:rsidRPr="00B7760C">
        <w:tab/>
      </w:r>
      <w:r w:rsidR="003663AF" w:rsidRPr="00B7760C">
        <w:tab/>
        <w:t>57</w:t>
      </w:r>
    </w:p>
    <w:p w14:paraId="0695384C" w14:textId="77777777" w:rsidR="003663AF" w:rsidRPr="00B7760C" w:rsidRDefault="003663AF" w:rsidP="003663AF">
      <w:pPr>
        <w:pStyle w:val="NormalBold12b"/>
      </w:pPr>
      <w:r w:rsidRPr="00B7760C">
        <w:t>Predlog uredbe</w:t>
      </w:r>
    </w:p>
    <w:p w14:paraId="259D7861" w14:textId="77777777" w:rsidR="003663AF" w:rsidRPr="00B7760C" w:rsidRDefault="003663AF" w:rsidP="003663AF">
      <w:pPr>
        <w:pStyle w:val="NormalBold"/>
      </w:pPr>
      <w:r w:rsidRPr="00B7760C">
        <w:t>Uvodna izjava 69</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2F94D97" w14:textId="77777777" w:rsidTr="00E804B7">
        <w:trPr>
          <w:trHeight w:val="240"/>
          <w:jc w:val="center"/>
        </w:trPr>
        <w:tc>
          <w:tcPr>
            <w:tcW w:w="9752" w:type="dxa"/>
            <w:gridSpan w:val="2"/>
          </w:tcPr>
          <w:p w14:paraId="251FE0A1" w14:textId="77777777" w:rsidR="003663AF" w:rsidRPr="00B7760C" w:rsidRDefault="003663AF" w:rsidP="00E804B7"/>
        </w:tc>
      </w:tr>
      <w:tr w:rsidR="003663AF" w:rsidRPr="00B7760C" w14:paraId="762C5CC4" w14:textId="77777777" w:rsidTr="00E804B7">
        <w:trPr>
          <w:trHeight w:val="240"/>
          <w:jc w:val="center"/>
        </w:trPr>
        <w:tc>
          <w:tcPr>
            <w:tcW w:w="4876" w:type="dxa"/>
            <w:hideMark/>
          </w:tcPr>
          <w:p w14:paraId="4122702C" w14:textId="77777777" w:rsidR="003663AF" w:rsidRPr="00B7760C" w:rsidRDefault="003663AF" w:rsidP="00E804B7">
            <w:pPr>
              <w:pStyle w:val="ColumnHeading"/>
            </w:pPr>
            <w:r w:rsidRPr="00B7760C">
              <w:t>Besedilo, ki ga predlaga Komisija</w:t>
            </w:r>
          </w:p>
        </w:tc>
        <w:tc>
          <w:tcPr>
            <w:tcW w:w="4876" w:type="dxa"/>
            <w:hideMark/>
          </w:tcPr>
          <w:p w14:paraId="61362B6A" w14:textId="000BD558" w:rsidR="003663AF" w:rsidRPr="00B7760C" w:rsidRDefault="00877691" w:rsidP="00E804B7">
            <w:pPr>
              <w:pStyle w:val="ColumnHeading"/>
            </w:pPr>
            <w:r w:rsidRPr="00B7760C">
              <w:t>Sprememba</w:t>
            </w:r>
          </w:p>
        </w:tc>
      </w:tr>
      <w:tr w:rsidR="003663AF" w:rsidRPr="00B7760C" w14:paraId="01706011" w14:textId="77777777" w:rsidTr="00E804B7">
        <w:trPr>
          <w:jc w:val="center"/>
        </w:trPr>
        <w:tc>
          <w:tcPr>
            <w:tcW w:w="4876" w:type="dxa"/>
            <w:hideMark/>
          </w:tcPr>
          <w:p w14:paraId="1EEFD48D" w14:textId="77777777" w:rsidR="003663AF" w:rsidRPr="00B7760C" w:rsidRDefault="003663AF" w:rsidP="00E804B7">
            <w:pPr>
              <w:pStyle w:val="Normal6"/>
            </w:pPr>
            <w:r w:rsidRPr="00B7760C">
              <w:t>(69)</w:t>
            </w:r>
            <w:r w:rsidRPr="00B7760C">
              <w:tab/>
              <w:t xml:space="preserve">Za upravljanje in izvajanje posameznega strateškega načrta SKP bi moral biti pristojen organ upravljanja. </w:t>
            </w:r>
            <w:r w:rsidRPr="00B7760C">
              <w:rPr>
                <w:b/>
                <w:i/>
              </w:rPr>
              <w:t>Njegove</w:t>
            </w:r>
            <w:r w:rsidRPr="00B7760C">
              <w:t xml:space="preserve"> naloge bi morale biti podrobno opredeljene v tej uredbi. </w:t>
            </w:r>
            <w:r w:rsidRPr="00B7760C">
              <w:rPr>
                <w:b/>
                <w:i/>
              </w:rPr>
              <w:t>Organ</w:t>
            </w:r>
            <w:r w:rsidRPr="00B7760C">
              <w:t xml:space="preserve"> upravljanja bi </w:t>
            </w:r>
            <w:r w:rsidRPr="00B7760C">
              <w:rPr>
                <w:b/>
                <w:i/>
              </w:rPr>
              <w:t>moral</w:t>
            </w:r>
            <w:r w:rsidRPr="00B7760C">
              <w:t xml:space="preserve"> imeti možnost, da del svojih nalog </w:t>
            </w:r>
            <w:r w:rsidRPr="00B7760C">
              <w:rPr>
                <w:b/>
                <w:i/>
              </w:rPr>
              <w:t>prenese na drug organ</w:t>
            </w:r>
            <w:r w:rsidRPr="00B7760C">
              <w:t xml:space="preserve">, pri čemer </w:t>
            </w:r>
            <w:r w:rsidRPr="00B7760C">
              <w:rPr>
                <w:b/>
                <w:i/>
              </w:rPr>
              <w:t>ostane odgovoren</w:t>
            </w:r>
            <w:r w:rsidRPr="00B7760C">
              <w:t xml:space="preserve"> za učinkovitost in pravilnost upravljanja. Države članice bi morale zagotoviti, da so pri upravljanju in izvajanju strateških načrtov SKP finančni interesi Unije zaščiteni v skladu z Uredbo (EU, Euratom) X Evropskega parlamenta in Sveta [nova finančna uredba] in Uredbo (EU) X Evropskega parlamenta in Sveta [nova horizontalna uredba].</w:t>
            </w:r>
          </w:p>
        </w:tc>
        <w:tc>
          <w:tcPr>
            <w:tcW w:w="4876" w:type="dxa"/>
            <w:hideMark/>
          </w:tcPr>
          <w:p w14:paraId="71B9D6BF" w14:textId="77777777" w:rsidR="003663AF" w:rsidRPr="00B7760C" w:rsidRDefault="003663AF" w:rsidP="00E804B7">
            <w:pPr>
              <w:pStyle w:val="Normal6"/>
            </w:pPr>
            <w:r w:rsidRPr="00B7760C">
              <w:t>(69)</w:t>
            </w:r>
            <w:r w:rsidRPr="00B7760C">
              <w:tab/>
              <w:t>Za upravljanje in izvajanje posameznega strateškega načrta SKP bi moral biti pristojen organ upravljanja.</w:t>
            </w:r>
            <w:r w:rsidRPr="00B7760C">
              <w:rPr>
                <w:b/>
                <w:i/>
              </w:rPr>
              <w:t xml:space="preserve"> Države članice pa bi lahko v primeru regionalizacije elementov politike razvoja podeželja določile regionalne organe upravljanja.</w:t>
            </w:r>
            <w:r w:rsidRPr="00B7760C">
              <w:t xml:space="preserve"> </w:t>
            </w:r>
            <w:r w:rsidRPr="00B7760C">
              <w:rPr>
                <w:b/>
                <w:i/>
              </w:rPr>
              <w:t>Njihove</w:t>
            </w:r>
            <w:r w:rsidRPr="00B7760C">
              <w:t xml:space="preserve"> naloge bi morale biti podrobno opredeljene v tej uredbi. </w:t>
            </w:r>
            <w:r w:rsidRPr="00B7760C">
              <w:rPr>
                <w:b/>
                <w:i/>
              </w:rPr>
              <w:t>Organi</w:t>
            </w:r>
            <w:r w:rsidRPr="00B7760C">
              <w:t xml:space="preserve"> upravljanja bi </w:t>
            </w:r>
            <w:r w:rsidRPr="00B7760C">
              <w:rPr>
                <w:b/>
                <w:i/>
              </w:rPr>
              <w:t>morali</w:t>
            </w:r>
            <w:r w:rsidRPr="00B7760C">
              <w:t xml:space="preserve"> imeti možnost, da del svojih nalog </w:t>
            </w:r>
            <w:r w:rsidRPr="00B7760C">
              <w:rPr>
                <w:b/>
                <w:i/>
              </w:rPr>
              <w:t>delegirajo</w:t>
            </w:r>
            <w:r w:rsidRPr="00B7760C">
              <w:t xml:space="preserve">, pri čemer </w:t>
            </w:r>
            <w:r w:rsidRPr="00B7760C">
              <w:rPr>
                <w:b/>
                <w:i/>
              </w:rPr>
              <w:t>ostanejo odgovorni</w:t>
            </w:r>
            <w:r w:rsidRPr="00B7760C">
              <w:t xml:space="preserve"> za učinkovitost in pravilnost upravljanja. Države članice bi morale zagotoviti, da so pri upravljanju in izvajanju strateških načrtov SKP finančni interesi Unije zaščiteni v skladu z Uredbo (EU, Euratom) X Evropskega parlamenta in Sveta [nova finančna uredba] in Uredbo (EU) X Evropskega parlamenta in Sveta [nova horizontalna uredba].</w:t>
            </w:r>
          </w:p>
        </w:tc>
      </w:tr>
    </w:tbl>
    <w:p w14:paraId="4F221742" w14:textId="77777777" w:rsidR="003663AF" w:rsidRPr="00B7760C" w:rsidRDefault="003663AF" w:rsidP="003663AF"/>
    <w:p w14:paraId="69E329D3" w14:textId="61043BFA" w:rsidR="003663AF" w:rsidRPr="00B7760C" w:rsidRDefault="00877691" w:rsidP="003663AF">
      <w:pPr>
        <w:pStyle w:val="AMNumberTabs"/>
      </w:pPr>
      <w:r w:rsidRPr="00B7760C">
        <w:t>Sprememba</w:t>
      </w:r>
      <w:r w:rsidR="003663AF" w:rsidRPr="00B7760C">
        <w:tab/>
      </w:r>
      <w:r w:rsidR="003663AF" w:rsidRPr="00B7760C">
        <w:tab/>
        <w:t>58</w:t>
      </w:r>
    </w:p>
    <w:p w14:paraId="4AC869B4" w14:textId="77777777" w:rsidR="003663AF" w:rsidRPr="00B7760C" w:rsidRDefault="003663AF" w:rsidP="003663AF">
      <w:pPr>
        <w:pStyle w:val="NormalBold12b"/>
      </w:pPr>
      <w:r w:rsidRPr="00B7760C">
        <w:t>Predlog uredbe</w:t>
      </w:r>
    </w:p>
    <w:p w14:paraId="058C075E" w14:textId="77777777" w:rsidR="003663AF" w:rsidRPr="00B7760C" w:rsidRDefault="003663AF" w:rsidP="003663AF">
      <w:pPr>
        <w:pStyle w:val="NormalBold"/>
      </w:pPr>
      <w:r w:rsidRPr="00B7760C">
        <w:t>Uvodna izjava 70</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592901C" w14:textId="77777777" w:rsidTr="00E804B7">
        <w:trPr>
          <w:trHeight w:val="240"/>
          <w:jc w:val="center"/>
        </w:trPr>
        <w:tc>
          <w:tcPr>
            <w:tcW w:w="9752" w:type="dxa"/>
            <w:gridSpan w:val="2"/>
          </w:tcPr>
          <w:p w14:paraId="680366FB" w14:textId="77777777" w:rsidR="003663AF" w:rsidRPr="00B7760C" w:rsidRDefault="003663AF" w:rsidP="00E804B7"/>
        </w:tc>
      </w:tr>
      <w:tr w:rsidR="003663AF" w:rsidRPr="00B7760C" w14:paraId="1E06E2BB" w14:textId="77777777" w:rsidTr="00E804B7">
        <w:trPr>
          <w:trHeight w:val="240"/>
          <w:jc w:val="center"/>
        </w:trPr>
        <w:tc>
          <w:tcPr>
            <w:tcW w:w="4876" w:type="dxa"/>
            <w:hideMark/>
          </w:tcPr>
          <w:p w14:paraId="42AF75B6" w14:textId="77777777" w:rsidR="003663AF" w:rsidRPr="00B7760C" w:rsidRDefault="003663AF" w:rsidP="00E804B7">
            <w:pPr>
              <w:pStyle w:val="ColumnHeading"/>
            </w:pPr>
            <w:r w:rsidRPr="00B7760C">
              <w:t>Besedilo, ki ga predlaga Komisija</w:t>
            </w:r>
          </w:p>
        </w:tc>
        <w:tc>
          <w:tcPr>
            <w:tcW w:w="4876" w:type="dxa"/>
            <w:hideMark/>
          </w:tcPr>
          <w:p w14:paraId="6043A467" w14:textId="46AFC460" w:rsidR="003663AF" w:rsidRPr="00B7760C" w:rsidRDefault="00877691" w:rsidP="00E804B7">
            <w:pPr>
              <w:pStyle w:val="ColumnHeading"/>
            </w:pPr>
            <w:r w:rsidRPr="00B7760C">
              <w:t>Sprememba</w:t>
            </w:r>
          </w:p>
        </w:tc>
      </w:tr>
      <w:tr w:rsidR="003663AF" w:rsidRPr="00B7760C" w14:paraId="2F53FCB1" w14:textId="77777777" w:rsidTr="00E804B7">
        <w:trPr>
          <w:jc w:val="center"/>
        </w:trPr>
        <w:tc>
          <w:tcPr>
            <w:tcW w:w="4876" w:type="dxa"/>
          </w:tcPr>
          <w:p w14:paraId="0934D536" w14:textId="77777777" w:rsidR="003663AF" w:rsidRPr="00B7760C" w:rsidRDefault="003663AF" w:rsidP="00E804B7">
            <w:pPr>
              <w:pStyle w:val="Normal6"/>
            </w:pPr>
            <w:r w:rsidRPr="00B7760C">
              <w:t>(70)</w:t>
            </w:r>
            <w:r w:rsidRPr="00B7760C">
              <w:tab/>
              <w:t>Komisiji v skladu z načelom deljenega upravljanja pri izvajanju SKP pomagajo odbori, ki jih sestavljajo predstavniki držav članic. Da bi poenostavili sistem in racionalizirali stališče držav članic, se za izvajanje te uredbe ustanovi le en odbor za spremljanje, ki združuje „odbor za razvoj podeželja“ in „odbor za neposredna plačila“, ki sta bila ustanovljena za programsko obdobje 2014–2020. Odgovornost za pomoč državam članicam pri izvajanju strateških načrtov SKP je razdeljena med organ upravljanja in odbor za spremljanje. Komisiji bi moral v skladu z določbami iz te uredbe pomagati tudi „odbor za skupno kmetijsko politiko“.</w:t>
            </w:r>
          </w:p>
        </w:tc>
        <w:tc>
          <w:tcPr>
            <w:tcW w:w="4876" w:type="dxa"/>
          </w:tcPr>
          <w:p w14:paraId="4AE431B6" w14:textId="77777777" w:rsidR="003663AF" w:rsidRPr="00B7760C" w:rsidRDefault="003663AF" w:rsidP="00E804B7">
            <w:pPr>
              <w:pStyle w:val="Normal6"/>
            </w:pPr>
            <w:r w:rsidRPr="00B7760C">
              <w:t>(70)</w:t>
            </w:r>
            <w:r w:rsidRPr="00B7760C">
              <w:tab/>
              <w:t xml:space="preserve">Komisiji v skladu z načelom deljenega upravljanja pri izvajanju SKP pomagajo odbori, ki jih sestavljajo predstavniki držav članic. Da bi poenostavili sistem in racionalizirali stališče držav članic, se za izvajanje te uredbe ustanovi le en odbor za spremljanje, ki združuje „odbor za razvoj podeželja“ in „odbor za neposredna plačila“, ki sta bila ustanovljena za programsko obdobje 2014–2020. Odgovornost za pomoč državam članicam pri izvajanju strateških načrtov SKP je razdeljena med organ upravljanja in odbor za spremljanje. </w:t>
            </w:r>
            <w:r w:rsidRPr="00B7760C">
              <w:rPr>
                <w:b/>
                <w:i/>
              </w:rPr>
              <w:t xml:space="preserve">Države članice pa bi lahko v primeru regionalizacije elementov politike razvoja podeželja določile regionalne organe spremljanja. </w:t>
            </w:r>
            <w:r w:rsidRPr="00B7760C">
              <w:t>Komisiji bi moral v skladu z določbami iz te uredbe pomagati tudi „odbor za skupno kmetijsko politiko“.</w:t>
            </w:r>
          </w:p>
        </w:tc>
      </w:tr>
    </w:tbl>
    <w:p w14:paraId="4411E984" w14:textId="77777777" w:rsidR="003663AF" w:rsidRPr="00B7760C" w:rsidRDefault="003663AF" w:rsidP="003663AF"/>
    <w:p w14:paraId="7E385746" w14:textId="600D6386" w:rsidR="003663AF" w:rsidRPr="00B7760C" w:rsidRDefault="00877691" w:rsidP="003663AF">
      <w:pPr>
        <w:pStyle w:val="AMNumberTabs"/>
      </w:pPr>
      <w:r w:rsidRPr="00B7760C">
        <w:t>Sprememba</w:t>
      </w:r>
      <w:r w:rsidR="003663AF" w:rsidRPr="00B7760C">
        <w:tab/>
      </w:r>
      <w:r w:rsidR="003663AF" w:rsidRPr="00B7760C">
        <w:tab/>
        <w:t>59</w:t>
      </w:r>
    </w:p>
    <w:p w14:paraId="52790EF7" w14:textId="77777777" w:rsidR="003663AF" w:rsidRPr="00B7760C" w:rsidRDefault="003663AF" w:rsidP="003663AF">
      <w:pPr>
        <w:pStyle w:val="NormalBold12b"/>
      </w:pPr>
      <w:r w:rsidRPr="00B7760C">
        <w:t>Predlog uredbe</w:t>
      </w:r>
    </w:p>
    <w:p w14:paraId="0940015C" w14:textId="77777777" w:rsidR="003663AF" w:rsidRPr="00B7760C" w:rsidRDefault="003663AF" w:rsidP="003663AF">
      <w:pPr>
        <w:pStyle w:val="NormalBold"/>
      </w:pPr>
      <w:r w:rsidRPr="00B7760C">
        <w:t>Uvodna izjava 71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667B064" w14:textId="77777777" w:rsidTr="00E804B7">
        <w:trPr>
          <w:trHeight w:val="240"/>
          <w:jc w:val="center"/>
        </w:trPr>
        <w:tc>
          <w:tcPr>
            <w:tcW w:w="9752" w:type="dxa"/>
            <w:gridSpan w:val="2"/>
          </w:tcPr>
          <w:p w14:paraId="7780E1E9" w14:textId="77777777" w:rsidR="003663AF" w:rsidRPr="00B7760C" w:rsidRDefault="003663AF" w:rsidP="00E804B7"/>
        </w:tc>
      </w:tr>
      <w:tr w:rsidR="003663AF" w:rsidRPr="00B7760C" w14:paraId="7B722BD7" w14:textId="77777777" w:rsidTr="00E804B7">
        <w:trPr>
          <w:trHeight w:val="240"/>
          <w:jc w:val="center"/>
        </w:trPr>
        <w:tc>
          <w:tcPr>
            <w:tcW w:w="4876" w:type="dxa"/>
            <w:hideMark/>
          </w:tcPr>
          <w:p w14:paraId="72E6B2D5" w14:textId="77777777" w:rsidR="003663AF" w:rsidRPr="00B7760C" w:rsidRDefault="003663AF" w:rsidP="00E804B7">
            <w:pPr>
              <w:pStyle w:val="ColumnHeading"/>
            </w:pPr>
            <w:r w:rsidRPr="00B7760C">
              <w:t>Besedilo, ki ga predlaga Komisija</w:t>
            </w:r>
          </w:p>
        </w:tc>
        <w:tc>
          <w:tcPr>
            <w:tcW w:w="4876" w:type="dxa"/>
            <w:hideMark/>
          </w:tcPr>
          <w:p w14:paraId="176792A9" w14:textId="7CB004E9" w:rsidR="003663AF" w:rsidRPr="00B7760C" w:rsidRDefault="00877691" w:rsidP="00E804B7">
            <w:pPr>
              <w:pStyle w:val="ColumnHeading"/>
            </w:pPr>
            <w:r w:rsidRPr="00B7760C">
              <w:t>Sprememba</w:t>
            </w:r>
          </w:p>
        </w:tc>
      </w:tr>
      <w:tr w:rsidR="003663AF" w:rsidRPr="00B7760C" w14:paraId="5BB950B1" w14:textId="77777777" w:rsidTr="00E804B7">
        <w:trPr>
          <w:jc w:val="center"/>
        </w:trPr>
        <w:tc>
          <w:tcPr>
            <w:tcW w:w="4876" w:type="dxa"/>
            <w:hideMark/>
          </w:tcPr>
          <w:p w14:paraId="6608DE20" w14:textId="77777777" w:rsidR="003663AF" w:rsidRPr="00B7760C" w:rsidRDefault="003663AF" w:rsidP="00E804B7">
            <w:pPr>
              <w:pStyle w:val="Normal6"/>
            </w:pPr>
            <w:r w:rsidRPr="00B7760C">
              <w:t>(71)</w:t>
            </w:r>
            <w:r w:rsidRPr="00B7760C">
              <w:tab/>
              <w:t>EKSRP bi moral na pobudo Komisije s tehnično pomočjo podpirati ukrepe v zvezi z izpolnjevanjem nalog iz [člena 7 HZU]. Tehnična pomoč se lahko zagotavlja tudi na pobudo držav članic z namenom izpolnjevanja nalog, potrebnih za učinkovito upravljanje in izvajanje podpore v zvezi s strateškim načrtom SKP. Povečanje tehnične pomoči na pobudo držav članic je na voljo le za Malto.</w:t>
            </w:r>
          </w:p>
        </w:tc>
        <w:tc>
          <w:tcPr>
            <w:tcW w:w="4876" w:type="dxa"/>
            <w:hideMark/>
          </w:tcPr>
          <w:p w14:paraId="7D3E57C0" w14:textId="77777777" w:rsidR="003663AF" w:rsidRPr="00B7760C" w:rsidRDefault="003663AF" w:rsidP="00E804B7">
            <w:pPr>
              <w:pStyle w:val="Normal6"/>
            </w:pPr>
            <w:r w:rsidRPr="00B7760C">
              <w:t>(71)</w:t>
            </w:r>
            <w:r w:rsidRPr="00B7760C">
              <w:tab/>
              <w:t xml:space="preserve">EKSRP bi moral na pobudo Komisije s tehnično pomočjo podpirati ukrepe v zvezi z izpolnjevanjem nalog iz [člena 7 HZU]. Tehnična pomoč se lahko zagotavlja tudi na pobudo držav članic z namenom izpolnjevanja nalog, potrebnih za učinkovito upravljanje in izvajanje podpore v zvezi s strateškim načrtom SKP. Povečanje tehnične pomoči na pobudo držav članic je na voljo le za </w:t>
            </w:r>
            <w:r w:rsidRPr="00B7760C">
              <w:rPr>
                <w:b/>
                <w:i/>
              </w:rPr>
              <w:t xml:space="preserve">Luksemburg in </w:t>
            </w:r>
            <w:r w:rsidRPr="00B7760C">
              <w:t>Malto.</w:t>
            </w:r>
          </w:p>
        </w:tc>
      </w:tr>
    </w:tbl>
    <w:p w14:paraId="6F597E86" w14:textId="77777777" w:rsidR="003663AF" w:rsidRPr="00B7760C" w:rsidRDefault="003663AF" w:rsidP="003663AF"/>
    <w:p w14:paraId="5757CDEB" w14:textId="3BEEE36A" w:rsidR="003663AF" w:rsidRPr="00B7760C" w:rsidRDefault="00877691" w:rsidP="003663AF">
      <w:pPr>
        <w:pStyle w:val="AMNumberTabs"/>
      </w:pPr>
      <w:r w:rsidRPr="00B7760C">
        <w:t>Sprememb</w:t>
      </w:r>
      <w:r w:rsidR="0051236E" w:rsidRPr="00B7760C">
        <w:t>i</w:t>
      </w:r>
      <w:r w:rsidR="003663AF" w:rsidRPr="00B7760C">
        <w:tab/>
      </w:r>
      <w:r w:rsidR="003663AF" w:rsidRPr="00B7760C">
        <w:tab/>
        <w:t>60</w:t>
      </w:r>
      <w:r w:rsidR="0051236E" w:rsidRPr="00B7760C">
        <w:t xml:space="preserve"> in 803</w:t>
      </w:r>
    </w:p>
    <w:p w14:paraId="5E83984C" w14:textId="77777777" w:rsidR="003663AF" w:rsidRPr="00B7760C" w:rsidRDefault="003663AF" w:rsidP="003663AF">
      <w:pPr>
        <w:pStyle w:val="NormalBold12b"/>
      </w:pPr>
      <w:r w:rsidRPr="00B7760C">
        <w:t>Predlog uredbe</w:t>
      </w:r>
    </w:p>
    <w:p w14:paraId="797672F9" w14:textId="77777777" w:rsidR="003663AF" w:rsidRPr="00B7760C" w:rsidRDefault="003663AF" w:rsidP="003663AF">
      <w:pPr>
        <w:pStyle w:val="NormalBold"/>
      </w:pPr>
      <w:r w:rsidRPr="00B7760C">
        <w:t>Uvodna izjava 74</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14604D9" w14:textId="77777777" w:rsidTr="00E804B7">
        <w:trPr>
          <w:trHeight w:val="240"/>
          <w:jc w:val="center"/>
        </w:trPr>
        <w:tc>
          <w:tcPr>
            <w:tcW w:w="9752" w:type="dxa"/>
            <w:gridSpan w:val="2"/>
          </w:tcPr>
          <w:p w14:paraId="5025B2B7" w14:textId="77777777" w:rsidR="003663AF" w:rsidRPr="00B7760C" w:rsidRDefault="003663AF" w:rsidP="00E804B7"/>
        </w:tc>
      </w:tr>
      <w:tr w:rsidR="003663AF" w:rsidRPr="00B7760C" w14:paraId="038ED4C4" w14:textId="77777777" w:rsidTr="00E804B7">
        <w:trPr>
          <w:trHeight w:val="240"/>
          <w:jc w:val="center"/>
        </w:trPr>
        <w:tc>
          <w:tcPr>
            <w:tcW w:w="4876" w:type="dxa"/>
            <w:hideMark/>
          </w:tcPr>
          <w:p w14:paraId="0634E808" w14:textId="77777777" w:rsidR="003663AF" w:rsidRPr="00B7760C" w:rsidRDefault="003663AF" w:rsidP="00E804B7">
            <w:pPr>
              <w:pStyle w:val="ColumnHeading"/>
            </w:pPr>
            <w:r w:rsidRPr="00B7760C">
              <w:t>Besedilo, ki ga predlaga Komisija</w:t>
            </w:r>
          </w:p>
        </w:tc>
        <w:tc>
          <w:tcPr>
            <w:tcW w:w="4876" w:type="dxa"/>
            <w:hideMark/>
          </w:tcPr>
          <w:p w14:paraId="36B61D4D" w14:textId="6CDD438F" w:rsidR="003663AF" w:rsidRPr="00B7760C" w:rsidRDefault="00877691" w:rsidP="00E804B7">
            <w:pPr>
              <w:pStyle w:val="ColumnHeading"/>
            </w:pPr>
            <w:r w:rsidRPr="00B7760C">
              <w:t>Sprememba</w:t>
            </w:r>
          </w:p>
        </w:tc>
      </w:tr>
      <w:tr w:rsidR="003663AF" w:rsidRPr="00B7760C" w14:paraId="5DB9CA93" w14:textId="77777777" w:rsidTr="00E804B7">
        <w:trPr>
          <w:jc w:val="center"/>
        </w:trPr>
        <w:tc>
          <w:tcPr>
            <w:tcW w:w="4876" w:type="dxa"/>
            <w:hideMark/>
          </w:tcPr>
          <w:p w14:paraId="198502C0" w14:textId="77777777" w:rsidR="003663AF" w:rsidRPr="00B7760C" w:rsidRDefault="003663AF" w:rsidP="00E804B7">
            <w:pPr>
              <w:pStyle w:val="Normal6"/>
            </w:pPr>
            <w:r w:rsidRPr="00B7760C">
              <w:t>(74)</w:t>
            </w:r>
            <w:r w:rsidRPr="00B7760C">
              <w:tab/>
              <w:t xml:space="preserve">Za usmerjenost v rezultate, ki jo bo sprožil model izvajanja, je potreben trden okvir smotrnosti, zlasti ker bi strateški načrti SKP prispevali k širokim splošnim ciljem za druge politike z deljenim upravljanjem. Politika, ki temelji na smotrnosti, pomeni </w:t>
            </w:r>
            <w:r w:rsidRPr="00B7760C">
              <w:rPr>
                <w:b/>
                <w:i/>
              </w:rPr>
              <w:t>letno in večletno oceno</w:t>
            </w:r>
            <w:r w:rsidRPr="00B7760C">
              <w:t xml:space="preserve"> na podlagi izbranih kazalnikov izložkov, rezultatov in učinka, opredeljenih v okviru spremljanja in ocenjevanja smotrnosti. V ta namen bi bilo treba izbrati omejen in ciljno usmerjen niz kazalnikov na način, ki, kolikor je mogoče, natančno odraža, ali intervencija, ki prejema podporo, prispeva k doseganju načrtovanih ciljev. Kazalniki rezultatov in izložkov v zvezi s podnebnimi in okoljskimi cilji </w:t>
            </w:r>
            <w:r w:rsidRPr="00B7760C">
              <w:rPr>
                <w:b/>
                <w:bCs/>
                <w:i/>
                <w:iCs/>
              </w:rPr>
              <w:t>lahko vključujejo</w:t>
            </w:r>
            <w:r w:rsidRPr="00B7760C">
              <w:t xml:space="preserve"> intervencije, določene v nacionalnih okoljskih in podnebnih instrumentih, ki izhajajo iz zakonodaje Unije.</w:t>
            </w:r>
          </w:p>
        </w:tc>
        <w:tc>
          <w:tcPr>
            <w:tcW w:w="4876" w:type="dxa"/>
            <w:hideMark/>
          </w:tcPr>
          <w:p w14:paraId="1EC74549" w14:textId="569736B8" w:rsidR="003663AF" w:rsidRPr="00B7760C" w:rsidRDefault="003663AF" w:rsidP="0051236E">
            <w:pPr>
              <w:pStyle w:val="Normal6"/>
            </w:pPr>
            <w:r w:rsidRPr="00B7760C">
              <w:t>(74)</w:t>
            </w:r>
            <w:r w:rsidRPr="00B7760C">
              <w:tab/>
              <w:t xml:space="preserve">Za usmerjenost v rezultate, ki jo bo sprožil model izvajanja, je potreben trden okvir smotrnosti, zlasti ker bi strateški načrti SKP prispevali k širokim splošnim ciljem za druge politike z deljenim upravljanjem. Politika, ki temelji na smotrnosti, pomeni </w:t>
            </w:r>
            <w:r w:rsidRPr="00B7760C">
              <w:rPr>
                <w:b/>
                <w:i/>
              </w:rPr>
              <w:t>ocene</w:t>
            </w:r>
            <w:r w:rsidRPr="00B7760C">
              <w:t xml:space="preserve"> na podlagi izbranih kazalnikov izložkov, rezultatov in učinka, opredeljenih v okviru spremljanja in ocenjevanja smotrnosti. V ta namen bi bilo treba izbrati omejen in ciljno usmerjen niz kazalnikov na način, ki, kolikor je mogoče, natančno odraža, ali intervencija, ki prejema podporo, prispeva k doseganju načrtovanih ciljev. Kazalniki rezultatov in izložkov v zvezi s podnebnimi in okoljskimi cilji</w:t>
            </w:r>
            <w:r w:rsidR="0051236E" w:rsidRPr="00B7760C">
              <w:rPr>
                <w:b/>
                <w:i/>
              </w:rPr>
              <w:t>, kot sta kakovost in količina vode, bi morali vključevati</w:t>
            </w:r>
            <w:r w:rsidRPr="00B7760C">
              <w:t xml:space="preserve"> intervencije, določene v nacionalnih okoljskih in podnebnih instrumentih, ki izhajajo iz zakonodaje Unije.</w:t>
            </w:r>
          </w:p>
        </w:tc>
      </w:tr>
    </w:tbl>
    <w:p w14:paraId="3F5FD0BA" w14:textId="77777777" w:rsidR="0051236E" w:rsidRPr="00B7760C" w:rsidRDefault="0051236E" w:rsidP="003663AF"/>
    <w:p w14:paraId="1BBC0C9A" w14:textId="7F75C406" w:rsidR="003663AF" w:rsidRPr="00B7760C" w:rsidRDefault="00877691" w:rsidP="003663AF">
      <w:pPr>
        <w:pStyle w:val="AMNumberTabs"/>
      </w:pPr>
      <w:r w:rsidRPr="00B7760C">
        <w:t>Sprememba</w:t>
      </w:r>
      <w:r w:rsidR="003663AF" w:rsidRPr="00B7760C">
        <w:tab/>
      </w:r>
      <w:r w:rsidR="003663AF" w:rsidRPr="00B7760C">
        <w:tab/>
        <w:t>61</w:t>
      </w:r>
    </w:p>
    <w:p w14:paraId="183C36FB" w14:textId="77777777" w:rsidR="003663AF" w:rsidRPr="00B7760C" w:rsidRDefault="003663AF" w:rsidP="003663AF">
      <w:pPr>
        <w:pStyle w:val="NormalBold12b"/>
      </w:pPr>
      <w:r w:rsidRPr="00B7760C">
        <w:t>Predlog uredbe</w:t>
      </w:r>
    </w:p>
    <w:p w14:paraId="5915F627" w14:textId="77777777" w:rsidR="003663AF" w:rsidRPr="00B7760C" w:rsidRDefault="003663AF" w:rsidP="003663AF">
      <w:pPr>
        <w:pStyle w:val="NormalBold"/>
      </w:pPr>
      <w:r w:rsidRPr="00B7760C">
        <w:t>Uvodna izjava 75</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9D811A1" w14:textId="77777777" w:rsidTr="00E804B7">
        <w:trPr>
          <w:trHeight w:hRule="exact" w:val="240"/>
          <w:jc w:val="center"/>
        </w:trPr>
        <w:tc>
          <w:tcPr>
            <w:tcW w:w="9752" w:type="dxa"/>
            <w:gridSpan w:val="2"/>
          </w:tcPr>
          <w:p w14:paraId="3A910E22" w14:textId="77777777" w:rsidR="003663AF" w:rsidRPr="00B7760C" w:rsidRDefault="003663AF" w:rsidP="00E804B7"/>
        </w:tc>
      </w:tr>
      <w:tr w:rsidR="003663AF" w:rsidRPr="00B7760C" w14:paraId="59BE261B" w14:textId="77777777" w:rsidTr="00E804B7">
        <w:trPr>
          <w:trHeight w:val="240"/>
          <w:jc w:val="center"/>
        </w:trPr>
        <w:tc>
          <w:tcPr>
            <w:tcW w:w="4876" w:type="dxa"/>
          </w:tcPr>
          <w:p w14:paraId="2129412E" w14:textId="77777777" w:rsidR="003663AF" w:rsidRPr="00B7760C" w:rsidRDefault="003663AF" w:rsidP="00E804B7">
            <w:pPr>
              <w:pStyle w:val="ColumnHeading"/>
            </w:pPr>
            <w:r w:rsidRPr="00B7760C">
              <w:t>Besedilo, ki ga predlaga Komisija</w:t>
            </w:r>
          </w:p>
        </w:tc>
        <w:tc>
          <w:tcPr>
            <w:tcW w:w="4876" w:type="dxa"/>
          </w:tcPr>
          <w:p w14:paraId="46B64692" w14:textId="63EE1CC7" w:rsidR="003663AF" w:rsidRPr="00B7760C" w:rsidRDefault="00877691" w:rsidP="00E804B7">
            <w:pPr>
              <w:pStyle w:val="ColumnHeading"/>
            </w:pPr>
            <w:r w:rsidRPr="00B7760C">
              <w:t>Sprememba</w:t>
            </w:r>
          </w:p>
        </w:tc>
      </w:tr>
      <w:tr w:rsidR="003663AF" w:rsidRPr="00B7760C" w14:paraId="6A3F387D" w14:textId="77777777" w:rsidTr="00E804B7">
        <w:trPr>
          <w:jc w:val="center"/>
        </w:trPr>
        <w:tc>
          <w:tcPr>
            <w:tcW w:w="4876" w:type="dxa"/>
          </w:tcPr>
          <w:p w14:paraId="6EC8B631" w14:textId="77777777" w:rsidR="003663AF" w:rsidRPr="00B7760C" w:rsidRDefault="003663AF" w:rsidP="00E804B7">
            <w:pPr>
              <w:pStyle w:val="Normal6"/>
            </w:pPr>
            <w:r w:rsidRPr="00B7760C">
              <w:t>(75)</w:t>
            </w:r>
            <w:r w:rsidRPr="00B7760C">
              <w:tab/>
              <w:t xml:space="preserve">Države članice bi morale v okviru spremljanja in ocenjevanja smotrnosti spremljati doseženi napredek in </w:t>
            </w:r>
            <w:r w:rsidRPr="00B7760C">
              <w:rPr>
                <w:b/>
                <w:i/>
              </w:rPr>
              <w:t>Komisiji vsako leto</w:t>
            </w:r>
            <w:r w:rsidRPr="00B7760C">
              <w:t xml:space="preserve"> poročati o njem. Informacije, ki jih predložijo države članice, so podlaga, na kateri bi morala Komisija poročati o napredku pri doseganju specifičnih ciljev v celotnem programskem obdobju in v ta namen uporabiti ključni niz kazalnikov.</w:t>
            </w:r>
          </w:p>
        </w:tc>
        <w:tc>
          <w:tcPr>
            <w:tcW w:w="4876" w:type="dxa"/>
          </w:tcPr>
          <w:p w14:paraId="25027495" w14:textId="77777777" w:rsidR="003663AF" w:rsidRPr="00B7760C" w:rsidRDefault="003663AF" w:rsidP="00E804B7">
            <w:pPr>
              <w:pStyle w:val="Normal6"/>
            </w:pPr>
            <w:r w:rsidRPr="00B7760C">
              <w:t>(75)</w:t>
            </w:r>
            <w:r w:rsidRPr="00B7760C">
              <w:tab/>
              <w:t>Države članice bi morale v okviru spremljanja in ocenjevanja smotrnosti spremljati doseženi napredek in poročati o njem. Informacije, ki jih predložijo države članice, so podlaga, na kateri bi morala Komisija poročati o napredku pri doseganju specifičnih ciljev v celotnem programskem obdobju in v ta namen uporabiti ključni niz kazalnikov.</w:t>
            </w:r>
          </w:p>
        </w:tc>
      </w:tr>
    </w:tbl>
    <w:p w14:paraId="166714BD" w14:textId="77777777" w:rsidR="003663AF" w:rsidRPr="00B7760C" w:rsidRDefault="003663AF" w:rsidP="003663AF"/>
    <w:p w14:paraId="0B935DC5" w14:textId="40D2EF36" w:rsidR="003663AF" w:rsidRPr="00B7760C" w:rsidRDefault="00877691" w:rsidP="003663AF">
      <w:pPr>
        <w:pStyle w:val="AMNumberTabs"/>
      </w:pPr>
      <w:r w:rsidRPr="00B7760C">
        <w:t>Sprememba</w:t>
      </w:r>
      <w:r w:rsidR="003663AF" w:rsidRPr="00B7760C">
        <w:tab/>
      </w:r>
      <w:r w:rsidR="003663AF" w:rsidRPr="00B7760C">
        <w:tab/>
        <w:t>62</w:t>
      </w:r>
    </w:p>
    <w:p w14:paraId="2F811081" w14:textId="77777777" w:rsidR="003663AF" w:rsidRPr="00B7760C" w:rsidRDefault="003663AF" w:rsidP="003663AF">
      <w:pPr>
        <w:pStyle w:val="NormalBold12b"/>
      </w:pPr>
      <w:r w:rsidRPr="00B7760C">
        <w:t>Predlog uredbe</w:t>
      </w:r>
    </w:p>
    <w:p w14:paraId="0562F8B6" w14:textId="77777777" w:rsidR="003663AF" w:rsidRPr="00B7760C" w:rsidRDefault="003663AF" w:rsidP="003663AF">
      <w:pPr>
        <w:pStyle w:val="NormalBold"/>
      </w:pPr>
      <w:r w:rsidRPr="00B7760C">
        <w:t>Uvodna izjava 76</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CE454F3" w14:textId="77777777" w:rsidTr="00E804B7">
        <w:trPr>
          <w:trHeight w:val="240"/>
          <w:jc w:val="center"/>
        </w:trPr>
        <w:tc>
          <w:tcPr>
            <w:tcW w:w="9752" w:type="dxa"/>
            <w:gridSpan w:val="2"/>
          </w:tcPr>
          <w:p w14:paraId="40EC1B69" w14:textId="77777777" w:rsidR="003663AF" w:rsidRPr="00B7760C" w:rsidRDefault="003663AF" w:rsidP="00E804B7"/>
        </w:tc>
      </w:tr>
      <w:tr w:rsidR="003663AF" w:rsidRPr="00B7760C" w14:paraId="3F710921" w14:textId="77777777" w:rsidTr="00E804B7">
        <w:trPr>
          <w:trHeight w:val="240"/>
          <w:jc w:val="center"/>
        </w:trPr>
        <w:tc>
          <w:tcPr>
            <w:tcW w:w="4876" w:type="dxa"/>
            <w:hideMark/>
          </w:tcPr>
          <w:p w14:paraId="1E9BC4E6" w14:textId="77777777" w:rsidR="003663AF" w:rsidRPr="00B7760C" w:rsidRDefault="003663AF" w:rsidP="00E804B7">
            <w:pPr>
              <w:pStyle w:val="ColumnHeading"/>
            </w:pPr>
            <w:r w:rsidRPr="00B7760C">
              <w:t>Besedilo, ki ga predlaga Komisija</w:t>
            </w:r>
          </w:p>
        </w:tc>
        <w:tc>
          <w:tcPr>
            <w:tcW w:w="4876" w:type="dxa"/>
            <w:hideMark/>
          </w:tcPr>
          <w:p w14:paraId="58DD5E21" w14:textId="772FBA30" w:rsidR="003663AF" w:rsidRPr="00B7760C" w:rsidRDefault="00877691" w:rsidP="00E804B7">
            <w:pPr>
              <w:pStyle w:val="ColumnHeading"/>
            </w:pPr>
            <w:r w:rsidRPr="00B7760C">
              <w:t>Sprememba</w:t>
            </w:r>
          </w:p>
        </w:tc>
      </w:tr>
      <w:tr w:rsidR="003663AF" w:rsidRPr="00B7760C" w14:paraId="13C103CE" w14:textId="77777777" w:rsidTr="00E804B7">
        <w:trPr>
          <w:jc w:val="center"/>
        </w:trPr>
        <w:tc>
          <w:tcPr>
            <w:tcW w:w="4876" w:type="dxa"/>
            <w:hideMark/>
          </w:tcPr>
          <w:p w14:paraId="6E781B77" w14:textId="77777777" w:rsidR="003663AF" w:rsidRPr="00B7760C" w:rsidRDefault="003663AF" w:rsidP="00E804B7">
            <w:pPr>
              <w:pStyle w:val="Normal6"/>
            </w:pPr>
            <w:r w:rsidRPr="00B7760C">
              <w:t>(76)</w:t>
            </w:r>
            <w:r w:rsidRPr="00B7760C">
              <w:tab/>
              <w:t xml:space="preserve">Vzpostaviti bi bilo treba mehanizme za ukrepanje za zaščito finančnih interesov Unije, kadar bi izvajanje strateškega načrta SKP znatno odstopalo od zastavljenih ciljnih vrednosti. Od držav članic se torej lahko zahteva, da v primeru večje in neupravičene nezadostne smotrnosti predložijo akcijske načrte. To bi lahko privedlo do začasne ustavitve plačil in na koncu zmanjšanja finančnih sredstev Unije, če načrtovani rezultati ne bodo doseženi. </w:t>
            </w:r>
            <w:r w:rsidRPr="00B7760C">
              <w:rPr>
                <w:b/>
                <w:i/>
              </w:rPr>
              <w:t>Poleg tega se kot del spodbujevalnega mehanizma, ki temelji na dodeljevanju dodatka za uspešnost, določi splošen dodatek za uspešnost, ki naj bi spodbujal uspešnost na področju okoljskih in podnebnih ukrepov.</w:t>
            </w:r>
          </w:p>
        </w:tc>
        <w:tc>
          <w:tcPr>
            <w:tcW w:w="4876" w:type="dxa"/>
            <w:hideMark/>
          </w:tcPr>
          <w:p w14:paraId="10C29454" w14:textId="77777777" w:rsidR="003663AF" w:rsidRPr="00B7760C" w:rsidRDefault="003663AF" w:rsidP="00E804B7">
            <w:pPr>
              <w:pStyle w:val="Normal6"/>
            </w:pPr>
            <w:r w:rsidRPr="00B7760C">
              <w:t>(76)</w:t>
            </w:r>
            <w:r w:rsidRPr="00B7760C">
              <w:tab/>
              <w:t>Vzpostaviti bi bilo treba mehanizme za ukrepanje za zaščito finančnih interesov Unije, kadar bi izvajanje strateškega načrta SKP znatno odstopalo od zastavljenih ciljnih vrednosti. Od držav članic se torej lahko zahteva, da v primeru večje in neupravičene nezadostne smotrnosti predložijo akcijske načrte. To bi lahko privedlo do začasne ustavitve plačil in na koncu zmanjšanja finančnih sredstev Unije, če načrtovani rezultati ne bodo doseženi.</w:t>
            </w:r>
          </w:p>
        </w:tc>
      </w:tr>
    </w:tbl>
    <w:p w14:paraId="6EBBAC88" w14:textId="77777777" w:rsidR="003663AF" w:rsidRPr="00B7760C" w:rsidRDefault="003663AF" w:rsidP="003663AF"/>
    <w:p w14:paraId="4E0E7DB7" w14:textId="4D518EDD" w:rsidR="0051236E" w:rsidRPr="00B7760C" w:rsidRDefault="0051236E" w:rsidP="0051236E">
      <w:pPr>
        <w:pStyle w:val="AmNumberTabs0"/>
      </w:pPr>
      <w:r w:rsidRPr="00B7760C">
        <w:t>Sprememba</w:t>
      </w:r>
      <w:r w:rsidRPr="00B7760C">
        <w:tab/>
      </w:r>
      <w:r w:rsidRPr="00B7760C">
        <w:tab/>
        <w:t>1144</w:t>
      </w:r>
    </w:p>
    <w:p w14:paraId="1CF9BF6E" w14:textId="77777777" w:rsidR="0051236E" w:rsidRPr="00B7760C" w:rsidRDefault="0051236E" w:rsidP="0051236E">
      <w:pPr>
        <w:pStyle w:val="NormalBold12b"/>
      </w:pPr>
      <w:r w:rsidRPr="00B7760C">
        <w:t>Predlog uredbe</w:t>
      </w:r>
    </w:p>
    <w:p w14:paraId="3431B2A8" w14:textId="77777777" w:rsidR="0051236E" w:rsidRPr="00B7760C" w:rsidRDefault="0051236E" w:rsidP="0051236E">
      <w:pPr>
        <w:pStyle w:val="NormalBold"/>
      </w:pPr>
      <w:r w:rsidRPr="00B7760C">
        <w:t>Uvodna izjava 78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1236E" w:rsidRPr="00B7760C" w14:paraId="15B313CD" w14:textId="77777777" w:rsidTr="008313BF">
        <w:trPr>
          <w:trHeight w:hRule="exact" w:val="240"/>
          <w:jc w:val="center"/>
        </w:trPr>
        <w:tc>
          <w:tcPr>
            <w:tcW w:w="9752" w:type="dxa"/>
            <w:gridSpan w:val="2"/>
          </w:tcPr>
          <w:p w14:paraId="719FACBF" w14:textId="77777777" w:rsidR="0051236E" w:rsidRPr="00B7760C" w:rsidRDefault="0051236E" w:rsidP="008313BF"/>
        </w:tc>
      </w:tr>
      <w:tr w:rsidR="0051236E" w:rsidRPr="00B7760C" w14:paraId="18F5925B" w14:textId="77777777" w:rsidTr="008313BF">
        <w:trPr>
          <w:trHeight w:val="240"/>
          <w:jc w:val="center"/>
        </w:trPr>
        <w:tc>
          <w:tcPr>
            <w:tcW w:w="4876" w:type="dxa"/>
          </w:tcPr>
          <w:p w14:paraId="120B4F0E" w14:textId="77777777" w:rsidR="0051236E" w:rsidRPr="00B7760C" w:rsidRDefault="0051236E" w:rsidP="008313BF">
            <w:pPr>
              <w:pStyle w:val="AmColumnHeading"/>
            </w:pPr>
            <w:r w:rsidRPr="00B7760C">
              <w:t>Besedilo, ki ga predlaga Komisija</w:t>
            </w:r>
          </w:p>
        </w:tc>
        <w:tc>
          <w:tcPr>
            <w:tcW w:w="4876" w:type="dxa"/>
          </w:tcPr>
          <w:p w14:paraId="56E48CAC" w14:textId="65A17A01" w:rsidR="0051236E" w:rsidRPr="00B7760C" w:rsidRDefault="0051236E" w:rsidP="008313BF">
            <w:pPr>
              <w:pStyle w:val="AmColumnHeading"/>
            </w:pPr>
            <w:r w:rsidRPr="00B7760C">
              <w:t>Sprememba</w:t>
            </w:r>
          </w:p>
        </w:tc>
      </w:tr>
      <w:tr w:rsidR="0051236E" w:rsidRPr="00B7760C" w14:paraId="42269CD6" w14:textId="77777777" w:rsidTr="008313BF">
        <w:trPr>
          <w:jc w:val="center"/>
        </w:trPr>
        <w:tc>
          <w:tcPr>
            <w:tcW w:w="4876" w:type="dxa"/>
          </w:tcPr>
          <w:p w14:paraId="1FFC67CE" w14:textId="77777777" w:rsidR="0051236E" w:rsidRPr="00B7760C" w:rsidRDefault="0051236E" w:rsidP="008313BF">
            <w:pPr>
              <w:pStyle w:val="Normal6a"/>
            </w:pPr>
          </w:p>
        </w:tc>
        <w:tc>
          <w:tcPr>
            <w:tcW w:w="4876" w:type="dxa"/>
          </w:tcPr>
          <w:p w14:paraId="31270CE6" w14:textId="77777777" w:rsidR="0051236E" w:rsidRPr="00B7760C" w:rsidRDefault="0051236E" w:rsidP="008313BF">
            <w:pPr>
              <w:pStyle w:val="Normal6a"/>
            </w:pPr>
            <w:r w:rsidRPr="00B7760C">
              <w:rPr>
                <w:b/>
                <w:i/>
              </w:rPr>
              <w:t>(78a)</w:t>
            </w:r>
            <w:r w:rsidRPr="00B7760C">
              <w:tab/>
            </w:r>
            <w:r w:rsidRPr="00B7760C">
              <w:rPr>
                <w:b/>
                <w:i/>
              </w:rPr>
              <w:t>Ocenjevanje, opisano v členu 106, bi bilo treba izvesti na podlagi količinsko opredeljenih ciljev strategije „od vil do vilic“ in strategije za biotsko raznovrstnost.</w:t>
            </w:r>
          </w:p>
        </w:tc>
      </w:tr>
    </w:tbl>
    <w:p w14:paraId="63FF23D5" w14:textId="77777777" w:rsidR="0051236E" w:rsidRPr="00B7760C" w:rsidRDefault="0051236E" w:rsidP="003663AF">
      <w:pPr>
        <w:pStyle w:val="Normal6"/>
      </w:pPr>
    </w:p>
    <w:p w14:paraId="3BB0560F" w14:textId="7D06BFE4" w:rsidR="003663AF" w:rsidRPr="00B7760C" w:rsidRDefault="00877691" w:rsidP="003663AF">
      <w:pPr>
        <w:pStyle w:val="AMNumberTabs"/>
      </w:pPr>
      <w:r w:rsidRPr="00B7760C">
        <w:t>Sprememba</w:t>
      </w:r>
      <w:r w:rsidR="003663AF" w:rsidRPr="00B7760C">
        <w:tab/>
      </w:r>
      <w:r w:rsidR="003663AF" w:rsidRPr="00B7760C">
        <w:tab/>
        <w:t>63</w:t>
      </w:r>
    </w:p>
    <w:p w14:paraId="76E262C0" w14:textId="77777777" w:rsidR="003663AF" w:rsidRPr="00B7760C" w:rsidRDefault="003663AF" w:rsidP="003663AF">
      <w:pPr>
        <w:pStyle w:val="NormalBold12b"/>
      </w:pPr>
      <w:r w:rsidRPr="00B7760C">
        <w:t>Predlog uredbe</w:t>
      </w:r>
    </w:p>
    <w:p w14:paraId="65F34FC4" w14:textId="77777777" w:rsidR="003663AF" w:rsidRPr="00B7760C" w:rsidRDefault="003663AF" w:rsidP="003663AF">
      <w:pPr>
        <w:pStyle w:val="NormalBold"/>
      </w:pPr>
      <w:r w:rsidRPr="00B7760C">
        <w:t>Uvodna izjava 80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F678EF0" w14:textId="77777777" w:rsidTr="00E804B7">
        <w:trPr>
          <w:trHeight w:hRule="exact" w:val="240"/>
          <w:jc w:val="center"/>
        </w:trPr>
        <w:tc>
          <w:tcPr>
            <w:tcW w:w="9752" w:type="dxa"/>
            <w:gridSpan w:val="2"/>
          </w:tcPr>
          <w:p w14:paraId="42480152" w14:textId="77777777" w:rsidR="003663AF" w:rsidRPr="00B7760C" w:rsidRDefault="003663AF" w:rsidP="00E804B7"/>
        </w:tc>
      </w:tr>
      <w:tr w:rsidR="003663AF" w:rsidRPr="00B7760C" w14:paraId="16535D7A" w14:textId="77777777" w:rsidTr="00E804B7">
        <w:trPr>
          <w:trHeight w:val="240"/>
          <w:jc w:val="center"/>
        </w:trPr>
        <w:tc>
          <w:tcPr>
            <w:tcW w:w="4876" w:type="dxa"/>
          </w:tcPr>
          <w:p w14:paraId="22E37976" w14:textId="77777777" w:rsidR="003663AF" w:rsidRPr="00B7760C" w:rsidRDefault="003663AF" w:rsidP="00E804B7">
            <w:pPr>
              <w:pStyle w:val="ColumnHeading"/>
            </w:pPr>
            <w:r w:rsidRPr="00B7760C">
              <w:t>Besedilo, ki ga predlaga Komisija</w:t>
            </w:r>
          </w:p>
        </w:tc>
        <w:tc>
          <w:tcPr>
            <w:tcW w:w="4876" w:type="dxa"/>
          </w:tcPr>
          <w:p w14:paraId="0BB76967" w14:textId="20326E0E" w:rsidR="003663AF" w:rsidRPr="00B7760C" w:rsidRDefault="00877691" w:rsidP="00E804B7">
            <w:pPr>
              <w:pStyle w:val="ColumnHeading"/>
            </w:pPr>
            <w:r w:rsidRPr="00B7760C">
              <w:t>Sprememba</w:t>
            </w:r>
          </w:p>
        </w:tc>
      </w:tr>
      <w:tr w:rsidR="003663AF" w:rsidRPr="00B7760C" w14:paraId="0991C579" w14:textId="77777777" w:rsidTr="00E804B7">
        <w:trPr>
          <w:jc w:val="center"/>
        </w:trPr>
        <w:tc>
          <w:tcPr>
            <w:tcW w:w="4876" w:type="dxa"/>
          </w:tcPr>
          <w:p w14:paraId="1735C89F" w14:textId="77777777" w:rsidR="003663AF" w:rsidRPr="00B7760C" w:rsidRDefault="003663AF" w:rsidP="00E804B7">
            <w:pPr>
              <w:pStyle w:val="Normal6"/>
            </w:pPr>
          </w:p>
        </w:tc>
        <w:tc>
          <w:tcPr>
            <w:tcW w:w="4876" w:type="dxa"/>
          </w:tcPr>
          <w:p w14:paraId="055E3131" w14:textId="4818CC58" w:rsidR="003663AF" w:rsidRPr="00B7760C" w:rsidRDefault="003663AF" w:rsidP="00D12A9D">
            <w:pPr>
              <w:pStyle w:val="Normal6"/>
            </w:pPr>
            <w:r w:rsidRPr="00B7760C">
              <w:rPr>
                <w:b/>
                <w:i/>
              </w:rPr>
              <w:t>(80a)</w:t>
            </w:r>
            <w:r w:rsidRPr="00B7760C">
              <w:tab/>
            </w:r>
            <w:r w:rsidRPr="00B7760C">
              <w:rPr>
                <w:b/>
                <w:i/>
              </w:rPr>
              <w:t>Trgovinski sporazumi na kmetijskem področju s tretjimi državami bi morali vsebovati mehanizme in zaščitne klavzule, da se zagotovijo enaki pogoji kmetom iz držav U</w:t>
            </w:r>
            <w:r w:rsidR="00D12A9D" w:rsidRPr="00B7760C">
              <w:rPr>
                <w:b/>
                <w:i/>
              </w:rPr>
              <w:t>nije</w:t>
            </w:r>
            <w:r w:rsidRPr="00B7760C">
              <w:rPr>
                <w:b/>
                <w:i/>
              </w:rPr>
              <w:t xml:space="preserve"> in držav zunaj nje ter da se zaščitijo potrošniki.</w:t>
            </w:r>
          </w:p>
        </w:tc>
      </w:tr>
    </w:tbl>
    <w:p w14:paraId="38516DED" w14:textId="77777777" w:rsidR="003663AF" w:rsidRPr="00B7760C" w:rsidRDefault="003663AF" w:rsidP="003663AF"/>
    <w:p w14:paraId="26F2F511" w14:textId="3839AD3C" w:rsidR="003663AF" w:rsidRPr="00B7760C" w:rsidRDefault="00877691" w:rsidP="003663AF">
      <w:pPr>
        <w:pStyle w:val="AMNumberTabs"/>
      </w:pPr>
      <w:r w:rsidRPr="00B7760C">
        <w:t>Sprememba</w:t>
      </w:r>
      <w:r w:rsidR="003663AF" w:rsidRPr="00B7760C">
        <w:tab/>
      </w:r>
      <w:r w:rsidR="003663AF" w:rsidRPr="00B7760C">
        <w:tab/>
        <w:t>64</w:t>
      </w:r>
    </w:p>
    <w:p w14:paraId="51B04A17" w14:textId="77777777" w:rsidR="003663AF" w:rsidRPr="00B7760C" w:rsidRDefault="003663AF" w:rsidP="003663AF">
      <w:pPr>
        <w:pStyle w:val="NormalBold12b"/>
      </w:pPr>
      <w:r w:rsidRPr="00B7760C">
        <w:t>Predlog uredbe</w:t>
      </w:r>
    </w:p>
    <w:p w14:paraId="7317480B" w14:textId="77777777" w:rsidR="003663AF" w:rsidRPr="00B7760C" w:rsidRDefault="003663AF" w:rsidP="003663AF">
      <w:pPr>
        <w:pStyle w:val="NormalBold"/>
      </w:pPr>
      <w:r w:rsidRPr="00B7760C">
        <w:t>Uvodna izjava 81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E55707C" w14:textId="77777777" w:rsidTr="00E804B7">
        <w:trPr>
          <w:trHeight w:hRule="exact" w:val="240"/>
          <w:jc w:val="center"/>
        </w:trPr>
        <w:tc>
          <w:tcPr>
            <w:tcW w:w="9752" w:type="dxa"/>
            <w:gridSpan w:val="2"/>
          </w:tcPr>
          <w:p w14:paraId="5F33B938" w14:textId="77777777" w:rsidR="003663AF" w:rsidRPr="00B7760C" w:rsidRDefault="003663AF" w:rsidP="00E804B7"/>
        </w:tc>
      </w:tr>
      <w:tr w:rsidR="003663AF" w:rsidRPr="00B7760C" w14:paraId="1CD6EC39" w14:textId="77777777" w:rsidTr="00E804B7">
        <w:trPr>
          <w:trHeight w:val="240"/>
          <w:jc w:val="center"/>
        </w:trPr>
        <w:tc>
          <w:tcPr>
            <w:tcW w:w="4876" w:type="dxa"/>
          </w:tcPr>
          <w:p w14:paraId="0EC92868" w14:textId="77777777" w:rsidR="003663AF" w:rsidRPr="00B7760C" w:rsidRDefault="003663AF" w:rsidP="00E804B7">
            <w:pPr>
              <w:pStyle w:val="ColumnHeading"/>
            </w:pPr>
            <w:r w:rsidRPr="00B7760C">
              <w:t>Besedilo, ki ga predlaga Komisija</w:t>
            </w:r>
          </w:p>
        </w:tc>
        <w:tc>
          <w:tcPr>
            <w:tcW w:w="4876" w:type="dxa"/>
          </w:tcPr>
          <w:p w14:paraId="561FCBB6" w14:textId="17B79A16" w:rsidR="003663AF" w:rsidRPr="00B7760C" w:rsidRDefault="00877691" w:rsidP="00E804B7">
            <w:pPr>
              <w:pStyle w:val="ColumnHeading"/>
            </w:pPr>
            <w:r w:rsidRPr="00B7760C">
              <w:t>Sprememba</w:t>
            </w:r>
          </w:p>
        </w:tc>
      </w:tr>
      <w:tr w:rsidR="003663AF" w:rsidRPr="00B7760C" w14:paraId="4C41726D" w14:textId="77777777" w:rsidTr="00E804B7">
        <w:trPr>
          <w:jc w:val="center"/>
        </w:trPr>
        <w:tc>
          <w:tcPr>
            <w:tcW w:w="4876" w:type="dxa"/>
          </w:tcPr>
          <w:p w14:paraId="7C30F7C8" w14:textId="77777777" w:rsidR="003663AF" w:rsidRPr="00B7760C" w:rsidRDefault="003663AF" w:rsidP="00E804B7">
            <w:pPr>
              <w:pStyle w:val="Normal6"/>
            </w:pPr>
            <w:r w:rsidRPr="00B7760C">
              <w:t>(81)</w:t>
            </w:r>
            <w:r w:rsidRPr="00B7760C">
              <w:tab/>
              <w:t xml:space="preserve">Osebne podatke, zbrane za namene uporabe vseh določb iz te uredbe, bi bilo treba obdelovati v skladu s temi nameni. Zagotoviti bi bilo treba tudi njihovo anonimnost in jih zbrati pri obdelovanju za namene spremljanja in ocenjevanja ter zaščititi v skladu s pravom Unije o varstvu posameznikov pri obdelavi osebnih podatkov in o prostem pretoku takih podatkov, zlasti Uredbo </w:t>
            </w:r>
            <w:r w:rsidRPr="00B7760C">
              <w:rPr>
                <w:b/>
                <w:bCs/>
                <w:i/>
                <w:iCs/>
              </w:rPr>
              <w:t>(ES)</w:t>
            </w:r>
            <w:r w:rsidRPr="00B7760C">
              <w:t xml:space="preserve"> št.</w:t>
            </w:r>
            <w:r w:rsidRPr="00B7760C">
              <w:rPr>
                <w:b/>
                <w:i/>
              </w:rPr>
              <w:t> 45</w:t>
            </w:r>
            <w:r w:rsidRPr="00B7760C">
              <w:t>/</w:t>
            </w:r>
            <w:r w:rsidRPr="00B7760C">
              <w:rPr>
                <w:b/>
                <w:i/>
              </w:rPr>
              <w:t>2001</w:t>
            </w:r>
            <w:r w:rsidRPr="00B7760C">
              <w:t xml:space="preserve"> Evropskega parlamenta in Sveta</w:t>
            </w:r>
            <w:r w:rsidRPr="00B7760C">
              <w:rPr>
                <w:vertAlign w:val="superscript"/>
              </w:rPr>
              <w:t>19</w:t>
            </w:r>
            <w:r w:rsidRPr="00B7760C">
              <w:t xml:space="preserve"> ter Uredbo (EU)</w:t>
            </w:r>
            <w:r w:rsidRPr="00B7760C">
              <w:rPr>
                <w:b/>
                <w:i/>
              </w:rPr>
              <w:t> </w:t>
            </w:r>
            <w:r w:rsidRPr="00B7760C">
              <w:t>2016/679 Evropskega parlamenta in Sveta</w:t>
            </w:r>
            <w:r w:rsidRPr="00B7760C">
              <w:rPr>
                <w:vertAlign w:val="superscript"/>
              </w:rPr>
              <w:t>20</w:t>
            </w:r>
            <w:r w:rsidRPr="00B7760C">
              <w:t>. Oseba, na katero se podatki nanašajo, bi morala biti obveščena o tej obdelavi podatkov in o svojih pravicah do varstva podatkov.</w:t>
            </w:r>
          </w:p>
        </w:tc>
        <w:tc>
          <w:tcPr>
            <w:tcW w:w="4876" w:type="dxa"/>
          </w:tcPr>
          <w:p w14:paraId="7D9EB2E2" w14:textId="7A643829" w:rsidR="003663AF" w:rsidRPr="00B7760C" w:rsidRDefault="003663AF" w:rsidP="00FB68E1">
            <w:pPr>
              <w:pStyle w:val="Normal6"/>
            </w:pPr>
            <w:r w:rsidRPr="00B7760C">
              <w:t>(81)</w:t>
            </w:r>
            <w:r w:rsidRPr="00B7760C">
              <w:tab/>
              <w:t xml:space="preserve">Osebne podatke, zbrane za namene uporabe vseh določb iz te uredbe, bi bilo treba obdelovati v skladu s temi nameni. Zagotoviti bi bilo treba tudi njihovo anonimnost in jih zbrati pri obdelovanju za namene spremljanja in ocenjevanja ter zaščititi v skladu s pravom Unije o varstvu posameznikov pri obdelavi osebnih podatkov in o prostem pretoku takih podatkov, zlasti Uredbo </w:t>
            </w:r>
            <w:r w:rsidRPr="00B7760C">
              <w:rPr>
                <w:b/>
                <w:bCs/>
                <w:i/>
                <w:iCs/>
              </w:rPr>
              <w:t>(E</w:t>
            </w:r>
            <w:r w:rsidR="00FB68E1" w:rsidRPr="00B7760C">
              <w:rPr>
                <w:b/>
                <w:bCs/>
                <w:i/>
                <w:iCs/>
              </w:rPr>
              <w:t>U</w:t>
            </w:r>
            <w:r w:rsidRPr="00B7760C">
              <w:rPr>
                <w:b/>
                <w:bCs/>
                <w:i/>
                <w:iCs/>
              </w:rPr>
              <w:t>)</w:t>
            </w:r>
            <w:r w:rsidRPr="00B7760C">
              <w:t xml:space="preserve"> </w:t>
            </w:r>
            <w:r w:rsidRPr="00B7760C">
              <w:rPr>
                <w:b/>
                <w:i/>
              </w:rPr>
              <w:t>2018</w:t>
            </w:r>
            <w:r w:rsidRPr="00B7760C">
              <w:t>/</w:t>
            </w:r>
            <w:r w:rsidRPr="00B7760C">
              <w:rPr>
                <w:b/>
                <w:i/>
              </w:rPr>
              <w:t>1725</w:t>
            </w:r>
            <w:r w:rsidRPr="00B7760C">
              <w:t xml:space="preserve"> Evropskega parlamenta in Sveta</w:t>
            </w:r>
            <w:r w:rsidRPr="00B7760C">
              <w:rPr>
                <w:vertAlign w:val="superscript"/>
              </w:rPr>
              <w:t>19</w:t>
            </w:r>
            <w:r w:rsidRPr="00B7760C">
              <w:t xml:space="preserve"> ter Uredbo (EU)</w:t>
            </w:r>
            <w:r w:rsidRPr="00B7760C">
              <w:rPr>
                <w:b/>
                <w:i/>
              </w:rPr>
              <w:t xml:space="preserve"> </w:t>
            </w:r>
            <w:r w:rsidRPr="00B7760C">
              <w:t>2016/679 Evropskega parlamenta in Sveta</w:t>
            </w:r>
            <w:r w:rsidRPr="00B7760C">
              <w:rPr>
                <w:vertAlign w:val="superscript"/>
              </w:rPr>
              <w:t>20</w:t>
            </w:r>
            <w:r w:rsidRPr="00B7760C">
              <w:t>. Oseba, na katero se podatki nanašajo, bi morala biti obveščena o tej obdelavi podatkov in o svojih pravicah do varstva podatkov.</w:t>
            </w:r>
          </w:p>
        </w:tc>
      </w:tr>
      <w:tr w:rsidR="003663AF" w:rsidRPr="00B7760C" w14:paraId="3176C3CF" w14:textId="77777777" w:rsidTr="00E804B7">
        <w:trPr>
          <w:jc w:val="center"/>
        </w:trPr>
        <w:tc>
          <w:tcPr>
            <w:tcW w:w="4876" w:type="dxa"/>
          </w:tcPr>
          <w:p w14:paraId="05CF8FDA" w14:textId="77777777" w:rsidR="003663AF" w:rsidRPr="00B7760C" w:rsidRDefault="003663AF" w:rsidP="00E804B7">
            <w:pPr>
              <w:pStyle w:val="Normal6"/>
            </w:pPr>
            <w:r w:rsidRPr="00B7760C">
              <w:t>_________________</w:t>
            </w:r>
          </w:p>
        </w:tc>
        <w:tc>
          <w:tcPr>
            <w:tcW w:w="4876" w:type="dxa"/>
          </w:tcPr>
          <w:p w14:paraId="06CE3FEB" w14:textId="77777777" w:rsidR="003663AF" w:rsidRPr="00B7760C" w:rsidRDefault="003663AF" w:rsidP="00E804B7">
            <w:pPr>
              <w:pStyle w:val="Normal6"/>
            </w:pPr>
            <w:r w:rsidRPr="00B7760C">
              <w:t>_________________</w:t>
            </w:r>
          </w:p>
        </w:tc>
      </w:tr>
      <w:tr w:rsidR="003663AF" w:rsidRPr="00B7760C" w14:paraId="3A39CDAB" w14:textId="77777777" w:rsidTr="00E804B7">
        <w:trPr>
          <w:jc w:val="center"/>
        </w:trPr>
        <w:tc>
          <w:tcPr>
            <w:tcW w:w="4876" w:type="dxa"/>
          </w:tcPr>
          <w:p w14:paraId="3442A0D6" w14:textId="34A6B0F6" w:rsidR="003663AF" w:rsidRPr="00B7760C" w:rsidRDefault="003663AF" w:rsidP="00E804B7">
            <w:pPr>
              <w:pStyle w:val="Normal6"/>
              <w:rPr>
                <w:b/>
                <w:bCs/>
                <w:i/>
                <w:iCs/>
              </w:rPr>
            </w:pPr>
            <w:r w:rsidRPr="00B7760C">
              <w:rPr>
                <w:vertAlign w:val="superscript"/>
              </w:rPr>
              <w:t>19</w:t>
            </w:r>
            <w:r w:rsidRPr="00B7760C">
              <w:t xml:space="preserve"> </w:t>
            </w:r>
            <w:r w:rsidR="00AD1DD2" w:rsidRPr="00B7760C">
              <w:tab/>
            </w:r>
            <w:r w:rsidRPr="00B7760C">
              <w:rPr>
                <w:b/>
                <w:bCs/>
                <w:i/>
                <w:iCs/>
              </w:rPr>
              <w:t>Uredba (ES) št. 45/2001 Evropskega parlamenta in Sveta z dne 18. decembra 2000 o varstvu posameznikov pri obdelavi osebnih podatkov v institucijah in organih Skupnosti in o prostem pretoku takih podatkov (UL L 8, 12.1.2001, str. 1).</w:t>
            </w:r>
          </w:p>
        </w:tc>
        <w:tc>
          <w:tcPr>
            <w:tcW w:w="4876" w:type="dxa"/>
          </w:tcPr>
          <w:p w14:paraId="7B20F3E7" w14:textId="283466B1" w:rsidR="003663AF" w:rsidRPr="00B7760C" w:rsidRDefault="003663AF" w:rsidP="00FB68E1">
            <w:pPr>
              <w:pStyle w:val="Normal6"/>
            </w:pPr>
            <w:r w:rsidRPr="00B7760C">
              <w:rPr>
                <w:vertAlign w:val="superscript"/>
              </w:rPr>
              <w:t>19</w:t>
            </w:r>
            <w:r w:rsidRPr="00B7760C">
              <w:t xml:space="preserve"> </w:t>
            </w:r>
            <w:r w:rsidR="00AD1DD2" w:rsidRPr="00B7760C">
              <w:tab/>
            </w:r>
            <w:r w:rsidR="00FB68E1" w:rsidRPr="00B7760C">
              <w:rPr>
                <w:b/>
                <w:bCs/>
                <w:i/>
                <w:iCs/>
              </w:rPr>
              <w:t>Uredba (EU) 2018/1725 Evropskega parlamenta in Sveta z dne 23. oktobra 2018 o varstvu posameznikov pri obdelavi osebnih podatkov v institucijah, organih, uradih in agencijah Unije in o prostem pretoku takih podatkov ter o razveljavitvi Uredbe (ES) št. 45/2001 in Sklepa št. 1247/2002/ES (UL L 295, 21.11.2018, str. 39).</w:t>
            </w:r>
          </w:p>
        </w:tc>
      </w:tr>
      <w:tr w:rsidR="003663AF" w:rsidRPr="00B7760C" w14:paraId="551AB185" w14:textId="77777777" w:rsidTr="00E804B7">
        <w:trPr>
          <w:jc w:val="center"/>
        </w:trPr>
        <w:tc>
          <w:tcPr>
            <w:tcW w:w="4876" w:type="dxa"/>
          </w:tcPr>
          <w:p w14:paraId="5693F090" w14:textId="086C6EC7" w:rsidR="003663AF" w:rsidRPr="00B7760C" w:rsidRDefault="003663AF" w:rsidP="00E804B7">
            <w:pPr>
              <w:pStyle w:val="Normal6"/>
            </w:pPr>
            <w:r w:rsidRPr="00B7760C">
              <w:rPr>
                <w:vertAlign w:val="superscript"/>
              </w:rPr>
              <w:t>20</w:t>
            </w:r>
            <w:r w:rsidRPr="00B7760C">
              <w:t xml:space="preserve"> </w:t>
            </w:r>
            <w:r w:rsidR="00AD1DD2" w:rsidRPr="00B7760C">
              <w:tab/>
            </w:r>
            <w:r w:rsidRPr="00B7760C">
              <w:t>Uredba (EU) 2016/679 Evropskega parlamenta in Sveta z dne 27. aprila 2016 o varstvu posameznikov pri obdelavi osebnih podatkov in o prostem pretoku takih podatkov ter o razveljavitvi Direktive 95/46/ES (Splošna uredba o varstvu podatkov) (UL L 119, 4.5.2016, str. 1).</w:t>
            </w:r>
          </w:p>
        </w:tc>
        <w:tc>
          <w:tcPr>
            <w:tcW w:w="4876" w:type="dxa"/>
          </w:tcPr>
          <w:p w14:paraId="04809D2E" w14:textId="45338B10" w:rsidR="003663AF" w:rsidRPr="00B7760C" w:rsidRDefault="003663AF" w:rsidP="00E804B7">
            <w:pPr>
              <w:pStyle w:val="Normal6"/>
            </w:pPr>
            <w:r w:rsidRPr="00B7760C">
              <w:rPr>
                <w:vertAlign w:val="superscript"/>
              </w:rPr>
              <w:t>20</w:t>
            </w:r>
            <w:r w:rsidRPr="00B7760C">
              <w:t xml:space="preserve"> </w:t>
            </w:r>
            <w:r w:rsidR="00AD1DD2" w:rsidRPr="00B7760C">
              <w:tab/>
            </w:r>
            <w:r w:rsidRPr="00B7760C">
              <w:t>Uredba (EU) 2016/679 Evropskega parlamenta in Sveta z dne 27. aprila 2016 o varstvu posameznikov pri obdelavi osebnih podatkov in o prostem pretoku takih podatkov ter o razveljavitvi Direktive 95/46/ES (Splošna uredba o varstvu podatkov) (UL L 119, 4.5.2016, str. 1).</w:t>
            </w:r>
          </w:p>
        </w:tc>
      </w:tr>
    </w:tbl>
    <w:p w14:paraId="7C1923EA" w14:textId="77777777" w:rsidR="003663AF" w:rsidRPr="00B7760C" w:rsidRDefault="003663AF" w:rsidP="003663AF"/>
    <w:p w14:paraId="6B83B7B9" w14:textId="799EF5D0" w:rsidR="003663AF" w:rsidRPr="00B7760C" w:rsidRDefault="00877691" w:rsidP="003663AF">
      <w:pPr>
        <w:pStyle w:val="AMNumberTabs"/>
      </w:pPr>
      <w:r w:rsidRPr="00B7760C">
        <w:t>Sprememba</w:t>
      </w:r>
      <w:r w:rsidR="003663AF" w:rsidRPr="00B7760C">
        <w:tab/>
      </w:r>
      <w:r w:rsidR="003663AF" w:rsidRPr="00B7760C">
        <w:tab/>
        <w:t>65</w:t>
      </w:r>
    </w:p>
    <w:p w14:paraId="372C2DD1" w14:textId="77777777" w:rsidR="003663AF" w:rsidRPr="00B7760C" w:rsidRDefault="003663AF" w:rsidP="003663AF">
      <w:pPr>
        <w:pStyle w:val="NormalBold12b"/>
      </w:pPr>
      <w:r w:rsidRPr="00B7760C">
        <w:t>Predlog uredbe</w:t>
      </w:r>
    </w:p>
    <w:p w14:paraId="34E67D46" w14:textId="77777777" w:rsidR="003663AF" w:rsidRPr="00B7760C" w:rsidRDefault="003663AF" w:rsidP="003663AF">
      <w:pPr>
        <w:pStyle w:val="NormalBold"/>
      </w:pPr>
      <w:r w:rsidRPr="00B7760C">
        <w:t>Uvodna izjava 83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D9221B2" w14:textId="77777777" w:rsidTr="00E804B7">
        <w:trPr>
          <w:trHeight w:val="240"/>
          <w:jc w:val="center"/>
        </w:trPr>
        <w:tc>
          <w:tcPr>
            <w:tcW w:w="9752" w:type="dxa"/>
            <w:gridSpan w:val="2"/>
          </w:tcPr>
          <w:p w14:paraId="0960B1D0" w14:textId="77777777" w:rsidR="003663AF" w:rsidRPr="00B7760C" w:rsidRDefault="003663AF" w:rsidP="00E804B7"/>
        </w:tc>
      </w:tr>
      <w:tr w:rsidR="003663AF" w:rsidRPr="00B7760C" w14:paraId="598AABD0" w14:textId="77777777" w:rsidTr="00E804B7">
        <w:trPr>
          <w:trHeight w:val="240"/>
          <w:jc w:val="center"/>
        </w:trPr>
        <w:tc>
          <w:tcPr>
            <w:tcW w:w="4876" w:type="dxa"/>
            <w:hideMark/>
          </w:tcPr>
          <w:p w14:paraId="4A239F27" w14:textId="77777777" w:rsidR="003663AF" w:rsidRPr="00B7760C" w:rsidRDefault="003663AF" w:rsidP="00E804B7">
            <w:pPr>
              <w:pStyle w:val="ColumnHeading"/>
            </w:pPr>
            <w:r w:rsidRPr="00B7760C">
              <w:t>Besedilo, ki ga predlaga Komisija</w:t>
            </w:r>
          </w:p>
        </w:tc>
        <w:tc>
          <w:tcPr>
            <w:tcW w:w="4876" w:type="dxa"/>
            <w:hideMark/>
          </w:tcPr>
          <w:p w14:paraId="539D6DD0" w14:textId="624912C3" w:rsidR="003663AF" w:rsidRPr="00B7760C" w:rsidRDefault="00877691" w:rsidP="00E804B7">
            <w:pPr>
              <w:pStyle w:val="ColumnHeading"/>
            </w:pPr>
            <w:r w:rsidRPr="00B7760C">
              <w:t>Sprememba</w:t>
            </w:r>
          </w:p>
        </w:tc>
      </w:tr>
      <w:tr w:rsidR="003663AF" w:rsidRPr="00B7760C" w14:paraId="12E3DFE9" w14:textId="77777777" w:rsidTr="00E804B7">
        <w:trPr>
          <w:jc w:val="center"/>
        </w:trPr>
        <w:tc>
          <w:tcPr>
            <w:tcW w:w="4876" w:type="dxa"/>
            <w:hideMark/>
          </w:tcPr>
          <w:p w14:paraId="37EE2FF1" w14:textId="77777777" w:rsidR="003663AF" w:rsidRPr="00B7760C" w:rsidRDefault="003663AF" w:rsidP="00E804B7">
            <w:pPr>
              <w:pStyle w:val="Normal6"/>
            </w:pPr>
            <w:r w:rsidRPr="00B7760C">
              <w:t>(83)</w:t>
            </w:r>
            <w:r w:rsidRPr="00B7760C">
              <w:tab/>
              <w:t xml:space="preserve">Da bi zagotovili pravno varnost, zaščitili pravice kmetov ter zagotovili nemoteno, usklajeno in učinkovito delovanje vrst intervencij v obliki neposrednih plačil, bi bilo treba na Komisijo prenesti pooblastilo za sprejemanje nekaterih aktov v zvezi s pravili, ki dodelitev plačil pogojujejo z uporabo certificiranih semen nekaterih sort konoplje, ter postopkom za določitev sort konoplje in preverjanje njihove vsebnosti tetrahidrokanabinola; pravili za dobre kmetijske in okoljske pogoje ter nekatere s tem povezane elemente glede pogojev za upravičenost, </w:t>
            </w:r>
            <w:r w:rsidRPr="00B7760C">
              <w:rPr>
                <w:b/>
                <w:i/>
              </w:rPr>
              <w:t>pravili o vsebini izjave in zahtevah za aktiviranje plačilnih pravic; dodatnimi pravili o ekoshemah;</w:t>
            </w:r>
            <w:r w:rsidRPr="00B7760C">
              <w:t xml:space="preserve"> ukrepi za preprečevanje, da bi upravičenci do vezane dohodkovne podpore, ki trpijo zaradi strukturnih tržnih neravnovesij v sektorju, vključno z odločitvijo, da se lahko taka podpora do leta 2027 še naprej izplačuje na podlagi proizvodnih enot, za katere je bila pomoč dodeljena v določenem referenčnem obdobju v preteklosti; pravili in pogoji za odobritev zemljišča in sort za namene na kmetijsko rastlino vezanega plačila za bombaž ter pravili o pogojih za odobritev tega plačila. </w:t>
            </w:r>
          </w:p>
        </w:tc>
        <w:tc>
          <w:tcPr>
            <w:tcW w:w="4876" w:type="dxa"/>
          </w:tcPr>
          <w:p w14:paraId="47B2012C" w14:textId="77777777" w:rsidR="003663AF" w:rsidRPr="00B7760C" w:rsidRDefault="003663AF" w:rsidP="00E804B7">
            <w:pPr>
              <w:pStyle w:val="Normal6"/>
            </w:pPr>
            <w:r w:rsidRPr="00B7760C">
              <w:t>(83)</w:t>
            </w:r>
            <w:r w:rsidRPr="00B7760C">
              <w:tab/>
              <w:t xml:space="preserve">Da bi zagotovili pravno varnost, zaščitili pravice kmetov ter zagotovili nemoteno, usklajeno in učinkovito delovanje vrst intervencij v obliki neposrednih plačil, bi bilo treba na Komisijo prenesti pooblastilo za sprejemanje nekaterih aktov v zvezi s pravili, ki dodelitev plačil pogojujejo z uporabo certificiranih semen nekaterih sort konoplje, ter postopkom za določitev sort konoplje in preverjanje njihove vsebnosti tetrahidrokanabinola; pravili za dobre kmetijske in okoljske pogoje ter nekatere s tem povezane elemente glede pogojev za upravičenost, </w:t>
            </w:r>
            <w:r w:rsidRPr="00B7760C">
              <w:rPr>
                <w:b/>
                <w:i/>
              </w:rPr>
              <w:t>uvedbo meril za določitev enakovrednih ukrepov</w:t>
            </w:r>
            <w:r w:rsidRPr="00B7760C">
              <w:t xml:space="preserve"> in </w:t>
            </w:r>
            <w:r w:rsidRPr="00B7760C">
              <w:rPr>
                <w:b/>
                <w:i/>
              </w:rPr>
              <w:t>ustreznimi zahtevami, ki se uporabljajo</w:t>
            </w:r>
            <w:r w:rsidRPr="00B7760C">
              <w:t xml:space="preserve"> za </w:t>
            </w:r>
            <w:r w:rsidRPr="00B7760C">
              <w:rPr>
                <w:b/>
                <w:i/>
              </w:rPr>
              <w:t>nacionalne ali regionalne sheme certificiranja</w:t>
            </w:r>
            <w:r w:rsidRPr="00B7760C">
              <w:t xml:space="preserve">; </w:t>
            </w:r>
            <w:r w:rsidRPr="00B7760C">
              <w:rPr>
                <w:b/>
                <w:i/>
              </w:rPr>
              <w:t>pripravo seznama kmetijskih praks, ki ugodno vplivajo na podnebje, okolje in dobrobit živali.</w:t>
            </w:r>
            <w:r w:rsidRPr="00B7760C">
              <w:t xml:space="preserve"> ukrepi za preprečevanje, da bi upravičenci do vezane dohodkovne podpore, ki trpijo zaradi strukturnih tržnih neravnovesij v sektorju, vključno z odločitvijo, da se lahko taka podpora do leta 2027 še naprej izplačuje na podlagi proizvodnih enot, za katere je bila pomoč dodeljena v določenem referenčnem obdobju v preteklosti; pravili in pogoji za odobritev zemljišča in sort za namene na kmetijsko rastlino vezanega plačila za bombaž ter pravili o pogojih za odobritev tega plačila. </w:t>
            </w:r>
          </w:p>
        </w:tc>
      </w:tr>
    </w:tbl>
    <w:p w14:paraId="4B11A8D6" w14:textId="77777777" w:rsidR="003663AF" w:rsidRPr="00B7760C" w:rsidRDefault="003663AF" w:rsidP="003663AF"/>
    <w:p w14:paraId="7F87069C" w14:textId="2861B9C1" w:rsidR="003663AF" w:rsidRPr="00B7760C" w:rsidRDefault="00877691" w:rsidP="003663AF">
      <w:pPr>
        <w:pStyle w:val="AMNumberTabs"/>
      </w:pPr>
      <w:r w:rsidRPr="00B7760C">
        <w:t>Sprememba</w:t>
      </w:r>
      <w:r w:rsidR="003663AF" w:rsidRPr="00B7760C">
        <w:tab/>
      </w:r>
      <w:r w:rsidR="003663AF" w:rsidRPr="00B7760C">
        <w:tab/>
        <w:t>66</w:t>
      </w:r>
    </w:p>
    <w:p w14:paraId="7A158BF3" w14:textId="77777777" w:rsidR="003663AF" w:rsidRPr="00B7760C" w:rsidRDefault="003663AF" w:rsidP="003663AF">
      <w:pPr>
        <w:pStyle w:val="NormalBold12b"/>
      </w:pPr>
      <w:r w:rsidRPr="00B7760C">
        <w:t>Predlog uredbe</w:t>
      </w:r>
    </w:p>
    <w:p w14:paraId="27A6DE18" w14:textId="77777777" w:rsidR="003663AF" w:rsidRPr="00B7760C" w:rsidRDefault="003663AF" w:rsidP="003663AF">
      <w:pPr>
        <w:pStyle w:val="NormalBold"/>
      </w:pPr>
      <w:r w:rsidRPr="00B7760C">
        <w:t>Uvodna izjava 84</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23AADF0" w14:textId="77777777" w:rsidTr="00E804B7">
        <w:trPr>
          <w:trHeight w:hRule="exact" w:val="240"/>
          <w:jc w:val="center"/>
        </w:trPr>
        <w:tc>
          <w:tcPr>
            <w:tcW w:w="9752" w:type="dxa"/>
            <w:gridSpan w:val="2"/>
          </w:tcPr>
          <w:p w14:paraId="47A2F916" w14:textId="77777777" w:rsidR="003663AF" w:rsidRPr="00B7760C" w:rsidRDefault="003663AF" w:rsidP="00E804B7"/>
        </w:tc>
      </w:tr>
      <w:tr w:rsidR="003663AF" w:rsidRPr="00B7760C" w14:paraId="1CDB8D78" w14:textId="77777777" w:rsidTr="00E804B7">
        <w:trPr>
          <w:trHeight w:val="240"/>
          <w:jc w:val="center"/>
        </w:trPr>
        <w:tc>
          <w:tcPr>
            <w:tcW w:w="4876" w:type="dxa"/>
          </w:tcPr>
          <w:p w14:paraId="302FAE13" w14:textId="77777777" w:rsidR="003663AF" w:rsidRPr="00B7760C" w:rsidRDefault="003663AF" w:rsidP="00E804B7">
            <w:pPr>
              <w:pStyle w:val="ColumnHeading"/>
            </w:pPr>
            <w:r w:rsidRPr="00B7760C">
              <w:t>Besedilo, ki ga predlaga Komisija</w:t>
            </w:r>
          </w:p>
        </w:tc>
        <w:tc>
          <w:tcPr>
            <w:tcW w:w="4876" w:type="dxa"/>
          </w:tcPr>
          <w:p w14:paraId="3035D93C" w14:textId="481FDEB4" w:rsidR="003663AF" w:rsidRPr="00B7760C" w:rsidRDefault="00877691" w:rsidP="00E804B7">
            <w:pPr>
              <w:pStyle w:val="ColumnHeading"/>
            </w:pPr>
            <w:r w:rsidRPr="00B7760C">
              <w:t>Sprememba</w:t>
            </w:r>
          </w:p>
        </w:tc>
      </w:tr>
      <w:tr w:rsidR="003663AF" w:rsidRPr="00B7760C" w14:paraId="17AD9E70" w14:textId="77777777" w:rsidTr="00E804B7">
        <w:trPr>
          <w:jc w:val="center"/>
        </w:trPr>
        <w:tc>
          <w:tcPr>
            <w:tcW w:w="4876" w:type="dxa"/>
          </w:tcPr>
          <w:p w14:paraId="2DCEF0B0" w14:textId="77777777" w:rsidR="003663AF" w:rsidRPr="00B7760C" w:rsidRDefault="003663AF" w:rsidP="00E804B7">
            <w:pPr>
              <w:pStyle w:val="Normal6"/>
            </w:pPr>
            <w:r w:rsidRPr="00B7760C">
              <w:t>(84)</w:t>
            </w:r>
            <w:r w:rsidRPr="00B7760C">
              <w:tab/>
              <w:t xml:space="preserve">Da bi zagotovili, da sektorske vrste intervencij prispevajo k doseganju ciljev SKP in krepijo sinergije z drugimi instrumenti SKP, ter za zagotovitev enakih konkurenčnih pogojev na notranjem trgu in preprečevanje neenake ali nepravične konkurence, </w:t>
            </w:r>
            <w:bookmarkStart w:id="11" w:name="_Hlk513713029"/>
            <w:r w:rsidRPr="00B7760C">
              <w:t>bi bilo treba na Komisijo prenesti pooblastilo za sprejemanje nekaterih aktov</w:t>
            </w:r>
            <w:bookmarkEnd w:id="11"/>
            <w:r w:rsidRPr="00B7760C">
              <w:t xml:space="preserve"> v zvezi z merili za odobritev medpanožnih organizacij in pravili, ki urejajo razmere, v katerih odobrena medpanožna organizacija ne izpolnjuje teh meril in obveznosti za proizvajalce; pravili za pravilno delovanje sektorskih vrst intervencij, osnovo za izračun finančne pomoči Unije, vključno z referenčnimi obdobji in izračunom vrednosti tržne proizvodnje, ter najvišjo raven finančne pomoči Unije za umike s trga; </w:t>
            </w:r>
            <w:r w:rsidRPr="00B7760C">
              <w:rPr>
                <w:b/>
                <w:i/>
              </w:rPr>
              <w:t>pravili</w:t>
            </w:r>
            <w:r w:rsidRPr="00B7760C">
              <w:t xml:space="preserve"> za določitev zgornje meje za odhodke za ponovno zasaditev vinogradov </w:t>
            </w:r>
            <w:r w:rsidRPr="00B7760C">
              <w:rPr>
                <w:b/>
                <w:i/>
              </w:rPr>
              <w:t>kot tudi pravili</w:t>
            </w:r>
            <w:r w:rsidRPr="00B7760C">
              <w:t>, na podlagi katerih morajo proizvajalci umakniti stranske proizvode vinarstva</w:t>
            </w:r>
            <w:r w:rsidRPr="00B7760C">
              <w:rPr>
                <w:b/>
                <w:i/>
              </w:rPr>
              <w:t>,</w:t>
            </w:r>
            <w:r w:rsidRPr="00B7760C">
              <w:t xml:space="preserve"> in o izjemah glede te obveznosti, da se prepreči dodatno upravno breme, ter </w:t>
            </w:r>
            <w:r w:rsidRPr="00B7760C">
              <w:rPr>
                <w:b/>
                <w:i/>
              </w:rPr>
              <w:t>pravili</w:t>
            </w:r>
            <w:r w:rsidRPr="00B7760C">
              <w:t xml:space="preserve"> za prostovoljno certificiranje žganjarn</w:t>
            </w:r>
            <w:r w:rsidRPr="00B7760C">
              <w:rPr>
                <w:b/>
                <w:i/>
              </w:rPr>
              <w:t>.</w:t>
            </w:r>
            <w:r w:rsidRPr="00B7760C">
              <w:t xml:space="preserve"> Da se zlasti zagotovi uspešna in učinkovita uporaba sredstev Unije za intervencije v čebelarskem sektorju, bi bilo treba na Komisijo prenesti pooblastilo za sprejemanje nekaterih aktov v zvezi z dodatnimi zahtevami glede obveznosti uradnega obveščanja in določitvijo minimalnega prispevka Unije za odhodke za izvajanje teh vrst intervencij.</w:t>
            </w:r>
          </w:p>
        </w:tc>
        <w:tc>
          <w:tcPr>
            <w:tcW w:w="4876" w:type="dxa"/>
          </w:tcPr>
          <w:p w14:paraId="76F45D56" w14:textId="77777777" w:rsidR="003663AF" w:rsidRPr="00B7760C" w:rsidRDefault="003663AF" w:rsidP="00E804B7">
            <w:pPr>
              <w:pStyle w:val="Normal6"/>
            </w:pPr>
            <w:r w:rsidRPr="00B7760C">
              <w:t>(84)</w:t>
            </w:r>
            <w:r w:rsidRPr="00B7760C">
              <w:tab/>
              <w:t xml:space="preserve">Da bi zagotovili, da sektorske vrste intervencij prispevajo k doseganju ciljev SKP in krepijo sinergije z drugimi instrumenti SKP, ter za zagotovitev enakih konkurenčnih pogojev na notranjem trgu in preprečevanje neenake ali nepravične konkurence, bi bilo treba na Komisijo prenesti pooblastilo za sprejemanje nekaterih aktov v zvezi z merili za odobritev medpanožnih organizacij in pravili, ki urejajo razmere, v katerih odobrena medpanožna organizacija ne izpolnjuje teh meril in obveznosti za proizvajalce; pravili za pravilno delovanje sektorskih vrst intervencij, osnovo za izračun finančne pomoči Unije, vključno z referenčnimi obdobji in izračunom vrednosti tržne proizvodnje, ter najvišjo raven finančne pomoči Unije za umike s trga; </w:t>
            </w:r>
            <w:r w:rsidRPr="00B7760C">
              <w:rPr>
                <w:b/>
                <w:i/>
              </w:rPr>
              <w:t>pravili</w:t>
            </w:r>
            <w:r w:rsidRPr="00B7760C">
              <w:t xml:space="preserve"> za določitev zgornje meje za odhodke za ponovno zasaditev vinogradov</w:t>
            </w:r>
            <w:r w:rsidRPr="00B7760C">
              <w:rPr>
                <w:b/>
                <w:i/>
              </w:rPr>
              <w:t>;</w:t>
            </w:r>
            <w:r w:rsidRPr="00B7760C">
              <w:t xml:space="preserve"> </w:t>
            </w:r>
            <w:r w:rsidRPr="00B7760C">
              <w:rPr>
                <w:b/>
                <w:i/>
              </w:rPr>
              <w:t>pravili</w:t>
            </w:r>
            <w:r w:rsidRPr="00B7760C">
              <w:t xml:space="preserve">, na podlagi katerih morajo proizvajalci umakniti stranske proizvode vinarstva in o izjemah glede te obveznosti, da se prepreči dodatno upravno breme, ter </w:t>
            </w:r>
            <w:r w:rsidRPr="00B7760C">
              <w:rPr>
                <w:b/>
                <w:i/>
              </w:rPr>
              <w:t>pravili</w:t>
            </w:r>
            <w:r w:rsidRPr="00B7760C">
              <w:t xml:space="preserve"> za prostovoljno certificiranje žganjarn</w:t>
            </w:r>
            <w:r w:rsidRPr="00B7760C">
              <w:rPr>
                <w:b/>
                <w:i/>
              </w:rPr>
              <w:t xml:space="preserve"> in</w:t>
            </w:r>
            <w:r w:rsidRPr="00B7760C">
              <w:t xml:space="preserve"> pravila</w:t>
            </w:r>
            <w:r w:rsidRPr="00B7760C">
              <w:rPr>
                <w:b/>
                <w:i/>
              </w:rPr>
              <w:t xml:space="preserve"> glede okvira spremljanja in ocenjevanja smotrnosti. Na Komisijo bi bilo treba prenesti pooblastilo za sprejemanje delegiranih aktov v zvezi s spremljanjem predpisov o pogojenosti v zelo neugodnih pogojih, kot so katastrofalni dogodki ali epidemije. Na Komisijo bi bilo treba tudi prenesti pooblastilo za določanje enakovrednih sistemov za kmetijske in okoljske prakse</w:t>
            </w:r>
            <w:r w:rsidRPr="00B7760C">
              <w:t xml:space="preserve"> ter za </w:t>
            </w:r>
            <w:r w:rsidRPr="00B7760C">
              <w:rPr>
                <w:b/>
                <w:i/>
              </w:rPr>
              <w:t>nacionalne ali regionalne sisteme okoljskega certificiranja</w:t>
            </w:r>
            <w:r w:rsidRPr="00B7760C">
              <w:t xml:space="preserve">. Da se zlasti zagotovi uspešna in učinkovita uporaba sredstev Unije za intervencije v čebelarskem sektorju, bi bilo treba na Komisijo prenesti pooblastilo za sprejemanje nekaterih aktov v zvezi z dodatnimi zahtevami glede obveznosti uradnega obveščanja in določitvijo minimalnega prispevka Unije za odhodke za izvajanje teh vrst intervencij. </w:t>
            </w:r>
            <w:r w:rsidRPr="00B7760C">
              <w:rPr>
                <w:b/>
                <w:i/>
              </w:rPr>
              <w:t>Da bi oblikovali strateške načrte SKP, bi bilo treba na Komisijo prenesti pooblastilo za sprejemanje določenih aktov za določitev kodeksa ravnanja pri organizaciji partnerstev med državo članico ter regionalnimi in lokalnimi organi ter drugimi partnerji.</w:t>
            </w:r>
          </w:p>
        </w:tc>
      </w:tr>
    </w:tbl>
    <w:p w14:paraId="7AA3DB44" w14:textId="77777777" w:rsidR="003663AF" w:rsidRPr="00B7760C" w:rsidRDefault="003663AF" w:rsidP="003663AF"/>
    <w:p w14:paraId="7B1FC2D3" w14:textId="09AF8512" w:rsidR="003663AF" w:rsidRPr="00B7760C" w:rsidRDefault="00877691" w:rsidP="003663AF">
      <w:pPr>
        <w:pStyle w:val="AMNumberTabs"/>
      </w:pPr>
      <w:r w:rsidRPr="00B7760C">
        <w:t>Sprememba</w:t>
      </w:r>
      <w:r w:rsidR="003663AF" w:rsidRPr="00B7760C">
        <w:tab/>
      </w:r>
      <w:r w:rsidR="003663AF" w:rsidRPr="00B7760C">
        <w:tab/>
        <w:t>67</w:t>
      </w:r>
    </w:p>
    <w:p w14:paraId="0C821410" w14:textId="77777777" w:rsidR="003663AF" w:rsidRPr="00B7760C" w:rsidRDefault="003663AF" w:rsidP="003663AF">
      <w:pPr>
        <w:pStyle w:val="NormalBold12b"/>
      </w:pPr>
      <w:r w:rsidRPr="00B7760C">
        <w:t>Predlog uredbe</w:t>
      </w:r>
    </w:p>
    <w:p w14:paraId="75486394" w14:textId="77777777" w:rsidR="003663AF" w:rsidRPr="00B7760C" w:rsidRDefault="003663AF" w:rsidP="003663AF">
      <w:pPr>
        <w:pStyle w:val="NormalBold"/>
      </w:pPr>
      <w:r w:rsidRPr="00B7760C">
        <w:t>Uvodna izjava 85</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3D62CF2" w14:textId="77777777" w:rsidTr="00E804B7">
        <w:trPr>
          <w:trHeight w:hRule="exact" w:val="240"/>
          <w:jc w:val="center"/>
        </w:trPr>
        <w:tc>
          <w:tcPr>
            <w:tcW w:w="9752" w:type="dxa"/>
            <w:gridSpan w:val="2"/>
          </w:tcPr>
          <w:p w14:paraId="752126B0" w14:textId="77777777" w:rsidR="003663AF" w:rsidRPr="00B7760C" w:rsidRDefault="003663AF" w:rsidP="00E804B7"/>
        </w:tc>
      </w:tr>
      <w:tr w:rsidR="003663AF" w:rsidRPr="00B7760C" w14:paraId="7E95A8F2" w14:textId="77777777" w:rsidTr="00E804B7">
        <w:trPr>
          <w:trHeight w:val="628"/>
          <w:jc w:val="center"/>
        </w:trPr>
        <w:tc>
          <w:tcPr>
            <w:tcW w:w="4876" w:type="dxa"/>
          </w:tcPr>
          <w:p w14:paraId="1A86EEE6" w14:textId="77777777" w:rsidR="003663AF" w:rsidRPr="00B7760C" w:rsidRDefault="003663AF" w:rsidP="00E804B7">
            <w:pPr>
              <w:pStyle w:val="ColumnHeading"/>
            </w:pPr>
            <w:r w:rsidRPr="00B7760C">
              <w:t>Besedilo, ki ga predlaga Komisija</w:t>
            </w:r>
          </w:p>
        </w:tc>
        <w:tc>
          <w:tcPr>
            <w:tcW w:w="4876" w:type="dxa"/>
          </w:tcPr>
          <w:p w14:paraId="45879CC2" w14:textId="2D90C9AC" w:rsidR="003663AF" w:rsidRPr="00B7760C" w:rsidRDefault="00877691" w:rsidP="00E804B7">
            <w:pPr>
              <w:pStyle w:val="ColumnHeading"/>
            </w:pPr>
            <w:r w:rsidRPr="00B7760C">
              <w:t>Sprememba</w:t>
            </w:r>
          </w:p>
        </w:tc>
      </w:tr>
      <w:tr w:rsidR="003663AF" w:rsidRPr="00B7760C" w14:paraId="61090A32" w14:textId="77777777" w:rsidTr="00E804B7">
        <w:trPr>
          <w:jc w:val="center"/>
        </w:trPr>
        <w:tc>
          <w:tcPr>
            <w:tcW w:w="4876" w:type="dxa"/>
          </w:tcPr>
          <w:p w14:paraId="4E7F5063" w14:textId="77777777" w:rsidR="003663AF" w:rsidRPr="00B7760C" w:rsidRDefault="003663AF" w:rsidP="00E804B7">
            <w:pPr>
              <w:pStyle w:val="Normal6"/>
            </w:pPr>
            <w:r w:rsidRPr="00B7760C">
              <w:t>(85)</w:t>
            </w:r>
            <w:r w:rsidRPr="00B7760C">
              <w:tab/>
              <w:t xml:space="preserve">Da bi zagotovili pravno varnost in da se z intervencijami za razvoj podeželja dosežejo njihovi cilji, bi bilo treba na Komisijo prenesti pooblastilo za sprejemanje nekaterih aktov v zvezi </w:t>
            </w:r>
            <w:r w:rsidRPr="00B7760C">
              <w:rPr>
                <w:b/>
                <w:i/>
              </w:rPr>
              <w:t>s podporo za upravljavske obveznosti, naložbe in sodelovanje</w:t>
            </w:r>
            <w:r w:rsidRPr="00B7760C">
              <w:t>.</w:t>
            </w:r>
          </w:p>
        </w:tc>
        <w:tc>
          <w:tcPr>
            <w:tcW w:w="4876" w:type="dxa"/>
          </w:tcPr>
          <w:p w14:paraId="053BC534" w14:textId="77777777" w:rsidR="003663AF" w:rsidRPr="00B7760C" w:rsidRDefault="003663AF" w:rsidP="00E804B7">
            <w:pPr>
              <w:pStyle w:val="Normal6"/>
            </w:pPr>
            <w:r w:rsidRPr="00B7760C">
              <w:t>(85)</w:t>
            </w:r>
            <w:r w:rsidRPr="00B7760C">
              <w:tab/>
              <w:t xml:space="preserve">Da bi zagotovili pravno varnost in da se z intervencijami za razvoj podeželja dosežejo njihovi cilji, bi bilo treba na Komisijo prenesti pooblastilo za sprejemanje nekaterih aktov v zvezi </w:t>
            </w:r>
            <w:r w:rsidRPr="00B7760C">
              <w:rPr>
                <w:b/>
                <w:i/>
              </w:rPr>
              <w:t>z dopolnjevanjem najnižjih in najvišjih zneskov podpore za nekatere vrste intervencij</w:t>
            </w:r>
            <w:r w:rsidRPr="00B7760C">
              <w:t>.</w:t>
            </w:r>
          </w:p>
        </w:tc>
      </w:tr>
    </w:tbl>
    <w:p w14:paraId="32D903BF" w14:textId="77777777" w:rsidR="003663AF" w:rsidRPr="00B7760C" w:rsidRDefault="003663AF" w:rsidP="003663AF"/>
    <w:p w14:paraId="4A717939" w14:textId="2695A5ED" w:rsidR="003663AF" w:rsidRPr="00B7760C" w:rsidRDefault="00877691" w:rsidP="003663AF">
      <w:pPr>
        <w:pStyle w:val="AMNumberTabs"/>
      </w:pPr>
      <w:r w:rsidRPr="00B7760C">
        <w:t>Sprememba</w:t>
      </w:r>
      <w:r w:rsidR="003663AF" w:rsidRPr="00B7760C">
        <w:tab/>
      </w:r>
      <w:r w:rsidR="003663AF" w:rsidRPr="00B7760C">
        <w:tab/>
        <w:t>68</w:t>
      </w:r>
    </w:p>
    <w:p w14:paraId="7E445A71" w14:textId="77777777" w:rsidR="003663AF" w:rsidRPr="00B7760C" w:rsidRDefault="003663AF" w:rsidP="003663AF">
      <w:pPr>
        <w:pStyle w:val="NormalBold12b"/>
      </w:pPr>
      <w:r w:rsidRPr="00B7760C">
        <w:t>Predlog uredbe</w:t>
      </w:r>
    </w:p>
    <w:p w14:paraId="1F4E9FFB" w14:textId="77777777" w:rsidR="003663AF" w:rsidRPr="00B7760C" w:rsidRDefault="003663AF" w:rsidP="003663AF">
      <w:pPr>
        <w:pStyle w:val="NormalBold"/>
      </w:pPr>
      <w:r w:rsidRPr="00B7760C">
        <w:t>Uvodna izjava 86</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975DD83" w14:textId="77777777" w:rsidTr="00E804B7">
        <w:trPr>
          <w:trHeight w:hRule="exact" w:val="240"/>
          <w:jc w:val="center"/>
        </w:trPr>
        <w:tc>
          <w:tcPr>
            <w:tcW w:w="9752" w:type="dxa"/>
            <w:gridSpan w:val="2"/>
          </w:tcPr>
          <w:p w14:paraId="265C2EA3" w14:textId="77777777" w:rsidR="003663AF" w:rsidRPr="00B7760C" w:rsidRDefault="003663AF" w:rsidP="00E804B7"/>
        </w:tc>
      </w:tr>
      <w:tr w:rsidR="003663AF" w:rsidRPr="00B7760C" w14:paraId="71383782" w14:textId="77777777" w:rsidTr="00E804B7">
        <w:trPr>
          <w:trHeight w:val="240"/>
          <w:jc w:val="center"/>
        </w:trPr>
        <w:tc>
          <w:tcPr>
            <w:tcW w:w="4876" w:type="dxa"/>
          </w:tcPr>
          <w:p w14:paraId="79BFAA33" w14:textId="77777777" w:rsidR="003663AF" w:rsidRPr="00B7760C" w:rsidRDefault="003663AF" w:rsidP="00E804B7">
            <w:pPr>
              <w:pStyle w:val="ColumnHeading"/>
            </w:pPr>
            <w:r w:rsidRPr="00B7760C">
              <w:t>Besedilo, ki ga predlaga Komisija</w:t>
            </w:r>
          </w:p>
        </w:tc>
        <w:tc>
          <w:tcPr>
            <w:tcW w:w="4876" w:type="dxa"/>
          </w:tcPr>
          <w:p w14:paraId="48F16EE6" w14:textId="560B31CA" w:rsidR="003663AF" w:rsidRPr="00B7760C" w:rsidRDefault="00877691" w:rsidP="00E804B7">
            <w:pPr>
              <w:pStyle w:val="ColumnHeading"/>
            </w:pPr>
            <w:r w:rsidRPr="00B7760C">
              <w:t>Sprememba</w:t>
            </w:r>
          </w:p>
        </w:tc>
      </w:tr>
      <w:tr w:rsidR="003663AF" w:rsidRPr="00B7760C" w14:paraId="5D1FDD54" w14:textId="77777777" w:rsidTr="00E804B7">
        <w:trPr>
          <w:jc w:val="center"/>
        </w:trPr>
        <w:tc>
          <w:tcPr>
            <w:tcW w:w="4876" w:type="dxa"/>
          </w:tcPr>
          <w:p w14:paraId="14B65AC9" w14:textId="77777777" w:rsidR="003663AF" w:rsidRPr="00B7760C" w:rsidRDefault="003663AF" w:rsidP="00E804B7">
            <w:pPr>
              <w:pStyle w:val="Normal6"/>
            </w:pPr>
            <w:r w:rsidRPr="00B7760C">
              <w:t>(86)</w:t>
            </w:r>
            <w:r w:rsidRPr="00B7760C">
              <w:tab/>
              <w:t>Da bi lahko spremenili nekatere nebistvene elemente te uredbe, bi bilo treba na Komisijo prenesti pooblastilo, da v skladu s členom 290 PDEU sprejme akte v zvezi z dodeljenimi sredstvi držav članic za vrste intervencij v obliki neposrednih plačil</w:t>
            </w:r>
            <w:r w:rsidRPr="00B7760C">
              <w:rPr>
                <w:b/>
                <w:i/>
              </w:rPr>
              <w:t xml:space="preserve"> in pravili glede vsebine strateškega načrta SKP</w:t>
            </w:r>
            <w:r w:rsidRPr="00B7760C">
              <w:t>.</w:t>
            </w:r>
          </w:p>
        </w:tc>
        <w:tc>
          <w:tcPr>
            <w:tcW w:w="4876" w:type="dxa"/>
          </w:tcPr>
          <w:p w14:paraId="32C57B81" w14:textId="77777777" w:rsidR="003663AF" w:rsidRPr="00B7760C" w:rsidRDefault="003663AF" w:rsidP="00E804B7">
            <w:pPr>
              <w:pStyle w:val="Normal6"/>
            </w:pPr>
            <w:r w:rsidRPr="00B7760C">
              <w:t>(86)</w:t>
            </w:r>
            <w:r w:rsidRPr="00B7760C">
              <w:tab/>
              <w:t>Da bi lahko spremenili nekatere nebistvene elemente te uredbe, bi bilo treba na Komisijo prenesti pooblastilo, da v skladu s členom 290 PDEU sprejme akte v zvezi z dodeljenimi sredstvi držav članic za vrste intervencij v obliki neposrednih plačil.</w:t>
            </w:r>
          </w:p>
        </w:tc>
      </w:tr>
    </w:tbl>
    <w:p w14:paraId="2A7AB4B6" w14:textId="77777777" w:rsidR="003663AF" w:rsidRPr="00B7760C" w:rsidRDefault="003663AF" w:rsidP="003663AF"/>
    <w:p w14:paraId="407371C0" w14:textId="0681F12C" w:rsidR="003663AF" w:rsidRPr="00B7760C" w:rsidRDefault="00877691" w:rsidP="003663AF">
      <w:pPr>
        <w:pStyle w:val="AMNumberTabs"/>
      </w:pPr>
      <w:r w:rsidRPr="00B7760C">
        <w:t>Sprememba</w:t>
      </w:r>
      <w:r w:rsidR="003663AF" w:rsidRPr="00B7760C">
        <w:tab/>
      </w:r>
      <w:r w:rsidR="003663AF" w:rsidRPr="00B7760C">
        <w:tab/>
        <w:t>69</w:t>
      </w:r>
    </w:p>
    <w:p w14:paraId="27DF9F1B" w14:textId="77777777" w:rsidR="003663AF" w:rsidRPr="00B7760C" w:rsidRDefault="003663AF" w:rsidP="003663AF">
      <w:pPr>
        <w:pStyle w:val="NormalBold12b"/>
      </w:pPr>
      <w:r w:rsidRPr="00B7760C">
        <w:t>Predlog uredbe</w:t>
      </w:r>
    </w:p>
    <w:p w14:paraId="48E785CE" w14:textId="77777777" w:rsidR="003663AF" w:rsidRPr="00B7760C" w:rsidRDefault="003663AF" w:rsidP="003663AF">
      <w:pPr>
        <w:pStyle w:val="NormalBold"/>
      </w:pPr>
      <w:r w:rsidRPr="00B7760C">
        <w:t>Uvodna izjava 87</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F2E2E0D" w14:textId="77777777" w:rsidTr="00E804B7">
        <w:trPr>
          <w:trHeight w:hRule="exact" w:val="240"/>
          <w:jc w:val="center"/>
        </w:trPr>
        <w:tc>
          <w:tcPr>
            <w:tcW w:w="9752" w:type="dxa"/>
            <w:gridSpan w:val="2"/>
          </w:tcPr>
          <w:p w14:paraId="7505161C" w14:textId="77777777" w:rsidR="003663AF" w:rsidRPr="00B7760C" w:rsidRDefault="003663AF" w:rsidP="00E804B7"/>
        </w:tc>
      </w:tr>
      <w:tr w:rsidR="003663AF" w:rsidRPr="00B7760C" w14:paraId="40C17731" w14:textId="77777777" w:rsidTr="00E804B7">
        <w:trPr>
          <w:trHeight w:val="240"/>
          <w:jc w:val="center"/>
        </w:trPr>
        <w:tc>
          <w:tcPr>
            <w:tcW w:w="4876" w:type="dxa"/>
          </w:tcPr>
          <w:p w14:paraId="09A9888F" w14:textId="77777777" w:rsidR="003663AF" w:rsidRPr="00B7760C" w:rsidRDefault="003663AF" w:rsidP="00E804B7">
            <w:pPr>
              <w:pStyle w:val="ColumnHeading"/>
            </w:pPr>
            <w:r w:rsidRPr="00B7760C">
              <w:t>Besedilo, ki ga predlaga Komisija</w:t>
            </w:r>
          </w:p>
        </w:tc>
        <w:tc>
          <w:tcPr>
            <w:tcW w:w="4876" w:type="dxa"/>
          </w:tcPr>
          <w:p w14:paraId="47E895A3" w14:textId="420DCFD8" w:rsidR="003663AF" w:rsidRPr="00B7760C" w:rsidRDefault="00877691" w:rsidP="00E804B7">
            <w:pPr>
              <w:pStyle w:val="ColumnHeading"/>
            </w:pPr>
            <w:r w:rsidRPr="00B7760C">
              <w:t>Sprememba</w:t>
            </w:r>
          </w:p>
        </w:tc>
      </w:tr>
      <w:tr w:rsidR="003663AF" w:rsidRPr="00B7760C" w14:paraId="39007CD5" w14:textId="77777777" w:rsidTr="00E804B7">
        <w:trPr>
          <w:jc w:val="center"/>
        </w:trPr>
        <w:tc>
          <w:tcPr>
            <w:tcW w:w="4876" w:type="dxa"/>
          </w:tcPr>
          <w:p w14:paraId="590658A2" w14:textId="77777777" w:rsidR="003663AF" w:rsidRPr="00B7760C" w:rsidRDefault="003663AF" w:rsidP="00E804B7">
            <w:pPr>
              <w:pStyle w:val="Normal6"/>
            </w:pPr>
            <w:r w:rsidRPr="00B7760C">
              <w:t>(87)</w:t>
            </w:r>
            <w:r w:rsidRPr="00B7760C">
              <w:tab/>
              <w:t xml:space="preserve">Da bi zagotovili enotne pogoje za izvajanje te uredbe in preprečili nepošteno konkurenco ali diskriminacijo med kmeti, bi bilo treba na Komisijo prenesti izvedbena pooblastila v zvezi z določitvijo referenčnih površin za podporo za oljnice, pravili za odobritev zemljišča in sort za namene na kmetijsko rastlino vezanega plačila za bombaž in z njim povezanih uradnih obvestil, izračunom zmanjšanja, kadar upravičena površina bombaža presega osnovno površino, finančno pomočjo Unije za destilacijo stranskih proizvodov vinarstva, letno razdelitvijo na države članice skupnega zneska podpore Unije za vrste intervencij za razvoj podeželja, </w:t>
            </w:r>
            <w:r w:rsidRPr="00B7760C">
              <w:rPr>
                <w:b/>
                <w:i/>
              </w:rPr>
              <w:t>pravili</w:t>
            </w:r>
            <w:r w:rsidRPr="00B7760C">
              <w:t xml:space="preserve"> za </w:t>
            </w:r>
            <w:r w:rsidRPr="00B7760C">
              <w:rPr>
                <w:b/>
                <w:i/>
              </w:rPr>
              <w:t>predstavitev elementov, ki jih je treba vključiti v strateški načrt</w:t>
            </w:r>
            <w:r w:rsidRPr="00B7760C">
              <w:t xml:space="preserve"> SKP, pravili o postopku in rokih za odobritev strateških načrtov SKP ter predložitev in odobritev zahtev za spremembo strateških načrtov SKP, enotnimi pogoji za izvajanje zahtev glede informiranja in obveščanja javnosti glede možnosti, ki jih ponujajo strateški načrti SKP, pravili </w:t>
            </w:r>
            <w:r w:rsidRPr="00B7760C">
              <w:rPr>
                <w:b/>
                <w:i/>
              </w:rPr>
              <w:t xml:space="preserve">glede okvira spremljanja in ocenjevanja smotrnosti, pravili </w:t>
            </w:r>
            <w:r w:rsidRPr="00B7760C">
              <w:t>za predstavitev vsebine letnega poročila</w:t>
            </w:r>
            <w:r w:rsidRPr="00B7760C">
              <w:rPr>
                <w:b/>
                <w:i/>
              </w:rPr>
              <w:t xml:space="preserve"> o smotrnosti, pravili o informacijah, ki jih morajo predložiti države članice za oceno smotrnosti, ki jo pripravi Komisija, pravili glede potreb po podatkih in sinergij med potencialnimi viri podatkov ter ureditvami za zagotavljanje usklajenega pristopa pri določanju dodelitve dodatka za uspešnost državam članicam</w:t>
            </w:r>
            <w:r w:rsidRPr="00B7760C">
              <w:t>. Ta pooblastila bi bilo treba izvajati v skladu z Uredbo (EU) št. 182/2011 Evropskega parlamenta in Sveta</w:t>
            </w:r>
            <w:r w:rsidRPr="00B7760C">
              <w:rPr>
                <w:vertAlign w:val="superscript"/>
              </w:rPr>
              <w:t>22</w:t>
            </w:r>
            <w:r w:rsidRPr="00B7760C">
              <w:t>.</w:t>
            </w:r>
          </w:p>
        </w:tc>
        <w:tc>
          <w:tcPr>
            <w:tcW w:w="4876" w:type="dxa"/>
          </w:tcPr>
          <w:p w14:paraId="638323C7" w14:textId="77777777" w:rsidR="003663AF" w:rsidRPr="00B7760C" w:rsidRDefault="003663AF" w:rsidP="00E804B7">
            <w:pPr>
              <w:pStyle w:val="Normal6"/>
            </w:pPr>
            <w:r w:rsidRPr="00B7760C">
              <w:t>(87)</w:t>
            </w:r>
            <w:r w:rsidRPr="00B7760C">
              <w:tab/>
              <w:t xml:space="preserve">Da bi zagotovili enotne pogoje za izvajanje te uredbe in preprečili nepošteno konkurenco ali diskriminacijo med kmeti, bi bilo treba na Komisijo prenesti izvedbena pooblastila v zvezi z določitvijo referenčnih površin za podporo za oljnice, pravili za odobritev zemljišča in sort za namene na kmetijsko rastlino vezanega plačila za bombaž in z njim povezanih uradnih obvestil, izračunom zmanjšanja, kadar upravičena površina bombaža presega osnovno površino, finančno pomočjo Unije za destilacijo stranskih proizvodov vinarstva, letno razdelitvijo na države članice skupnega zneska podpore Unije za vrste intervencij za razvoj podeželja, </w:t>
            </w:r>
            <w:r w:rsidRPr="00B7760C">
              <w:rPr>
                <w:b/>
                <w:i/>
              </w:rPr>
              <w:t>standardnim obrazcem</w:t>
            </w:r>
            <w:r w:rsidRPr="00B7760C">
              <w:t xml:space="preserve"> za </w:t>
            </w:r>
            <w:r w:rsidRPr="00B7760C">
              <w:rPr>
                <w:b/>
                <w:i/>
              </w:rPr>
              <w:t>strateške načrte</w:t>
            </w:r>
            <w:r w:rsidRPr="00B7760C">
              <w:t xml:space="preserve"> SKP, pravili o postopku in rokih za odobritev strateških načrtov SKP ter predložitev in odobritev zahtev za spremembo strateških načrtov SKP, enotnimi pogoji za izvajanje zahtev glede informiranja in obveščanja javnosti glede možnosti, ki jih ponujajo strateški načrti SKP, pravili za predstavitev vsebine letnega poročila. Ta pooblastila bi bilo treba izvajati v skladu z Uredbo (EU) št. 182/2011 Evropskega parlamenta in Sveta</w:t>
            </w:r>
            <w:r w:rsidRPr="00B7760C">
              <w:rPr>
                <w:vertAlign w:val="superscript"/>
              </w:rPr>
              <w:t>22</w:t>
            </w:r>
            <w:r w:rsidRPr="00B7760C">
              <w:t>.</w:t>
            </w:r>
          </w:p>
        </w:tc>
      </w:tr>
      <w:tr w:rsidR="003663AF" w:rsidRPr="00B7760C" w14:paraId="78E730CF" w14:textId="77777777" w:rsidTr="00E804B7">
        <w:trPr>
          <w:jc w:val="center"/>
        </w:trPr>
        <w:tc>
          <w:tcPr>
            <w:tcW w:w="4876" w:type="dxa"/>
          </w:tcPr>
          <w:p w14:paraId="62C1D4AA" w14:textId="77777777" w:rsidR="003663AF" w:rsidRPr="00B7760C" w:rsidRDefault="003663AF" w:rsidP="00E804B7">
            <w:pPr>
              <w:pStyle w:val="Normal6"/>
            </w:pPr>
            <w:r w:rsidRPr="00B7760C">
              <w:t>_________________</w:t>
            </w:r>
          </w:p>
        </w:tc>
        <w:tc>
          <w:tcPr>
            <w:tcW w:w="4876" w:type="dxa"/>
          </w:tcPr>
          <w:p w14:paraId="41085D11" w14:textId="77777777" w:rsidR="003663AF" w:rsidRPr="00B7760C" w:rsidRDefault="003663AF" w:rsidP="00E804B7">
            <w:pPr>
              <w:pStyle w:val="Normal6"/>
            </w:pPr>
            <w:r w:rsidRPr="00B7760C">
              <w:t>_________________</w:t>
            </w:r>
          </w:p>
        </w:tc>
      </w:tr>
      <w:tr w:rsidR="003663AF" w:rsidRPr="00B7760C" w14:paraId="0EE58B4A" w14:textId="77777777" w:rsidTr="00E804B7">
        <w:trPr>
          <w:jc w:val="center"/>
        </w:trPr>
        <w:tc>
          <w:tcPr>
            <w:tcW w:w="4876" w:type="dxa"/>
          </w:tcPr>
          <w:p w14:paraId="58487B05" w14:textId="19F99754" w:rsidR="003663AF" w:rsidRPr="00B7760C" w:rsidRDefault="003663AF" w:rsidP="00E804B7">
            <w:pPr>
              <w:pStyle w:val="Normal6"/>
            </w:pPr>
            <w:r w:rsidRPr="00B7760C">
              <w:rPr>
                <w:vertAlign w:val="superscript"/>
              </w:rPr>
              <w:t>22</w:t>
            </w:r>
            <w:r w:rsidRPr="00B7760C">
              <w:t xml:space="preserve"> </w:t>
            </w:r>
            <w:r w:rsidR="00AD1DD2" w:rsidRPr="00B7760C">
              <w:tab/>
            </w:r>
            <w:r w:rsidRPr="00B7760C">
              <w:t>Uredba (EU) št. 182/2011 Evropskega parlamenta in Sveta z dne 16. februarja 2011 o določitvi splošnih pravil in načel, na podlagi katerih države članice nadzirajo izvajanje izvedbenih pooblastil Komisije (UL L 55, 28.2.2011, str. 13).</w:t>
            </w:r>
          </w:p>
        </w:tc>
        <w:tc>
          <w:tcPr>
            <w:tcW w:w="4876" w:type="dxa"/>
          </w:tcPr>
          <w:p w14:paraId="6FA4588A" w14:textId="0CEE944D" w:rsidR="003663AF" w:rsidRPr="00B7760C" w:rsidRDefault="003663AF" w:rsidP="00E804B7">
            <w:pPr>
              <w:pStyle w:val="Normal6"/>
            </w:pPr>
            <w:r w:rsidRPr="00B7760C">
              <w:rPr>
                <w:vertAlign w:val="superscript"/>
              </w:rPr>
              <w:t>22</w:t>
            </w:r>
            <w:r w:rsidRPr="00B7760C">
              <w:t xml:space="preserve"> </w:t>
            </w:r>
            <w:r w:rsidR="00AD1DD2" w:rsidRPr="00B7760C">
              <w:tab/>
            </w:r>
            <w:r w:rsidRPr="00B7760C">
              <w:t>Uredba (EU) št. 182/2011 Evropskega parlamenta in Sveta z dne 16. februarja 2011 o določitvi splošnih pravil in načel, na podlagi katerih države članice nadzirajo izvajanje izvedbenih pooblastil Komisije (UL L 55, 28.2.2011, str. 13).</w:t>
            </w:r>
          </w:p>
        </w:tc>
      </w:tr>
    </w:tbl>
    <w:p w14:paraId="5AD6119C" w14:textId="77777777" w:rsidR="003663AF" w:rsidRPr="00B7760C" w:rsidRDefault="003663AF" w:rsidP="003663AF">
      <w:pPr>
        <w:pStyle w:val="Normal6"/>
      </w:pPr>
    </w:p>
    <w:p w14:paraId="616E65DC" w14:textId="26EB676A" w:rsidR="003663AF" w:rsidRPr="00B7760C" w:rsidRDefault="00877691" w:rsidP="003663AF">
      <w:pPr>
        <w:pStyle w:val="AMNumberTabs"/>
      </w:pPr>
      <w:r w:rsidRPr="00B7760C">
        <w:t>Sprememba</w:t>
      </w:r>
      <w:r w:rsidR="003663AF" w:rsidRPr="00B7760C">
        <w:tab/>
      </w:r>
      <w:r w:rsidR="003663AF" w:rsidRPr="00B7760C">
        <w:tab/>
        <w:t>70</w:t>
      </w:r>
    </w:p>
    <w:p w14:paraId="6346A11B" w14:textId="77777777" w:rsidR="003663AF" w:rsidRPr="00B7760C" w:rsidRDefault="003663AF" w:rsidP="003663AF">
      <w:pPr>
        <w:pStyle w:val="NormalBold12b"/>
      </w:pPr>
      <w:r w:rsidRPr="00B7760C">
        <w:t>Predlog uredbe</w:t>
      </w:r>
    </w:p>
    <w:p w14:paraId="279F7023" w14:textId="77777777" w:rsidR="003663AF" w:rsidRPr="00B7760C" w:rsidRDefault="003663AF" w:rsidP="003663AF">
      <w:pPr>
        <w:pStyle w:val="NormalBold"/>
      </w:pPr>
      <w:r w:rsidRPr="00B7760C">
        <w:t>Uvodna izjava 92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F2A0387" w14:textId="77777777" w:rsidTr="00E804B7">
        <w:trPr>
          <w:trHeight w:hRule="exact" w:val="240"/>
          <w:jc w:val="center"/>
        </w:trPr>
        <w:tc>
          <w:tcPr>
            <w:tcW w:w="9752" w:type="dxa"/>
            <w:gridSpan w:val="2"/>
          </w:tcPr>
          <w:p w14:paraId="2A9DB4B3" w14:textId="77777777" w:rsidR="003663AF" w:rsidRPr="00B7760C" w:rsidRDefault="003663AF" w:rsidP="00E804B7"/>
        </w:tc>
      </w:tr>
      <w:tr w:rsidR="003663AF" w:rsidRPr="00B7760C" w14:paraId="33173BD8" w14:textId="77777777" w:rsidTr="00E804B7">
        <w:trPr>
          <w:trHeight w:val="240"/>
          <w:jc w:val="center"/>
        </w:trPr>
        <w:tc>
          <w:tcPr>
            <w:tcW w:w="4876" w:type="dxa"/>
          </w:tcPr>
          <w:p w14:paraId="09D63D58" w14:textId="77777777" w:rsidR="003663AF" w:rsidRPr="00B7760C" w:rsidRDefault="003663AF" w:rsidP="00E804B7">
            <w:pPr>
              <w:pStyle w:val="ColumnHeading"/>
            </w:pPr>
            <w:r w:rsidRPr="00B7760C">
              <w:t>Besedilo, ki ga predlaga Komisija</w:t>
            </w:r>
          </w:p>
        </w:tc>
        <w:tc>
          <w:tcPr>
            <w:tcW w:w="4876" w:type="dxa"/>
          </w:tcPr>
          <w:p w14:paraId="7AFC10A3" w14:textId="2FEB0E19" w:rsidR="003663AF" w:rsidRPr="00B7760C" w:rsidRDefault="00877691" w:rsidP="00E804B7">
            <w:pPr>
              <w:pStyle w:val="ColumnHeading"/>
            </w:pPr>
            <w:r w:rsidRPr="00B7760C">
              <w:t>Sprememba</w:t>
            </w:r>
          </w:p>
        </w:tc>
      </w:tr>
      <w:tr w:rsidR="003663AF" w:rsidRPr="00B7760C" w14:paraId="38184637" w14:textId="77777777" w:rsidTr="00E804B7">
        <w:trPr>
          <w:jc w:val="center"/>
        </w:trPr>
        <w:tc>
          <w:tcPr>
            <w:tcW w:w="4876" w:type="dxa"/>
          </w:tcPr>
          <w:p w14:paraId="1D5FA669" w14:textId="77777777" w:rsidR="003663AF" w:rsidRPr="00B7760C" w:rsidRDefault="003663AF" w:rsidP="00E804B7">
            <w:pPr>
              <w:pStyle w:val="Normal6"/>
            </w:pPr>
          </w:p>
        </w:tc>
        <w:tc>
          <w:tcPr>
            <w:tcW w:w="4876" w:type="dxa"/>
          </w:tcPr>
          <w:p w14:paraId="797FD4EB" w14:textId="7D545243" w:rsidR="003663AF" w:rsidRPr="00B7760C" w:rsidRDefault="003663AF" w:rsidP="00E804B7">
            <w:pPr>
              <w:pStyle w:val="Normal6"/>
            </w:pPr>
            <w:r w:rsidRPr="00B7760C">
              <w:rPr>
                <w:b/>
                <w:i/>
              </w:rPr>
              <w:t>(92a)</w:t>
            </w:r>
            <w:r w:rsidRPr="00B7760C">
              <w:tab/>
            </w:r>
            <w:r w:rsidRPr="00B7760C">
              <w:rPr>
                <w:b/>
                <w:i/>
              </w:rPr>
              <w:t>Otoške regije Evropske unije imajo pri izvajanju kmetijskih dejavnosti in razvoju podeželskih območij posebne težave.</w:t>
            </w:r>
            <w:r w:rsidRPr="00B7760C">
              <w:t xml:space="preserve"> </w:t>
            </w:r>
            <w:r w:rsidRPr="00B7760C">
              <w:rPr>
                <w:b/>
                <w:i/>
              </w:rPr>
              <w:t>V navedenih regijah bi bilo treba oceniti vpliv SKP ter preučiti zamisel o razširitvi ukrepov iz Uredbe (EU) št. 229/2013 Evropskega parlamenta in Sveta na vse otoške regije v U</w:t>
            </w:r>
            <w:r w:rsidR="00AD1DD2" w:rsidRPr="00B7760C">
              <w:rPr>
                <w:b/>
                <w:i/>
              </w:rPr>
              <w:t>niji</w:t>
            </w:r>
            <w:r w:rsidRPr="00B7760C">
              <w:rPr>
                <w:b/>
                <w:i/>
              </w:rPr>
              <w:t>.</w:t>
            </w:r>
          </w:p>
        </w:tc>
      </w:tr>
    </w:tbl>
    <w:p w14:paraId="164A75CA" w14:textId="77777777" w:rsidR="003663AF" w:rsidRPr="00B7760C" w:rsidRDefault="003663AF" w:rsidP="003663AF"/>
    <w:p w14:paraId="419576A3" w14:textId="67889E96" w:rsidR="003663AF" w:rsidRPr="00B7760C" w:rsidRDefault="00877691" w:rsidP="003663AF">
      <w:pPr>
        <w:pStyle w:val="AMNumberTabs"/>
      </w:pPr>
      <w:r w:rsidRPr="00B7760C">
        <w:t>Sprememba</w:t>
      </w:r>
      <w:r w:rsidR="003663AF" w:rsidRPr="00B7760C">
        <w:tab/>
      </w:r>
      <w:r w:rsidR="003663AF" w:rsidRPr="00B7760C">
        <w:tab/>
        <w:t>71</w:t>
      </w:r>
    </w:p>
    <w:p w14:paraId="1DF52428" w14:textId="77777777" w:rsidR="003663AF" w:rsidRPr="00B7760C" w:rsidRDefault="003663AF" w:rsidP="003663AF">
      <w:pPr>
        <w:pStyle w:val="NormalBold12b"/>
      </w:pPr>
      <w:r w:rsidRPr="00B7760C">
        <w:t>Predlog uredbe</w:t>
      </w:r>
    </w:p>
    <w:p w14:paraId="6078DD4F" w14:textId="77777777" w:rsidR="003663AF" w:rsidRPr="00B7760C" w:rsidRDefault="003663AF" w:rsidP="003663AF">
      <w:pPr>
        <w:pStyle w:val="NormalBold"/>
      </w:pPr>
      <w:r w:rsidRPr="00B7760C">
        <w:t>Uvodna izjava 93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BE02270" w14:textId="77777777" w:rsidTr="00E804B7">
        <w:trPr>
          <w:trHeight w:hRule="exact" w:val="240"/>
          <w:jc w:val="center"/>
        </w:trPr>
        <w:tc>
          <w:tcPr>
            <w:tcW w:w="9752" w:type="dxa"/>
            <w:gridSpan w:val="2"/>
          </w:tcPr>
          <w:p w14:paraId="17CF042E" w14:textId="77777777" w:rsidR="003663AF" w:rsidRPr="00B7760C" w:rsidRDefault="003663AF" w:rsidP="00E804B7"/>
        </w:tc>
      </w:tr>
      <w:tr w:rsidR="003663AF" w:rsidRPr="00B7760C" w14:paraId="6A2EE4A1" w14:textId="77777777" w:rsidTr="00E804B7">
        <w:trPr>
          <w:trHeight w:val="240"/>
          <w:jc w:val="center"/>
        </w:trPr>
        <w:tc>
          <w:tcPr>
            <w:tcW w:w="4876" w:type="dxa"/>
          </w:tcPr>
          <w:p w14:paraId="609618B3" w14:textId="77777777" w:rsidR="003663AF" w:rsidRPr="00B7760C" w:rsidRDefault="003663AF" w:rsidP="00E804B7">
            <w:pPr>
              <w:pStyle w:val="ColumnHeading"/>
            </w:pPr>
            <w:r w:rsidRPr="00B7760C">
              <w:t>Besedilo, ki ga predlaga Komisija</w:t>
            </w:r>
          </w:p>
        </w:tc>
        <w:tc>
          <w:tcPr>
            <w:tcW w:w="4876" w:type="dxa"/>
          </w:tcPr>
          <w:p w14:paraId="793E6829" w14:textId="7F38C199" w:rsidR="003663AF" w:rsidRPr="00B7760C" w:rsidRDefault="00877691" w:rsidP="00E804B7">
            <w:pPr>
              <w:pStyle w:val="ColumnHeading"/>
            </w:pPr>
            <w:r w:rsidRPr="00B7760C">
              <w:t>Sprememba</w:t>
            </w:r>
          </w:p>
        </w:tc>
      </w:tr>
      <w:tr w:rsidR="003663AF" w:rsidRPr="00B7760C" w14:paraId="11CBD1F6" w14:textId="77777777" w:rsidTr="00E804B7">
        <w:trPr>
          <w:jc w:val="center"/>
        </w:trPr>
        <w:tc>
          <w:tcPr>
            <w:tcW w:w="4876" w:type="dxa"/>
          </w:tcPr>
          <w:p w14:paraId="2405D885" w14:textId="77777777" w:rsidR="003663AF" w:rsidRPr="00B7760C" w:rsidRDefault="003663AF" w:rsidP="00E804B7">
            <w:pPr>
              <w:pStyle w:val="Normal6"/>
            </w:pPr>
            <w:r w:rsidRPr="00B7760C">
              <w:t>(93)</w:t>
            </w:r>
            <w:r w:rsidRPr="00B7760C">
              <w:tab/>
              <w:t xml:space="preserve">Da bi zagotovili pravno varnost in kontinuiteto, bi se morale </w:t>
            </w:r>
            <w:r w:rsidRPr="00B7760C">
              <w:rPr>
                <w:b/>
                <w:i/>
              </w:rPr>
              <w:t xml:space="preserve">do 1. januarja 2021 </w:t>
            </w:r>
            <w:r w:rsidRPr="00B7760C">
              <w:t>še naprej uporabljati posebne določbe za Hrvaško glede postopne uvedbe neposrednih plačil in dopolnilnih nacionalnih neposrednih plačil v okviru mehanizma za postopno uvajanje</w:t>
            </w:r>
            <w:r w:rsidRPr="00B7760C">
              <w:rPr>
                <w:b/>
                <w:i/>
              </w:rPr>
              <w:t xml:space="preserve"> –</w:t>
            </w:r>
          </w:p>
        </w:tc>
        <w:tc>
          <w:tcPr>
            <w:tcW w:w="4876" w:type="dxa"/>
          </w:tcPr>
          <w:p w14:paraId="0F502C9A" w14:textId="77777777" w:rsidR="003663AF" w:rsidRPr="00B7760C" w:rsidRDefault="003663AF" w:rsidP="00E804B7">
            <w:pPr>
              <w:pStyle w:val="Normal6"/>
            </w:pPr>
            <w:r w:rsidRPr="00B7760C">
              <w:t>(93)</w:t>
            </w:r>
            <w:r w:rsidRPr="00B7760C">
              <w:tab/>
              <w:t>Da bi zagotovili pravno varnost in kontinuiteto, bi se morale še naprej uporabljati posebne določbe za Hrvaško glede postopne uvedbe neposrednih plačil in dopolnilnih nacionalnih neposrednih plačil v okviru mehanizma za postopno uvajanje</w:t>
            </w:r>
            <w:r w:rsidRPr="00B7760C">
              <w:rPr>
                <w:b/>
                <w:i/>
              </w:rPr>
              <w:t>.</w:t>
            </w:r>
            <w:r w:rsidRPr="00B7760C">
              <w:t xml:space="preserve"> </w:t>
            </w:r>
            <w:r w:rsidRPr="00B7760C">
              <w:rPr>
                <w:b/>
                <w:i/>
              </w:rPr>
              <w:t>Hrvaška je v skladu s pristopno pogodbo leta 2022 upravičena do zneska, ki vključuje dodatna sredstva za nacionalno rezervo za razminirana zemljišča na Hrvaškem, ta pravica pa bi morala biti upoštevana pri izračunu nacionalnih sredstev za leto 2022.</w:t>
            </w:r>
          </w:p>
        </w:tc>
      </w:tr>
    </w:tbl>
    <w:p w14:paraId="53427ED1" w14:textId="77777777" w:rsidR="003663AF" w:rsidRPr="00B7760C" w:rsidRDefault="003663AF" w:rsidP="003663AF"/>
    <w:p w14:paraId="3907F776" w14:textId="3F67F402" w:rsidR="003663AF" w:rsidRPr="00B7760C" w:rsidRDefault="00877691" w:rsidP="003663AF">
      <w:pPr>
        <w:pStyle w:val="AMNumberTabs"/>
        <w:keepNext/>
      </w:pPr>
      <w:r w:rsidRPr="00B7760C">
        <w:t>Sprememba</w:t>
      </w:r>
      <w:r w:rsidR="003663AF" w:rsidRPr="00B7760C">
        <w:tab/>
      </w:r>
      <w:r w:rsidR="003663AF" w:rsidRPr="00B7760C">
        <w:tab/>
        <w:t>72</w:t>
      </w:r>
    </w:p>
    <w:p w14:paraId="01AD340D" w14:textId="77777777" w:rsidR="003663AF" w:rsidRPr="00B7760C" w:rsidRDefault="003663AF" w:rsidP="003663AF">
      <w:pPr>
        <w:pStyle w:val="NormalBold12b"/>
      </w:pPr>
      <w:r w:rsidRPr="00B7760C">
        <w:t>Predlog uredbe</w:t>
      </w:r>
    </w:p>
    <w:p w14:paraId="6CB28374" w14:textId="77777777" w:rsidR="003663AF" w:rsidRPr="00B7760C" w:rsidRDefault="003663AF" w:rsidP="003663AF">
      <w:pPr>
        <w:pStyle w:val="NormalBold"/>
      </w:pPr>
      <w:r w:rsidRPr="00B7760C">
        <w:t>Člen 1 – odstavek 1 – točka b</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45692D6" w14:textId="77777777" w:rsidTr="00E804B7">
        <w:trPr>
          <w:jc w:val="center"/>
        </w:trPr>
        <w:tc>
          <w:tcPr>
            <w:tcW w:w="9752" w:type="dxa"/>
            <w:gridSpan w:val="2"/>
          </w:tcPr>
          <w:p w14:paraId="1769E3D8" w14:textId="77777777" w:rsidR="003663AF" w:rsidRPr="00B7760C" w:rsidRDefault="003663AF" w:rsidP="00E804B7">
            <w:pPr>
              <w:keepNext/>
            </w:pPr>
          </w:p>
        </w:tc>
      </w:tr>
      <w:tr w:rsidR="003663AF" w:rsidRPr="00B7760C" w14:paraId="01AA5319" w14:textId="77777777" w:rsidTr="00E804B7">
        <w:trPr>
          <w:jc w:val="center"/>
        </w:trPr>
        <w:tc>
          <w:tcPr>
            <w:tcW w:w="4876" w:type="dxa"/>
            <w:hideMark/>
          </w:tcPr>
          <w:p w14:paraId="184BEC85" w14:textId="77777777" w:rsidR="003663AF" w:rsidRPr="00B7760C" w:rsidRDefault="003663AF" w:rsidP="00E804B7">
            <w:pPr>
              <w:pStyle w:val="ColumnHeading"/>
              <w:keepNext/>
            </w:pPr>
            <w:r w:rsidRPr="00B7760C">
              <w:t>Besedilo, ki ga predlaga Komisija</w:t>
            </w:r>
          </w:p>
        </w:tc>
        <w:tc>
          <w:tcPr>
            <w:tcW w:w="4876" w:type="dxa"/>
            <w:hideMark/>
          </w:tcPr>
          <w:p w14:paraId="33BD5673" w14:textId="1208BA16" w:rsidR="003663AF" w:rsidRPr="00B7760C" w:rsidRDefault="00877691" w:rsidP="00E804B7">
            <w:pPr>
              <w:pStyle w:val="ColumnHeading"/>
              <w:keepNext/>
            </w:pPr>
            <w:r w:rsidRPr="00B7760C">
              <w:t>Sprememba</w:t>
            </w:r>
          </w:p>
        </w:tc>
      </w:tr>
      <w:tr w:rsidR="003663AF" w:rsidRPr="00B7760C" w14:paraId="2BF827CF" w14:textId="77777777" w:rsidTr="00E804B7">
        <w:trPr>
          <w:jc w:val="center"/>
        </w:trPr>
        <w:tc>
          <w:tcPr>
            <w:tcW w:w="4876" w:type="dxa"/>
            <w:hideMark/>
          </w:tcPr>
          <w:p w14:paraId="7E4286F9" w14:textId="77777777" w:rsidR="003663AF" w:rsidRPr="00B7760C" w:rsidRDefault="003663AF" w:rsidP="00E804B7">
            <w:pPr>
              <w:pStyle w:val="Normal6"/>
            </w:pPr>
            <w:r w:rsidRPr="00B7760C">
              <w:t>(b)</w:t>
            </w:r>
            <w:r w:rsidRPr="00B7760C">
              <w:tab/>
              <w:t>vrstah intervencij in skupnih zahtevah za države članice pri uresničevanju teh ciljev ter s tem povezanih finančnih ureditvah;</w:t>
            </w:r>
          </w:p>
        </w:tc>
        <w:tc>
          <w:tcPr>
            <w:tcW w:w="4876" w:type="dxa"/>
            <w:hideMark/>
          </w:tcPr>
          <w:p w14:paraId="5940F4B2" w14:textId="77777777" w:rsidR="003663AF" w:rsidRPr="00B7760C" w:rsidRDefault="003663AF" w:rsidP="00E804B7">
            <w:pPr>
              <w:pStyle w:val="Normal6"/>
              <w:rPr>
                <w:szCs w:val="24"/>
              </w:rPr>
            </w:pPr>
            <w:r w:rsidRPr="00B7760C">
              <w:t>(b)</w:t>
            </w:r>
            <w:r w:rsidRPr="00B7760C">
              <w:tab/>
              <w:t xml:space="preserve">vrstah intervencij in skupnih zahtevah za države članice pri uresničevanju teh ciljev </w:t>
            </w:r>
            <w:r w:rsidRPr="00B7760C">
              <w:rPr>
                <w:b/>
                <w:i/>
              </w:rPr>
              <w:t xml:space="preserve">z zagotavljanjem enakih konkurenčnih pogojev </w:t>
            </w:r>
            <w:r w:rsidRPr="00B7760C">
              <w:t>ter</w:t>
            </w:r>
            <w:r w:rsidRPr="00B7760C">
              <w:rPr>
                <w:b/>
                <w:i/>
              </w:rPr>
              <w:t xml:space="preserve"> pri</w:t>
            </w:r>
            <w:r w:rsidRPr="00B7760C">
              <w:t xml:space="preserve"> s tem povezanih finančnih ureditvah;</w:t>
            </w:r>
          </w:p>
        </w:tc>
      </w:tr>
    </w:tbl>
    <w:p w14:paraId="6A1BED30" w14:textId="77777777" w:rsidR="003663AF" w:rsidRPr="00B7760C" w:rsidRDefault="003663AF" w:rsidP="003663AF"/>
    <w:p w14:paraId="4C674518" w14:textId="73D78ACC" w:rsidR="003663AF" w:rsidRPr="00B7760C" w:rsidRDefault="00877691" w:rsidP="003663AF">
      <w:pPr>
        <w:pStyle w:val="AMNumberTabs"/>
        <w:keepNext/>
      </w:pPr>
      <w:r w:rsidRPr="00B7760C">
        <w:t>Sprememba</w:t>
      </w:r>
      <w:r w:rsidR="003663AF" w:rsidRPr="00B7760C">
        <w:tab/>
      </w:r>
      <w:r w:rsidR="003663AF" w:rsidRPr="00B7760C">
        <w:tab/>
        <w:t>73</w:t>
      </w:r>
    </w:p>
    <w:p w14:paraId="30D290D2" w14:textId="77777777" w:rsidR="003663AF" w:rsidRPr="00B7760C" w:rsidRDefault="003663AF" w:rsidP="003663AF">
      <w:pPr>
        <w:pStyle w:val="NormalBold12b"/>
      </w:pPr>
      <w:r w:rsidRPr="00B7760C">
        <w:t>Predlog uredbe</w:t>
      </w:r>
    </w:p>
    <w:p w14:paraId="190A9FBC" w14:textId="77777777" w:rsidR="003663AF" w:rsidRPr="00B7760C" w:rsidRDefault="003663AF" w:rsidP="003663AF">
      <w:pPr>
        <w:pStyle w:val="NormalBold"/>
      </w:pPr>
      <w:r w:rsidRPr="00B7760C">
        <w:t>Člen 1 – odstavek 1 – točka c</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BB1F949" w14:textId="77777777" w:rsidTr="00E804B7">
        <w:trPr>
          <w:jc w:val="center"/>
        </w:trPr>
        <w:tc>
          <w:tcPr>
            <w:tcW w:w="9752" w:type="dxa"/>
            <w:gridSpan w:val="2"/>
          </w:tcPr>
          <w:p w14:paraId="479EA1CC" w14:textId="77777777" w:rsidR="003663AF" w:rsidRPr="00B7760C" w:rsidRDefault="003663AF" w:rsidP="00E804B7">
            <w:pPr>
              <w:keepNext/>
            </w:pPr>
          </w:p>
        </w:tc>
      </w:tr>
      <w:tr w:rsidR="003663AF" w:rsidRPr="00B7760C" w14:paraId="61E9EC8C" w14:textId="77777777" w:rsidTr="00E804B7">
        <w:trPr>
          <w:jc w:val="center"/>
        </w:trPr>
        <w:tc>
          <w:tcPr>
            <w:tcW w:w="4876" w:type="dxa"/>
            <w:hideMark/>
          </w:tcPr>
          <w:p w14:paraId="65B527C1" w14:textId="77777777" w:rsidR="003663AF" w:rsidRPr="00B7760C" w:rsidRDefault="003663AF" w:rsidP="00E804B7">
            <w:pPr>
              <w:pStyle w:val="ColumnHeading"/>
              <w:keepNext/>
            </w:pPr>
            <w:r w:rsidRPr="00B7760C">
              <w:t>Besedilo, ki ga predlaga Komisija</w:t>
            </w:r>
          </w:p>
        </w:tc>
        <w:tc>
          <w:tcPr>
            <w:tcW w:w="4876" w:type="dxa"/>
            <w:hideMark/>
          </w:tcPr>
          <w:p w14:paraId="71C306D4" w14:textId="2EF4A5C7" w:rsidR="003663AF" w:rsidRPr="00B7760C" w:rsidRDefault="00877691" w:rsidP="00E804B7">
            <w:pPr>
              <w:pStyle w:val="ColumnHeading"/>
              <w:keepNext/>
            </w:pPr>
            <w:r w:rsidRPr="00B7760C">
              <w:t>Sprememba</w:t>
            </w:r>
          </w:p>
        </w:tc>
      </w:tr>
      <w:tr w:rsidR="003663AF" w:rsidRPr="00B7760C" w14:paraId="53EFAD6E" w14:textId="77777777" w:rsidTr="00E804B7">
        <w:trPr>
          <w:jc w:val="center"/>
        </w:trPr>
        <w:tc>
          <w:tcPr>
            <w:tcW w:w="4876" w:type="dxa"/>
            <w:hideMark/>
          </w:tcPr>
          <w:p w14:paraId="6624A8AC" w14:textId="77777777" w:rsidR="003663AF" w:rsidRPr="00B7760C" w:rsidRDefault="003663AF" w:rsidP="00E804B7">
            <w:pPr>
              <w:pStyle w:val="Normal6"/>
            </w:pPr>
            <w:r w:rsidRPr="00B7760C">
              <w:t>(c)</w:t>
            </w:r>
            <w:r w:rsidRPr="00B7760C">
              <w:tab/>
              <w:t>strateških načrtih SKP, ki jih države članice pripravijo v skladu s specifičnimi cilji in opredeljenimi potrebami, v katerih so določene ciljne vrednosti, opredeljene intervencije in dodeljena finančna sredstva;</w:t>
            </w:r>
          </w:p>
        </w:tc>
        <w:tc>
          <w:tcPr>
            <w:tcW w:w="4876" w:type="dxa"/>
            <w:hideMark/>
          </w:tcPr>
          <w:p w14:paraId="2767CB51" w14:textId="77777777" w:rsidR="003663AF" w:rsidRPr="00B7760C" w:rsidRDefault="003663AF" w:rsidP="00E804B7">
            <w:pPr>
              <w:pStyle w:val="Normal6"/>
              <w:rPr>
                <w:szCs w:val="24"/>
              </w:rPr>
            </w:pPr>
            <w:r w:rsidRPr="00B7760C">
              <w:t>(c)</w:t>
            </w:r>
            <w:r w:rsidRPr="00B7760C">
              <w:tab/>
              <w:t xml:space="preserve">strateških načrtih SKP, ki jih države članice </w:t>
            </w:r>
            <w:r w:rsidRPr="00B7760C">
              <w:rPr>
                <w:b/>
                <w:i/>
              </w:rPr>
              <w:t xml:space="preserve">– po potrebi v sodelovanju z regijami – </w:t>
            </w:r>
            <w:r w:rsidRPr="00B7760C">
              <w:t>pripravijo v skladu s specifičnimi cilji in opredeljenimi potrebami</w:t>
            </w:r>
            <w:r w:rsidRPr="00B7760C">
              <w:rPr>
                <w:b/>
                <w:i/>
              </w:rPr>
              <w:t xml:space="preserve"> ter v skladu z notranjim trgom Unije</w:t>
            </w:r>
            <w:r w:rsidRPr="00B7760C">
              <w:t>, v katerih so določene ciljne vrednosti, opredeljene intervencije in dodeljena finančna sredstva;</w:t>
            </w:r>
          </w:p>
        </w:tc>
      </w:tr>
    </w:tbl>
    <w:p w14:paraId="2CDD27FC" w14:textId="77777777" w:rsidR="003663AF" w:rsidRPr="00B7760C" w:rsidRDefault="003663AF" w:rsidP="003663AF"/>
    <w:p w14:paraId="3B53ABEA" w14:textId="7A888BE5" w:rsidR="003663AF" w:rsidRPr="00B7760C" w:rsidRDefault="00877691" w:rsidP="003663AF">
      <w:pPr>
        <w:pStyle w:val="AMNumberTabs"/>
        <w:keepNext/>
      </w:pPr>
      <w:r w:rsidRPr="00B7760C">
        <w:t>Sprememba</w:t>
      </w:r>
      <w:r w:rsidR="003663AF" w:rsidRPr="00B7760C">
        <w:tab/>
      </w:r>
      <w:r w:rsidR="003663AF" w:rsidRPr="00B7760C">
        <w:tab/>
        <w:t>74</w:t>
      </w:r>
    </w:p>
    <w:p w14:paraId="13F700C9" w14:textId="77777777" w:rsidR="003663AF" w:rsidRPr="00B7760C" w:rsidRDefault="003663AF" w:rsidP="003663AF">
      <w:pPr>
        <w:pStyle w:val="NormalBold12b"/>
      </w:pPr>
      <w:r w:rsidRPr="00B7760C">
        <w:t>Predlog uredbe</w:t>
      </w:r>
    </w:p>
    <w:p w14:paraId="05E5CB28" w14:textId="77777777" w:rsidR="003663AF" w:rsidRPr="00B7760C" w:rsidRDefault="003663AF" w:rsidP="003663AF">
      <w:pPr>
        <w:pStyle w:val="NormalBold"/>
      </w:pPr>
      <w:r w:rsidRPr="00B7760C">
        <w:t>Člen 1 – odstavek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47B0C4D" w14:textId="77777777" w:rsidTr="00E804B7">
        <w:trPr>
          <w:jc w:val="center"/>
        </w:trPr>
        <w:tc>
          <w:tcPr>
            <w:tcW w:w="9752" w:type="dxa"/>
            <w:gridSpan w:val="2"/>
          </w:tcPr>
          <w:p w14:paraId="5BAF707B" w14:textId="77777777" w:rsidR="003663AF" w:rsidRPr="00B7760C" w:rsidRDefault="003663AF" w:rsidP="00E804B7">
            <w:pPr>
              <w:keepNext/>
            </w:pPr>
          </w:p>
        </w:tc>
      </w:tr>
      <w:tr w:rsidR="003663AF" w:rsidRPr="00B7760C" w14:paraId="33E73B7D" w14:textId="77777777" w:rsidTr="00E804B7">
        <w:trPr>
          <w:jc w:val="center"/>
        </w:trPr>
        <w:tc>
          <w:tcPr>
            <w:tcW w:w="4876" w:type="dxa"/>
            <w:hideMark/>
          </w:tcPr>
          <w:p w14:paraId="2F93DC36" w14:textId="77777777" w:rsidR="003663AF" w:rsidRPr="00B7760C" w:rsidRDefault="003663AF" w:rsidP="00E804B7">
            <w:pPr>
              <w:pStyle w:val="ColumnHeading"/>
              <w:keepNext/>
            </w:pPr>
            <w:r w:rsidRPr="00B7760C">
              <w:t>Besedilo, ki ga predlaga Komisija</w:t>
            </w:r>
          </w:p>
        </w:tc>
        <w:tc>
          <w:tcPr>
            <w:tcW w:w="4876" w:type="dxa"/>
            <w:hideMark/>
          </w:tcPr>
          <w:p w14:paraId="5673CF5E" w14:textId="636BD0C4" w:rsidR="003663AF" w:rsidRPr="00B7760C" w:rsidRDefault="00877691" w:rsidP="00E804B7">
            <w:pPr>
              <w:pStyle w:val="ColumnHeading"/>
              <w:keepNext/>
            </w:pPr>
            <w:r w:rsidRPr="00B7760C">
              <w:t>Sprememba</w:t>
            </w:r>
          </w:p>
        </w:tc>
      </w:tr>
      <w:tr w:rsidR="003663AF" w:rsidRPr="00B7760C" w14:paraId="560804D8" w14:textId="77777777" w:rsidTr="00E804B7">
        <w:trPr>
          <w:jc w:val="center"/>
        </w:trPr>
        <w:tc>
          <w:tcPr>
            <w:tcW w:w="4876" w:type="dxa"/>
            <w:hideMark/>
          </w:tcPr>
          <w:p w14:paraId="48E20B4B" w14:textId="77777777" w:rsidR="003663AF" w:rsidRPr="00B7760C" w:rsidRDefault="003663AF" w:rsidP="00E804B7">
            <w:pPr>
              <w:pStyle w:val="Normal6"/>
            </w:pPr>
            <w:r w:rsidRPr="00B7760C">
              <w:t>2.</w:t>
            </w:r>
            <w:r w:rsidRPr="00B7760C">
              <w:tab/>
              <w:t xml:space="preserve">Ta uredba se uporablja za podporo Unije, ki se financira iz EKJS in EKSRP, za intervencije, določene v strateškem načrtu SKP, ki ga pripravijo države članice in odobri Komisija ter ki zajema obdobje od 1. januarja </w:t>
            </w:r>
            <w:r w:rsidRPr="00B7760C">
              <w:rPr>
                <w:b/>
                <w:i/>
              </w:rPr>
              <w:t>2021 do 31. decembra 2027</w:t>
            </w:r>
            <w:r w:rsidRPr="00B7760C">
              <w:t>.</w:t>
            </w:r>
          </w:p>
        </w:tc>
        <w:tc>
          <w:tcPr>
            <w:tcW w:w="4876" w:type="dxa"/>
            <w:hideMark/>
          </w:tcPr>
          <w:p w14:paraId="22D810C4" w14:textId="77777777" w:rsidR="003663AF" w:rsidRPr="00B7760C" w:rsidRDefault="003663AF" w:rsidP="00E804B7">
            <w:pPr>
              <w:pStyle w:val="Normal6"/>
              <w:rPr>
                <w:szCs w:val="24"/>
              </w:rPr>
            </w:pPr>
            <w:r w:rsidRPr="00B7760C">
              <w:t>2.</w:t>
            </w:r>
            <w:r w:rsidRPr="00B7760C">
              <w:tab/>
              <w:t xml:space="preserve">Ta uredba se uporablja za podporo Unije, ki se financira iz EKJS in EKSRP, za intervencije, določene v strateškem načrtu SKP, ki ga pripravijo države članice in odobri Komisija ter ki zajema obdobje od 1. januarja </w:t>
            </w:r>
            <w:r w:rsidRPr="00B7760C">
              <w:rPr>
                <w:b/>
                <w:i/>
              </w:rPr>
              <w:t>2022</w:t>
            </w:r>
            <w:r w:rsidRPr="00B7760C">
              <w:t>.</w:t>
            </w:r>
          </w:p>
        </w:tc>
      </w:tr>
    </w:tbl>
    <w:p w14:paraId="0CAEC3EA" w14:textId="77777777" w:rsidR="003663AF" w:rsidRPr="00B7760C" w:rsidRDefault="003663AF" w:rsidP="003663AF"/>
    <w:p w14:paraId="0AC57577" w14:textId="3A34E3B8" w:rsidR="003663AF" w:rsidRPr="00B7760C" w:rsidRDefault="00877691" w:rsidP="003663AF">
      <w:pPr>
        <w:pStyle w:val="AMNumberTabs"/>
        <w:keepNext/>
      </w:pPr>
      <w:r w:rsidRPr="00B7760C">
        <w:t>Sprememba</w:t>
      </w:r>
      <w:r w:rsidR="003663AF" w:rsidRPr="00B7760C">
        <w:tab/>
      </w:r>
      <w:r w:rsidR="003663AF" w:rsidRPr="00B7760C">
        <w:tab/>
        <w:t>75</w:t>
      </w:r>
    </w:p>
    <w:p w14:paraId="54380103" w14:textId="77777777" w:rsidR="003663AF" w:rsidRPr="00B7760C" w:rsidRDefault="003663AF" w:rsidP="003663AF">
      <w:pPr>
        <w:pStyle w:val="NormalBold12b"/>
      </w:pPr>
      <w:r w:rsidRPr="00B7760C">
        <w:t>Predlog uredbe</w:t>
      </w:r>
    </w:p>
    <w:p w14:paraId="038BC56E" w14:textId="77777777" w:rsidR="003663AF" w:rsidRPr="00B7760C" w:rsidRDefault="003663AF" w:rsidP="003663AF">
      <w:pPr>
        <w:pStyle w:val="NormalBold"/>
      </w:pPr>
      <w:r w:rsidRPr="00B7760C">
        <w:t>Člen 2 – odstavek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0757C9D" w14:textId="77777777" w:rsidTr="00E804B7">
        <w:trPr>
          <w:jc w:val="center"/>
        </w:trPr>
        <w:tc>
          <w:tcPr>
            <w:tcW w:w="9752" w:type="dxa"/>
            <w:gridSpan w:val="2"/>
          </w:tcPr>
          <w:p w14:paraId="2421D1AC" w14:textId="77777777" w:rsidR="003663AF" w:rsidRPr="00B7760C" w:rsidRDefault="003663AF" w:rsidP="00E804B7">
            <w:pPr>
              <w:keepNext/>
            </w:pPr>
          </w:p>
        </w:tc>
      </w:tr>
      <w:tr w:rsidR="003663AF" w:rsidRPr="00B7760C" w14:paraId="6ED0F927" w14:textId="77777777" w:rsidTr="00E804B7">
        <w:trPr>
          <w:jc w:val="center"/>
        </w:trPr>
        <w:tc>
          <w:tcPr>
            <w:tcW w:w="4876" w:type="dxa"/>
            <w:hideMark/>
          </w:tcPr>
          <w:p w14:paraId="763A77A9" w14:textId="77777777" w:rsidR="003663AF" w:rsidRPr="00B7760C" w:rsidRDefault="003663AF" w:rsidP="00E804B7">
            <w:pPr>
              <w:pStyle w:val="ColumnHeading"/>
              <w:keepNext/>
            </w:pPr>
            <w:r w:rsidRPr="00B7760C">
              <w:t>Besedilo, ki ga predlaga Komisija</w:t>
            </w:r>
          </w:p>
        </w:tc>
        <w:tc>
          <w:tcPr>
            <w:tcW w:w="4876" w:type="dxa"/>
            <w:hideMark/>
          </w:tcPr>
          <w:p w14:paraId="3C0D8C6D" w14:textId="1A10CEA1" w:rsidR="003663AF" w:rsidRPr="00B7760C" w:rsidRDefault="00877691" w:rsidP="00E804B7">
            <w:pPr>
              <w:pStyle w:val="ColumnHeading"/>
              <w:keepNext/>
            </w:pPr>
            <w:r w:rsidRPr="00B7760C">
              <w:t>Sprememba</w:t>
            </w:r>
          </w:p>
        </w:tc>
      </w:tr>
      <w:tr w:rsidR="003663AF" w:rsidRPr="00B7760C" w14:paraId="59CB430D" w14:textId="77777777" w:rsidTr="00E804B7">
        <w:trPr>
          <w:jc w:val="center"/>
        </w:trPr>
        <w:tc>
          <w:tcPr>
            <w:tcW w:w="4876" w:type="dxa"/>
            <w:hideMark/>
          </w:tcPr>
          <w:p w14:paraId="61F338EA" w14:textId="77777777" w:rsidR="003663AF" w:rsidRPr="00B7760C" w:rsidRDefault="003663AF" w:rsidP="00E804B7">
            <w:pPr>
              <w:pStyle w:val="Normal6"/>
            </w:pPr>
            <w:r w:rsidRPr="00B7760C">
              <w:t>2.</w:t>
            </w:r>
            <w:r w:rsidRPr="00B7760C">
              <w:tab/>
            </w:r>
            <w:r w:rsidRPr="00B7760C">
              <w:rPr>
                <w:b/>
                <w:i/>
              </w:rPr>
              <w:t>Za</w:t>
            </w:r>
            <w:r w:rsidRPr="00B7760C">
              <w:t xml:space="preserve"> podporo, ki se financira iz EKSRP na podlagi te uredbe,</w:t>
            </w:r>
            <w:r w:rsidRPr="00B7760C">
              <w:rPr>
                <w:b/>
                <w:i/>
              </w:rPr>
              <w:t xml:space="preserve"> se</w:t>
            </w:r>
            <w:r w:rsidRPr="00B7760C">
              <w:t xml:space="preserve"> uporabijo poglavje III naslova II, poglavje II naslova III ter člena 41 in 43 Uredbe (EU) [uredba o skupnih določbah] Evropskega parlamenta in Sveta</w:t>
            </w:r>
            <w:r w:rsidRPr="00B7760C">
              <w:rPr>
                <w:vertAlign w:val="superscript"/>
              </w:rPr>
              <w:t>26</w:t>
            </w:r>
            <w:r w:rsidRPr="00B7760C">
              <w:t>.</w:t>
            </w:r>
          </w:p>
        </w:tc>
        <w:tc>
          <w:tcPr>
            <w:tcW w:w="4876" w:type="dxa"/>
            <w:hideMark/>
          </w:tcPr>
          <w:p w14:paraId="4ADB4AA4" w14:textId="77777777" w:rsidR="003663AF" w:rsidRPr="00B7760C" w:rsidRDefault="003663AF" w:rsidP="00E804B7">
            <w:pPr>
              <w:pStyle w:val="Normal6"/>
              <w:rPr>
                <w:szCs w:val="24"/>
              </w:rPr>
            </w:pPr>
            <w:r w:rsidRPr="00B7760C">
              <w:t>2.</w:t>
            </w:r>
            <w:r w:rsidRPr="00B7760C">
              <w:tab/>
            </w:r>
            <w:r w:rsidRPr="00B7760C">
              <w:rPr>
                <w:b/>
                <w:i/>
              </w:rPr>
              <w:t>Da bi zagotovili skladnost med evropskimi strukturnimi in investicijskimi skladi ter strateškimi načrti SKP, se za</w:t>
            </w:r>
            <w:r w:rsidRPr="00B7760C">
              <w:t xml:space="preserve"> podporo, ki se financira iz EKSRP na podlagi te uredbe, uporabijo poglavje III naslova II, poglavje II naslova III ter člena 41 in 43 Uredbe (EU) [uredba o skupnih določbah] Evropskega parlamenta in Sveta</w:t>
            </w:r>
            <w:r w:rsidRPr="00B7760C">
              <w:rPr>
                <w:vertAlign w:val="superscript"/>
              </w:rPr>
              <w:t>26</w:t>
            </w:r>
            <w:r w:rsidRPr="00B7760C">
              <w:t>.</w:t>
            </w:r>
          </w:p>
        </w:tc>
      </w:tr>
      <w:tr w:rsidR="003663AF" w:rsidRPr="00B7760C" w14:paraId="4632AF3C" w14:textId="77777777" w:rsidTr="00E804B7">
        <w:trPr>
          <w:jc w:val="center"/>
        </w:trPr>
        <w:tc>
          <w:tcPr>
            <w:tcW w:w="4876" w:type="dxa"/>
            <w:hideMark/>
          </w:tcPr>
          <w:p w14:paraId="65D842E1" w14:textId="77777777" w:rsidR="003663AF" w:rsidRPr="00B7760C" w:rsidRDefault="003663AF" w:rsidP="00E804B7">
            <w:pPr>
              <w:pStyle w:val="Normal6"/>
            </w:pPr>
            <w:r w:rsidRPr="00B7760C">
              <w:t>__________________</w:t>
            </w:r>
          </w:p>
        </w:tc>
        <w:tc>
          <w:tcPr>
            <w:tcW w:w="4876" w:type="dxa"/>
            <w:hideMark/>
          </w:tcPr>
          <w:p w14:paraId="348AA6ED" w14:textId="77777777" w:rsidR="003663AF" w:rsidRPr="00B7760C" w:rsidRDefault="003663AF" w:rsidP="00E804B7">
            <w:pPr>
              <w:pStyle w:val="Normal6"/>
              <w:rPr>
                <w:szCs w:val="24"/>
              </w:rPr>
            </w:pPr>
            <w:r w:rsidRPr="00B7760C">
              <w:t>__________________</w:t>
            </w:r>
          </w:p>
        </w:tc>
      </w:tr>
      <w:tr w:rsidR="003663AF" w:rsidRPr="00B7760C" w14:paraId="536BE035" w14:textId="77777777" w:rsidTr="00E804B7">
        <w:trPr>
          <w:jc w:val="center"/>
        </w:trPr>
        <w:tc>
          <w:tcPr>
            <w:tcW w:w="4876" w:type="dxa"/>
            <w:hideMark/>
          </w:tcPr>
          <w:p w14:paraId="2179622C" w14:textId="01C53F13" w:rsidR="003663AF" w:rsidRPr="00B7760C" w:rsidRDefault="003663AF" w:rsidP="00E804B7">
            <w:pPr>
              <w:pStyle w:val="Normal6"/>
            </w:pPr>
            <w:r w:rsidRPr="00B7760C">
              <w:rPr>
                <w:vertAlign w:val="superscript"/>
              </w:rPr>
              <w:t>26</w:t>
            </w:r>
            <w:r w:rsidRPr="00B7760C">
              <w:t xml:space="preserve"> </w:t>
            </w:r>
            <w:r w:rsidR="00AD1DD2" w:rsidRPr="00B7760C">
              <w:tab/>
            </w:r>
            <w:r w:rsidRPr="00B7760C">
              <w:t>Uredba (EU) […/…] Evropskega parlamenta in Sveta z dne [datum] [polni naslov] (UL L).</w:t>
            </w:r>
          </w:p>
        </w:tc>
        <w:tc>
          <w:tcPr>
            <w:tcW w:w="4876" w:type="dxa"/>
            <w:hideMark/>
          </w:tcPr>
          <w:p w14:paraId="48B7EF80" w14:textId="334C1059" w:rsidR="003663AF" w:rsidRPr="00B7760C" w:rsidRDefault="003663AF" w:rsidP="00E804B7">
            <w:pPr>
              <w:pStyle w:val="Normal6"/>
              <w:rPr>
                <w:szCs w:val="24"/>
              </w:rPr>
            </w:pPr>
            <w:r w:rsidRPr="00B7760C">
              <w:rPr>
                <w:vertAlign w:val="superscript"/>
              </w:rPr>
              <w:t>26</w:t>
            </w:r>
            <w:r w:rsidRPr="00B7760C">
              <w:t xml:space="preserve"> </w:t>
            </w:r>
            <w:r w:rsidR="00AD1DD2" w:rsidRPr="00B7760C">
              <w:tab/>
            </w:r>
            <w:r w:rsidRPr="00B7760C">
              <w:t>Uredba (EU) […/…] Evropskega parlamenta in Sveta z dne [datum] [polni naslov] (UL L).</w:t>
            </w:r>
          </w:p>
        </w:tc>
      </w:tr>
    </w:tbl>
    <w:p w14:paraId="6C8541DE" w14:textId="77777777" w:rsidR="003663AF" w:rsidRPr="00B7760C" w:rsidRDefault="003663AF" w:rsidP="003663AF"/>
    <w:p w14:paraId="4F3CE213" w14:textId="11D3C697" w:rsidR="003663AF" w:rsidRPr="00B7760C" w:rsidRDefault="00877691" w:rsidP="003663AF">
      <w:pPr>
        <w:pStyle w:val="AMNumberTabs"/>
      </w:pPr>
      <w:r w:rsidRPr="00B7760C">
        <w:t>Sprememba</w:t>
      </w:r>
      <w:r w:rsidR="003663AF" w:rsidRPr="00B7760C">
        <w:tab/>
      </w:r>
      <w:r w:rsidR="003663AF" w:rsidRPr="00B7760C">
        <w:tab/>
        <w:t>76</w:t>
      </w:r>
    </w:p>
    <w:p w14:paraId="6DB9D9A0" w14:textId="77777777" w:rsidR="003663AF" w:rsidRPr="00B7760C" w:rsidRDefault="003663AF" w:rsidP="003663AF">
      <w:pPr>
        <w:pStyle w:val="NormalBold12b"/>
      </w:pPr>
      <w:r w:rsidRPr="00B7760C">
        <w:t>Predlog uredbe</w:t>
      </w:r>
    </w:p>
    <w:p w14:paraId="0DDED074" w14:textId="77777777" w:rsidR="003663AF" w:rsidRPr="00B7760C" w:rsidRDefault="003663AF" w:rsidP="003663AF">
      <w:pPr>
        <w:pStyle w:val="NormalBold"/>
      </w:pPr>
      <w:r w:rsidRPr="00B7760C">
        <w:t>Člen 3 – odstavek 1 – točka 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2A84DEF" w14:textId="77777777" w:rsidTr="00E804B7">
        <w:trPr>
          <w:trHeight w:hRule="exact" w:val="240"/>
          <w:jc w:val="center"/>
        </w:trPr>
        <w:tc>
          <w:tcPr>
            <w:tcW w:w="9752" w:type="dxa"/>
            <w:gridSpan w:val="2"/>
          </w:tcPr>
          <w:p w14:paraId="37EFB966" w14:textId="77777777" w:rsidR="003663AF" w:rsidRPr="00B7760C" w:rsidRDefault="003663AF" w:rsidP="00E804B7"/>
        </w:tc>
      </w:tr>
      <w:tr w:rsidR="003663AF" w:rsidRPr="00B7760C" w14:paraId="5F3B471B" w14:textId="77777777" w:rsidTr="00E804B7">
        <w:trPr>
          <w:trHeight w:val="240"/>
          <w:jc w:val="center"/>
        </w:trPr>
        <w:tc>
          <w:tcPr>
            <w:tcW w:w="4876" w:type="dxa"/>
          </w:tcPr>
          <w:p w14:paraId="0DC26F11" w14:textId="77777777" w:rsidR="003663AF" w:rsidRPr="00B7760C" w:rsidRDefault="003663AF" w:rsidP="00E804B7">
            <w:pPr>
              <w:pStyle w:val="ColumnHeading"/>
            </w:pPr>
            <w:r w:rsidRPr="00B7760C">
              <w:t>Besedilo, ki ga predlaga Komisija</w:t>
            </w:r>
          </w:p>
        </w:tc>
        <w:tc>
          <w:tcPr>
            <w:tcW w:w="4876" w:type="dxa"/>
          </w:tcPr>
          <w:p w14:paraId="772B9D37" w14:textId="04764901" w:rsidR="003663AF" w:rsidRPr="00B7760C" w:rsidRDefault="00877691" w:rsidP="00E804B7">
            <w:pPr>
              <w:pStyle w:val="ColumnHeading"/>
            </w:pPr>
            <w:r w:rsidRPr="00B7760C">
              <w:t>Sprememba</w:t>
            </w:r>
          </w:p>
        </w:tc>
      </w:tr>
      <w:tr w:rsidR="003663AF" w:rsidRPr="00B7760C" w14:paraId="3AEFDB19" w14:textId="77777777" w:rsidTr="00E804B7">
        <w:trPr>
          <w:jc w:val="center"/>
        </w:trPr>
        <w:tc>
          <w:tcPr>
            <w:tcW w:w="4876" w:type="dxa"/>
          </w:tcPr>
          <w:p w14:paraId="0023C808" w14:textId="77777777" w:rsidR="003663AF" w:rsidRPr="00B7760C" w:rsidRDefault="003663AF" w:rsidP="00E804B7">
            <w:pPr>
              <w:pStyle w:val="Normal6"/>
            </w:pPr>
            <w:r w:rsidRPr="00B7760C">
              <w:t>(a)</w:t>
            </w:r>
            <w:r w:rsidRPr="00B7760C">
              <w:tab/>
              <w:t>„kmet“ pomeni fizično ali pravno osebo ali skupino fizičnih ali pravnih oseb, ne glede na pravni status, ki ga taki skupini in njenim članom podeljuje nacionalno pravo, katerih kmetijsko gospodarstvo je na ozemlju uporabe Pogodb, opredeljenem v členu 52 Pogodbe o Evropski uniji (PEU) v povezavi s členoma 349 in 355 Pogodbe o delovanju Evropske unije (PDEU), in ki opravljajo kmetijsko dejavnost, kot so jo opredelile države članice;</w:t>
            </w:r>
          </w:p>
        </w:tc>
        <w:tc>
          <w:tcPr>
            <w:tcW w:w="4876" w:type="dxa"/>
          </w:tcPr>
          <w:p w14:paraId="77BD79A0" w14:textId="77777777" w:rsidR="003663AF" w:rsidRPr="00B7760C" w:rsidRDefault="003663AF" w:rsidP="00E804B7">
            <w:pPr>
              <w:pStyle w:val="Normal6"/>
            </w:pPr>
            <w:r w:rsidRPr="00B7760C">
              <w:t>(a)</w:t>
            </w:r>
            <w:r w:rsidRPr="00B7760C">
              <w:tab/>
              <w:t>„kmet“ pomeni fizično ali pravno osebo ali skupino fizičnih ali pravnih oseb, ne glede na pravni status, ki ga taki skupini in njenim članom podeljuje nacionalno pravo, katerih kmetijsko gospodarstvo je na ozemlju uporabe Pogodb, opredeljenem v členu 52 Pogodbe o Evropski uniji (PEU) v povezavi s členoma 349 in 355 Pogodbe o delovanju Evropske unije (PDEU), in ki opravljajo kmetijsko dejavnost</w:t>
            </w:r>
            <w:r w:rsidRPr="00B7760C">
              <w:rPr>
                <w:b/>
                <w:i/>
              </w:rPr>
              <w:t xml:space="preserve"> v skladu z dobro kmetijsko prakso</w:t>
            </w:r>
            <w:r w:rsidRPr="00B7760C">
              <w:t>, kot so jo opredelile države članice;</w:t>
            </w:r>
          </w:p>
        </w:tc>
      </w:tr>
    </w:tbl>
    <w:p w14:paraId="1EB52C92" w14:textId="77777777" w:rsidR="003663AF" w:rsidRPr="00B7760C" w:rsidRDefault="003663AF" w:rsidP="003663AF"/>
    <w:p w14:paraId="277B9264" w14:textId="48DB5D0A" w:rsidR="003663AF" w:rsidRPr="00B7760C" w:rsidRDefault="00877691" w:rsidP="003663AF">
      <w:pPr>
        <w:pStyle w:val="AMNumberTabs"/>
      </w:pPr>
      <w:r w:rsidRPr="00B7760C">
        <w:t>Sprememba</w:t>
      </w:r>
      <w:r w:rsidR="003663AF" w:rsidRPr="00B7760C">
        <w:tab/>
      </w:r>
      <w:r w:rsidR="003663AF" w:rsidRPr="00B7760C">
        <w:tab/>
        <w:t>77</w:t>
      </w:r>
    </w:p>
    <w:p w14:paraId="4AABC664" w14:textId="77777777" w:rsidR="003663AF" w:rsidRPr="00B7760C" w:rsidRDefault="003663AF" w:rsidP="003663AF">
      <w:pPr>
        <w:pStyle w:val="NormalBold12b"/>
      </w:pPr>
      <w:r w:rsidRPr="00B7760C">
        <w:t>Predlog uredbe</w:t>
      </w:r>
    </w:p>
    <w:p w14:paraId="3AE6CFC8" w14:textId="77777777" w:rsidR="003663AF" w:rsidRPr="00B7760C" w:rsidRDefault="003663AF" w:rsidP="003663AF">
      <w:pPr>
        <w:pStyle w:val="NormalBold"/>
      </w:pPr>
      <w:r w:rsidRPr="00B7760C">
        <w:t>Člen 3 – odstavek 1 – točka b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B8F6EB0" w14:textId="77777777" w:rsidTr="00E804B7">
        <w:trPr>
          <w:trHeight w:hRule="exact" w:val="240"/>
          <w:jc w:val="center"/>
        </w:trPr>
        <w:tc>
          <w:tcPr>
            <w:tcW w:w="9752" w:type="dxa"/>
            <w:gridSpan w:val="2"/>
          </w:tcPr>
          <w:p w14:paraId="43BE033F" w14:textId="77777777" w:rsidR="003663AF" w:rsidRPr="00B7760C" w:rsidRDefault="003663AF" w:rsidP="00E804B7"/>
        </w:tc>
      </w:tr>
      <w:tr w:rsidR="003663AF" w:rsidRPr="00B7760C" w14:paraId="73368741" w14:textId="77777777" w:rsidTr="00E804B7">
        <w:trPr>
          <w:trHeight w:val="240"/>
          <w:jc w:val="center"/>
        </w:trPr>
        <w:tc>
          <w:tcPr>
            <w:tcW w:w="4876" w:type="dxa"/>
          </w:tcPr>
          <w:p w14:paraId="789637DE" w14:textId="77777777" w:rsidR="003663AF" w:rsidRPr="00B7760C" w:rsidRDefault="003663AF" w:rsidP="00E804B7">
            <w:pPr>
              <w:pStyle w:val="ColumnHeading"/>
            </w:pPr>
            <w:r w:rsidRPr="00B7760C">
              <w:t>Besedilo, ki ga predlaga Komisija</w:t>
            </w:r>
          </w:p>
        </w:tc>
        <w:tc>
          <w:tcPr>
            <w:tcW w:w="4876" w:type="dxa"/>
          </w:tcPr>
          <w:p w14:paraId="35EA2913" w14:textId="228D32E2" w:rsidR="003663AF" w:rsidRPr="00B7760C" w:rsidRDefault="00877691" w:rsidP="00E804B7">
            <w:pPr>
              <w:pStyle w:val="ColumnHeading"/>
            </w:pPr>
            <w:r w:rsidRPr="00B7760C">
              <w:t>Sprememba</w:t>
            </w:r>
          </w:p>
        </w:tc>
      </w:tr>
      <w:tr w:rsidR="003663AF" w:rsidRPr="00B7760C" w14:paraId="60D57571" w14:textId="77777777" w:rsidTr="00E804B7">
        <w:trPr>
          <w:jc w:val="center"/>
        </w:trPr>
        <w:tc>
          <w:tcPr>
            <w:tcW w:w="4876" w:type="dxa"/>
          </w:tcPr>
          <w:p w14:paraId="0DEFC226" w14:textId="77777777" w:rsidR="003663AF" w:rsidRPr="00B7760C" w:rsidRDefault="003663AF" w:rsidP="00E804B7">
            <w:pPr>
              <w:pStyle w:val="Normal6"/>
            </w:pPr>
          </w:p>
        </w:tc>
        <w:tc>
          <w:tcPr>
            <w:tcW w:w="4876" w:type="dxa"/>
          </w:tcPr>
          <w:p w14:paraId="41F7F742" w14:textId="34F9BBF7" w:rsidR="003663AF" w:rsidRPr="00B7760C" w:rsidRDefault="003663AF" w:rsidP="00E804B7">
            <w:pPr>
              <w:pStyle w:val="Normal6"/>
            </w:pPr>
            <w:r w:rsidRPr="00B7760C">
              <w:rPr>
                <w:b/>
                <w:i/>
              </w:rPr>
              <w:t>(ba)</w:t>
            </w:r>
            <w:r w:rsidRPr="00B7760C">
              <w:tab/>
            </w:r>
            <w:r w:rsidRPr="00B7760C">
              <w:rPr>
                <w:b/>
                <w:i/>
              </w:rPr>
              <w:t>„javne dobrine“ pomeni dobrine ali storitve, ki niso poplačane s tržno ceno ter zagotavljajo okoljske in družbene rezultate, ki presegajo predpisano okoljsko in podnebno zakonodajo ter zakonodajo o dobrobiti živali</w:t>
            </w:r>
            <w:r w:rsidR="0020339A" w:rsidRPr="00B7760C">
              <w:rPr>
                <w:b/>
                <w:bCs/>
                <w:i/>
                <w:iCs/>
              </w:rPr>
              <w:t>;</w:t>
            </w:r>
          </w:p>
        </w:tc>
      </w:tr>
    </w:tbl>
    <w:p w14:paraId="7807616A" w14:textId="77777777" w:rsidR="003663AF" w:rsidRPr="00B7760C" w:rsidRDefault="003663AF" w:rsidP="003663AF"/>
    <w:p w14:paraId="4E3118E4" w14:textId="1DE5D14F" w:rsidR="003663AF" w:rsidRPr="00B7760C" w:rsidRDefault="00877691" w:rsidP="003663AF">
      <w:pPr>
        <w:pStyle w:val="AMNumberTabs"/>
      </w:pPr>
      <w:r w:rsidRPr="00B7760C">
        <w:t>Sprememba</w:t>
      </w:r>
      <w:r w:rsidR="003663AF" w:rsidRPr="00B7760C">
        <w:tab/>
      </w:r>
      <w:r w:rsidR="003663AF" w:rsidRPr="00B7760C">
        <w:tab/>
        <w:t>78</w:t>
      </w:r>
    </w:p>
    <w:p w14:paraId="4C94C68F" w14:textId="77777777" w:rsidR="003663AF" w:rsidRPr="00B7760C" w:rsidRDefault="003663AF" w:rsidP="003663AF">
      <w:pPr>
        <w:pStyle w:val="NormalBold12b"/>
      </w:pPr>
      <w:r w:rsidRPr="00B7760C">
        <w:t>Predlog uredbe</w:t>
      </w:r>
    </w:p>
    <w:p w14:paraId="02922CBA" w14:textId="77777777" w:rsidR="003663AF" w:rsidRPr="00B7760C" w:rsidRDefault="003663AF" w:rsidP="003663AF">
      <w:pPr>
        <w:pStyle w:val="NormalBold"/>
      </w:pPr>
      <w:r w:rsidRPr="00B7760C">
        <w:t>Člen 3 – odstavek 1 – točka b b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0C4DDB5" w14:textId="77777777" w:rsidTr="00E804B7">
        <w:trPr>
          <w:trHeight w:hRule="exact" w:val="240"/>
          <w:jc w:val="center"/>
        </w:trPr>
        <w:tc>
          <w:tcPr>
            <w:tcW w:w="9752" w:type="dxa"/>
            <w:gridSpan w:val="2"/>
          </w:tcPr>
          <w:p w14:paraId="3CCA87B4" w14:textId="77777777" w:rsidR="003663AF" w:rsidRPr="00B7760C" w:rsidRDefault="003663AF" w:rsidP="00E804B7"/>
        </w:tc>
      </w:tr>
      <w:tr w:rsidR="003663AF" w:rsidRPr="00B7760C" w14:paraId="7D9F75C3" w14:textId="77777777" w:rsidTr="00E804B7">
        <w:trPr>
          <w:trHeight w:val="240"/>
          <w:jc w:val="center"/>
        </w:trPr>
        <w:tc>
          <w:tcPr>
            <w:tcW w:w="4876" w:type="dxa"/>
          </w:tcPr>
          <w:p w14:paraId="5B7A4703" w14:textId="77777777" w:rsidR="003663AF" w:rsidRPr="00B7760C" w:rsidRDefault="003663AF" w:rsidP="00E804B7">
            <w:pPr>
              <w:pStyle w:val="ColumnHeading"/>
            </w:pPr>
            <w:r w:rsidRPr="00B7760C">
              <w:t>Besedilo, ki ga predlaga Komisija</w:t>
            </w:r>
          </w:p>
        </w:tc>
        <w:tc>
          <w:tcPr>
            <w:tcW w:w="4876" w:type="dxa"/>
          </w:tcPr>
          <w:p w14:paraId="7D032B42" w14:textId="149B88F0" w:rsidR="003663AF" w:rsidRPr="00B7760C" w:rsidRDefault="00877691" w:rsidP="00E804B7">
            <w:pPr>
              <w:pStyle w:val="ColumnHeading"/>
            </w:pPr>
            <w:r w:rsidRPr="00B7760C">
              <w:t>Sprememba</w:t>
            </w:r>
          </w:p>
        </w:tc>
      </w:tr>
      <w:tr w:rsidR="003663AF" w:rsidRPr="00B7760C" w14:paraId="61578713" w14:textId="77777777" w:rsidTr="00E804B7">
        <w:trPr>
          <w:jc w:val="center"/>
        </w:trPr>
        <w:tc>
          <w:tcPr>
            <w:tcW w:w="4876" w:type="dxa"/>
          </w:tcPr>
          <w:p w14:paraId="6975C488" w14:textId="77777777" w:rsidR="003663AF" w:rsidRPr="00B7760C" w:rsidRDefault="003663AF" w:rsidP="00E804B7">
            <w:pPr>
              <w:pStyle w:val="Normal6"/>
            </w:pPr>
          </w:p>
        </w:tc>
        <w:tc>
          <w:tcPr>
            <w:tcW w:w="4876" w:type="dxa"/>
          </w:tcPr>
          <w:p w14:paraId="660177A3" w14:textId="6BACB69D" w:rsidR="003663AF" w:rsidRPr="00B7760C" w:rsidRDefault="003663AF" w:rsidP="00E804B7">
            <w:pPr>
              <w:pStyle w:val="Normal6"/>
            </w:pPr>
            <w:r w:rsidRPr="00B7760C">
              <w:rPr>
                <w:b/>
                <w:i/>
              </w:rPr>
              <w:t>(bb)</w:t>
            </w:r>
            <w:r w:rsidRPr="00B7760C">
              <w:tab/>
            </w:r>
            <w:r w:rsidRPr="00B7760C">
              <w:rPr>
                <w:b/>
                <w:i/>
              </w:rPr>
              <w:t>„evropske javne dobrine“ pomeni javne dobrine ali storitve, ki se lahko dejansko zagotavljajo samo na ravni Unije, in sicer z intervencijo za zagotovitev usklajevanja med državami članicami ter enakih konkurenčnih pogojev na kmetijskem trgu Unije.</w:t>
            </w:r>
            <w:r w:rsidRPr="00B7760C">
              <w:t xml:space="preserve"> </w:t>
            </w:r>
            <w:r w:rsidRPr="00B7760C">
              <w:rPr>
                <w:b/>
                <w:i/>
              </w:rPr>
              <w:t>Evropske javne dobrine vključujejo zlasti varstvo voda, zaščito biotske raznovrstnosti, zaščito rodovitnosti tal, varstvo opraševalcev in dobrobit živali;</w:t>
            </w:r>
          </w:p>
        </w:tc>
      </w:tr>
    </w:tbl>
    <w:p w14:paraId="75E5BC17" w14:textId="77777777" w:rsidR="003663AF" w:rsidRPr="00B7760C" w:rsidRDefault="003663AF" w:rsidP="003663AF"/>
    <w:p w14:paraId="096DB68B" w14:textId="2DE10C5F" w:rsidR="003663AF" w:rsidRPr="00B7760C" w:rsidRDefault="00877691" w:rsidP="003663AF">
      <w:pPr>
        <w:pStyle w:val="AMNumberTabs"/>
      </w:pPr>
      <w:r w:rsidRPr="00B7760C">
        <w:t>Sprememba</w:t>
      </w:r>
      <w:r w:rsidR="003663AF" w:rsidRPr="00B7760C">
        <w:tab/>
      </w:r>
      <w:r w:rsidR="003663AF" w:rsidRPr="00B7760C">
        <w:tab/>
        <w:t>79</w:t>
      </w:r>
    </w:p>
    <w:p w14:paraId="5100B375" w14:textId="77777777" w:rsidR="003663AF" w:rsidRPr="00B7760C" w:rsidRDefault="003663AF" w:rsidP="003663AF">
      <w:pPr>
        <w:pStyle w:val="NormalBold12b"/>
      </w:pPr>
      <w:r w:rsidRPr="00B7760C">
        <w:t>Predlog uredbe</w:t>
      </w:r>
    </w:p>
    <w:p w14:paraId="22F17BDA" w14:textId="77777777" w:rsidR="003663AF" w:rsidRPr="00B7760C" w:rsidRDefault="003663AF" w:rsidP="003663AF">
      <w:pPr>
        <w:pStyle w:val="NormalBold"/>
      </w:pPr>
      <w:r w:rsidRPr="00B7760C">
        <w:t>Člen 3 – odstavek 1 – točka e</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6BE65F6" w14:textId="77777777" w:rsidTr="00E804B7">
        <w:trPr>
          <w:trHeight w:hRule="exact" w:val="240"/>
          <w:jc w:val="center"/>
        </w:trPr>
        <w:tc>
          <w:tcPr>
            <w:tcW w:w="9752" w:type="dxa"/>
            <w:gridSpan w:val="2"/>
          </w:tcPr>
          <w:p w14:paraId="252926B3" w14:textId="77777777" w:rsidR="003663AF" w:rsidRPr="00B7760C" w:rsidRDefault="003663AF" w:rsidP="00E804B7"/>
        </w:tc>
      </w:tr>
      <w:tr w:rsidR="003663AF" w:rsidRPr="00B7760C" w14:paraId="4CB1A95D" w14:textId="77777777" w:rsidTr="00E804B7">
        <w:trPr>
          <w:trHeight w:val="240"/>
          <w:jc w:val="center"/>
        </w:trPr>
        <w:tc>
          <w:tcPr>
            <w:tcW w:w="4876" w:type="dxa"/>
          </w:tcPr>
          <w:p w14:paraId="415A6C67" w14:textId="77777777" w:rsidR="003663AF" w:rsidRPr="00B7760C" w:rsidRDefault="003663AF" w:rsidP="00E804B7">
            <w:pPr>
              <w:pStyle w:val="ColumnHeading"/>
            </w:pPr>
            <w:r w:rsidRPr="00B7760C">
              <w:t>Besedilo, ki ga predlaga Komisija</w:t>
            </w:r>
          </w:p>
        </w:tc>
        <w:tc>
          <w:tcPr>
            <w:tcW w:w="4876" w:type="dxa"/>
          </w:tcPr>
          <w:p w14:paraId="44FD83AF" w14:textId="2DA4604B" w:rsidR="003663AF" w:rsidRPr="00B7760C" w:rsidRDefault="00877691" w:rsidP="00E804B7">
            <w:pPr>
              <w:pStyle w:val="ColumnHeading"/>
            </w:pPr>
            <w:r w:rsidRPr="00B7760C">
              <w:t>Sprememba</w:t>
            </w:r>
          </w:p>
        </w:tc>
      </w:tr>
      <w:tr w:rsidR="003663AF" w:rsidRPr="00B7760C" w14:paraId="61F9FCD4" w14:textId="77777777" w:rsidTr="00E804B7">
        <w:trPr>
          <w:jc w:val="center"/>
        </w:trPr>
        <w:tc>
          <w:tcPr>
            <w:tcW w:w="4876" w:type="dxa"/>
          </w:tcPr>
          <w:p w14:paraId="56BB37FD" w14:textId="77777777" w:rsidR="003663AF" w:rsidRPr="00B7760C" w:rsidRDefault="003663AF" w:rsidP="00E804B7">
            <w:pPr>
              <w:pStyle w:val="Normal6"/>
            </w:pPr>
            <w:r w:rsidRPr="00B7760C">
              <w:t>(e)</w:t>
            </w:r>
            <w:r w:rsidRPr="00B7760C">
              <w:tab/>
              <w:t xml:space="preserve">„vzajemni sklad“ pomeni shemo, ki jo akreditira država članica v skladu z nacionalnim pravom ter v okviru katere se vključeni kmetje zavarujejo in prejmejo nadomestila za gospodarske izgube; </w:t>
            </w:r>
          </w:p>
        </w:tc>
        <w:tc>
          <w:tcPr>
            <w:tcW w:w="4876" w:type="dxa"/>
          </w:tcPr>
          <w:p w14:paraId="675FD1A1" w14:textId="77777777" w:rsidR="003663AF" w:rsidRPr="00B7760C" w:rsidRDefault="003663AF" w:rsidP="00E804B7">
            <w:pPr>
              <w:pStyle w:val="Normal6"/>
            </w:pPr>
            <w:r w:rsidRPr="00B7760C">
              <w:t>(e)</w:t>
            </w:r>
            <w:r w:rsidRPr="00B7760C">
              <w:tab/>
              <w:t xml:space="preserve">„vzajemni sklad“ pomeni shemo, ki jo akreditira država članica v skladu z nacionalnim pravom ter v okviru katere se vključeni kmetje zavarujejo </w:t>
            </w:r>
            <w:r w:rsidRPr="00B7760C">
              <w:rPr>
                <w:b/>
                <w:i/>
              </w:rPr>
              <w:t xml:space="preserve">pred tveganji </w:t>
            </w:r>
            <w:r w:rsidRPr="00B7760C">
              <w:t>in prejmejo nadomestila za gospodarske izgube</w:t>
            </w:r>
            <w:r w:rsidRPr="00B7760C">
              <w:rPr>
                <w:b/>
                <w:i/>
              </w:rPr>
              <w:t xml:space="preserve"> ali zmanjšanje prihodka</w:t>
            </w:r>
            <w:r w:rsidRPr="00B7760C">
              <w:t>;</w:t>
            </w:r>
          </w:p>
        </w:tc>
      </w:tr>
    </w:tbl>
    <w:p w14:paraId="4E654E12" w14:textId="77777777" w:rsidR="003663AF" w:rsidRPr="00B7760C" w:rsidRDefault="003663AF" w:rsidP="003663AF"/>
    <w:p w14:paraId="1F70E873" w14:textId="160EF78A" w:rsidR="003663AF" w:rsidRPr="00B7760C" w:rsidRDefault="00877691" w:rsidP="003663AF">
      <w:pPr>
        <w:pStyle w:val="AMNumberTabs"/>
      </w:pPr>
      <w:r w:rsidRPr="00B7760C">
        <w:t>Sprememba</w:t>
      </w:r>
      <w:r w:rsidR="003663AF" w:rsidRPr="00B7760C">
        <w:tab/>
      </w:r>
      <w:r w:rsidR="003663AF" w:rsidRPr="00B7760C">
        <w:tab/>
        <w:t>80</w:t>
      </w:r>
    </w:p>
    <w:p w14:paraId="49924A6F" w14:textId="77777777" w:rsidR="003663AF" w:rsidRPr="00B7760C" w:rsidRDefault="003663AF" w:rsidP="003663AF">
      <w:pPr>
        <w:pStyle w:val="NormalBold12b"/>
      </w:pPr>
      <w:r w:rsidRPr="00B7760C">
        <w:t>Predlog uredbe</w:t>
      </w:r>
    </w:p>
    <w:p w14:paraId="0C3E692E" w14:textId="77777777" w:rsidR="003663AF" w:rsidRPr="00B7760C" w:rsidRDefault="003663AF" w:rsidP="003663AF">
      <w:pPr>
        <w:pStyle w:val="NormalBold"/>
      </w:pPr>
      <w:r w:rsidRPr="00B7760C">
        <w:t>Člen 3 – odstavek 1 – točka f – točka i</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4164BC7" w14:textId="77777777" w:rsidTr="00E804B7">
        <w:trPr>
          <w:trHeight w:val="240"/>
          <w:jc w:val="center"/>
        </w:trPr>
        <w:tc>
          <w:tcPr>
            <w:tcW w:w="9752" w:type="dxa"/>
            <w:gridSpan w:val="2"/>
          </w:tcPr>
          <w:p w14:paraId="5155CFEB" w14:textId="77777777" w:rsidR="003663AF" w:rsidRPr="00B7760C" w:rsidRDefault="003663AF" w:rsidP="00E804B7"/>
        </w:tc>
      </w:tr>
      <w:tr w:rsidR="003663AF" w:rsidRPr="00B7760C" w14:paraId="3D846522" w14:textId="77777777" w:rsidTr="00E804B7">
        <w:trPr>
          <w:trHeight w:val="240"/>
          <w:jc w:val="center"/>
        </w:trPr>
        <w:tc>
          <w:tcPr>
            <w:tcW w:w="4876" w:type="dxa"/>
            <w:hideMark/>
          </w:tcPr>
          <w:p w14:paraId="4665F03A" w14:textId="77777777" w:rsidR="003663AF" w:rsidRPr="00B7760C" w:rsidRDefault="003663AF" w:rsidP="00E804B7">
            <w:pPr>
              <w:pStyle w:val="ColumnHeading"/>
            </w:pPr>
            <w:r w:rsidRPr="00B7760C">
              <w:t>Besedilo, ki ga predlaga Komisija</w:t>
            </w:r>
          </w:p>
        </w:tc>
        <w:tc>
          <w:tcPr>
            <w:tcW w:w="4876" w:type="dxa"/>
            <w:hideMark/>
          </w:tcPr>
          <w:p w14:paraId="4FBDC03B" w14:textId="573B17E3" w:rsidR="003663AF" w:rsidRPr="00B7760C" w:rsidRDefault="00877691" w:rsidP="00E804B7">
            <w:pPr>
              <w:pStyle w:val="ColumnHeading"/>
            </w:pPr>
            <w:r w:rsidRPr="00B7760C">
              <w:t>Sprememba</w:t>
            </w:r>
          </w:p>
        </w:tc>
      </w:tr>
      <w:tr w:rsidR="003663AF" w:rsidRPr="00B7760C" w14:paraId="10A9611F" w14:textId="77777777" w:rsidTr="00E804B7">
        <w:trPr>
          <w:jc w:val="center"/>
        </w:trPr>
        <w:tc>
          <w:tcPr>
            <w:tcW w:w="4876" w:type="dxa"/>
            <w:hideMark/>
          </w:tcPr>
          <w:p w14:paraId="1B28B10E" w14:textId="77777777" w:rsidR="003663AF" w:rsidRPr="00B7760C" w:rsidRDefault="003663AF" w:rsidP="00E804B7">
            <w:pPr>
              <w:pStyle w:val="Normal6"/>
            </w:pPr>
            <w:r w:rsidRPr="00B7760C">
              <w:t>(i)</w:t>
            </w:r>
            <w:r w:rsidRPr="00B7760C">
              <w:tab/>
              <w:t xml:space="preserve">projekt, pogodbo, ukrep ali skupino projektov, izbrane v okviru </w:t>
            </w:r>
            <w:r w:rsidRPr="00B7760C">
              <w:rPr>
                <w:b/>
                <w:i/>
              </w:rPr>
              <w:t>zadevnih programov</w:t>
            </w:r>
            <w:r w:rsidRPr="00B7760C">
              <w:t>;</w:t>
            </w:r>
          </w:p>
        </w:tc>
        <w:tc>
          <w:tcPr>
            <w:tcW w:w="4876" w:type="dxa"/>
            <w:hideMark/>
          </w:tcPr>
          <w:p w14:paraId="031D288D" w14:textId="77777777" w:rsidR="003663AF" w:rsidRPr="00B7760C" w:rsidRDefault="003663AF" w:rsidP="00E804B7">
            <w:pPr>
              <w:pStyle w:val="Normal6"/>
            </w:pPr>
            <w:r w:rsidRPr="00B7760C">
              <w:t>(i)</w:t>
            </w:r>
            <w:r w:rsidRPr="00B7760C">
              <w:tab/>
              <w:t xml:space="preserve">projekt, pogodbo, ukrep ali skupino projektov, izbrane v okviru </w:t>
            </w:r>
            <w:r w:rsidRPr="00B7760C">
              <w:rPr>
                <w:b/>
                <w:i/>
              </w:rPr>
              <w:t>zadevnega strateškega načrta</w:t>
            </w:r>
            <w:r w:rsidRPr="00B7760C">
              <w:t>;</w:t>
            </w:r>
          </w:p>
        </w:tc>
      </w:tr>
    </w:tbl>
    <w:p w14:paraId="4CFFA912" w14:textId="77777777" w:rsidR="003663AF" w:rsidRPr="00B7760C" w:rsidRDefault="003663AF" w:rsidP="003663AF"/>
    <w:p w14:paraId="0705FAF9" w14:textId="386D203F" w:rsidR="003663AF" w:rsidRPr="00B7760C" w:rsidRDefault="00877691" w:rsidP="003663AF">
      <w:pPr>
        <w:pStyle w:val="AMNumberTabs"/>
      </w:pPr>
      <w:r w:rsidRPr="00B7760C">
        <w:t>Sprememba</w:t>
      </w:r>
      <w:r w:rsidR="003663AF" w:rsidRPr="00B7760C">
        <w:tab/>
      </w:r>
      <w:r w:rsidR="003663AF" w:rsidRPr="00B7760C">
        <w:tab/>
        <w:t>81</w:t>
      </w:r>
    </w:p>
    <w:p w14:paraId="0B79D75C" w14:textId="77777777" w:rsidR="003663AF" w:rsidRPr="00B7760C" w:rsidRDefault="003663AF" w:rsidP="003663AF">
      <w:pPr>
        <w:pStyle w:val="NormalBold12b"/>
      </w:pPr>
      <w:r w:rsidRPr="00B7760C">
        <w:t>Predlog uredbe</w:t>
      </w:r>
    </w:p>
    <w:p w14:paraId="5C47A10A" w14:textId="77777777" w:rsidR="003663AF" w:rsidRPr="00B7760C" w:rsidRDefault="003663AF" w:rsidP="003663AF">
      <w:pPr>
        <w:pStyle w:val="NormalBold"/>
      </w:pPr>
      <w:r w:rsidRPr="00B7760C">
        <w:t>Člen 3 – odstavek 1 – točka f – točka ii</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5581520" w14:textId="77777777" w:rsidTr="00E804B7">
        <w:trPr>
          <w:trHeight w:val="240"/>
          <w:jc w:val="center"/>
        </w:trPr>
        <w:tc>
          <w:tcPr>
            <w:tcW w:w="9752" w:type="dxa"/>
            <w:gridSpan w:val="2"/>
          </w:tcPr>
          <w:p w14:paraId="42F9D473" w14:textId="77777777" w:rsidR="003663AF" w:rsidRPr="00B7760C" w:rsidRDefault="003663AF" w:rsidP="00E804B7"/>
        </w:tc>
      </w:tr>
      <w:tr w:rsidR="003663AF" w:rsidRPr="00B7760C" w14:paraId="04405F86" w14:textId="77777777" w:rsidTr="00E804B7">
        <w:trPr>
          <w:trHeight w:val="240"/>
          <w:jc w:val="center"/>
        </w:trPr>
        <w:tc>
          <w:tcPr>
            <w:tcW w:w="4876" w:type="dxa"/>
            <w:hideMark/>
          </w:tcPr>
          <w:p w14:paraId="1F2F1BD5" w14:textId="77777777" w:rsidR="003663AF" w:rsidRPr="00B7760C" w:rsidRDefault="003663AF" w:rsidP="00E804B7">
            <w:pPr>
              <w:pStyle w:val="ColumnHeading"/>
            </w:pPr>
            <w:r w:rsidRPr="00B7760C">
              <w:t>Besedilo, ki ga predlaga Komisija</w:t>
            </w:r>
          </w:p>
        </w:tc>
        <w:tc>
          <w:tcPr>
            <w:tcW w:w="4876" w:type="dxa"/>
            <w:hideMark/>
          </w:tcPr>
          <w:p w14:paraId="6D4B7E7C" w14:textId="4D7AEDDF" w:rsidR="003663AF" w:rsidRPr="00B7760C" w:rsidRDefault="00877691" w:rsidP="00E804B7">
            <w:pPr>
              <w:pStyle w:val="ColumnHeading"/>
            </w:pPr>
            <w:r w:rsidRPr="00B7760C">
              <w:t>Sprememba</w:t>
            </w:r>
          </w:p>
        </w:tc>
      </w:tr>
      <w:tr w:rsidR="003663AF" w:rsidRPr="00B7760C" w14:paraId="2476DF69" w14:textId="77777777" w:rsidTr="00E804B7">
        <w:trPr>
          <w:jc w:val="center"/>
        </w:trPr>
        <w:tc>
          <w:tcPr>
            <w:tcW w:w="4876" w:type="dxa"/>
            <w:hideMark/>
          </w:tcPr>
          <w:p w14:paraId="349D508D" w14:textId="77777777" w:rsidR="003663AF" w:rsidRPr="00B7760C" w:rsidRDefault="003663AF" w:rsidP="00E804B7">
            <w:pPr>
              <w:pStyle w:val="Normal6"/>
            </w:pPr>
            <w:r w:rsidRPr="00B7760C">
              <w:t>(ii)</w:t>
            </w:r>
            <w:r w:rsidRPr="00B7760C">
              <w:tab/>
              <w:t xml:space="preserve">v okviru finančnih instrumentov prispevek </w:t>
            </w:r>
            <w:r w:rsidRPr="00B7760C">
              <w:rPr>
                <w:b/>
                <w:i/>
              </w:rPr>
              <w:t>programa</w:t>
            </w:r>
            <w:r w:rsidRPr="00B7760C">
              <w:t xml:space="preserve"> v finančni instrument in nadaljnjo finančno podporo, ki jo ta finančni instrument zagotavlja končnim prejemnikom;</w:t>
            </w:r>
          </w:p>
        </w:tc>
        <w:tc>
          <w:tcPr>
            <w:tcW w:w="4876" w:type="dxa"/>
            <w:hideMark/>
          </w:tcPr>
          <w:p w14:paraId="122805E5" w14:textId="77777777" w:rsidR="003663AF" w:rsidRPr="00B7760C" w:rsidRDefault="003663AF" w:rsidP="00E804B7">
            <w:pPr>
              <w:pStyle w:val="Normal6"/>
            </w:pPr>
            <w:r w:rsidRPr="00B7760C">
              <w:t>(ii)</w:t>
            </w:r>
            <w:r w:rsidRPr="00B7760C">
              <w:tab/>
              <w:t xml:space="preserve">v okviru finančnih instrumentov prispevek </w:t>
            </w:r>
            <w:r w:rsidRPr="00B7760C">
              <w:rPr>
                <w:b/>
                <w:i/>
              </w:rPr>
              <w:t>strateškega načrta</w:t>
            </w:r>
            <w:r w:rsidRPr="00B7760C">
              <w:t xml:space="preserve"> v finančni instrument in nadaljnjo finančno podporo, ki jo ta finančni instrument zagotavlja končnim prejemnikom;</w:t>
            </w:r>
          </w:p>
        </w:tc>
      </w:tr>
    </w:tbl>
    <w:p w14:paraId="7F6581FA" w14:textId="77777777" w:rsidR="003663AF" w:rsidRPr="00B7760C" w:rsidRDefault="003663AF" w:rsidP="003663AF"/>
    <w:p w14:paraId="743854EB" w14:textId="00046DD1" w:rsidR="003663AF" w:rsidRPr="00B7760C" w:rsidRDefault="00877691" w:rsidP="003663AF">
      <w:pPr>
        <w:pStyle w:val="AMNumberTabs"/>
      </w:pPr>
      <w:r w:rsidRPr="00B7760C">
        <w:t>Sprememba</w:t>
      </w:r>
      <w:r w:rsidR="003663AF" w:rsidRPr="00B7760C">
        <w:tab/>
      </w:r>
      <w:r w:rsidR="003663AF" w:rsidRPr="00B7760C">
        <w:tab/>
        <w:t>82</w:t>
      </w:r>
    </w:p>
    <w:p w14:paraId="301EBA60" w14:textId="77777777" w:rsidR="003663AF" w:rsidRPr="00B7760C" w:rsidRDefault="003663AF" w:rsidP="003663AF">
      <w:pPr>
        <w:pStyle w:val="NormalBold12b"/>
      </w:pPr>
      <w:r w:rsidRPr="00B7760C">
        <w:t>Predlog uredbe</w:t>
      </w:r>
    </w:p>
    <w:p w14:paraId="25E0CA38" w14:textId="77777777" w:rsidR="003663AF" w:rsidRPr="00B7760C" w:rsidRDefault="003663AF" w:rsidP="003663AF">
      <w:pPr>
        <w:pStyle w:val="NormalBold"/>
      </w:pPr>
      <w:r w:rsidRPr="00B7760C">
        <w:t>Člen 3 – odstavek 1 – točka h – točka i</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0FC241F" w14:textId="77777777" w:rsidTr="00E804B7">
        <w:trPr>
          <w:trHeight w:val="240"/>
          <w:jc w:val="center"/>
        </w:trPr>
        <w:tc>
          <w:tcPr>
            <w:tcW w:w="9752" w:type="dxa"/>
            <w:gridSpan w:val="2"/>
          </w:tcPr>
          <w:p w14:paraId="3BBA9BEA" w14:textId="77777777" w:rsidR="003663AF" w:rsidRPr="00B7760C" w:rsidRDefault="003663AF" w:rsidP="00E804B7"/>
        </w:tc>
      </w:tr>
      <w:tr w:rsidR="003663AF" w:rsidRPr="00B7760C" w14:paraId="05B41581" w14:textId="77777777" w:rsidTr="00E804B7">
        <w:trPr>
          <w:trHeight w:val="240"/>
          <w:jc w:val="center"/>
        </w:trPr>
        <w:tc>
          <w:tcPr>
            <w:tcW w:w="4876" w:type="dxa"/>
            <w:hideMark/>
          </w:tcPr>
          <w:p w14:paraId="64027102" w14:textId="77777777" w:rsidR="003663AF" w:rsidRPr="00B7760C" w:rsidRDefault="003663AF" w:rsidP="00E804B7">
            <w:pPr>
              <w:pStyle w:val="ColumnHeading"/>
            </w:pPr>
            <w:r w:rsidRPr="00B7760C">
              <w:t>Besedilo, ki ga predlaga Komisija</w:t>
            </w:r>
          </w:p>
        </w:tc>
        <w:tc>
          <w:tcPr>
            <w:tcW w:w="4876" w:type="dxa"/>
            <w:hideMark/>
          </w:tcPr>
          <w:p w14:paraId="4CB638F6" w14:textId="44F58A52" w:rsidR="003663AF" w:rsidRPr="00B7760C" w:rsidRDefault="00877691" w:rsidP="00E804B7">
            <w:pPr>
              <w:pStyle w:val="ColumnHeading"/>
            </w:pPr>
            <w:r w:rsidRPr="00B7760C">
              <w:t>Sprememba</w:t>
            </w:r>
          </w:p>
        </w:tc>
      </w:tr>
      <w:tr w:rsidR="003663AF" w:rsidRPr="00B7760C" w14:paraId="384C40AB" w14:textId="77777777" w:rsidTr="00E804B7">
        <w:trPr>
          <w:jc w:val="center"/>
        </w:trPr>
        <w:tc>
          <w:tcPr>
            <w:tcW w:w="4876" w:type="dxa"/>
            <w:hideMark/>
          </w:tcPr>
          <w:p w14:paraId="68A9AB0F" w14:textId="77777777" w:rsidR="003663AF" w:rsidRPr="00B7760C" w:rsidRDefault="003663AF" w:rsidP="00E804B7">
            <w:pPr>
              <w:pStyle w:val="Normal6"/>
            </w:pPr>
            <w:r w:rsidRPr="00B7760C">
              <w:t>(i)</w:t>
            </w:r>
            <w:r w:rsidRPr="00B7760C">
              <w:tab/>
              <w:t>osebo javnega ali zasebnega prava, subjekt, ki je ali ni pravna oseba, ali fizično osebo, odgovorno za začetek ali za začetek in izvajanje operacij;</w:t>
            </w:r>
          </w:p>
        </w:tc>
        <w:tc>
          <w:tcPr>
            <w:tcW w:w="4876" w:type="dxa"/>
            <w:hideMark/>
          </w:tcPr>
          <w:p w14:paraId="50145D4D" w14:textId="77777777" w:rsidR="003663AF" w:rsidRPr="00B7760C" w:rsidRDefault="003663AF" w:rsidP="00E804B7">
            <w:pPr>
              <w:pStyle w:val="Normal6"/>
            </w:pPr>
            <w:r w:rsidRPr="00B7760C">
              <w:t>(i)</w:t>
            </w:r>
            <w:r w:rsidRPr="00B7760C">
              <w:tab/>
              <w:t>osebo javnega ali zasebnega prava, subjekt, ki je ali ni pravna oseba, fizično osebo</w:t>
            </w:r>
            <w:r w:rsidRPr="00B7760C">
              <w:rPr>
                <w:b/>
                <w:i/>
              </w:rPr>
              <w:t xml:space="preserve"> ali skupino fizičnih ali pravnih oseb</w:t>
            </w:r>
            <w:r w:rsidRPr="00B7760C">
              <w:t>, odgovorno za začetek ali za začetek in izvajanje operacij;</w:t>
            </w:r>
          </w:p>
        </w:tc>
      </w:tr>
    </w:tbl>
    <w:p w14:paraId="6CCCE936" w14:textId="77777777" w:rsidR="003663AF" w:rsidRPr="00B7760C" w:rsidRDefault="003663AF" w:rsidP="003663AF">
      <w:pPr>
        <w:pStyle w:val="Normal6"/>
      </w:pPr>
    </w:p>
    <w:p w14:paraId="0C1BA166" w14:textId="1AC849C1" w:rsidR="003663AF" w:rsidRPr="00B7760C" w:rsidRDefault="00877691" w:rsidP="003663AF">
      <w:pPr>
        <w:pStyle w:val="AMNumberTabs"/>
      </w:pPr>
      <w:r w:rsidRPr="00B7760C">
        <w:t>Sprememba</w:t>
      </w:r>
      <w:r w:rsidR="003663AF" w:rsidRPr="00B7760C">
        <w:tab/>
      </w:r>
      <w:r w:rsidR="003663AF" w:rsidRPr="00B7760C">
        <w:tab/>
        <w:t>83</w:t>
      </w:r>
    </w:p>
    <w:p w14:paraId="1B0B855F" w14:textId="77777777" w:rsidR="003663AF" w:rsidRPr="00B7760C" w:rsidRDefault="003663AF" w:rsidP="003663AF">
      <w:pPr>
        <w:pStyle w:val="NormalBold12b"/>
      </w:pPr>
      <w:r w:rsidRPr="00B7760C">
        <w:t>Predlog uredbe</w:t>
      </w:r>
    </w:p>
    <w:p w14:paraId="240853A6" w14:textId="77777777" w:rsidR="003663AF" w:rsidRPr="00B7760C" w:rsidRDefault="003663AF" w:rsidP="003663AF">
      <w:pPr>
        <w:pStyle w:val="NormalBold"/>
      </w:pPr>
      <w:r w:rsidRPr="00B7760C">
        <w:t>Člen 3 – odstavek 1 – točka h – točka ii</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88A5B4B" w14:textId="77777777" w:rsidTr="00E804B7">
        <w:trPr>
          <w:trHeight w:hRule="exact" w:val="240"/>
          <w:jc w:val="center"/>
        </w:trPr>
        <w:tc>
          <w:tcPr>
            <w:tcW w:w="9752" w:type="dxa"/>
            <w:gridSpan w:val="2"/>
          </w:tcPr>
          <w:p w14:paraId="6E7DBB61" w14:textId="77777777" w:rsidR="003663AF" w:rsidRPr="00B7760C" w:rsidRDefault="003663AF" w:rsidP="00E804B7"/>
        </w:tc>
      </w:tr>
      <w:tr w:rsidR="003663AF" w:rsidRPr="00B7760C" w14:paraId="79B3D2B6" w14:textId="77777777" w:rsidTr="00E804B7">
        <w:trPr>
          <w:trHeight w:val="240"/>
          <w:jc w:val="center"/>
        </w:trPr>
        <w:tc>
          <w:tcPr>
            <w:tcW w:w="4876" w:type="dxa"/>
          </w:tcPr>
          <w:p w14:paraId="1EDD2B2F" w14:textId="77777777" w:rsidR="003663AF" w:rsidRPr="00B7760C" w:rsidRDefault="003663AF" w:rsidP="00E804B7">
            <w:pPr>
              <w:pStyle w:val="ColumnHeading"/>
            </w:pPr>
            <w:r w:rsidRPr="00B7760C">
              <w:t>Besedilo, ki ga predlaga Komisija</w:t>
            </w:r>
          </w:p>
        </w:tc>
        <w:tc>
          <w:tcPr>
            <w:tcW w:w="4876" w:type="dxa"/>
          </w:tcPr>
          <w:p w14:paraId="25CE62DF" w14:textId="10C229EA" w:rsidR="003663AF" w:rsidRPr="00B7760C" w:rsidRDefault="00877691" w:rsidP="00E804B7">
            <w:pPr>
              <w:pStyle w:val="ColumnHeading"/>
            </w:pPr>
            <w:r w:rsidRPr="00B7760C">
              <w:t>Sprememba</w:t>
            </w:r>
          </w:p>
        </w:tc>
      </w:tr>
      <w:tr w:rsidR="003663AF" w:rsidRPr="00B7760C" w14:paraId="0C2E2504" w14:textId="77777777" w:rsidTr="00E804B7">
        <w:trPr>
          <w:jc w:val="center"/>
        </w:trPr>
        <w:tc>
          <w:tcPr>
            <w:tcW w:w="4876" w:type="dxa"/>
          </w:tcPr>
          <w:p w14:paraId="02A777D2" w14:textId="77777777" w:rsidR="003663AF" w:rsidRPr="00B7760C" w:rsidRDefault="003663AF" w:rsidP="00E804B7">
            <w:pPr>
              <w:pStyle w:val="Normal6"/>
            </w:pPr>
            <w:r w:rsidRPr="00B7760C">
              <w:t>(ii)</w:t>
            </w:r>
            <w:r w:rsidRPr="00B7760C">
              <w:tab/>
              <w:t xml:space="preserve">v okviru shem državne pomoči </w:t>
            </w:r>
            <w:r w:rsidRPr="00B7760C">
              <w:rPr>
                <w:b/>
                <w:i/>
              </w:rPr>
              <w:t>organ</w:t>
            </w:r>
            <w:r w:rsidRPr="00B7760C">
              <w:t>, ki prejme pomoč;</w:t>
            </w:r>
          </w:p>
        </w:tc>
        <w:tc>
          <w:tcPr>
            <w:tcW w:w="4876" w:type="dxa"/>
          </w:tcPr>
          <w:p w14:paraId="6DAC75BF" w14:textId="77777777" w:rsidR="003663AF" w:rsidRPr="00B7760C" w:rsidRDefault="003663AF" w:rsidP="00E804B7">
            <w:pPr>
              <w:pStyle w:val="Normal6"/>
            </w:pPr>
            <w:r w:rsidRPr="00B7760C">
              <w:t>(ii)</w:t>
            </w:r>
            <w:r w:rsidRPr="00B7760C">
              <w:tab/>
              <w:t xml:space="preserve">v okviru shem državne pomoči </w:t>
            </w:r>
            <w:r w:rsidRPr="00B7760C">
              <w:rPr>
                <w:b/>
                <w:i/>
              </w:rPr>
              <w:t>subjekt</w:t>
            </w:r>
            <w:r w:rsidRPr="00B7760C">
              <w:t>, ki prejme pomoč;</w:t>
            </w:r>
          </w:p>
        </w:tc>
      </w:tr>
    </w:tbl>
    <w:p w14:paraId="614EC1F9" w14:textId="77777777" w:rsidR="003663AF" w:rsidRPr="00B7760C" w:rsidRDefault="003663AF" w:rsidP="003663AF"/>
    <w:p w14:paraId="25745E27" w14:textId="03CE9D59" w:rsidR="003663AF" w:rsidRPr="00B7760C" w:rsidRDefault="00877691" w:rsidP="003663AF">
      <w:pPr>
        <w:pStyle w:val="AMNumberTabs"/>
        <w:keepNext/>
      </w:pPr>
      <w:r w:rsidRPr="00B7760C">
        <w:t>Sprememba</w:t>
      </w:r>
      <w:r w:rsidR="003663AF" w:rsidRPr="00B7760C">
        <w:tab/>
      </w:r>
      <w:r w:rsidR="003663AF" w:rsidRPr="00B7760C">
        <w:tab/>
        <w:t>84</w:t>
      </w:r>
    </w:p>
    <w:p w14:paraId="7C4CB8D5" w14:textId="77777777" w:rsidR="003663AF" w:rsidRPr="00B7760C" w:rsidRDefault="003663AF" w:rsidP="003663AF">
      <w:pPr>
        <w:pStyle w:val="NormalBold12b"/>
      </w:pPr>
      <w:r w:rsidRPr="00B7760C">
        <w:t>Predlog uredbe</w:t>
      </w:r>
    </w:p>
    <w:p w14:paraId="265BCC33" w14:textId="77777777" w:rsidR="003663AF" w:rsidRPr="00B7760C" w:rsidRDefault="003663AF" w:rsidP="003663AF">
      <w:pPr>
        <w:pStyle w:val="NormalBold"/>
      </w:pPr>
      <w:r w:rsidRPr="00B7760C">
        <w:t>Člen 3 – odstavek 1 – točka i</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2186F08" w14:textId="77777777" w:rsidTr="00E804B7">
        <w:trPr>
          <w:jc w:val="center"/>
        </w:trPr>
        <w:tc>
          <w:tcPr>
            <w:tcW w:w="9752" w:type="dxa"/>
            <w:gridSpan w:val="2"/>
          </w:tcPr>
          <w:p w14:paraId="2AB58E14" w14:textId="77777777" w:rsidR="003663AF" w:rsidRPr="00B7760C" w:rsidRDefault="003663AF" w:rsidP="00E804B7">
            <w:pPr>
              <w:keepNext/>
            </w:pPr>
          </w:p>
        </w:tc>
      </w:tr>
      <w:tr w:rsidR="003663AF" w:rsidRPr="00B7760C" w14:paraId="1B692EED" w14:textId="77777777" w:rsidTr="00E804B7">
        <w:trPr>
          <w:jc w:val="center"/>
        </w:trPr>
        <w:tc>
          <w:tcPr>
            <w:tcW w:w="4876" w:type="dxa"/>
            <w:hideMark/>
          </w:tcPr>
          <w:p w14:paraId="4E68509C" w14:textId="77777777" w:rsidR="003663AF" w:rsidRPr="00B7760C" w:rsidRDefault="003663AF" w:rsidP="00E804B7">
            <w:pPr>
              <w:pStyle w:val="ColumnHeading"/>
              <w:keepNext/>
            </w:pPr>
            <w:r w:rsidRPr="00B7760C">
              <w:t>Besedilo, ki ga predlaga Komisija</w:t>
            </w:r>
          </w:p>
        </w:tc>
        <w:tc>
          <w:tcPr>
            <w:tcW w:w="4876" w:type="dxa"/>
            <w:hideMark/>
          </w:tcPr>
          <w:p w14:paraId="12E94E2F" w14:textId="287720AC" w:rsidR="003663AF" w:rsidRPr="00B7760C" w:rsidRDefault="00877691" w:rsidP="00E804B7">
            <w:pPr>
              <w:pStyle w:val="ColumnHeading"/>
              <w:keepNext/>
            </w:pPr>
            <w:r w:rsidRPr="00B7760C">
              <w:t>Sprememba</w:t>
            </w:r>
          </w:p>
        </w:tc>
      </w:tr>
      <w:tr w:rsidR="003663AF" w:rsidRPr="00B7760C" w14:paraId="0C6E11BB" w14:textId="77777777" w:rsidTr="00E804B7">
        <w:trPr>
          <w:jc w:val="center"/>
        </w:trPr>
        <w:tc>
          <w:tcPr>
            <w:tcW w:w="4876" w:type="dxa"/>
            <w:hideMark/>
          </w:tcPr>
          <w:p w14:paraId="2D3A0960" w14:textId="77777777" w:rsidR="003663AF" w:rsidRPr="00B7760C" w:rsidRDefault="003663AF" w:rsidP="00E804B7">
            <w:pPr>
              <w:pStyle w:val="Normal6"/>
            </w:pPr>
            <w:r w:rsidRPr="00B7760C">
              <w:t>(i)</w:t>
            </w:r>
            <w:r w:rsidRPr="00B7760C">
              <w:tab/>
              <w:t xml:space="preserve">„ciljne vrednosti“ pomenijo vnaprej dogovorjene vrednosti, ki jih je treba doseči </w:t>
            </w:r>
            <w:r w:rsidRPr="00B7760C">
              <w:rPr>
                <w:b/>
                <w:i/>
              </w:rPr>
              <w:t>ob koncu</w:t>
            </w:r>
            <w:r w:rsidRPr="00B7760C">
              <w:t xml:space="preserve"> obdobja v zvezi s kazalniki rezultatov, vključenimi v specifičen cilj;</w:t>
            </w:r>
          </w:p>
        </w:tc>
        <w:tc>
          <w:tcPr>
            <w:tcW w:w="4876" w:type="dxa"/>
            <w:hideMark/>
          </w:tcPr>
          <w:p w14:paraId="26866219" w14:textId="77777777" w:rsidR="003663AF" w:rsidRPr="00B7760C" w:rsidRDefault="003663AF" w:rsidP="00E804B7">
            <w:pPr>
              <w:pStyle w:val="Normal6"/>
              <w:rPr>
                <w:szCs w:val="24"/>
              </w:rPr>
            </w:pPr>
            <w:r w:rsidRPr="00B7760C">
              <w:t>(i)</w:t>
            </w:r>
            <w:r w:rsidRPr="00B7760C">
              <w:tab/>
              <w:t xml:space="preserve">„ciljne vrednosti“ pomenijo vnaprej dogovorjene vrednosti, ki jih je treba doseči </w:t>
            </w:r>
            <w:r w:rsidRPr="00B7760C">
              <w:rPr>
                <w:b/>
                <w:i/>
              </w:rPr>
              <w:t>do konca</w:t>
            </w:r>
            <w:r w:rsidRPr="00B7760C">
              <w:t xml:space="preserve"> obdobja</w:t>
            </w:r>
            <w:r w:rsidRPr="00B7760C">
              <w:rPr>
                <w:b/>
                <w:i/>
              </w:rPr>
              <w:t xml:space="preserve"> strateškega načrta SKP</w:t>
            </w:r>
            <w:r w:rsidRPr="00B7760C">
              <w:t xml:space="preserve"> v zvezi s kazalniki rezultatov, vključenimi v specifičen cilj;</w:t>
            </w:r>
          </w:p>
        </w:tc>
      </w:tr>
    </w:tbl>
    <w:p w14:paraId="75AAF2B2" w14:textId="77777777" w:rsidR="003663AF" w:rsidRPr="00B7760C" w:rsidRDefault="003663AF" w:rsidP="003663AF"/>
    <w:p w14:paraId="3A2D869C" w14:textId="7D2D28F1" w:rsidR="003663AF" w:rsidRPr="00B7760C" w:rsidRDefault="00877691" w:rsidP="003663AF">
      <w:pPr>
        <w:pStyle w:val="AMNumberTabs"/>
        <w:keepNext/>
      </w:pPr>
      <w:r w:rsidRPr="00B7760C">
        <w:t>Sprememba</w:t>
      </w:r>
      <w:r w:rsidR="003663AF" w:rsidRPr="00B7760C">
        <w:tab/>
      </w:r>
      <w:r w:rsidR="003663AF" w:rsidRPr="00B7760C">
        <w:tab/>
        <w:t>85</w:t>
      </w:r>
    </w:p>
    <w:p w14:paraId="7F91D088" w14:textId="77777777" w:rsidR="003663AF" w:rsidRPr="00B7760C" w:rsidRDefault="003663AF" w:rsidP="003663AF">
      <w:pPr>
        <w:pStyle w:val="NormalBold12b"/>
      </w:pPr>
      <w:r w:rsidRPr="00B7760C">
        <w:t>Predlog uredbe</w:t>
      </w:r>
    </w:p>
    <w:p w14:paraId="17F9E4A6" w14:textId="77777777" w:rsidR="003663AF" w:rsidRPr="00B7760C" w:rsidRDefault="003663AF" w:rsidP="003663AF">
      <w:pPr>
        <w:pStyle w:val="NormalBold"/>
      </w:pPr>
      <w:r w:rsidRPr="00B7760C">
        <w:t>Člen 3 – odstavek 1 – točka j</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A479D03" w14:textId="77777777" w:rsidTr="00E804B7">
        <w:trPr>
          <w:jc w:val="center"/>
        </w:trPr>
        <w:tc>
          <w:tcPr>
            <w:tcW w:w="9752" w:type="dxa"/>
            <w:gridSpan w:val="2"/>
          </w:tcPr>
          <w:p w14:paraId="68C575DD" w14:textId="77777777" w:rsidR="003663AF" w:rsidRPr="00B7760C" w:rsidRDefault="003663AF" w:rsidP="00E804B7">
            <w:pPr>
              <w:keepNext/>
            </w:pPr>
          </w:p>
        </w:tc>
      </w:tr>
      <w:tr w:rsidR="003663AF" w:rsidRPr="00B7760C" w14:paraId="11608A39" w14:textId="77777777" w:rsidTr="00E804B7">
        <w:trPr>
          <w:jc w:val="center"/>
        </w:trPr>
        <w:tc>
          <w:tcPr>
            <w:tcW w:w="4876" w:type="dxa"/>
            <w:hideMark/>
          </w:tcPr>
          <w:p w14:paraId="285F745A" w14:textId="77777777" w:rsidR="003663AF" w:rsidRPr="00B7760C" w:rsidRDefault="003663AF" w:rsidP="00E804B7">
            <w:pPr>
              <w:pStyle w:val="ColumnHeading"/>
              <w:keepNext/>
            </w:pPr>
            <w:r w:rsidRPr="00B7760C">
              <w:t>Besedilo, ki ga predlaga Komisija</w:t>
            </w:r>
          </w:p>
        </w:tc>
        <w:tc>
          <w:tcPr>
            <w:tcW w:w="4876" w:type="dxa"/>
            <w:hideMark/>
          </w:tcPr>
          <w:p w14:paraId="70FF68B3" w14:textId="4888AA2C" w:rsidR="003663AF" w:rsidRPr="00B7760C" w:rsidRDefault="00877691" w:rsidP="00E804B7">
            <w:pPr>
              <w:pStyle w:val="ColumnHeading"/>
              <w:keepNext/>
            </w:pPr>
            <w:r w:rsidRPr="00B7760C">
              <w:t>Sprememba</w:t>
            </w:r>
          </w:p>
        </w:tc>
      </w:tr>
      <w:tr w:rsidR="003663AF" w:rsidRPr="00B7760C" w14:paraId="6F4C3DB9" w14:textId="77777777" w:rsidTr="00E804B7">
        <w:trPr>
          <w:jc w:val="center"/>
        </w:trPr>
        <w:tc>
          <w:tcPr>
            <w:tcW w:w="4876" w:type="dxa"/>
            <w:hideMark/>
          </w:tcPr>
          <w:p w14:paraId="3FA37576" w14:textId="77777777" w:rsidR="003663AF" w:rsidRPr="00B7760C" w:rsidRDefault="003663AF" w:rsidP="00E804B7">
            <w:pPr>
              <w:pStyle w:val="Normal6"/>
            </w:pPr>
            <w:r w:rsidRPr="00B7760C">
              <w:t>(j)</w:t>
            </w:r>
            <w:r w:rsidRPr="00B7760C">
              <w:tab/>
              <w:t xml:space="preserve">„mejniki“ pomenijo vmesne ciljne vrednosti, ki jih </w:t>
            </w:r>
            <w:r w:rsidRPr="00B7760C">
              <w:rPr>
                <w:b/>
                <w:i/>
              </w:rPr>
              <w:t>je</w:t>
            </w:r>
            <w:r w:rsidRPr="00B7760C">
              <w:t xml:space="preserve"> kadar koli med obdobjem trajanja strateškega načrta SKP </w:t>
            </w:r>
            <w:r w:rsidRPr="00B7760C">
              <w:rPr>
                <w:b/>
                <w:i/>
              </w:rPr>
              <w:t xml:space="preserve">treba </w:t>
            </w:r>
            <w:r w:rsidRPr="00B7760C">
              <w:t>doseči v zvezi s kazalniki, vključenimi v specifičen cilj.</w:t>
            </w:r>
          </w:p>
        </w:tc>
        <w:tc>
          <w:tcPr>
            <w:tcW w:w="4876" w:type="dxa"/>
            <w:hideMark/>
          </w:tcPr>
          <w:p w14:paraId="7CDE1804" w14:textId="77777777" w:rsidR="003663AF" w:rsidRPr="00B7760C" w:rsidRDefault="003663AF" w:rsidP="00E804B7">
            <w:pPr>
              <w:pStyle w:val="Normal6"/>
              <w:rPr>
                <w:szCs w:val="24"/>
              </w:rPr>
            </w:pPr>
            <w:r w:rsidRPr="00B7760C">
              <w:t>(j)</w:t>
            </w:r>
            <w:r w:rsidRPr="00B7760C">
              <w:tab/>
              <w:t xml:space="preserve">„mejniki“ pomenijo vmesne ciljne vrednosti, ki jih </w:t>
            </w:r>
            <w:r w:rsidRPr="00B7760C">
              <w:rPr>
                <w:b/>
                <w:i/>
              </w:rPr>
              <w:t>mora država članica</w:t>
            </w:r>
            <w:r w:rsidRPr="00B7760C">
              <w:t xml:space="preserve"> kadar koli med obdobjem trajanja strateškega načrta SKP doseči </w:t>
            </w:r>
            <w:r w:rsidRPr="00B7760C">
              <w:rPr>
                <w:b/>
                <w:i/>
              </w:rPr>
              <w:t xml:space="preserve">za zagotovitev pravočasnega napredka </w:t>
            </w:r>
            <w:r w:rsidRPr="00B7760C">
              <w:t>v zvezi s kazalniki</w:t>
            </w:r>
            <w:r w:rsidRPr="00B7760C">
              <w:rPr>
                <w:b/>
                <w:i/>
              </w:rPr>
              <w:t xml:space="preserve"> rezultatov</w:t>
            </w:r>
            <w:r w:rsidRPr="00B7760C">
              <w:t>, vključenimi v specifičen cilj.</w:t>
            </w:r>
          </w:p>
        </w:tc>
      </w:tr>
    </w:tbl>
    <w:p w14:paraId="5AE8CE2D" w14:textId="77777777" w:rsidR="003663AF" w:rsidRPr="00B7760C" w:rsidRDefault="003663AF" w:rsidP="003663AF"/>
    <w:p w14:paraId="303A8AD0" w14:textId="021B0930" w:rsidR="003663AF" w:rsidRPr="00B7760C" w:rsidRDefault="00877691" w:rsidP="007C5504">
      <w:pPr>
        <w:pStyle w:val="AMNumberTabs"/>
        <w:keepNext/>
      </w:pPr>
      <w:r w:rsidRPr="00B7760C">
        <w:t>Sprememb</w:t>
      </w:r>
      <w:r w:rsidR="008A70F3" w:rsidRPr="00B7760C">
        <w:t>i</w:t>
      </w:r>
      <w:r w:rsidR="003663AF" w:rsidRPr="00B7760C">
        <w:tab/>
      </w:r>
      <w:r w:rsidR="003663AF" w:rsidRPr="00B7760C">
        <w:tab/>
        <w:t>86</w:t>
      </w:r>
      <w:r w:rsidR="008A70F3" w:rsidRPr="00B7760C">
        <w:t xml:space="preserve"> in 1148</w:t>
      </w:r>
      <w:r w:rsidR="007C5504" w:rsidRPr="00B7760C">
        <w:t xml:space="preserve"> cp1</w:t>
      </w:r>
    </w:p>
    <w:p w14:paraId="50EC07B5" w14:textId="77777777" w:rsidR="003663AF" w:rsidRPr="00B7760C" w:rsidRDefault="003663AF" w:rsidP="003663AF">
      <w:pPr>
        <w:pStyle w:val="NormalBold12b"/>
      </w:pPr>
      <w:r w:rsidRPr="00B7760C">
        <w:t>Predlog uredbe</w:t>
      </w:r>
    </w:p>
    <w:p w14:paraId="09F082CC" w14:textId="77777777" w:rsidR="003663AF" w:rsidRPr="00B7760C" w:rsidRDefault="003663AF" w:rsidP="003663AF">
      <w:pPr>
        <w:pStyle w:val="NormalBold"/>
      </w:pPr>
      <w:r w:rsidRPr="00B7760C">
        <w:t>Člen 4 – odstavek 1 – uvodni del</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45EF2D7" w14:textId="77777777" w:rsidTr="00E804B7">
        <w:trPr>
          <w:jc w:val="center"/>
        </w:trPr>
        <w:tc>
          <w:tcPr>
            <w:tcW w:w="9752" w:type="dxa"/>
            <w:gridSpan w:val="2"/>
          </w:tcPr>
          <w:p w14:paraId="6AD68FFE" w14:textId="77777777" w:rsidR="003663AF" w:rsidRPr="00B7760C" w:rsidRDefault="003663AF" w:rsidP="00E804B7">
            <w:pPr>
              <w:keepNext/>
            </w:pPr>
          </w:p>
        </w:tc>
      </w:tr>
      <w:tr w:rsidR="003663AF" w:rsidRPr="00B7760C" w14:paraId="0E6679DD" w14:textId="77777777" w:rsidTr="00E804B7">
        <w:trPr>
          <w:jc w:val="center"/>
        </w:trPr>
        <w:tc>
          <w:tcPr>
            <w:tcW w:w="4876" w:type="dxa"/>
            <w:hideMark/>
          </w:tcPr>
          <w:p w14:paraId="09970DC8" w14:textId="77777777" w:rsidR="003663AF" w:rsidRPr="00B7760C" w:rsidRDefault="003663AF" w:rsidP="00E804B7">
            <w:pPr>
              <w:pStyle w:val="ColumnHeading"/>
              <w:keepNext/>
            </w:pPr>
            <w:r w:rsidRPr="00B7760C">
              <w:t>Besedilo, ki ga predlaga Komisija</w:t>
            </w:r>
          </w:p>
        </w:tc>
        <w:tc>
          <w:tcPr>
            <w:tcW w:w="4876" w:type="dxa"/>
            <w:hideMark/>
          </w:tcPr>
          <w:p w14:paraId="02F865CF" w14:textId="05BD55B4" w:rsidR="003663AF" w:rsidRPr="00B7760C" w:rsidRDefault="00877691" w:rsidP="00E804B7">
            <w:pPr>
              <w:pStyle w:val="ColumnHeading"/>
              <w:keepNext/>
            </w:pPr>
            <w:r w:rsidRPr="00B7760C">
              <w:t>Sprememba</w:t>
            </w:r>
          </w:p>
        </w:tc>
      </w:tr>
      <w:tr w:rsidR="003663AF" w:rsidRPr="00B7760C" w14:paraId="22299813" w14:textId="77777777" w:rsidTr="00E804B7">
        <w:trPr>
          <w:jc w:val="center"/>
        </w:trPr>
        <w:tc>
          <w:tcPr>
            <w:tcW w:w="4876" w:type="dxa"/>
            <w:hideMark/>
          </w:tcPr>
          <w:p w14:paraId="0C5DC797" w14:textId="77777777" w:rsidR="003663AF" w:rsidRPr="00B7760C" w:rsidRDefault="003663AF" w:rsidP="00E804B7">
            <w:pPr>
              <w:pStyle w:val="Normal6"/>
            </w:pPr>
            <w:r w:rsidRPr="00B7760C">
              <w:t>1.</w:t>
            </w:r>
            <w:r w:rsidRPr="00B7760C">
              <w:tab/>
              <w:t xml:space="preserve">Države članice v svojih strateških načrtih SKP zagotovijo opredelitev pojmov kmetijska dejavnost, kmetijska površina, upravičeni hektar, </w:t>
            </w:r>
            <w:r w:rsidRPr="00B7760C">
              <w:rPr>
                <w:b/>
                <w:i/>
              </w:rPr>
              <w:t>pravi</w:t>
            </w:r>
            <w:r w:rsidRPr="00B7760C">
              <w:t xml:space="preserve"> kmet in </w:t>
            </w:r>
            <w:r w:rsidRPr="00B7760C">
              <w:rPr>
                <w:b/>
                <w:i/>
              </w:rPr>
              <w:t>mladi</w:t>
            </w:r>
            <w:r w:rsidRPr="00B7760C">
              <w:t xml:space="preserve"> kmet:</w:t>
            </w:r>
          </w:p>
        </w:tc>
        <w:tc>
          <w:tcPr>
            <w:tcW w:w="4876" w:type="dxa"/>
            <w:hideMark/>
          </w:tcPr>
          <w:p w14:paraId="04BEAE19" w14:textId="77777777" w:rsidR="003663AF" w:rsidRPr="00B7760C" w:rsidRDefault="003663AF" w:rsidP="00E804B7">
            <w:pPr>
              <w:pStyle w:val="Normal6"/>
              <w:rPr>
                <w:szCs w:val="24"/>
              </w:rPr>
            </w:pPr>
            <w:r w:rsidRPr="00B7760C">
              <w:t>1.</w:t>
            </w:r>
            <w:r w:rsidRPr="00B7760C">
              <w:tab/>
              <w:t xml:space="preserve">Države članice v svojih strateških načrtih SKP zagotovijo opredelitev pojmov kmetijska dejavnost, kmetijska površina, upravičeni hektar, </w:t>
            </w:r>
            <w:r w:rsidRPr="00B7760C">
              <w:rPr>
                <w:b/>
                <w:i/>
              </w:rPr>
              <w:t>dejavni kmet, mladi</w:t>
            </w:r>
            <w:r w:rsidRPr="00B7760C">
              <w:t xml:space="preserve"> kmet in </w:t>
            </w:r>
            <w:r w:rsidRPr="00B7760C">
              <w:rPr>
                <w:b/>
                <w:i/>
              </w:rPr>
              <w:t>novi</w:t>
            </w:r>
            <w:r w:rsidRPr="00B7760C">
              <w:t xml:space="preserve"> kmet:</w:t>
            </w:r>
          </w:p>
        </w:tc>
      </w:tr>
    </w:tbl>
    <w:p w14:paraId="30BBE413" w14:textId="4D968F0C" w:rsidR="003663AF" w:rsidRPr="00B7760C" w:rsidRDefault="003663AF" w:rsidP="003663AF"/>
    <w:p w14:paraId="2B12241F" w14:textId="33308D2E" w:rsidR="008A70F3" w:rsidRPr="00B7760C" w:rsidRDefault="007C5504" w:rsidP="008A70F3">
      <w:pPr>
        <w:pStyle w:val="AmNumberTabs0"/>
      </w:pPr>
      <w:r w:rsidRPr="00B7760C">
        <w:t>Spremembi</w:t>
      </w:r>
      <w:r w:rsidR="008A70F3" w:rsidRPr="00B7760C">
        <w:tab/>
      </w:r>
      <w:r w:rsidR="008A70F3" w:rsidRPr="00B7760C">
        <w:tab/>
        <w:t>866</w:t>
      </w:r>
      <w:r w:rsidRPr="00B7760C">
        <w:t xml:space="preserve"> in 1185</w:t>
      </w:r>
    </w:p>
    <w:p w14:paraId="72008D07" w14:textId="77777777" w:rsidR="008A70F3" w:rsidRPr="00B7760C" w:rsidRDefault="008A70F3" w:rsidP="008A70F3">
      <w:pPr>
        <w:pStyle w:val="NormalBold12b"/>
      </w:pPr>
      <w:r w:rsidRPr="00B7760C">
        <w:t>Predlog uredbe</w:t>
      </w:r>
    </w:p>
    <w:p w14:paraId="1A2F4898" w14:textId="77777777" w:rsidR="008A70F3" w:rsidRPr="00B7760C" w:rsidRDefault="008A70F3" w:rsidP="008A70F3">
      <w:pPr>
        <w:pStyle w:val="NormalBold"/>
      </w:pPr>
      <w:r w:rsidRPr="00B7760C">
        <w:t>Člen 4 – odstavek 1 – točka 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8A70F3" w:rsidRPr="00B7760C" w14:paraId="6E67EA8D" w14:textId="77777777" w:rsidTr="00B64899">
        <w:trPr>
          <w:trHeight w:hRule="exact" w:val="240"/>
          <w:jc w:val="center"/>
        </w:trPr>
        <w:tc>
          <w:tcPr>
            <w:tcW w:w="9752" w:type="dxa"/>
            <w:gridSpan w:val="2"/>
          </w:tcPr>
          <w:p w14:paraId="2300BD39" w14:textId="77777777" w:rsidR="008A70F3" w:rsidRPr="00B7760C" w:rsidRDefault="008A70F3" w:rsidP="00B64899"/>
        </w:tc>
      </w:tr>
      <w:tr w:rsidR="008A70F3" w:rsidRPr="00B7760C" w14:paraId="7EFB7082" w14:textId="77777777" w:rsidTr="00B64899">
        <w:trPr>
          <w:trHeight w:val="240"/>
          <w:jc w:val="center"/>
        </w:trPr>
        <w:tc>
          <w:tcPr>
            <w:tcW w:w="4876" w:type="dxa"/>
          </w:tcPr>
          <w:p w14:paraId="239E21EE" w14:textId="77777777" w:rsidR="008A70F3" w:rsidRPr="00B7760C" w:rsidRDefault="008A70F3" w:rsidP="00B64899">
            <w:pPr>
              <w:pStyle w:val="AmColumnHeading"/>
            </w:pPr>
            <w:r w:rsidRPr="00B7760C">
              <w:t>Besedilo, ki ga predlaga Komisija</w:t>
            </w:r>
          </w:p>
        </w:tc>
        <w:tc>
          <w:tcPr>
            <w:tcW w:w="4876" w:type="dxa"/>
          </w:tcPr>
          <w:p w14:paraId="048860EF" w14:textId="0D6A1FF9" w:rsidR="008A70F3" w:rsidRPr="00B7760C" w:rsidRDefault="008A70F3" w:rsidP="00B64899">
            <w:pPr>
              <w:pStyle w:val="AmColumnHeading"/>
            </w:pPr>
            <w:r w:rsidRPr="00B7760C">
              <w:t>Sprememba</w:t>
            </w:r>
          </w:p>
        </w:tc>
      </w:tr>
      <w:tr w:rsidR="008A70F3" w:rsidRPr="00B7760C" w14:paraId="18834A07" w14:textId="77777777" w:rsidTr="00B64899">
        <w:trPr>
          <w:jc w:val="center"/>
        </w:trPr>
        <w:tc>
          <w:tcPr>
            <w:tcW w:w="4876" w:type="dxa"/>
          </w:tcPr>
          <w:p w14:paraId="0F183A91" w14:textId="77777777" w:rsidR="008A70F3" w:rsidRPr="00B7760C" w:rsidRDefault="008A70F3" w:rsidP="00B64899">
            <w:pPr>
              <w:pStyle w:val="Normal6a"/>
            </w:pPr>
            <w:r w:rsidRPr="00B7760C">
              <w:t>(a)</w:t>
            </w:r>
            <w:r w:rsidRPr="00B7760C">
              <w:tab/>
              <w:t>„kmetijska dejavnost“ se opredeli tako, da vključuje proizvodnjo kmetijskih proizvodov s seznama v Prilogi I k PDEU, vključno z bombažem in panjevci s kratko obhodnjo, ter tudi vzdrževanje kmetijske površine v stanju, primernem za pašo ali pridelavo brez pripravljalnih ukrepov, ki presegajo uporabo običajnih kmetijskih metod in strojev;</w:t>
            </w:r>
          </w:p>
        </w:tc>
        <w:tc>
          <w:tcPr>
            <w:tcW w:w="4876" w:type="dxa"/>
          </w:tcPr>
          <w:p w14:paraId="2F8B9296" w14:textId="7353D270" w:rsidR="008A70F3" w:rsidRPr="00B7760C" w:rsidRDefault="008A70F3" w:rsidP="00B64899">
            <w:pPr>
              <w:pStyle w:val="Normal6a"/>
            </w:pPr>
            <w:r w:rsidRPr="00B7760C">
              <w:t>(a)</w:t>
            </w:r>
            <w:r w:rsidRPr="00B7760C">
              <w:tab/>
              <w:t xml:space="preserve">„kmetijska dejavnost“ se opredeli tako, da vključuje proizvodnjo kmetijskih proizvodov s seznama v Prilogi I k PDEU, vključno z bombažem in panjevci s kratko obhodnjo </w:t>
            </w:r>
            <w:r w:rsidRPr="00B7760C">
              <w:rPr>
                <w:b/>
                <w:i/>
              </w:rPr>
              <w:t>in paludikulturo</w:t>
            </w:r>
            <w:r w:rsidRPr="00B7760C">
              <w:t>, ter tudi vzdrževanje kmetijske površine v stanju, primernem za pašo ali pridelavo brez pripravljalnih ukrepov, ki presegajo uporabo običajnih kmetijskih metod in strojev</w:t>
            </w:r>
            <w:r w:rsidR="007C5504" w:rsidRPr="00B7760C">
              <w:rPr>
                <w:b/>
                <w:i/>
              </w:rPr>
              <w:t>, tudi v kmetijsko-gozdarskem sistemu</w:t>
            </w:r>
            <w:r w:rsidRPr="00B7760C">
              <w:t>;</w:t>
            </w:r>
          </w:p>
        </w:tc>
      </w:tr>
    </w:tbl>
    <w:p w14:paraId="2F0ED727" w14:textId="77777777" w:rsidR="008A70F3" w:rsidRPr="00B7760C" w:rsidRDefault="008A70F3" w:rsidP="003663AF"/>
    <w:p w14:paraId="33297835" w14:textId="623C2FD5" w:rsidR="003663AF" w:rsidRPr="00B7760C" w:rsidRDefault="00877691" w:rsidP="003663AF">
      <w:pPr>
        <w:pStyle w:val="AMNumberTabs"/>
        <w:keepNext/>
      </w:pPr>
      <w:r w:rsidRPr="00B7760C">
        <w:t>Sprememb</w:t>
      </w:r>
      <w:r w:rsidR="00B64899" w:rsidRPr="00B7760C">
        <w:t>i</w:t>
      </w:r>
      <w:r w:rsidR="003663AF" w:rsidRPr="00B7760C">
        <w:tab/>
      </w:r>
      <w:r w:rsidR="003663AF" w:rsidRPr="00B7760C">
        <w:tab/>
        <w:t>87</w:t>
      </w:r>
      <w:r w:rsidR="00B64899" w:rsidRPr="00B7760C">
        <w:t xml:space="preserve"> in 1148</w:t>
      </w:r>
      <w:r w:rsidR="007C5504" w:rsidRPr="00B7760C">
        <w:t xml:space="preserve"> cp2</w:t>
      </w:r>
    </w:p>
    <w:p w14:paraId="58F551C9" w14:textId="77777777" w:rsidR="003663AF" w:rsidRPr="00B7760C" w:rsidRDefault="003663AF" w:rsidP="003663AF">
      <w:pPr>
        <w:pStyle w:val="NormalBold12b"/>
      </w:pPr>
      <w:r w:rsidRPr="00B7760C">
        <w:t>Predlog uredbe</w:t>
      </w:r>
    </w:p>
    <w:p w14:paraId="564F5F44" w14:textId="77777777" w:rsidR="003663AF" w:rsidRPr="00B7760C" w:rsidRDefault="003663AF" w:rsidP="003663AF">
      <w:pPr>
        <w:pStyle w:val="NormalBold"/>
      </w:pPr>
      <w:r w:rsidRPr="00B7760C">
        <w:t>Člen 4 – odstavek 1 – točka b – uvodni del</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B4E8C3B" w14:textId="77777777" w:rsidTr="00E804B7">
        <w:trPr>
          <w:jc w:val="center"/>
        </w:trPr>
        <w:tc>
          <w:tcPr>
            <w:tcW w:w="9752" w:type="dxa"/>
            <w:gridSpan w:val="2"/>
          </w:tcPr>
          <w:p w14:paraId="3E0685FA" w14:textId="77777777" w:rsidR="003663AF" w:rsidRPr="00B7760C" w:rsidRDefault="003663AF" w:rsidP="00E804B7">
            <w:pPr>
              <w:keepNext/>
            </w:pPr>
          </w:p>
        </w:tc>
      </w:tr>
      <w:tr w:rsidR="003663AF" w:rsidRPr="00B7760C" w14:paraId="480BD1E9" w14:textId="77777777" w:rsidTr="00E804B7">
        <w:trPr>
          <w:jc w:val="center"/>
        </w:trPr>
        <w:tc>
          <w:tcPr>
            <w:tcW w:w="4876" w:type="dxa"/>
            <w:hideMark/>
          </w:tcPr>
          <w:p w14:paraId="2F66870E" w14:textId="77777777" w:rsidR="003663AF" w:rsidRPr="00B7760C" w:rsidRDefault="003663AF" w:rsidP="00E804B7">
            <w:pPr>
              <w:pStyle w:val="ColumnHeading"/>
              <w:keepNext/>
            </w:pPr>
            <w:r w:rsidRPr="00B7760C">
              <w:t>Besedilo, ki ga predlaga Komisija</w:t>
            </w:r>
          </w:p>
        </w:tc>
        <w:tc>
          <w:tcPr>
            <w:tcW w:w="4876" w:type="dxa"/>
            <w:hideMark/>
          </w:tcPr>
          <w:p w14:paraId="0B57F2D7" w14:textId="10DE8B72" w:rsidR="003663AF" w:rsidRPr="00B7760C" w:rsidRDefault="00877691" w:rsidP="00E804B7">
            <w:pPr>
              <w:pStyle w:val="ColumnHeading"/>
              <w:keepNext/>
            </w:pPr>
            <w:r w:rsidRPr="00B7760C">
              <w:t>Sprememba</w:t>
            </w:r>
          </w:p>
        </w:tc>
      </w:tr>
      <w:tr w:rsidR="003663AF" w:rsidRPr="00B7760C" w14:paraId="61787593" w14:textId="77777777" w:rsidTr="00E804B7">
        <w:trPr>
          <w:jc w:val="center"/>
        </w:trPr>
        <w:tc>
          <w:tcPr>
            <w:tcW w:w="4876" w:type="dxa"/>
            <w:hideMark/>
          </w:tcPr>
          <w:p w14:paraId="0880AD24" w14:textId="77777777" w:rsidR="003663AF" w:rsidRPr="00B7760C" w:rsidRDefault="003663AF" w:rsidP="00E804B7">
            <w:pPr>
              <w:pStyle w:val="Normal6"/>
            </w:pPr>
            <w:r w:rsidRPr="00B7760C">
              <w:t>(b)</w:t>
            </w:r>
            <w:r w:rsidRPr="00B7760C">
              <w:tab/>
              <w:t xml:space="preserve">„kmetijska površina“ se opredeli tako, da je sestavljena iz ornih zemljišč, trajnih nasadov in </w:t>
            </w:r>
            <w:r w:rsidRPr="00B7760C">
              <w:rPr>
                <w:b/>
                <w:i/>
              </w:rPr>
              <w:t>trajnega travinja</w:t>
            </w:r>
            <w:r w:rsidRPr="00B7760C">
              <w:t>. Države članice pojme „orno zemljišče“, „trajni nasad“</w:t>
            </w:r>
            <w:r w:rsidRPr="00B7760C">
              <w:rPr>
                <w:b/>
                <w:i/>
              </w:rPr>
              <w:t xml:space="preserve"> in</w:t>
            </w:r>
            <w:r w:rsidRPr="00B7760C">
              <w:t xml:space="preserve"> „trajno travinje“ podrobneje opredelijo znotraj naslednjega okvira:</w:t>
            </w:r>
          </w:p>
        </w:tc>
        <w:tc>
          <w:tcPr>
            <w:tcW w:w="4876" w:type="dxa"/>
            <w:hideMark/>
          </w:tcPr>
          <w:p w14:paraId="4B7EFB38" w14:textId="77777777" w:rsidR="003663AF" w:rsidRPr="00B7760C" w:rsidRDefault="003663AF" w:rsidP="00E804B7">
            <w:pPr>
              <w:pStyle w:val="Normal6"/>
              <w:rPr>
                <w:szCs w:val="24"/>
              </w:rPr>
            </w:pPr>
            <w:r w:rsidRPr="00B7760C">
              <w:t>(b)</w:t>
            </w:r>
            <w:r w:rsidRPr="00B7760C">
              <w:tab/>
              <w:t>„kmetijska površina“ se opredeli tako, da je sestavljena iz ornih zemljišč, trajnih nasadov</w:t>
            </w:r>
            <w:r w:rsidRPr="00B7760C">
              <w:rPr>
                <w:b/>
                <w:i/>
              </w:rPr>
              <w:t>, trajnega travinja</w:t>
            </w:r>
            <w:r w:rsidRPr="00B7760C">
              <w:t xml:space="preserve"> in </w:t>
            </w:r>
            <w:r w:rsidRPr="00B7760C">
              <w:rPr>
                <w:b/>
                <w:i/>
              </w:rPr>
              <w:t>kmetijsko-gozdarskih sistemov. Krajinske značilnosti se vključijo kot sestavine kmetijske površine</w:t>
            </w:r>
            <w:r w:rsidRPr="00B7760C">
              <w:t>. Države članice pojme „orno zemljišče“, „trajni nasad“</w:t>
            </w:r>
            <w:r w:rsidRPr="00B7760C">
              <w:rPr>
                <w:b/>
                <w:i/>
              </w:rPr>
              <w:t>,</w:t>
            </w:r>
            <w:r w:rsidRPr="00B7760C">
              <w:t xml:space="preserve"> „trajno travinje“</w:t>
            </w:r>
            <w:r w:rsidRPr="00B7760C">
              <w:rPr>
                <w:b/>
                <w:i/>
              </w:rPr>
              <w:t xml:space="preserve"> in „kmetijsko-gozdarski sistemi“</w:t>
            </w:r>
            <w:r w:rsidRPr="00B7760C">
              <w:t xml:space="preserve"> podrobneje opredelijo znotraj naslednjega okvira:</w:t>
            </w:r>
          </w:p>
        </w:tc>
      </w:tr>
    </w:tbl>
    <w:p w14:paraId="06E5BAC6" w14:textId="48742756" w:rsidR="00B64899" w:rsidRPr="00B7760C" w:rsidRDefault="00B64899" w:rsidP="003663AF"/>
    <w:p w14:paraId="045549B5" w14:textId="6FC4ED9B" w:rsidR="00B64899" w:rsidRPr="00B7760C" w:rsidRDefault="00B64899" w:rsidP="00B64899">
      <w:pPr>
        <w:pStyle w:val="AmNumberTabs0"/>
      </w:pPr>
      <w:r w:rsidRPr="00B7760C">
        <w:t>Sprememba</w:t>
      </w:r>
      <w:r w:rsidRPr="00B7760C">
        <w:tab/>
      </w:r>
      <w:r w:rsidRPr="00B7760C">
        <w:tab/>
        <w:t>1148</w:t>
      </w:r>
      <w:r w:rsidR="007C5504" w:rsidRPr="00B7760C">
        <w:t xml:space="preserve"> cp3</w:t>
      </w:r>
    </w:p>
    <w:p w14:paraId="56F95A1A" w14:textId="77777777" w:rsidR="00B64899" w:rsidRPr="00B7760C" w:rsidRDefault="00B64899" w:rsidP="00B64899">
      <w:pPr>
        <w:pStyle w:val="NormalBold12b"/>
      </w:pPr>
      <w:r w:rsidRPr="00B7760C">
        <w:t>Predlog uredbe</w:t>
      </w:r>
    </w:p>
    <w:p w14:paraId="37027DE0" w14:textId="166C12CB" w:rsidR="00B64899" w:rsidRPr="00B7760C" w:rsidRDefault="00B64899" w:rsidP="00B64899">
      <w:pPr>
        <w:pStyle w:val="NormalBold"/>
      </w:pPr>
      <w:r w:rsidRPr="00B7760C">
        <w:t>Člen 4 – odstavek 1 – točka b – točka i</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B64899" w:rsidRPr="00B7760C" w14:paraId="250EE1D3" w14:textId="77777777" w:rsidTr="009473FB">
        <w:trPr>
          <w:trHeight w:hRule="exact" w:val="240"/>
          <w:jc w:val="center"/>
        </w:trPr>
        <w:tc>
          <w:tcPr>
            <w:tcW w:w="9752" w:type="dxa"/>
            <w:gridSpan w:val="2"/>
          </w:tcPr>
          <w:p w14:paraId="75A3B976" w14:textId="77777777" w:rsidR="00B64899" w:rsidRPr="00B7760C" w:rsidRDefault="00B64899" w:rsidP="00B64899"/>
        </w:tc>
      </w:tr>
      <w:tr w:rsidR="00B64899" w:rsidRPr="00B7760C" w14:paraId="0FD0C3C3" w14:textId="77777777" w:rsidTr="009473FB">
        <w:trPr>
          <w:trHeight w:val="240"/>
          <w:jc w:val="center"/>
        </w:trPr>
        <w:tc>
          <w:tcPr>
            <w:tcW w:w="4876" w:type="dxa"/>
          </w:tcPr>
          <w:p w14:paraId="46FA1C2A" w14:textId="77777777" w:rsidR="00B64899" w:rsidRPr="00B7760C" w:rsidRDefault="00B64899" w:rsidP="00B64899">
            <w:pPr>
              <w:pStyle w:val="AmColumnHeading"/>
            </w:pPr>
            <w:r w:rsidRPr="00B7760C">
              <w:t>Besedilo, ki ga predlaga Komisija</w:t>
            </w:r>
          </w:p>
        </w:tc>
        <w:tc>
          <w:tcPr>
            <w:tcW w:w="4876" w:type="dxa"/>
          </w:tcPr>
          <w:p w14:paraId="04176029" w14:textId="57A86B9C" w:rsidR="00B64899" w:rsidRPr="00B7760C" w:rsidRDefault="00B64899" w:rsidP="00B64899">
            <w:pPr>
              <w:pStyle w:val="AmColumnHeading"/>
            </w:pPr>
            <w:r w:rsidRPr="00B7760C">
              <w:t>Sprememba</w:t>
            </w:r>
          </w:p>
        </w:tc>
      </w:tr>
      <w:tr w:rsidR="00B64899" w:rsidRPr="00B7760C" w14:paraId="4CC78D1A" w14:textId="77777777" w:rsidTr="009473FB">
        <w:trPr>
          <w:jc w:val="center"/>
        </w:trPr>
        <w:tc>
          <w:tcPr>
            <w:tcW w:w="4876" w:type="dxa"/>
          </w:tcPr>
          <w:p w14:paraId="1D65D4B4" w14:textId="77777777" w:rsidR="00B64899" w:rsidRPr="00B7760C" w:rsidRDefault="00B64899" w:rsidP="00B64899">
            <w:pPr>
              <w:pStyle w:val="Normal6a"/>
            </w:pPr>
            <w:r w:rsidRPr="00B7760C">
              <w:t>(i)</w:t>
            </w:r>
            <w:r w:rsidRPr="00B7760C">
              <w:tab/>
              <w:t>„orno zemljišče“ je zemljišče, ki se obdeluje za namene pridelave kmetijskih rastlin, ali območja, ki so na voljo za pridelavo kmetijskih rastlin, vendar so neobdelana, vključno s površinami pod praho v skladu s členi 22, 23 in 24 Uredbe Sveta (ES) št. 1257/1999</w:t>
            </w:r>
            <w:r w:rsidRPr="00B7760C">
              <w:rPr>
                <w:rStyle w:val="Sup"/>
              </w:rPr>
              <w:t>28</w:t>
            </w:r>
            <w:r w:rsidRPr="00B7760C">
              <w:t>, členom 39 Uredbe Sveta (ES) št. 1698/2005</w:t>
            </w:r>
            <w:r w:rsidRPr="00B7760C">
              <w:rPr>
                <w:rStyle w:val="Sup"/>
              </w:rPr>
              <w:t>29</w:t>
            </w:r>
            <w:r w:rsidRPr="00B7760C">
              <w:rPr>
                <w:b/>
                <w:i/>
              </w:rPr>
              <w:t xml:space="preserve"> </w:t>
            </w:r>
            <w:r w:rsidRPr="00B7760C">
              <w:t>, členom 28 Uredbe (EU) št. 1305/2013 ali členom 65 te uredbe;</w:t>
            </w:r>
          </w:p>
        </w:tc>
        <w:tc>
          <w:tcPr>
            <w:tcW w:w="4876" w:type="dxa"/>
          </w:tcPr>
          <w:p w14:paraId="669DBF7A" w14:textId="661889A9" w:rsidR="00B64899" w:rsidRPr="00B7760C" w:rsidRDefault="00130CC4" w:rsidP="00B64899">
            <w:pPr>
              <w:pStyle w:val="Normal6a"/>
            </w:pPr>
            <w:r w:rsidRPr="00B7760C">
              <w:t>(i)</w:t>
            </w:r>
            <w:r w:rsidRPr="00B7760C">
              <w:tab/>
              <w:t xml:space="preserve">„orno zemljišče“ je zemljišče, ki se obdeluje za namene pridelave kmetijskih rastlin, ali območja, ki so na voljo za pridelavo kmetijskih rastlin, vendar so neobdelana, </w:t>
            </w:r>
            <w:r w:rsidRPr="00B7760C">
              <w:rPr>
                <w:b/>
                <w:i/>
              </w:rPr>
              <w:t xml:space="preserve">in so lahko posevki z drevesi in/ali grmičevjem kombinirani v kmetijsko-gozdarski sistem, </w:t>
            </w:r>
            <w:r w:rsidRPr="00B7760C">
              <w:t>vključno s površinami pod praho v skladu s členi 22, 23 in 24 Uredbe Sveta (ES) št. 1257/1999</w:t>
            </w:r>
            <w:r w:rsidRPr="00B7760C">
              <w:rPr>
                <w:rStyle w:val="Sup"/>
              </w:rPr>
              <w:t>28</w:t>
            </w:r>
            <w:r w:rsidRPr="00B7760C">
              <w:t>, členom 39 Uredbe Sveta (ES) št. 1698/2005</w:t>
            </w:r>
            <w:r w:rsidRPr="00B7760C">
              <w:rPr>
                <w:rStyle w:val="Sup"/>
              </w:rPr>
              <w:t>29</w:t>
            </w:r>
            <w:r w:rsidRPr="00B7760C">
              <w:t>, členom 28 Uredbe (EU) št. 1305/2013 ali členom 65 te uredbe;</w:t>
            </w:r>
          </w:p>
        </w:tc>
      </w:tr>
      <w:tr w:rsidR="00B64899" w:rsidRPr="00B7760C" w14:paraId="60020BC1" w14:textId="77777777" w:rsidTr="009473FB">
        <w:trPr>
          <w:jc w:val="center"/>
        </w:trPr>
        <w:tc>
          <w:tcPr>
            <w:tcW w:w="4876" w:type="dxa"/>
          </w:tcPr>
          <w:p w14:paraId="55A6E7D2" w14:textId="77777777" w:rsidR="00B64899" w:rsidRPr="00B7760C" w:rsidRDefault="00B64899" w:rsidP="00B64899">
            <w:pPr>
              <w:pStyle w:val="Normal6a"/>
            </w:pPr>
            <w:r w:rsidRPr="00B7760C">
              <w:t>_________________</w:t>
            </w:r>
          </w:p>
        </w:tc>
        <w:tc>
          <w:tcPr>
            <w:tcW w:w="4876" w:type="dxa"/>
          </w:tcPr>
          <w:p w14:paraId="7F183DA6" w14:textId="77777777" w:rsidR="00B64899" w:rsidRPr="00B7760C" w:rsidRDefault="00B64899" w:rsidP="00B64899">
            <w:pPr>
              <w:pStyle w:val="Normal6a"/>
            </w:pPr>
            <w:r w:rsidRPr="00B7760C">
              <w:t>_________________</w:t>
            </w:r>
          </w:p>
        </w:tc>
      </w:tr>
      <w:tr w:rsidR="00B64899" w:rsidRPr="00B7760C" w14:paraId="0D02CB1E" w14:textId="77777777" w:rsidTr="009473FB">
        <w:trPr>
          <w:jc w:val="center"/>
        </w:trPr>
        <w:tc>
          <w:tcPr>
            <w:tcW w:w="4876" w:type="dxa"/>
          </w:tcPr>
          <w:p w14:paraId="4989CE18" w14:textId="198C9172" w:rsidR="00B64899" w:rsidRPr="00B7760C" w:rsidRDefault="00B64899" w:rsidP="00B64899">
            <w:pPr>
              <w:pStyle w:val="Normal6a"/>
            </w:pPr>
            <w:r w:rsidRPr="00B7760C">
              <w:rPr>
                <w:rStyle w:val="Sup"/>
              </w:rPr>
              <w:t>28</w:t>
            </w:r>
            <w:r w:rsidRPr="00B7760C">
              <w:t xml:space="preserve"> </w:t>
            </w:r>
            <w:r w:rsidR="004D7917" w:rsidRPr="00B7760C">
              <w:tab/>
            </w:r>
            <w:r w:rsidRPr="00B7760C">
              <w:t>Uredba Sveta (ES) št. 1257/1999 z dne 17. maja 1999 o podpori za razvoj podeželja iz Evropskega kmetijskega usmerjevalnega in jamstvenega sklada (EKUJS) ter o spremembi in razveljavitvi določenih uredb (UL L 160, 26.6.1999, str. 80).</w:t>
            </w:r>
          </w:p>
        </w:tc>
        <w:tc>
          <w:tcPr>
            <w:tcW w:w="4876" w:type="dxa"/>
          </w:tcPr>
          <w:p w14:paraId="46B44689" w14:textId="65DF2037" w:rsidR="00B64899" w:rsidRPr="00B7760C" w:rsidRDefault="00B64899" w:rsidP="00B64899">
            <w:pPr>
              <w:pStyle w:val="Normal6a"/>
            </w:pPr>
            <w:r w:rsidRPr="00B7760C">
              <w:rPr>
                <w:rStyle w:val="Sup"/>
              </w:rPr>
              <w:t>28</w:t>
            </w:r>
            <w:r w:rsidRPr="00B7760C">
              <w:t xml:space="preserve"> </w:t>
            </w:r>
            <w:r w:rsidR="004D7917" w:rsidRPr="00B7760C">
              <w:tab/>
            </w:r>
            <w:r w:rsidRPr="00B7760C">
              <w:t>Uredba Sveta (ES) št. 1257/1999 z dne 17. maja 1999 o podpori za razvoj podeželja iz Evropskega kmetijskega usmerjevalnega in jamstvenega sklada (EKUJS) ter o spremembi in razveljavitvi določenih uredb (UL L 160, 26.6.1999, str. 80).</w:t>
            </w:r>
          </w:p>
        </w:tc>
      </w:tr>
      <w:tr w:rsidR="00B64899" w:rsidRPr="00B7760C" w14:paraId="711E5D7A" w14:textId="77777777" w:rsidTr="009473FB">
        <w:trPr>
          <w:jc w:val="center"/>
        </w:trPr>
        <w:tc>
          <w:tcPr>
            <w:tcW w:w="4876" w:type="dxa"/>
          </w:tcPr>
          <w:p w14:paraId="3F36ED1B" w14:textId="40B47451" w:rsidR="00B64899" w:rsidRPr="00B7760C" w:rsidRDefault="00B64899" w:rsidP="00B64899">
            <w:pPr>
              <w:pStyle w:val="Normal6a"/>
            </w:pPr>
            <w:r w:rsidRPr="00B7760C">
              <w:rPr>
                <w:rStyle w:val="Sup"/>
              </w:rPr>
              <w:t>29</w:t>
            </w:r>
            <w:r w:rsidRPr="00B7760C">
              <w:t xml:space="preserve"> </w:t>
            </w:r>
            <w:r w:rsidR="004D7917" w:rsidRPr="00B7760C">
              <w:tab/>
            </w:r>
            <w:r w:rsidRPr="00B7760C">
              <w:t>Uredba Sveta (ES) št. 1698/2005 z dne 20. septembra 2005 o podpori za razvoj podeželja iz Evropskega kmetijskega sklada za razvoj podeželja (EKSRP) (UL L 277, 21.10.2005, str. 1).</w:t>
            </w:r>
          </w:p>
        </w:tc>
        <w:tc>
          <w:tcPr>
            <w:tcW w:w="4876" w:type="dxa"/>
          </w:tcPr>
          <w:p w14:paraId="3932E8EB" w14:textId="3BE3C130" w:rsidR="00B64899" w:rsidRPr="00B7760C" w:rsidRDefault="00B64899" w:rsidP="00B64899">
            <w:pPr>
              <w:pStyle w:val="Normal6a"/>
            </w:pPr>
            <w:r w:rsidRPr="00B7760C">
              <w:rPr>
                <w:rStyle w:val="Sup"/>
              </w:rPr>
              <w:t>29</w:t>
            </w:r>
            <w:r w:rsidRPr="00B7760C">
              <w:t xml:space="preserve"> </w:t>
            </w:r>
            <w:r w:rsidR="004D7917" w:rsidRPr="00B7760C">
              <w:tab/>
            </w:r>
            <w:r w:rsidRPr="00B7760C">
              <w:t>Uredba Sveta (ES) št. 1698/2005 z dne 20. septembra 2005 o podpori za razvoj podeželja iz Evropskega kmetijskega sklada za razvoj podeželja (EKSRP) (UL L 277, 21.10.2005, str. 1).</w:t>
            </w:r>
          </w:p>
        </w:tc>
      </w:tr>
    </w:tbl>
    <w:p w14:paraId="2B15F499" w14:textId="2F1E335A" w:rsidR="00B64899" w:rsidRPr="00B7760C" w:rsidRDefault="00B64899" w:rsidP="003663AF"/>
    <w:p w14:paraId="32162D7E" w14:textId="21EC3654" w:rsidR="007C5504" w:rsidRPr="00B7760C" w:rsidRDefault="007C5504" w:rsidP="007C5504">
      <w:pPr>
        <w:pStyle w:val="AmNumberTabs0"/>
      </w:pPr>
      <w:r w:rsidRPr="00B7760C">
        <w:t>Sprememba</w:t>
      </w:r>
      <w:r w:rsidRPr="00B7760C">
        <w:tab/>
      </w:r>
      <w:r w:rsidRPr="00B7760C">
        <w:tab/>
        <w:t>1148 cp4</w:t>
      </w:r>
    </w:p>
    <w:p w14:paraId="17DBFDB0" w14:textId="77777777" w:rsidR="007C5504" w:rsidRPr="00B7760C" w:rsidRDefault="007C5504" w:rsidP="007C5504">
      <w:pPr>
        <w:pStyle w:val="NormalBold12b"/>
      </w:pPr>
      <w:r w:rsidRPr="00B7760C">
        <w:t>Predlog uredbe</w:t>
      </w:r>
    </w:p>
    <w:p w14:paraId="6DA00447" w14:textId="7BEF6AC7" w:rsidR="007C5504" w:rsidRPr="00B7760C" w:rsidRDefault="007C5504" w:rsidP="007C5504">
      <w:pPr>
        <w:pStyle w:val="NormalBold"/>
      </w:pPr>
      <w:r w:rsidRPr="00B7760C">
        <w:t>Člen 4 – odstavek 1 – točka b – točka ii</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7C5504" w:rsidRPr="00B7760C" w14:paraId="25C36CB2" w14:textId="77777777" w:rsidTr="00B2260C">
        <w:trPr>
          <w:trHeight w:hRule="exact" w:val="240"/>
          <w:jc w:val="center"/>
        </w:trPr>
        <w:tc>
          <w:tcPr>
            <w:tcW w:w="9752" w:type="dxa"/>
            <w:gridSpan w:val="2"/>
          </w:tcPr>
          <w:p w14:paraId="2ED1129A" w14:textId="77777777" w:rsidR="007C5504" w:rsidRPr="00B7760C" w:rsidRDefault="007C5504" w:rsidP="00B2260C"/>
        </w:tc>
      </w:tr>
      <w:tr w:rsidR="007C5504" w:rsidRPr="00B7760C" w14:paraId="07203C85" w14:textId="77777777" w:rsidTr="00B2260C">
        <w:trPr>
          <w:trHeight w:val="240"/>
          <w:jc w:val="center"/>
        </w:trPr>
        <w:tc>
          <w:tcPr>
            <w:tcW w:w="4876" w:type="dxa"/>
          </w:tcPr>
          <w:p w14:paraId="552DBED5" w14:textId="77777777" w:rsidR="007C5504" w:rsidRPr="00B7760C" w:rsidRDefault="007C5504" w:rsidP="00B2260C">
            <w:pPr>
              <w:pStyle w:val="AmColumnHeading"/>
            </w:pPr>
            <w:r w:rsidRPr="00B7760C">
              <w:t>Besedilo, ki ga predlaga Komisija</w:t>
            </w:r>
          </w:p>
        </w:tc>
        <w:tc>
          <w:tcPr>
            <w:tcW w:w="4876" w:type="dxa"/>
          </w:tcPr>
          <w:p w14:paraId="56FEC6DF" w14:textId="77777777" w:rsidR="007C5504" w:rsidRPr="00B7760C" w:rsidRDefault="007C5504" w:rsidP="00B2260C">
            <w:pPr>
              <w:pStyle w:val="AmColumnHeading"/>
            </w:pPr>
            <w:r w:rsidRPr="00B7760C">
              <w:t>Sprememba</w:t>
            </w:r>
          </w:p>
        </w:tc>
      </w:tr>
      <w:tr w:rsidR="007C5504" w:rsidRPr="00B7760C" w14:paraId="24E1DDB4" w14:textId="77777777" w:rsidTr="00B2260C">
        <w:trPr>
          <w:jc w:val="center"/>
        </w:trPr>
        <w:tc>
          <w:tcPr>
            <w:tcW w:w="4876" w:type="dxa"/>
          </w:tcPr>
          <w:p w14:paraId="7565CF17" w14:textId="77777777" w:rsidR="007C5504" w:rsidRPr="00B7760C" w:rsidRDefault="007C5504" w:rsidP="00B2260C">
            <w:pPr>
              <w:pStyle w:val="Normal6a"/>
            </w:pPr>
            <w:r w:rsidRPr="00B7760C">
              <w:t>(ii)</w:t>
            </w:r>
            <w:r w:rsidRPr="00B7760C">
              <w:tab/>
              <w:t>„trajni nasad“ je nasad rastlin, ki niso vključene v kolobarjenje in niso trajno travinje in trajni pašnik, ki je na istem zemljišču najmanj pet let in daje večkratne pridelke, vključno z drevesnicami in panjevci s kratko obhodnjo;</w:t>
            </w:r>
          </w:p>
        </w:tc>
        <w:tc>
          <w:tcPr>
            <w:tcW w:w="4876" w:type="dxa"/>
          </w:tcPr>
          <w:p w14:paraId="5DC68B7B" w14:textId="77777777" w:rsidR="007C5504" w:rsidRPr="00B7760C" w:rsidRDefault="007C5504" w:rsidP="00B2260C">
            <w:pPr>
              <w:pStyle w:val="Normal6a"/>
            </w:pPr>
            <w:r w:rsidRPr="00B7760C">
              <w:t>(ii)</w:t>
            </w:r>
            <w:r w:rsidRPr="00B7760C">
              <w:tab/>
              <w:t>„trajni nasad“ je nasad rastlin, ki niso vključene v kolobarjenje in niso trajno travinje in trajni pašnik, ki je na istem zemljišču najmanj pet let in daje večkratne pridelke, vključno z drevesnicami</w:t>
            </w:r>
            <w:r w:rsidRPr="00B7760C">
              <w:rPr>
                <w:b/>
                <w:i/>
              </w:rPr>
              <w:t>, tudi če imajo sadike v posodah, obdanih s plastiko (če ima država članica to urejeno),</w:t>
            </w:r>
            <w:r w:rsidRPr="00B7760C">
              <w:t xml:space="preserve"> in panjevci s kratko obhodnjo;</w:t>
            </w:r>
          </w:p>
        </w:tc>
      </w:tr>
    </w:tbl>
    <w:p w14:paraId="34A4D1EC" w14:textId="77777777" w:rsidR="007C5504" w:rsidRPr="00B7760C" w:rsidRDefault="007C5504" w:rsidP="003663AF"/>
    <w:p w14:paraId="350041A9" w14:textId="1A53BAFC" w:rsidR="007C5504" w:rsidRPr="00B7760C" w:rsidRDefault="00FC0B97" w:rsidP="007C5504">
      <w:pPr>
        <w:pStyle w:val="AmNumberTabs0"/>
      </w:pPr>
      <w:r w:rsidRPr="00B7760C">
        <w:t>Spremembe</w:t>
      </w:r>
      <w:r w:rsidR="007C5504" w:rsidRPr="00B7760C">
        <w:tab/>
      </w:r>
      <w:r w:rsidR="007C5504" w:rsidRPr="00B7760C">
        <w:tab/>
        <w:t>1148 cp5, 1148 cp6, 1148 cp7, 89 cp2 in 804 cp3</w:t>
      </w:r>
    </w:p>
    <w:p w14:paraId="65E3B507" w14:textId="77777777" w:rsidR="007C5504" w:rsidRPr="00B7760C" w:rsidRDefault="007C5504" w:rsidP="007C5504">
      <w:pPr>
        <w:pStyle w:val="NormalBold12b"/>
      </w:pPr>
      <w:r w:rsidRPr="00B7760C">
        <w:t>Predlog uredbe</w:t>
      </w:r>
    </w:p>
    <w:p w14:paraId="6BA4B611" w14:textId="77777777" w:rsidR="007C5504" w:rsidRPr="00B7760C" w:rsidRDefault="007C5504" w:rsidP="007C5504">
      <w:pPr>
        <w:pStyle w:val="NormalBold"/>
      </w:pPr>
      <w:r w:rsidRPr="00B7760C">
        <w:t>Člen 4 – odstavek 1 – točka b – točka i</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7C5504" w:rsidRPr="00B7760C" w14:paraId="23B6658B" w14:textId="77777777" w:rsidTr="00B2260C">
        <w:trPr>
          <w:trHeight w:hRule="exact" w:val="240"/>
          <w:jc w:val="center"/>
        </w:trPr>
        <w:tc>
          <w:tcPr>
            <w:tcW w:w="9752" w:type="dxa"/>
            <w:gridSpan w:val="2"/>
          </w:tcPr>
          <w:p w14:paraId="28E992ED" w14:textId="77777777" w:rsidR="007C5504" w:rsidRPr="00B7760C" w:rsidRDefault="007C5504" w:rsidP="00B2260C"/>
        </w:tc>
      </w:tr>
      <w:tr w:rsidR="007C5504" w:rsidRPr="00B7760C" w14:paraId="0B36BCCD" w14:textId="77777777" w:rsidTr="00B2260C">
        <w:trPr>
          <w:trHeight w:val="240"/>
          <w:jc w:val="center"/>
        </w:trPr>
        <w:tc>
          <w:tcPr>
            <w:tcW w:w="4876" w:type="dxa"/>
          </w:tcPr>
          <w:p w14:paraId="27623800" w14:textId="77777777" w:rsidR="007C5504" w:rsidRPr="00B7760C" w:rsidRDefault="007C5504" w:rsidP="00B2260C">
            <w:pPr>
              <w:pStyle w:val="AmColumnHeading"/>
            </w:pPr>
            <w:r w:rsidRPr="00B7760C">
              <w:t>Besedilo, ki ga predlaga Komisija</w:t>
            </w:r>
          </w:p>
        </w:tc>
        <w:tc>
          <w:tcPr>
            <w:tcW w:w="4876" w:type="dxa"/>
          </w:tcPr>
          <w:p w14:paraId="7E0B1BCF" w14:textId="77777777" w:rsidR="007C5504" w:rsidRPr="00B7760C" w:rsidRDefault="007C5504" w:rsidP="00B2260C">
            <w:pPr>
              <w:pStyle w:val="AmColumnHeading"/>
            </w:pPr>
            <w:r w:rsidRPr="00B7760C">
              <w:t>Sprememba</w:t>
            </w:r>
          </w:p>
        </w:tc>
      </w:tr>
      <w:tr w:rsidR="007C5504" w:rsidRPr="00B7760C" w14:paraId="4FC66CFF" w14:textId="77777777" w:rsidTr="00B2260C">
        <w:trPr>
          <w:jc w:val="center"/>
        </w:trPr>
        <w:tc>
          <w:tcPr>
            <w:tcW w:w="4876" w:type="dxa"/>
          </w:tcPr>
          <w:p w14:paraId="07319C3B" w14:textId="77777777" w:rsidR="007C5504" w:rsidRPr="00B7760C" w:rsidRDefault="007C5504" w:rsidP="00B2260C">
            <w:pPr>
              <w:pStyle w:val="Normal6a"/>
            </w:pPr>
            <w:r w:rsidRPr="00B7760C">
              <w:t>(iii)</w:t>
            </w:r>
            <w:r w:rsidRPr="00B7760C">
              <w:tab/>
              <w:t xml:space="preserve">„trajno travinje in trajni pašnik“ (v nadaljnjem besedilu skupaj: </w:t>
            </w:r>
            <w:r w:rsidRPr="00B7760C">
              <w:rPr>
                <w:b/>
                <w:i/>
              </w:rPr>
              <w:t>travno</w:t>
            </w:r>
            <w:r w:rsidRPr="00B7760C">
              <w:t xml:space="preserve"> travinje) </w:t>
            </w:r>
            <w:r w:rsidRPr="00B7760C">
              <w:rPr>
                <w:b/>
                <w:i/>
              </w:rPr>
              <w:t>je</w:t>
            </w:r>
            <w:r w:rsidRPr="00B7760C">
              <w:t xml:space="preserve"> zemljišče</w:t>
            </w:r>
            <w:r w:rsidRPr="00B7760C">
              <w:rPr>
                <w:bCs/>
                <w:iCs/>
              </w:rPr>
              <w:t>, ki najmanj pet let ni bilo vključeno v kolobarjenje kmetijskega gospodarstva</w:t>
            </w:r>
            <w:r w:rsidRPr="00B7760C">
              <w:rPr>
                <w:b/>
                <w:bCs/>
                <w:i/>
                <w:iCs/>
              </w:rPr>
              <w:t>, kjer se naravno (s samozasaditvijo) ali s setvijo (posejano) goji trava ali druge zelene krmne rastline</w:t>
            </w:r>
            <w:r w:rsidRPr="00B7760C">
              <w:rPr>
                <w:b/>
                <w:i/>
              </w:rPr>
              <w:t>.</w:t>
            </w:r>
            <w:r w:rsidRPr="00B7760C">
              <w:t xml:space="preserve"> </w:t>
            </w:r>
            <w:r w:rsidRPr="00B7760C">
              <w:rPr>
                <w:b/>
                <w:bCs/>
                <w:i/>
                <w:iCs/>
              </w:rPr>
              <w:t>Na</w:t>
            </w:r>
            <w:r w:rsidRPr="00B7760C">
              <w:t xml:space="preserve"> njem so lahko prisotne tudi druge vrste, na primer grmičevje in/ali drevesa, ki se lahko uporabljajo za pašo </w:t>
            </w:r>
            <w:r w:rsidRPr="00B7760C">
              <w:rPr>
                <w:b/>
                <w:bCs/>
                <w:i/>
                <w:iCs/>
              </w:rPr>
              <w:t xml:space="preserve">ali </w:t>
            </w:r>
            <w:r w:rsidRPr="00B7760C">
              <w:rPr>
                <w:b/>
                <w:i/>
              </w:rPr>
              <w:t>proizvodnjo živalske krme</w:t>
            </w:r>
            <w:r w:rsidRPr="00B7760C">
              <w:t>;</w:t>
            </w:r>
          </w:p>
        </w:tc>
        <w:tc>
          <w:tcPr>
            <w:tcW w:w="4876" w:type="dxa"/>
          </w:tcPr>
          <w:p w14:paraId="15433EA1" w14:textId="6921E8C6" w:rsidR="007C5504" w:rsidRPr="00B7760C" w:rsidRDefault="007C5504" w:rsidP="002C0EDF">
            <w:pPr>
              <w:pStyle w:val="Normal6a"/>
            </w:pPr>
            <w:r w:rsidRPr="00B7760C">
              <w:t>(iii)</w:t>
            </w:r>
            <w:r w:rsidRPr="00B7760C">
              <w:tab/>
              <w:t xml:space="preserve">„trajno travinje in trajni pašnik“ (v nadaljnjem besedilu skupaj: </w:t>
            </w:r>
            <w:r w:rsidRPr="00B7760C">
              <w:rPr>
                <w:b/>
                <w:i/>
              </w:rPr>
              <w:t>trajno</w:t>
            </w:r>
            <w:r w:rsidRPr="00B7760C">
              <w:t xml:space="preserve"> travinje) </w:t>
            </w:r>
            <w:r w:rsidRPr="00B7760C">
              <w:rPr>
                <w:b/>
                <w:i/>
              </w:rPr>
              <w:t>pomeni</w:t>
            </w:r>
            <w:r w:rsidRPr="00B7760C">
              <w:t xml:space="preserve"> zemljišče, </w:t>
            </w:r>
            <w:r w:rsidRPr="00B7760C">
              <w:rPr>
                <w:b/>
                <w:bCs/>
                <w:i/>
                <w:iCs/>
              </w:rPr>
              <w:t>kjer se naravno (s samozasaditvijo) ali s setvijo (posejano) goji trava ali druge ze</w:t>
            </w:r>
            <w:r w:rsidR="002C0EDF" w:rsidRPr="00B7760C">
              <w:rPr>
                <w:b/>
                <w:bCs/>
                <w:i/>
                <w:iCs/>
              </w:rPr>
              <w:t>lene</w:t>
            </w:r>
            <w:r w:rsidRPr="00B7760C">
              <w:rPr>
                <w:b/>
                <w:bCs/>
                <w:i/>
                <w:iCs/>
              </w:rPr>
              <w:t xml:space="preserve"> krmne rastline in</w:t>
            </w:r>
            <w:r w:rsidRPr="00B7760C">
              <w:rPr>
                <w:b/>
                <w:i/>
              </w:rPr>
              <w:t xml:space="preserve"> </w:t>
            </w:r>
            <w:r w:rsidRPr="00B7760C">
              <w:rPr>
                <w:bCs/>
                <w:iCs/>
              </w:rPr>
              <w:t xml:space="preserve">ki najmanj </w:t>
            </w:r>
            <w:r w:rsidR="002C0EDF" w:rsidRPr="00B7760C">
              <w:rPr>
                <w:bCs/>
                <w:iCs/>
              </w:rPr>
              <w:t>pet</w:t>
            </w:r>
            <w:r w:rsidRPr="00B7760C">
              <w:rPr>
                <w:bCs/>
                <w:iCs/>
              </w:rPr>
              <w:t xml:space="preserve"> let ni bilo vključeno v kolobarjenje kmetijskega gospodarstva</w:t>
            </w:r>
            <w:r w:rsidRPr="00B7760C">
              <w:rPr>
                <w:b/>
                <w:i/>
              </w:rPr>
              <w:t xml:space="preserve"> in, če se države članice tako odločijo, najmanj pet let ni bilo preorano;</w:t>
            </w:r>
            <w:r w:rsidRPr="00B7760C">
              <w:t xml:space="preserve"> </w:t>
            </w:r>
            <w:r w:rsidRPr="00B7760C">
              <w:rPr>
                <w:b/>
                <w:bCs/>
                <w:i/>
                <w:iCs/>
              </w:rPr>
              <w:t>na</w:t>
            </w:r>
            <w:r w:rsidRPr="00B7760C">
              <w:t xml:space="preserve"> njem so lahko prisotne tudi druge vrste, na primer grmičevje in/ali drevesa, ki se lahko uporabljajo za pašo</w:t>
            </w:r>
            <w:r w:rsidRPr="00B7760C">
              <w:rPr>
                <w:b/>
                <w:i/>
              </w:rPr>
              <w:t>,</w:t>
            </w:r>
            <w:r w:rsidRPr="00B7760C">
              <w:t xml:space="preserve"> </w:t>
            </w:r>
            <w:r w:rsidRPr="00B7760C">
              <w:rPr>
                <w:b/>
                <w:i/>
              </w:rPr>
              <w:t>in, če se države članice tako odločijo, druge vrste, na primer grmičevje in/ali</w:t>
            </w:r>
            <w:r w:rsidRPr="00B7760C">
              <w:t xml:space="preserve"> </w:t>
            </w:r>
            <w:r w:rsidRPr="00B7760C">
              <w:rPr>
                <w:b/>
                <w:i/>
              </w:rPr>
              <w:t>drevesa, ki so namenjena živalski krmi, pod pogojem, da še naprej prevladujejo trave in druge zel</w:t>
            </w:r>
            <w:r w:rsidR="002C0EDF" w:rsidRPr="00B7760C">
              <w:rPr>
                <w:b/>
                <w:i/>
              </w:rPr>
              <w:t>ene</w:t>
            </w:r>
            <w:r w:rsidRPr="00B7760C">
              <w:rPr>
                <w:b/>
                <w:i/>
              </w:rPr>
              <w:t xml:space="preserve"> krmne rastline.</w:t>
            </w:r>
          </w:p>
        </w:tc>
      </w:tr>
      <w:tr w:rsidR="007D3A00" w:rsidRPr="00B7760C" w14:paraId="42886F1A" w14:textId="77777777" w:rsidTr="00B2260C">
        <w:trPr>
          <w:jc w:val="center"/>
        </w:trPr>
        <w:tc>
          <w:tcPr>
            <w:tcW w:w="4876" w:type="dxa"/>
          </w:tcPr>
          <w:p w14:paraId="4C85424C" w14:textId="77777777" w:rsidR="007D3A00" w:rsidRPr="00B7760C" w:rsidRDefault="007D3A00" w:rsidP="00B2260C">
            <w:pPr>
              <w:pStyle w:val="Normal6a"/>
            </w:pPr>
          </w:p>
        </w:tc>
        <w:tc>
          <w:tcPr>
            <w:tcW w:w="4876" w:type="dxa"/>
          </w:tcPr>
          <w:p w14:paraId="2F4D4623" w14:textId="353E4006" w:rsidR="007D3A00" w:rsidRPr="00B7760C" w:rsidRDefault="007D3A00" w:rsidP="007C5504">
            <w:pPr>
              <w:pStyle w:val="Normal6a"/>
            </w:pPr>
            <w:r w:rsidRPr="00B7760C">
              <w:rPr>
                <w:b/>
                <w:i/>
              </w:rPr>
              <w:t>Če se države članice tako odločijo, je kolobarjenje tudi sprememba vrst za zeleno krmo, če je nova setev sestavljena iz drugačne mešanice vrst v primerjavi s prejšnjo setvijo.</w:t>
            </w:r>
          </w:p>
        </w:tc>
      </w:tr>
      <w:tr w:rsidR="007D3A00" w:rsidRPr="00B7760C" w14:paraId="317B2D29" w14:textId="77777777" w:rsidTr="00B2260C">
        <w:trPr>
          <w:jc w:val="center"/>
        </w:trPr>
        <w:tc>
          <w:tcPr>
            <w:tcW w:w="4876" w:type="dxa"/>
          </w:tcPr>
          <w:p w14:paraId="69276AB6" w14:textId="77777777" w:rsidR="007D3A00" w:rsidRPr="00B7760C" w:rsidRDefault="007D3A00" w:rsidP="00B2260C">
            <w:pPr>
              <w:pStyle w:val="Normal6a"/>
            </w:pPr>
          </w:p>
        </w:tc>
        <w:tc>
          <w:tcPr>
            <w:tcW w:w="4876" w:type="dxa"/>
          </w:tcPr>
          <w:p w14:paraId="2835C2B4" w14:textId="362E4435" w:rsidR="007D3A00" w:rsidRPr="00B7760C" w:rsidRDefault="007D3A00" w:rsidP="007C5504">
            <w:pPr>
              <w:pStyle w:val="Normal6a"/>
            </w:pPr>
            <w:r w:rsidRPr="00B7760C">
              <w:rPr>
                <w:b/>
                <w:i/>
              </w:rPr>
              <w:t>Države članice se lahko tudi odločijo, da kot trajno travinje štejejo:</w:t>
            </w:r>
          </w:p>
        </w:tc>
      </w:tr>
      <w:tr w:rsidR="007D3A00" w:rsidRPr="00B7760C" w14:paraId="36E37228" w14:textId="77777777" w:rsidTr="00B2260C">
        <w:trPr>
          <w:jc w:val="center"/>
        </w:trPr>
        <w:tc>
          <w:tcPr>
            <w:tcW w:w="4876" w:type="dxa"/>
          </w:tcPr>
          <w:p w14:paraId="27383D03" w14:textId="77777777" w:rsidR="007D3A00" w:rsidRPr="00B7760C" w:rsidRDefault="007D3A00" w:rsidP="00B2260C">
            <w:pPr>
              <w:pStyle w:val="Normal6a"/>
            </w:pPr>
          </w:p>
        </w:tc>
        <w:tc>
          <w:tcPr>
            <w:tcW w:w="4876" w:type="dxa"/>
          </w:tcPr>
          <w:p w14:paraId="33895736" w14:textId="7F0F9474" w:rsidR="007D3A00" w:rsidRPr="00B7760C" w:rsidRDefault="007D3A00" w:rsidP="002C0EDF">
            <w:pPr>
              <w:pStyle w:val="Normal6a"/>
            </w:pPr>
            <w:r w:rsidRPr="00B7760C">
              <w:rPr>
                <w:b/>
                <w:i/>
              </w:rPr>
              <w:t xml:space="preserve">(i) </w:t>
            </w:r>
            <w:r w:rsidRPr="00B7760C">
              <w:rPr>
                <w:b/>
                <w:i/>
              </w:rPr>
              <w:tab/>
              <w:t>zemljišča, ki se lahko uporabljajo za pašo in so del uveljavljenih lokalnih praks, pri katerih na površinah za pašo tradicionalno ne prevladujejo trave in druge zel</w:t>
            </w:r>
            <w:r w:rsidR="002C0EDF" w:rsidRPr="00B7760C">
              <w:rPr>
                <w:b/>
                <w:i/>
              </w:rPr>
              <w:t>ene</w:t>
            </w:r>
            <w:r w:rsidRPr="00B7760C">
              <w:rPr>
                <w:b/>
                <w:i/>
              </w:rPr>
              <w:t xml:space="preserve"> krmne rastline,</w:t>
            </w:r>
            <w:r w:rsidRPr="00B7760C">
              <w:t xml:space="preserve"> </w:t>
            </w:r>
            <w:r w:rsidRPr="00B7760C">
              <w:rPr>
                <w:b/>
                <w:i/>
              </w:rPr>
              <w:t>in/ali</w:t>
            </w:r>
          </w:p>
        </w:tc>
      </w:tr>
      <w:tr w:rsidR="007D3A00" w:rsidRPr="00B7760C" w14:paraId="360D00C0" w14:textId="77777777" w:rsidTr="00B2260C">
        <w:trPr>
          <w:jc w:val="center"/>
        </w:trPr>
        <w:tc>
          <w:tcPr>
            <w:tcW w:w="4876" w:type="dxa"/>
          </w:tcPr>
          <w:p w14:paraId="52B2BCE8" w14:textId="77777777" w:rsidR="007D3A00" w:rsidRPr="00B7760C" w:rsidRDefault="007D3A00" w:rsidP="00B2260C">
            <w:pPr>
              <w:pStyle w:val="Normal6a"/>
            </w:pPr>
          </w:p>
        </w:tc>
        <w:tc>
          <w:tcPr>
            <w:tcW w:w="4876" w:type="dxa"/>
          </w:tcPr>
          <w:p w14:paraId="2E05F822" w14:textId="0B930B4B" w:rsidR="007D3A00" w:rsidRPr="00B7760C" w:rsidRDefault="007D3A00" w:rsidP="002C0EDF">
            <w:pPr>
              <w:pStyle w:val="Normal6a"/>
            </w:pPr>
            <w:r w:rsidRPr="00B7760C">
              <w:rPr>
                <w:b/>
                <w:i/>
              </w:rPr>
              <w:t xml:space="preserve">(ii) </w:t>
            </w:r>
            <w:r w:rsidRPr="00B7760C">
              <w:rPr>
                <w:b/>
                <w:i/>
              </w:rPr>
              <w:tab/>
              <w:t>zemljišča, kjer se lahko pase in na njih ne prevladujejo trave in druge zel</w:t>
            </w:r>
            <w:r w:rsidR="002C0EDF" w:rsidRPr="00B7760C">
              <w:rPr>
                <w:b/>
                <w:i/>
              </w:rPr>
              <w:t>ene</w:t>
            </w:r>
            <w:r w:rsidRPr="00B7760C">
              <w:rPr>
                <w:b/>
                <w:i/>
              </w:rPr>
              <w:t xml:space="preserve"> krmne rastline ali jih ni na površinah za pašo, lahko pa vključujejo grmičevje in drevesa ter druge vire, ki jih živali pojedo (listje, cvetje, stebla, sadeži);</w:t>
            </w:r>
          </w:p>
        </w:tc>
      </w:tr>
    </w:tbl>
    <w:p w14:paraId="5A859DCC" w14:textId="77777777" w:rsidR="007C5504" w:rsidRPr="00B7760C" w:rsidRDefault="007C5504" w:rsidP="007C5504"/>
    <w:p w14:paraId="4496956E" w14:textId="3C49A53C" w:rsidR="003663AF" w:rsidRPr="00B7760C" w:rsidRDefault="00877691" w:rsidP="008C66AC">
      <w:pPr>
        <w:pStyle w:val="AMNumberTabs"/>
        <w:keepNext/>
      </w:pPr>
      <w:r w:rsidRPr="00B7760C">
        <w:t>Sprememb</w:t>
      </w:r>
      <w:r w:rsidR="008C66AC" w:rsidRPr="00B7760C">
        <w:t>i</w:t>
      </w:r>
      <w:r w:rsidR="003663AF" w:rsidRPr="00B7760C">
        <w:tab/>
      </w:r>
      <w:r w:rsidR="003663AF" w:rsidRPr="00B7760C">
        <w:tab/>
        <w:t>90</w:t>
      </w:r>
      <w:r w:rsidR="008C66AC" w:rsidRPr="00B7760C">
        <w:t xml:space="preserve"> in 1148 cp8</w:t>
      </w:r>
    </w:p>
    <w:p w14:paraId="5FEF7599" w14:textId="77777777" w:rsidR="003663AF" w:rsidRPr="00B7760C" w:rsidRDefault="003663AF" w:rsidP="003663AF">
      <w:pPr>
        <w:pStyle w:val="NormalBold12b"/>
      </w:pPr>
      <w:r w:rsidRPr="00B7760C">
        <w:t>Predlog uredbe</w:t>
      </w:r>
    </w:p>
    <w:p w14:paraId="007F6A38" w14:textId="77777777" w:rsidR="003663AF" w:rsidRPr="00B7760C" w:rsidRDefault="003663AF" w:rsidP="003663AF">
      <w:pPr>
        <w:pStyle w:val="NormalBold"/>
      </w:pPr>
      <w:r w:rsidRPr="00B7760C">
        <w:t>Člen 4 – odstavek 1 – točka b – točka iii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CDCB25D" w14:textId="77777777" w:rsidTr="00E804B7">
        <w:trPr>
          <w:jc w:val="center"/>
        </w:trPr>
        <w:tc>
          <w:tcPr>
            <w:tcW w:w="9752" w:type="dxa"/>
            <w:gridSpan w:val="2"/>
          </w:tcPr>
          <w:p w14:paraId="331A8E95" w14:textId="77777777" w:rsidR="003663AF" w:rsidRPr="00B7760C" w:rsidRDefault="003663AF" w:rsidP="00E804B7">
            <w:pPr>
              <w:keepNext/>
            </w:pPr>
          </w:p>
        </w:tc>
      </w:tr>
      <w:tr w:rsidR="003663AF" w:rsidRPr="00B7760C" w14:paraId="1D29ADFA" w14:textId="77777777" w:rsidTr="00E804B7">
        <w:trPr>
          <w:jc w:val="center"/>
        </w:trPr>
        <w:tc>
          <w:tcPr>
            <w:tcW w:w="4876" w:type="dxa"/>
            <w:hideMark/>
          </w:tcPr>
          <w:p w14:paraId="59B35CA8" w14:textId="77777777" w:rsidR="003663AF" w:rsidRPr="00B7760C" w:rsidRDefault="003663AF" w:rsidP="00E804B7">
            <w:pPr>
              <w:pStyle w:val="ColumnHeading"/>
              <w:keepNext/>
            </w:pPr>
            <w:r w:rsidRPr="00B7760C">
              <w:t>Besedilo, ki ga predlaga Komisija</w:t>
            </w:r>
          </w:p>
        </w:tc>
        <w:tc>
          <w:tcPr>
            <w:tcW w:w="4876" w:type="dxa"/>
            <w:hideMark/>
          </w:tcPr>
          <w:p w14:paraId="50F68A6F" w14:textId="042A9650" w:rsidR="003663AF" w:rsidRPr="00B7760C" w:rsidRDefault="00877691" w:rsidP="00E804B7">
            <w:pPr>
              <w:pStyle w:val="ColumnHeading"/>
              <w:keepNext/>
            </w:pPr>
            <w:r w:rsidRPr="00B7760C">
              <w:t>Sprememba</w:t>
            </w:r>
          </w:p>
        </w:tc>
      </w:tr>
      <w:tr w:rsidR="003663AF" w:rsidRPr="00B7760C" w14:paraId="78123D33" w14:textId="77777777" w:rsidTr="00E804B7">
        <w:trPr>
          <w:jc w:val="center"/>
        </w:trPr>
        <w:tc>
          <w:tcPr>
            <w:tcW w:w="4876" w:type="dxa"/>
          </w:tcPr>
          <w:p w14:paraId="630407A4" w14:textId="77777777" w:rsidR="003663AF" w:rsidRPr="00B7760C" w:rsidRDefault="003663AF" w:rsidP="00E804B7">
            <w:pPr>
              <w:pStyle w:val="Normal6"/>
            </w:pPr>
          </w:p>
        </w:tc>
        <w:tc>
          <w:tcPr>
            <w:tcW w:w="4876" w:type="dxa"/>
            <w:hideMark/>
          </w:tcPr>
          <w:p w14:paraId="2CA604C8" w14:textId="77777777" w:rsidR="003663AF" w:rsidRPr="00B7760C" w:rsidRDefault="003663AF" w:rsidP="00E804B7">
            <w:pPr>
              <w:pStyle w:val="Normal6"/>
              <w:rPr>
                <w:szCs w:val="24"/>
              </w:rPr>
            </w:pPr>
            <w:r w:rsidRPr="00B7760C">
              <w:rPr>
                <w:b/>
                <w:i/>
              </w:rPr>
              <w:t>(iiia)</w:t>
            </w:r>
            <w:r w:rsidRPr="00B7760C">
              <w:rPr>
                <w:b/>
                <w:i/>
              </w:rPr>
              <w:tab/>
              <w:t>„kmetijsko-gozdarski sistemi“ pomeni sisteme rabe zemljišč, kjer se na istem zemljišču gojijo drevesa in izvajajo kmetijske prakse;</w:t>
            </w:r>
          </w:p>
        </w:tc>
      </w:tr>
    </w:tbl>
    <w:p w14:paraId="6EC2D7D8" w14:textId="77777777" w:rsidR="003663AF" w:rsidRPr="00B7760C" w:rsidRDefault="003663AF" w:rsidP="003663AF"/>
    <w:p w14:paraId="08B0BF43" w14:textId="2892C28A" w:rsidR="008C66AC" w:rsidRPr="00B7760C" w:rsidRDefault="008C66AC" w:rsidP="008C66AC">
      <w:pPr>
        <w:pStyle w:val="AMNumberTabs"/>
        <w:keepNext/>
      </w:pPr>
      <w:r w:rsidRPr="00B7760C">
        <w:t>Sprememba</w:t>
      </w:r>
      <w:r w:rsidRPr="00B7760C">
        <w:tab/>
        <w:t>1148 cp9</w:t>
      </w:r>
    </w:p>
    <w:p w14:paraId="7FA61E90" w14:textId="77777777" w:rsidR="008C66AC" w:rsidRPr="00B7760C" w:rsidRDefault="008C66AC" w:rsidP="008C66AC">
      <w:pPr>
        <w:pStyle w:val="NormalBold12b"/>
      </w:pPr>
      <w:r w:rsidRPr="00B7760C">
        <w:t>Predlog uredbe</w:t>
      </w:r>
    </w:p>
    <w:p w14:paraId="22EF877B" w14:textId="7AE75663" w:rsidR="008C66AC" w:rsidRPr="00B7760C" w:rsidRDefault="008C66AC" w:rsidP="008C66AC">
      <w:pPr>
        <w:pStyle w:val="NormalBold"/>
      </w:pPr>
      <w:r w:rsidRPr="00B7760C">
        <w:t>Člen 4 – odstavek 1 – točka b – točka iii b (novo)</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8C66AC" w:rsidRPr="00B7760C" w14:paraId="1360C19A" w14:textId="77777777" w:rsidTr="008C66AC">
        <w:trPr>
          <w:jc w:val="center"/>
        </w:trPr>
        <w:tc>
          <w:tcPr>
            <w:tcW w:w="9752" w:type="dxa"/>
            <w:gridSpan w:val="2"/>
          </w:tcPr>
          <w:p w14:paraId="5A2D3540" w14:textId="77777777" w:rsidR="008C66AC" w:rsidRPr="00B7760C" w:rsidRDefault="008C66AC" w:rsidP="00B2260C">
            <w:pPr>
              <w:keepNext/>
            </w:pPr>
          </w:p>
        </w:tc>
      </w:tr>
      <w:tr w:rsidR="008C66AC" w:rsidRPr="00B7760C" w14:paraId="49DC8806" w14:textId="77777777" w:rsidTr="008C66AC">
        <w:trPr>
          <w:jc w:val="center"/>
        </w:trPr>
        <w:tc>
          <w:tcPr>
            <w:tcW w:w="4876" w:type="dxa"/>
            <w:hideMark/>
          </w:tcPr>
          <w:p w14:paraId="01EFF343" w14:textId="77777777" w:rsidR="008C66AC" w:rsidRPr="00B7760C" w:rsidRDefault="008C66AC" w:rsidP="00B2260C">
            <w:pPr>
              <w:pStyle w:val="ColumnHeading"/>
              <w:keepNext/>
            </w:pPr>
            <w:r w:rsidRPr="00B7760C">
              <w:t>Besedilo, ki ga predlaga Komisija</w:t>
            </w:r>
          </w:p>
        </w:tc>
        <w:tc>
          <w:tcPr>
            <w:tcW w:w="4876" w:type="dxa"/>
            <w:hideMark/>
          </w:tcPr>
          <w:p w14:paraId="6D53FB4C" w14:textId="77777777" w:rsidR="008C66AC" w:rsidRPr="00B7760C" w:rsidRDefault="008C66AC" w:rsidP="00B2260C">
            <w:pPr>
              <w:pStyle w:val="ColumnHeading"/>
              <w:keepNext/>
            </w:pPr>
            <w:r w:rsidRPr="00B7760C">
              <w:t>Sprememba</w:t>
            </w:r>
          </w:p>
        </w:tc>
      </w:tr>
      <w:tr w:rsidR="008C66AC" w:rsidRPr="00B7760C" w14:paraId="642BAD34" w14:textId="77777777" w:rsidTr="008C66AC">
        <w:trPr>
          <w:jc w:val="center"/>
        </w:trPr>
        <w:tc>
          <w:tcPr>
            <w:tcW w:w="4876" w:type="dxa"/>
          </w:tcPr>
          <w:p w14:paraId="788305C6" w14:textId="77777777" w:rsidR="008C66AC" w:rsidRPr="00B7760C" w:rsidRDefault="008C66AC" w:rsidP="00B2260C">
            <w:pPr>
              <w:pStyle w:val="Normal6a"/>
            </w:pPr>
          </w:p>
        </w:tc>
        <w:tc>
          <w:tcPr>
            <w:tcW w:w="4876" w:type="dxa"/>
          </w:tcPr>
          <w:p w14:paraId="55818081" w14:textId="6D9CDAA4" w:rsidR="008C66AC" w:rsidRPr="00B7760C" w:rsidRDefault="008C66AC" w:rsidP="002C0EDF">
            <w:pPr>
              <w:pStyle w:val="Normal6a"/>
            </w:pPr>
            <w:r w:rsidRPr="00B7760C">
              <w:rPr>
                <w:b/>
                <w:i/>
              </w:rPr>
              <w:t>(iii</w:t>
            </w:r>
            <w:r w:rsidR="00FC0B97" w:rsidRPr="00B7760C">
              <w:rPr>
                <w:b/>
                <w:i/>
              </w:rPr>
              <w:t>b</w:t>
            </w:r>
            <w:r w:rsidRPr="00B7760C">
              <w:rPr>
                <w:b/>
                <w:i/>
              </w:rPr>
              <w:t>)</w:t>
            </w:r>
            <w:r w:rsidRPr="00B7760C">
              <w:tab/>
            </w:r>
            <w:r w:rsidRPr="00B7760C">
              <w:rPr>
                <w:b/>
                <w:i/>
              </w:rPr>
              <w:t>„začasno travinje“ je opredeljeno kot trava ali zel</w:t>
            </w:r>
            <w:r w:rsidR="002C0EDF" w:rsidRPr="00B7760C">
              <w:rPr>
                <w:b/>
                <w:i/>
              </w:rPr>
              <w:t>ene</w:t>
            </w:r>
            <w:r w:rsidRPr="00B7760C">
              <w:rPr>
                <w:b/>
                <w:i/>
              </w:rPr>
              <w:t xml:space="preserve"> krmne rastline, ki se gojijo na ornih zemljiščih manj kot pet zaporednih let ali več kot pet let, če se izvaja oranje in ponovno sejanje.</w:t>
            </w:r>
          </w:p>
        </w:tc>
      </w:tr>
    </w:tbl>
    <w:p w14:paraId="0B8132DA" w14:textId="77777777" w:rsidR="008C66AC" w:rsidRPr="00B7760C" w:rsidRDefault="008C66AC" w:rsidP="003663AF">
      <w:pPr>
        <w:pStyle w:val="AMNumberTabs"/>
        <w:keepNext/>
      </w:pPr>
    </w:p>
    <w:p w14:paraId="43DF5F4C" w14:textId="7054BC92" w:rsidR="003663AF" w:rsidRPr="00B7760C" w:rsidRDefault="00877691" w:rsidP="003663AF">
      <w:pPr>
        <w:pStyle w:val="AMNumberTabs"/>
        <w:keepNext/>
      </w:pPr>
      <w:r w:rsidRPr="00B7760C">
        <w:t>Sprememb</w:t>
      </w:r>
      <w:r w:rsidR="008C66AC" w:rsidRPr="00B7760C">
        <w:t>i</w:t>
      </w:r>
      <w:r w:rsidR="003663AF" w:rsidRPr="00B7760C">
        <w:tab/>
      </w:r>
      <w:r w:rsidR="003663AF" w:rsidRPr="00B7760C">
        <w:tab/>
        <w:t>91</w:t>
      </w:r>
      <w:r w:rsidR="008C66AC" w:rsidRPr="00B7760C">
        <w:t xml:space="preserve"> in 1148 cp10</w:t>
      </w:r>
    </w:p>
    <w:p w14:paraId="6B57BAC0" w14:textId="77777777" w:rsidR="003663AF" w:rsidRPr="00B7760C" w:rsidRDefault="003663AF" w:rsidP="003663AF">
      <w:pPr>
        <w:pStyle w:val="NormalBold12b"/>
      </w:pPr>
      <w:r w:rsidRPr="00B7760C">
        <w:t>Predlog uredbe</w:t>
      </w:r>
    </w:p>
    <w:p w14:paraId="1FA45748" w14:textId="77777777" w:rsidR="003663AF" w:rsidRPr="00B7760C" w:rsidRDefault="003663AF" w:rsidP="003663AF">
      <w:pPr>
        <w:pStyle w:val="NormalBold"/>
      </w:pPr>
      <w:r w:rsidRPr="00B7760C">
        <w:t>Člen 4 – odstavek 1 – točka c – uvodni del</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564C62E" w14:textId="77777777" w:rsidTr="00E804B7">
        <w:trPr>
          <w:jc w:val="center"/>
        </w:trPr>
        <w:tc>
          <w:tcPr>
            <w:tcW w:w="9752" w:type="dxa"/>
            <w:gridSpan w:val="2"/>
          </w:tcPr>
          <w:p w14:paraId="7EB51E9F" w14:textId="77777777" w:rsidR="003663AF" w:rsidRPr="00B7760C" w:rsidRDefault="003663AF" w:rsidP="00E804B7">
            <w:pPr>
              <w:keepNext/>
            </w:pPr>
          </w:p>
        </w:tc>
      </w:tr>
      <w:tr w:rsidR="003663AF" w:rsidRPr="00B7760C" w14:paraId="7326BA41" w14:textId="77777777" w:rsidTr="00E804B7">
        <w:trPr>
          <w:jc w:val="center"/>
        </w:trPr>
        <w:tc>
          <w:tcPr>
            <w:tcW w:w="4876" w:type="dxa"/>
            <w:hideMark/>
          </w:tcPr>
          <w:p w14:paraId="0613957A" w14:textId="77777777" w:rsidR="003663AF" w:rsidRPr="00B7760C" w:rsidRDefault="003663AF" w:rsidP="00E804B7">
            <w:pPr>
              <w:pStyle w:val="ColumnHeading"/>
              <w:keepNext/>
            </w:pPr>
            <w:r w:rsidRPr="00B7760C">
              <w:t>Besedilo, ki ga predlaga Komisija</w:t>
            </w:r>
          </w:p>
        </w:tc>
        <w:tc>
          <w:tcPr>
            <w:tcW w:w="4876" w:type="dxa"/>
            <w:hideMark/>
          </w:tcPr>
          <w:p w14:paraId="385A16BA" w14:textId="3F446056" w:rsidR="003663AF" w:rsidRPr="00B7760C" w:rsidRDefault="00877691" w:rsidP="00E804B7">
            <w:pPr>
              <w:pStyle w:val="ColumnHeading"/>
              <w:keepNext/>
            </w:pPr>
            <w:r w:rsidRPr="00B7760C">
              <w:t>Sprememba</w:t>
            </w:r>
          </w:p>
        </w:tc>
      </w:tr>
      <w:tr w:rsidR="003663AF" w:rsidRPr="00B7760C" w14:paraId="6A17C05B" w14:textId="77777777" w:rsidTr="00E804B7">
        <w:trPr>
          <w:jc w:val="center"/>
        </w:trPr>
        <w:tc>
          <w:tcPr>
            <w:tcW w:w="4876" w:type="dxa"/>
            <w:hideMark/>
          </w:tcPr>
          <w:p w14:paraId="2FC443E7" w14:textId="77777777" w:rsidR="003663AF" w:rsidRPr="00B7760C" w:rsidRDefault="003663AF" w:rsidP="00E804B7">
            <w:pPr>
              <w:pStyle w:val="Normal6"/>
            </w:pPr>
            <w:r w:rsidRPr="00B7760C">
              <w:t>(c)</w:t>
            </w:r>
            <w:r w:rsidRPr="00B7760C">
              <w:tab/>
              <w:t>„upravičeni hektar“ je za namene vrst intervencij v obliki neposrednih plačil opredeljen tako, da vključuje vsako kmetijsko površino kmetijskega gospodarstva:</w:t>
            </w:r>
          </w:p>
        </w:tc>
        <w:tc>
          <w:tcPr>
            <w:tcW w:w="4876" w:type="dxa"/>
            <w:hideMark/>
          </w:tcPr>
          <w:p w14:paraId="176DCB2A" w14:textId="77777777" w:rsidR="003663AF" w:rsidRPr="00B7760C" w:rsidRDefault="003663AF" w:rsidP="00E804B7">
            <w:pPr>
              <w:pStyle w:val="Normal6"/>
              <w:rPr>
                <w:szCs w:val="24"/>
              </w:rPr>
            </w:pPr>
            <w:r w:rsidRPr="00B7760C">
              <w:t>(c)</w:t>
            </w:r>
            <w:r w:rsidRPr="00B7760C">
              <w:tab/>
              <w:t>„upravičeni hektar“ je za namene vrst intervencij v obliki neposrednih plačil opredeljen tako, da vključuje vsako kmetijsko površino kmetijskega gospodarstva</w:t>
            </w:r>
            <w:r w:rsidRPr="00B7760C">
              <w:rPr>
                <w:b/>
                <w:i/>
              </w:rPr>
              <w:t>, vključno s tehnično potrebno mobilno ali stacionarno začasno opremo, zlasti kmetijskimi potmi in napajališči, pa tudi bale sena in ponovno namočene površine, ki se uporabljajo za paludikulturo</w:t>
            </w:r>
            <w:r w:rsidRPr="00B7760C">
              <w:t>:</w:t>
            </w:r>
          </w:p>
        </w:tc>
      </w:tr>
    </w:tbl>
    <w:p w14:paraId="2C3B4272" w14:textId="77777777" w:rsidR="003663AF" w:rsidRPr="00B7760C" w:rsidRDefault="003663AF" w:rsidP="003663AF"/>
    <w:p w14:paraId="7870CBA7" w14:textId="26DAD389" w:rsidR="003663AF" w:rsidRPr="00B7760C" w:rsidRDefault="00877691" w:rsidP="003663AF">
      <w:pPr>
        <w:pStyle w:val="AMNumberTabs"/>
        <w:keepNext/>
      </w:pPr>
      <w:r w:rsidRPr="00B7760C">
        <w:t>Sprememb</w:t>
      </w:r>
      <w:r w:rsidR="008C66AC" w:rsidRPr="00B7760C">
        <w:t>i</w:t>
      </w:r>
      <w:r w:rsidR="003663AF" w:rsidRPr="00B7760C">
        <w:tab/>
      </w:r>
      <w:r w:rsidR="003663AF" w:rsidRPr="00B7760C">
        <w:tab/>
      </w:r>
      <w:r w:rsidR="008C66AC" w:rsidRPr="00B7760C">
        <w:t>1148 cp11 in 1148 cp12</w:t>
      </w:r>
    </w:p>
    <w:p w14:paraId="1A41C75F" w14:textId="77777777" w:rsidR="003663AF" w:rsidRPr="00B7760C" w:rsidRDefault="003663AF" w:rsidP="003663AF">
      <w:pPr>
        <w:pStyle w:val="NormalBold12b"/>
      </w:pPr>
      <w:r w:rsidRPr="00B7760C">
        <w:t>Predlog uredbe</w:t>
      </w:r>
    </w:p>
    <w:p w14:paraId="688A4B2B" w14:textId="33F1EE16" w:rsidR="003663AF" w:rsidRPr="00B7760C" w:rsidRDefault="003663AF" w:rsidP="003663AF">
      <w:pPr>
        <w:pStyle w:val="NormalBold"/>
      </w:pPr>
      <w:r w:rsidRPr="00B7760C">
        <w:t>Člen 4 – odstavek 1 – točka c – točk</w:t>
      </w:r>
      <w:r w:rsidR="008C66AC" w:rsidRPr="00B7760C">
        <w:t>e</w:t>
      </w:r>
      <w:r w:rsidRPr="00B7760C">
        <w:t xml:space="preserve"> i</w:t>
      </w:r>
      <w:r w:rsidR="008C66AC" w:rsidRPr="00B7760C">
        <w:t>, i a (novo) in ii</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715FEE6" w14:textId="77777777" w:rsidTr="008C66AC">
        <w:trPr>
          <w:jc w:val="center"/>
        </w:trPr>
        <w:tc>
          <w:tcPr>
            <w:tcW w:w="9752" w:type="dxa"/>
            <w:gridSpan w:val="2"/>
          </w:tcPr>
          <w:p w14:paraId="1C72B1A6" w14:textId="77777777" w:rsidR="003663AF" w:rsidRPr="00B7760C" w:rsidRDefault="003663AF" w:rsidP="00E804B7">
            <w:pPr>
              <w:keepNext/>
            </w:pPr>
          </w:p>
        </w:tc>
      </w:tr>
      <w:tr w:rsidR="003663AF" w:rsidRPr="00B7760C" w14:paraId="13E4D106" w14:textId="77777777" w:rsidTr="008C66AC">
        <w:trPr>
          <w:jc w:val="center"/>
        </w:trPr>
        <w:tc>
          <w:tcPr>
            <w:tcW w:w="4876" w:type="dxa"/>
            <w:hideMark/>
          </w:tcPr>
          <w:p w14:paraId="21E0B657" w14:textId="77777777" w:rsidR="003663AF" w:rsidRPr="00B7760C" w:rsidRDefault="003663AF" w:rsidP="00E804B7">
            <w:pPr>
              <w:pStyle w:val="ColumnHeading"/>
              <w:keepNext/>
            </w:pPr>
            <w:r w:rsidRPr="00B7760C">
              <w:t>Besedilo, ki ga predlaga Komisija</w:t>
            </w:r>
          </w:p>
        </w:tc>
        <w:tc>
          <w:tcPr>
            <w:tcW w:w="4876" w:type="dxa"/>
            <w:hideMark/>
          </w:tcPr>
          <w:p w14:paraId="44BFF9F4" w14:textId="0DECF5F5" w:rsidR="003663AF" w:rsidRPr="00B7760C" w:rsidRDefault="00877691" w:rsidP="00E804B7">
            <w:pPr>
              <w:pStyle w:val="ColumnHeading"/>
              <w:keepNext/>
            </w:pPr>
            <w:r w:rsidRPr="00B7760C">
              <w:t>Sprememba</w:t>
            </w:r>
          </w:p>
        </w:tc>
      </w:tr>
      <w:tr w:rsidR="003663AF" w:rsidRPr="00B7760C" w14:paraId="021639DF" w14:textId="77777777" w:rsidTr="008C66AC">
        <w:trPr>
          <w:jc w:val="center"/>
        </w:trPr>
        <w:tc>
          <w:tcPr>
            <w:tcW w:w="4876" w:type="dxa"/>
            <w:hideMark/>
          </w:tcPr>
          <w:p w14:paraId="4C337C51" w14:textId="77777777" w:rsidR="003663AF" w:rsidRPr="00B7760C" w:rsidRDefault="003663AF" w:rsidP="00E804B7">
            <w:pPr>
              <w:pStyle w:val="Normal6"/>
            </w:pPr>
            <w:r w:rsidRPr="00B7760C">
              <w:t>(i)</w:t>
            </w:r>
            <w:r w:rsidRPr="00B7760C">
              <w:tab/>
              <w:t xml:space="preserve">ki se v letu, za katero se zaprosi za podporo, uporablja za kmetijske dejavnosti ali ki se, kadar se površina uporablja tudi za nekmetijske dejavnosti, pretežno uporablja za kmetijske dejavnosti in ki je na voljo kmetu. Kadar je to ustrezno utemeljeno z okoljskimi razlogi, lahko upravičeni hektarji vključujejo tudi nekatere površine, ki se uporabljajo za kmetijske dejavnosti le vsako </w:t>
            </w:r>
            <w:r w:rsidRPr="00B7760C">
              <w:rPr>
                <w:b/>
                <w:i/>
              </w:rPr>
              <w:t>drugo</w:t>
            </w:r>
            <w:r w:rsidRPr="00B7760C">
              <w:t xml:space="preserve"> leto;</w:t>
            </w:r>
          </w:p>
        </w:tc>
        <w:tc>
          <w:tcPr>
            <w:tcW w:w="4876" w:type="dxa"/>
            <w:hideMark/>
          </w:tcPr>
          <w:p w14:paraId="6E34FE8C" w14:textId="77A7D4DC" w:rsidR="003663AF" w:rsidRPr="00B7760C" w:rsidRDefault="003663AF" w:rsidP="008C66AC">
            <w:pPr>
              <w:pStyle w:val="Normal6"/>
              <w:rPr>
                <w:szCs w:val="24"/>
              </w:rPr>
            </w:pPr>
            <w:r w:rsidRPr="00B7760C">
              <w:t>(i)</w:t>
            </w:r>
            <w:r w:rsidRPr="00B7760C">
              <w:tab/>
              <w:t xml:space="preserve">ki se v letu, za katero se zaprosi za podporo, uporablja za kmetijske dejavnosti ali ki se, kadar se površina uporablja tudi za nekmetijske dejavnosti, pretežno uporablja za kmetijske dejavnosti in ki je na voljo kmetu. Kadar je to ustrezno utemeljeno z okoljskimi </w:t>
            </w:r>
            <w:r w:rsidR="008C66AC" w:rsidRPr="00B7760C">
              <w:rPr>
                <w:b/>
                <w:bCs/>
                <w:i/>
                <w:iCs/>
              </w:rPr>
              <w:t>in podnebnimi</w:t>
            </w:r>
            <w:r w:rsidR="008C66AC" w:rsidRPr="00B7760C">
              <w:t xml:space="preserve"> </w:t>
            </w:r>
            <w:r w:rsidRPr="00B7760C">
              <w:t>razlogi</w:t>
            </w:r>
            <w:r w:rsidR="008C66AC" w:rsidRPr="00B7760C">
              <w:t xml:space="preserve"> </w:t>
            </w:r>
            <w:r w:rsidR="008C66AC" w:rsidRPr="00B7760C">
              <w:rPr>
                <w:b/>
                <w:bCs/>
                <w:i/>
                <w:iCs/>
              </w:rPr>
              <w:t>ter razlogi biotske raznovrstnosti</w:t>
            </w:r>
            <w:r w:rsidRPr="00B7760C">
              <w:t xml:space="preserve">, lahko upravičeni hektarji vključujejo tudi nekatere površine, ki se uporabljajo za kmetijske dejavnosti le vsako </w:t>
            </w:r>
            <w:r w:rsidRPr="00B7760C">
              <w:rPr>
                <w:b/>
                <w:i/>
              </w:rPr>
              <w:t>tretje</w:t>
            </w:r>
            <w:r w:rsidRPr="00B7760C">
              <w:t xml:space="preserve"> leto;</w:t>
            </w:r>
          </w:p>
        </w:tc>
      </w:tr>
      <w:tr w:rsidR="008C66AC" w:rsidRPr="00B7760C" w14:paraId="241187E6" w14:textId="77777777" w:rsidTr="008C66AC">
        <w:trPr>
          <w:jc w:val="center"/>
        </w:trPr>
        <w:tc>
          <w:tcPr>
            <w:tcW w:w="4876" w:type="dxa"/>
          </w:tcPr>
          <w:p w14:paraId="2DCAD9D1" w14:textId="77777777" w:rsidR="008C66AC" w:rsidRPr="00B7760C" w:rsidRDefault="008C66AC" w:rsidP="00B2260C">
            <w:pPr>
              <w:pStyle w:val="Normal6a"/>
            </w:pPr>
          </w:p>
        </w:tc>
        <w:tc>
          <w:tcPr>
            <w:tcW w:w="4876" w:type="dxa"/>
          </w:tcPr>
          <w:p w14:paraId="5A12F36D" w14:textId="77777777" w:rsidR="008C66AC" w:rsidRPr="00B7760C" w:rsidRDefault="008C66AC" w:rsidP="00B2260C">
            <w:pPr>
              <w:pStyle w:val="Normal6a"/>
            </w:pPr>
            <w:r w:rsidRPr="00B7760C">
              <w:rPr>
                <w:b/>
                <w:i/>
              </w:rPr>
              <w:t>(ia)</w:t>
            </w:r>
            <w:r w:rsidRPr="00B7760C">
              <w:tab/>
            </w:r>
            <w:r w:rsidRPr="00B7760C">
              <w:rPr>
                <w:b/>
                <w:i/>
              </w:rPr>
              <w:t>ki lahko, če se države članice tako odločijo, vsebujejo krajinske značilnosti in elemente, vključno z biotopi, kot so drevesa, grmovje, poljske goščave in močvirske površine, če ne pokrivajo več kot 1/3 površine vsake enote rabe oziroma poljine, kot je opredeljena v členu 63(4) Uredbe (EU).../... [horizontalna uredba]</w:t>
            </w:r>
          </w:p>
        </w:tc>
      </w:tr>
      <w:tr w:rsidR="008C66AC" w:rsidRPr="00B7760C" w14:paraId="0DD10B09" w14:textId="77777777" w:rsidTr="008C66AC">
        <w:trPr>
          <w:jc w:val="center"/>
        </w:trPr>
        <w:tc>
          <w:tcPr>
            <w:tcW w:w="4876" w:type="dxa"/>
          </w:tcPr>
          <w:p w14:paraId="4F973A3A" w14:textId="69C8C4A0" w:rsidR="008C66AC" w:rsidRPr="00B7760C" w:rsidRDefault="008C66AC" w:rsidP="00B2260C">
            <w:pPr>
              <w:pStyle w:val="Normal6a"/>
            </w:pPr>
            <w:r w:rsidRPr="00B7760C">
              <w:t>(ii)</w:t>
            </w:r>
            <w:r w:rsidRPr="00B7760C">
              <w:tab/>
              <w:t>ki je bila upravičena do plačil v skladu pododdelkom 2 oddelka 2 poglavja II naslova III te uredbe ali na podlagi sheme osnovnega plačila ali sheme enotnega plačila na površino iz naslova III Uredbe (EU) št. 1307/2013 ter ki:</w:t>
            </w:r>
          </w:p>
        </w:tc>
        <w:tc>
          <w:tcPr>
            <w:tcW w:w="4876" w:type="dxa"/>
          </w:tcPr>
          <w:p w14:paraId="77A19B55" w14:textId="3EF1C4F7" w:rsidR="008C66AC" w:rsidRPr="00B7760C" w:rsidRDefault="008C66AC" w:rsidP="00B2260C">
            <w:pPr>
              <w:pStyle w:val="Normal6a"/>
            </w:pPr>
            <w:r w:rsidRPr="00B7760C">
              <w:rPr>
                <w:bCs/>
                <w:iCs/>
              </w:rPr>
              <w:t>(ii)</w:t>
            </w:r>
            <w:r w:rsidRPr="00B7760C">
              <w:rPr>
                <w:bCs/>
                <w:iCs/>
              </w:rPr>
              <w:tab/>
            </w:r>
            <w:r w:rsidRPr="00B7760C">
              <w:rPr>
                <w:b/>
                <w:i/>
              </w:rPr>
              <w:t xml:space="preserve">vsaka površina kmetijskega gospodarstva, </w:t>
            </w:r>
            <w:r w:rsidRPr="00B7760C">
              <w:t>ki je bila upravičena do plačil v skladu pododdelkom 2 oddelka 2 poglavja II naslova III te uredbe ali na podlagi sheme osnovnega plačila ali sheme enotnega plačila na površino iz naslova III Uredbe (EU) št. 1307/2013 ter ki:</w:t>
            </w:r>
          </w:p>
        </w:tc>
      </w:tr>
      <w:tr w:rsidR="008C66AC" w:rsidRPr="00B7760C" w14:paraId="1E1BE711" w14:textId="77777777" w:rsidTr="008C66AC">
        <w:trPr>
          <w:jc w:val="center"/>
        </w:trPr>
        <w:tc>
          <w:tcPr>
            <w:tcW w:w="4876" w:type="dxa"/>
          </w:tcPr>
          <w:p w14:paraId="27A11530" w14:textId="77777777" w:rsidR="008C66AC" w:rsidRPr="00B7760C" w:rsidRDefault="008C66AC" w:rsidP="00B2260C">
            <w:pPr>
              <w:pStyle w:val="Normal6a"/>
            </w:pPr>
            <w:r w:rsidRPr="00B7760C">
              <w:t>–</w:t>
            </w:r>
            <w:r w:rsidRPr="00B7760C">
              <w:tab/>
            </w:r>
            <w:r w:rsidRPr="00B7760C">
              <w:rPr>
                <w:b/>
                <w:i/>
              </w:rPr>
              <w:t>ne ustreza več opredelitvi pojma „upravičeni hektar“ iz točke (a) Uredbe</w:t>
            </w:r>
            <w:r w:rsidRPr="00B7760C">
              <w:t xml:space="preserve"> (</w:t>
            </w:r>
            <w:r w:rsidRPr="00B7760C">
              <w:rPr>
                <w:b/>
                <w:i/>
              </w:rPr>
              <w:t>EU</w:t>
            </w:r>
            <w:r w:rsidRPr="00B7760C">
              <w:t xml:space="preserve">) </w:t>
            </w:r>
            <w:r w:rsidRPr="00B7760C">
              <w:rPr>
                <w:b/>
                <w:i/>
              </w:rPr>
              <w:t xml:space="preserve">št. 1307/2013 zaradi izvajanja direktiv 92/43/EGS </w:t>
            </w:r>
            <w:r w:rsidRPr="00B7760C">
              <w:t xml:space="preserve">in </w:t>
            </w:r>
            <w:r w:rsidRPr="00B7760C">
              <w:rPr>
                <w:b/>
                <w:i/>
              </w:rPr>
              <w:t>2009/147/ES ali Direktive 2000/60/ES;</w:t>
            </w:r>
          </w:p>
        </w:tc>
        <w:tc>
          <w:tcPr>
            <w:tcW w:w="4876" w:type="dxa"/>
          </w:tcPr>
          <w:p w14:paraId="69B69FC3" w14:textId="32566D6B" w:rsidR="008C66AC" w:rsidRPr="00B7760C" w:rsidRDefault="008C66AC" w:rsidP="00B2260C">
            <w:pPr>
              <w:pStyle w:val="Normal6a"/>
            </w:pPr>
            <w:r w:rsidRPr="00B7760C">
              <w:t>–</w:t>
            </w:r>
            <w:r w:rsidRPr="00B7760C">
              <w:tab/>
            </w:r>
            <w:r w:rsidRPr="00B7760C">
              <w:rPr>
                <w:b/>
                <w:i/>
              </w:rPr>
              <w:t>ni „upravičeni hektar“, kot ga opredelijo države članice na podlagi podtočk</w:t>
            </w:r>
            <w:r w:rsidRPr="00B7760C">
              <w:t xml:space="preserve"> (</w:t>
            </w:r>
            <w:r w:rsidRPr="00B7760C">
              <w:rPr>
                <w:b/>
                <w:i/>
              </w:rPr>
              <w:t>i</w:t>
            </w:r>
            <w:r w:rsidRPr="00B7760C">
              <w:t xml:space="preserve">) in </w:t>
            </w:r>
            <w:r w:rsidRPr="00B7760C">
              <w:rPr>
                <w:b/>
                <w:i/>
              </w:rPr>
              <w:t>(ia) te točke</w:t>
            </w:r>
            <w:r w:rsidR="007C10C0" w:rsidRPr="00B7760C">
              <w:rPr>
                <w:b/>
                <w:i/>
              </w:rPr>
              <w:t>;</w:t>
            </w:r>
          </w:p>
        </w:tc>
      </w:tr>
      <w:tr w:rsidR="008C66AC" w:rsidRPr="00B7760C" w14:paraId="6F3B070A" w14:textId="77777777" w:rsidTr="008C66AC">
        <w:trPr>
          <w:jc w:val="center"/>
        </w:trPr>
        <w:tc>
          <w:tcPr>
            <w:tcW w:w="4876" w:type="dxa"/>
          </w:tcPr>
          <w:p w14:paraId="2F7C27E1" w14:textId="77777777" w:rsidR="008C66AC" w:rsidRPr="00B7760C" w:rsidRDefault="008C66AC" w:rsidP="00B2260C">
            <w:pPr>
              <w:pStyle w:val="Normal6a"/>
            </w:pPr>
          </w:p>
        </w:tc>
        <w:tc>
          <w:tcPr>
            <w:tcW w:w="4876" w:type="dxa"/>
          </w:tcPr>
          <w:p w14:paraId="4912BF20" w14:textId="562C23C3" w:rsidR="008C66AC" w:rsidRPr="00B7760C" w:rsidRDefault="008C66AC" w:rsidP="00B2260C">
            <w:pPr>
              <w:pStyle w:val="Normal6a"/>
            </w:pPr>
            <w:r w:rsidRPr="00B7760C">
              <w:rPr>
                <w:b/>
                <w:i/>
              </w:rPr>
              <w:t xml:space="preserve">– </w:t>
            </w:r>
            <w:r w:rsidRPr="00B7760C">
              <w:rPr>
                <w:b/>
                <w:i/>
              </w:rPr>
              <w:tab/>
              <w:t>zaradi izvajanja direktiv 92/43/EGS in 2009/147/ES ali Direktive 2000/60/ES;</w:t>
            </w:r>
          </w:p>
        </w:tc>
      </w:tr>
      <w:tr w:rsidR="008C66AC" w:rsidRPr="00B7760C" w14:paraId="705F49F1" w14:textId="77777777" w:rsidTr="008C66AC">
        <w:trPr>
          <w:jc w:val="center"/>
        </w:trPr>
        <w:tc>
          <w:tcPr>
            <w:tcW w:w="4876" w:type="dxa"/>
          </w:tcPr>
          <w:p w14:paraId="4689F15C" w14:textId="77777777" w:rsidR="008C66AC" w:rsidRPr="00B7760C" w:rsidRDefault="008C66AC" w:rsidP="00B2260C">
            <w:pPr>
              <w:pStyle w:val="Normal6a"/>
            </w:pPr>
          </w:p>
        </w:tc>
        <w:tc>
          <w:tcPr>
            <w:tcW w:w="4876" w:type="dxa"/>
          </w:tcPr>
          <w:p w14:paraId="34FD3176" w14:textId="7664D06B" w:rsidR="008C66AC" w:rsidRPr="00B7760C" w:rsidRDefault="008C66AC" w:rsidP="00B2260C">
            <w:pPr>
              <w:pStyle w:val="Normal6a"/>
            </w:pPr>
            <w:r w:rsidRPr="00B7760C">
              <w:rPr>
                <w:b/>
                <w:i/>
              </w:rPr>
              <w:t xml:space="preserve">– </w:t>
            </w:r>
            <w:r w:rsidRPr="00B7760C">
              <w:rPr>
                <w:b/>
                <w:i/>
              </w:rPr>
              <w:tab/>
              <w:t>kot rezultat ukrepov na površino, ki prispevajo k blažitvi podnebnih sprememb in prilagajanju nanje ter okoljskim ciljem in ciljem biotske raznovrstnosti iz točk (d), (e) in (f) člena 6(1) te uredbe. Te površine se lahko uporabljajo za paludikulturo;</w:t>
            </w:r>
          </w:p>
        </w:tc>
      </w:tr>
      <w:tr w:rsidR="008C66AC" w:rsidRPr="00B7760C" w14:paraId="1D64002D" w14:textId="77777777" w:rsidTr="008C66AC">
        <w:trPr>
          <w:jc w:val="center"/>
        </w:trPr>
        <w:tc>
          <w:tcPr>
            <w:tcW w:w="4876" w:type="dxa"/>
          </w:tcPr>
          <w:p w14:paraId="12A486BC" w14:textId="77777777" w:rsidR="008C66AC" w:rsidRPr="00B7760C" w:rsidRDefault="008C66AC" w:rsidP="00B2260C">
            <w:pPr>
              <w:pStyle w:val="Normal6a"/>
            </w:pPr>
            <w:r w:rsidRPr="00B7760C">
              <w:t>–</w:t>
            </w:r>
            <w:r w:rsidRPr="00B7760C">
              <w:tab/>
              <w:t>je v obdobju trajanja zadevne obveznosti posameznega kmeta pogozdena v skladu s členom 31 Uredbe (ES) št. 1257/1999, členom 43 Uredbe (ES) št. 1698/2005 ali členom 22 Uredbe (EU) št. 1305/2013 ali na podlagi nacionalne sheme, katere pogoji so skladni s členom 43(1), (2) in (3) Uredbe (ES) št. 1698/2005, členom 22 Uredbe (EU) št. 1305/2013 ali členoma 65 in 67 te uredbe</w:t>
            </w:r>
            <w:r w:rsidRPr="00B7760C">
              <w:rPr>
                <w:b/>
                <w:i/>
              </w:rPr>
              <w:t>;</w:t>
            </w:r>
          </w:p>
        </w:tc>
        <w:tc>
          <w:tcPr>
            <w:tcW w:w="4876" w:type="dxa"/>
          </w:tcPr>
          <w:p w14:paraId="4CD1883A" w14:textId="77777777" w:rsidR="008C66AC" w:rsidRPr="00B7760C" w:rsidRDefault="008C66AC" w:rsidP="00B2260C">
            <w:pPr>
              <w:pStyle w:val="Normal6a"/>
            </w:pPr>
            <w:r w:rsidRPr="00B7760C">
              <w:t>–</w:t>
            </w:r>
            <w:r w:rsidRPr="00B7760C">
              <w:tab/>
              <w:t>je v obdobju trajanja zadevne obveznosti posameznega kmeta pogozdena v skladu s členom 31 Uredbe (ES) št. 1257/1999, členom 43 Uredbe (ES) št. 1698/2005 ali členom 22 Uredbe (EU) št. 1305/2013 ali na podlagi nacionalne sheme, katere pogoji so skladni s členom 43(1), (2) in (3) Uredbe (ES) št. 1698/2005, členom 22 Uredbe (EU) št. 1305/2013 ali členoma 65 in 67 te uredbe</w:t>
            </w:r>
            <w:r w:rsidRPr="00B7760C">
              <w:rPr>
                <w:b/>
                <w:i/>
              </w:rPr>
              <w:t>.</w:t>
            </w:r>
            <w:r w:rsidRPr="00B7760C">
              <w:t xml:space="preserve"> </w:t>
            </w:r>
            <w:r w:rsidRPr="00B7760C">
              <w:rPr>
                <w:b/>
                <w:i/>
              </w:rPr>
              <w:t>Države članice lahko določijo ustrezne pogoje za vključitev pogozdovanja zemljišč z zasebnim ali nacionalnim financiranjem, ki prispeva k enemu ali več posebnim ciljem, povezanim z okoljem, biotsko raznovrstnostjo in podnebjem;</w:t>
            </w:r>
          </w:p>
        </w:tc>
      </w:tr>
      <w:tr w:rsidR="008C66AC" w:rsidRPr="00B7760C" w14:paraId="68B5760A" w14:textId="77777777" w:rsidTr="008C66AC">
        <w:trPr>
          <w:jc w:val="center"/>
        </w:trPr>
        <w:tc>
          <w:tcPr>
            <w:tcW w:w="4876" w:type="dxa"/>
          </w:tcPr>
          <w:p w14:paraId="20676F6E" w14:textId="77777777" w:rsidR="008C66AC" w:rsidRPr="00B7760C" w:rsidRDefault="008C66AC" w:rsidP="00B2260C">
            <w:pPr>
              <w:pStyle w:val="Normal6a"/>
            </w:pPr>
            <w:r w:rsidRPr="00B7760C">
              <w:t>–</w:t>
            </w:r>
            <w:r w:rsidRPr="00B7760C">
              <w:tab/>
              <w:t>je v času trajanja zadevne obveznosti posameznega kmeta pod praho v skladu s členi 22, 23 in 24 Uredbe (ES) št. 1257/1999, členom 39 Uredbe (ES) št. 1698/2005, členom 28 Uredbe (EU) št. 1305/2013 ali členom 65 te uredbe.</w:t>
            </w:r>
          </w:p>
        </w:tc>
        <w:tc>
          <w:tcPr>
            <w:tcW w:w="4876" w:type="dxa"/>
          </w:tcPr>
          <w:p w14:paraId="3B2A8177" w14:textId="77777777" w:rsidR="008C66AC" w:rsidRPr="00B7760C" w:rsidRDefault="008C66AC" w:rsidP="00B2260C">
            <w:pPr>
              <w:pStyle w:val="Normal6a"/>
            </w:pPr>
            <w:r w:rsidRPr="00B7760C">
              <w:t>–</w:t>
            </w:r>
            <w:r w:rsidRPr="00B7760C">
              <w:tab/>
              <w:t>je v času trajanja zadevne obveznosti posameznega kmeta pod praho v skladu s členi 22, 23 in 24 Uredbe (ES) št. 1257/1999, členom 39 Uredbe (ES) št. 1698/2005, členom 28 Uredbe (EU) št. 1305/2013 ali členom 65 te uredbe.</w:t>
            </w:r>
          </w:p>
        </w:tc>
      </w:tr>
    </w:tbl>
    <w:p w14:paraId="29B6E0FA" w14:textId="77777777" w:rsidR="003663AF" w:rsidRPr="00B7760C" w:rsidRDefault="003663AF" w:rsidP="003663AF"/>
    <w:p w14:paraId="67E19CCE" w14:textId="63478820" w:rsidR="003663AF" w:rsidRPr="00B7760C" w:rsidRDefault="00877691" w:rsidP="003663AF">
      <w:pPr>
        <w:pStyle w:val="AMNumberTabs"/>
        <w:keepNext/>
      </w:pPr>
      <w:r w:rsidRPr="00B7760C">
        <w:t>Sprememb</w:t>
      </w:r>
      <w:r w:rsidR="00904DA3" w:rsidRPr="00B7760C">
        <w:t>i</w:t>
      </w:r>
      <w:r w:rsidR="003663AF" w:rsidRPr="00B7760C">
        <w:tab/>
      </w:r>
      <w:r w:rsidR="003663AF" w:rsidRPr="00B7760C">
        <w:tab/>
        <w:t>93</w:t>
      </w:r>
      <w:r w:rsidR="00904DA3" w:rsidRPr="00B7760C">
        <w:t xml:space="preserve"> in 1148 cp13</w:t>
      </w:r>
    </w:p>
    <w:p w14:paraId="55496E57" w14:textId="77777777" w:rsidR="003663AF" w:rsidRPr="00B7760C" w:rsidRDefault="003663AF" w:rsidP="003663AF">
      <w:pPr>
        <w:pStyle w:val="NormalBold12b"/>
      </w:pPr>
      <w:r w:rsidRPr="00B7760C">
        <w:t>Predlog uredbe</w:t>
      </w:r>
    </w:p>
    <w:p w14:paraId="7D1AE1D5" w14:textId="77777777" w:rsidR="003663AF" w:rsidRPr="00B7760C" w:rsidRDefault="003663AF" w:rsidP="003663AF">
      <w:pPr>
        <w:pStyle w:val="NormalBold"/>
      </w:pPr>
      <w:r w:rsidRPr="00B7760C">
        <w:t>Člen 4 – odstavek 1 – točka c – pododstavek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74EC54A" w14:textId="77777777" w:rsidTr="00E804B7">
        <w:trPr>
          <w:jc w:val="center"/>
        </w:trPr>
        <w:tc>
          <w:tcPr>
            <w:tcW w:w="9752" w:type="dxa"/>
            <w:gridSpan w:val="2"/>
          </w:tcPr>
          <w:p w14:paraId="0B56AD9B" w14:textId="77777777" w:rsidR="003663AF" w:rsidRPr="00B7760C" w:rsidRDefault="003663AF" w:rsidP="00E804B7">
            <w:pPr>
              <w:keepNext/>
            </w:pPr>
          </w:p>
        </w:tc>
      </w:tr>
      <w:tr w:rsidR="003663AF" w:rsidRPr="00B7760C" w14:paraId="57B8E178" w14:textId="77777777" w:rsidTr="00E804B7">
        <w:trPr>
          <w:jc w:val="center"/>
        </w:trPr>
        <w:tc>
          <w:tcPr>
            <w:tcW w:w="4876" w:type="dxa"/>
            <w:hideMark/>
          </w:tcPr>
          <w:p w14:paraId="43F36147" w14:textId="77777777" w:rsidR="003663AF" w:rsidRPr="00B7760C" w:rsidRDefault="003663AF" w:rsidP="00E804B7">
            <w:pPr>
              <w:pStyle w:val="ColumnHeading"/>
              <w:keepNext/>
            </w:pPr>
            <w:r w:rsidRPr="00B7760C">
              <w:t>Besedilo, ki ga predlaga Komisija</w:t>
            </w:r>
          </w:p>
        </w:tc>
        <w:tc>
          <w:tcPr>
            <w:tcW w:w="4876" w:type="dxa"/>
            <w:hideMark/>
          </w:tcPr>
          <w:p w14:paraId="6AE7BFE0" w14:textId="7F00C53A" w:rsidR="003663AF" w:rsidRPr="00B7760C" w:rsidRDefault="00877691" w:rsidP="00E804B7">
            <w:pPr>
              <w:pStyle w:val="ColumnHeading"/>
              <w:keepNext/>
            </w:pPr>
            <w:r w:rsidRPr="00B7760C">
              <w:t>Sprememba</w:t>
            </w:r>
          </w:p>
        </w:tc>
      </w:tr>
      <w:tr w:rsidR="003663AF" w:rsidRPr="00B7760C" w14:paraId="48D5BEC9" w14:textId="77777777" w:rsidTr="00E804B7">
        <w:trPr>
          <w:jc w:val="center"/>
        </w:trPr>
        <w:tc>
          <w:tcPr>
            <w:tcW w:w="4876" w:type="dxa"/>
            <w:hideMark/>
          </w:tcPr>
          <w:p w14:paraId="6AAEA46A" w14:textId="77777777" w:rsidR="003663AF" w:rsidRPr="00B7760C" w:rsidRDefault="003663AF" w:rsidP="00E804B7">
            <w:pPr>
              <w:pStyle w:val="Normal6"/>
            </w:pPr>
            <w:r w:rsidRPr="00B7760C">
              <w:t xml:space="preserve">Za površine, ki se uporabljajo za proizvodnjo konoplje, se šteje, da so upravičeni hektarji le, če vsebnost tetrahidrokanabinola pri uporabljenih sortah ne presega </w:t>
            </w:r>
            <w:r w:rsidRPr="00B7760C">
              <w:rPr>
                <w:b/>
                <w:i/>
              </w:rPr>
              <w:t>0,2</w:t>
            </w:r>
            <w:r w:rsidRPr="00B7760C">
              <w:t> %;</w:t>
            </w:r>
          </w:p>
        </w:tc>
        <w:tc>
          <w:tcPr>
            <w:tcW w:w="4876" w:type="dxa"/>
            <w:hideMark/>
          </w:tcPr>
          <w:p w14:paraId="48E65EF5" w14:textId="77777777" w:rsidR="003663AF" w:rsidRPr="00B7760C" w:rsidRDefault="003663AF" w:rsidP="00E804B7">
            <w:pPr>
              <w:pStyle w:val="Normal6"/>
              <w:rPr>
                <w:szCs w:val="24"/>
              </w:rPr>
            </w:pPr>
            <w:r w:rsidRPr="00B7760C">
              <w:t xml:space="preserve">Za površine, ki se uporabljajo za proizvodnjo konoplje, se šteje, da so upravičeni hektarji le, če vsebnost tetrahidrokanabinola pri uporabljenih sortah ne presega </w:t>
            </w:r>
            <w:r w:rsidRPr="00B7760C">
              <w:rPr>
                <w:b/>
                <w:i/>
              </w:rPr>
              <w:t>0,3</w:t>
            </w:r>
            <w:r w:rsidRPr="00B7760C">
              <w:t> %;</w:t>
            </w:r>
          </w:p>
        </w:tc>
      </w:tr>
    </w:tbl>
    <w:p w14:paraId="4B05006F" w14:textId="77777777" w:rsidR="003663AF" w:rsidRPr="00B7760C" w:rsidRDefault="003663AF" w:rsidP="003663AF"/>
    <w:p w14:paraId="19EE6CE1" w14:textId="4A3E0E10" w:rsidR="003663AF" w:rsidRPr="00B7760C" w:rsidRDefault="00877691" w:rsidP="003663AF">
      <w:pPr>
        <w:pStyle w:val="AMNumberTabs"/>
        <w:keepNext/>
      </w:pPr>
      <w:r w:rsidRPr="00B7760C">
        <w:t>Sprememb</w:t>
      </w:r>
      <w:r w:rsidR="00904DA3" w:rsidRPr="00B7760C">
        <w:t>i</w:t>
      </w:r>
      <w:r w:rsidR="003663AF" w:rsidRPr="00B7760C">
        <w:tab/>
      </w:r>
      <w:r w:rsidR="003663AF" w:rsidRPr="00B7760C">
        <w:tab/>
        <w:t>94</w:t>
      </w:r>
      <w:r w:rsidR="00904DA3" w:rsidRPr="00B7760C">
        <w:t xml:space="preserve"> in 1148 cp14</w:t>
      </w:r>
    </w:p>
    <w:p w14:paraId="6AD3C34F" w14:textId="77777777" w:rsidR="003663AF" w:rsidRPr="00B7760C" w:rsidRDefault="003663AF" w:rsidP="003663AF">
      <w:pPr>
        <w:pStyle w:val="NormalBold12b"/>
      </w:pPr>
      <w:r w:rsidRPr="00B7760C">
        <w:t>Predlog uredbe</w:t>
      </w:r>
    </w:p>
    <w:p w14:paraId="58F8AA27" w14:textId="77777777" w:rsidR="003663AF" w:rsidRPr="00B7760C" w:rsidRDefault="003663AF" w:rsidP="003663AF">
      <w:pPr>
        <w:pStyle w:val="NormalBold"/>
      </w:pPr>
      <w:r w:rsidRPr="00B7760C">
        <w:t>Člen 4 – odstavek 1 – točka d</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213D396" w14:textId="77777777" w:rsidTr="006B5A41">
        <w:trPr>
          <w:jc w:val="center"/>
        </w:trPr>
        <w:tc>
          <w:tcPr>
            <w:tcW w:w="9752" w:type="dxa"/>
            <w:gridSpan w:val="2"/>
          </w:tcPr>
          <w:p w14:paraId="56A48F21" w14:textId="77777777" w:rsidR="003663AF" w:rsidRPr="00B7760C" w:rsidRDefault="003663AF" w:rsidP="00E804B7">
            <w:pPr>
              <w:keepNext/>
            </w:pPr>
          </w:p>
        </w:tc>
      </w:tr>
      <w:tr w:rsidR="003663AF" w:rsidRPr="00B7760C" w14:paraId="17F474EA" w14:textId="77777777" w:rsidTr="006B5A41">
        <w:trPr>
          <w:jc w:val="center"/>
        </w:trPr>
        <w:tc>
          <w:tcPr>
            <w:tcW w:w="4876" w:type="dxa"/>
            <w:hideMark/>
          </w:tcPr>
          <w:p w14:paraId="4DA8D8DD" w14:textId="77777777" w:rsidR="003663AF" w:rsidRPr="00B7760C" w:rsidRDefault="003663AF" w:rsidP="00E804B7">
            <w:pPr>
              <w:pStyle w:val="ColumnHeading"/>
              <w:keepNext/>
            </w:pPr>
            <w:r w:rsidRPr="00B7760C">
              <w:t>Besedilo, ki ga predlaga Komisija</w:t>
            </w:r>
          </w:p>
        </w:tc>
        <w:tc>
          <w:tcPr>
            <w:tcW w:w="4876" w:type="dxa"/>
            <w:hideMark/>
          </w:tcPr>
          <w:p w14:paraId="6194790B" w14:textId="6FF3B609" w:rsidR="003663AF" w:rsidRPr="00B7760C" w:rsidRDefault="00877691" w:rsidP="00E804B7">
            <w:pPr>
              <w:pStyle w:val="ColumnHeading"/>
              <w:keepNext/>
            </w:pPr>
            <w:r w:rsidRPr="00B7760C">
              <w:t>Sprememba</w:t>
            </w:r>
          </w:p>
        </w:tc>
      </w:tr>
      <w:tr w:rsidR="006B5A41" w:rsidRPr="00B7760C" w14:paraId="213DF394" w14:textId="77777777" w:rsidTr="006B5A41">
        <w:trPr>
          <w:jc w:val="center"/>
        </w:trPr>
        <w:tc>
          <w:tcPr>
            <w:tcW w:w="4876" w:type="dxa"/>
          </w:tcPr>
          <w:p w14:paraId="7FE3A256" w14:textId="492BB8BE" w:rsidR="006B5A41" w:rsidRPr="00B7760C" w:rsidRDefault="006B5A41" w:rsidP="006B5A41">
            <w:pPr>
              <w:pStyle w:val="Normal6"/>
            </w:pPr>
            <w:r w:rsidRPr="00B7760C">
              <w:t>(d)</w:t>
            </w:r>
            <w:r w:rsidRPr="00B7760C">
              <w:tab/>
            </w:r>
            <w:r w:rsidRPr="00B7760C">
              <w:rPr>
                <w:b/>
                <w:i/>
              </w:rPr>
              <w:t>„pravi</w:t>
            </w:r>
            <w:r w:rsidRPr="00B7760C">
              <w:t xml:space="preserve"> kmetje“ </w:t>
            </w:r>
            <w:r w:rsidRPr="00B7760C">
              <w:rPr>
                <w:b/>
                <w:bCs/>
                <w:i/>
                <w:iCs/>
              </w:rPr>
              <w:t>so opredeljeni</w:t>
            </w:r>
            <w:r w:rsidRPr="00B7760C">
              <w:t xml:space="preserve"> tako, da </w:t>
            </w:r>
            <w:r w:rsidRPr="00B7760C">
              <w:rPr>
                <w:b/>
                <w:bCs/>
                <w:i/>
                <w:iCs/>
              </w:rPr>
              <w:t>se zagotovi</w:t>
            </w:r>
            <w:r w:rsidRPr="00B7760C">
              <w:t>, da se podpora ne dodeli osebam, katerih kmetijske dejavnosti predstavljajo le zanemarljiv delež vseh njihovih gospodarskih dejavnosti</w:t>
            </w:r>
            <w:r w:rsidRPr="00B7760C">
              <w:rPr>
                <w:b/>
                <w:i/>
              </w:rPr>
              <w:t xml:space="preserve"> ali katerih glavna poslovna dejavnost ni kmetijska dejavnost</w:t>
            </w:r>
            <w:r w:rsidRPr="00B7760C">
              <w:t xml:space="preserve">, pri čemer </w:t>
            </w:r>
            <w:r w:rsidRPr="00B7760C">
              <w:rPr>
                <w:b/>
                <w:i/>
              </w:rPr>
              <w:t xml:space="preserve">se </w:t>
            </w:r>
            <w:r w:rsidRPr="00B7760C">
              <w:t xml:space="preserve">iz podpore </w:t>
            </w:r>
            <w:r w:rsidRPr="00B7760C">
              <w:rPr>
                <w:b/>
                <w:i/>
              </w:rPr>
              <w:t>ne izključijo</w:t>
            </w:r>
            <w:r w:rsidRPr="00B7760C">
              <w:t xml:space="preserve"> večdejavni kmetje. </w:t>
            </w:r>
            <w:r w:rsidRPr="00B7760C">
              <w:rPr>
                <w:b/>
                <w:i/>
              </w:rPr>
              <w:t>Iz opredelitve je na podlagi pogojev, kot so preverjanje dohodkov, vložek dela na kmetiji, poslovni namen in/ali vpis v registre, mogoče ugotoviti, kateri kmetje se ne štejejo za</w:t>
            </w:r>
            <w:r w:rsidRPr="00B7760C">
              <w:t xml:space="preserve"> </w:t>
            </w:r>
            <w:r w:rsidRPr="00B7760C">
              <w:rPr>
                <w:b/>
                <w:i/>
              </w:rPr>
              <w:t>prave kmete;</w:t>
            </w:r>
          </w:p>
        </w:tc>
        <w:tc>
          <w:tcPr>
            <w:tcW w:w="4876" w:type="dxa"/>
          </w:tcPr>
          <w:p w14:paraId="5AD7BB6C" w14:textId="4BC5E76C" w:rsidR="006B5A41" w:rsidRPr="00B7760C" w:rsidRDefault="00130CC4" w:rsidP="00A248DD">
            <w:pPr>
              <w:pStyle w:val="Normal6"/>
            </w:pPr>
            <w:r w:rsidRPr="00B7760C">
              <w:t>(d)</w:t>
            </w:r>
            <w:r w:rsidRPr="00B7760C">
              <w:tab/>
            </w:r>
            <w:r w:rsidR="008A0166" w:rsidRPr="00B7760C">
              <w:rPr>
                <w:b/>
                <w:i/>
              </w:rPr>
              <w:t>„</w:t>
            </w:r>
            <w:r w:rsidR="00A248DD" w:rsidRPr="00B7760C">
              <w:rPr>
                <w:b/>
                <w:i/>
              </w:rPr>
              <w:t>dejavne</w:t>
            </w:r>
            <w:r w:rsidR="008A0166" w:rsidRPr="00B7760C">
              <w:rPr>
                <w:b/>
                <w:i/>
              </w:rPr>
              <w:t xml:space="preserve"> kmete“ države članice opredelijo</w:t>
            </w:r>
            <w:r w:rsidR="008A0166" w:rsidRPr="00B7760C">
              <w:t xml:space="preserve"> tako, da </w:t>
            </w:r>
            <w:r w:rsidR="008A0166" w:rsidRPr="00B7760C">
              <w:rPr>
                <w:b/>
                <w:i/>
              </w:rPr>
              <w:t>zagotovijo</w:t>
            </w:r>
            <w:r w:rsidR="008A0166" w:rsidRPr="00B7760C">
              <w:t xml:space="preserve">, da se podpora </w:t>
            </w:r>
            <w:r w:rsidR="00C6578F" w:rsidRPr="00B7760C">
              <w:t xml:space="preserve">ne </w:t>
            </w:r>
            <w:r w:rsidRPr="00B7760C">
              <w:t xml:space="preserve">dodeli </w:t>
            </w:r>
            <w:r w:rsidR="00C6578F" w:rsidRPr="00B7760C">
              <w:t xml:space="preserve">osebam, katerih kmetijske dejavnosti predstavljajo le zanemarljiv delež vseh njihovih gospodarskih dejavnosti, </w:t>
            </w:r>
            <w:r w:rsidRPr="00B7760C">
              <w:t xml:space="preserve">pri čemer iz podpore </w:t>
            </w:r>
            <w:r w:rsidRPr="00B7760C">
              <w:rPr>
                <w:b/>
                <w:i/>
              </w:rPr>
              <w:t>niso izključeni</w:t>
            </w:r>
            <w:r w:rsidRPr="00B7760C">
              <w:t xml:space="preserve"> večdejavni kmetje</w:t>
            </w:r>
            <w:r w:rsidRPr="00B7760C">
              <w:rPr>
                <w:b/>
                <w:i/>
              </w:rPr>
              <w:t>, delno samooskrbni kmetje in kmetovanje visoke naravne vrednosti</w:t>
            </w:r>
            <w:r w:rsidRPr="00B7760C">
              <w:t>.</w:t>
            </w:r>
          </w:p>
        </w:tc>
      </w:tr>
      <w:tr w:rsidR="006B5A41" w:rsidRPr="00B7760C" w14:paraId="63531B42" w14:textId="77777777" w:rsidTr="006B5A41">
        <w:trPr>
          <w:jc w:val="center"/>
        </w:trPr>
        <w:tc>
          <w:tcPr>
            <w:tcW w:w="4876" w:type="dxa"/>
          </w:tcPr>
          <w:p w14:paraId="7F5D2934" w14:textId="77777777" w:rsidR="006B5A41" w:rsidRPr="00B7760C" w:rsidRDefault="006B5A41" w:rsidP="006B5A41">
            <w:pPr>
              <w:pStyle w:val="Normal6"/>
            </w:pPr>
          </w:p>
        </w:tc>
        <w:tc>
          <w:tcPr>
            <w:tcW w:w="4876" w:type="dxa"/>
          </w:tcPr>
          <w:p w14:paraId="34029D23" w14:textId="771CEAD7" w:rsidR="006B5A41" w:rsidRPr="00B7760C" w:rsidRDefault="006B5A41" w:rsidP="00C6578F">
            <w:pPr>
              <w:pStyle w:val="Normal6"/>
            </w:pPr>
            <w:r w:rsidRPr="00B7760C">
              <w:rPr>
                <w:b/>
                <w:i/>
              </w:rPr>
              <w:t>Z opredelitvijo se v vsakem primeru ohrani model družinskega kmetijskega gospodarstva Unije, ki je lahko posamično ali v partnerstvu, po potrebi pa se v opredelitvi upoštevajo tudi posebnosti regij, opredeljenih v členu 349 PDEU.</w:t>
            </w:r>
          </w:p>
        </w:tc>
      </w:tr>
      <w:tr w:rsidR="006B5A41" w:rsidRPr="00B7760C" w14:paraId="663EF4E7" w14:textId="77777777" w:rsidTr="006B5A41">
        <w:trPr>
          <w:jc w:val="center"/>
        </w:trPr>
        <w:tc>
          <w:tcPr>
            <w:tcW w:w="4876" w:type="dxa"/>
          </w:tcPr>
          <w:p w14:paraId="3C65B970" w14:textId="77777777" w:rsidR="006B5A41" w:rsidRPr="00B7760C" w:rsidRDefault="006B5A41" w:rsidP="006B5A41">
            <w:pPr>
              <w:pStyle w:val="Normal6"/>
            </w:pPr>
          </w:p>
        </w:tc>
        <w:tc>
          <w:tcPr>
            <w:tcW w:w="4876" w:type="dxa"/>
          </w:tcPr>
          <w:p w14:paraId="2587CFE3" w14:textId="161D849C" w:rsidR="006B5A41" w:rsidRPr="00B7760C" w:rsidRDefault="006B5A41" w:rsidP="006B5A41">
            <w:pPr>
              <w:pStyle w:val="Normal6"/>
            </w:pPr>
            <w:r w:rsidRPr="00B7760C">
              <w:rPr>
                <w:b/>
                <w:i/>
              </w:rPr>
              <w:t>Z opredelitvijo se zagotovi, da se neposredna plačila ne odobrijo fizičnim ali pravnim osebam oziroma skupinam fizičnih ali pravnih oseb, ki upravljajo letališča, železniške storitve, vodne objekte, nepremičninske storitve ali stalna športna in rekreacijska igrišča. Države članice se lahko odločijo, da na ta seznam dodajo druga podobna nekmetijska podjetja ali dejavnosti ali dodane vnose umaknejo, in lahko</w:t>
            </w:r>
            <w:r w:rsidRPr="00B7760C">
              <w:t xml:space="preserve"> iz </w:t>
            </w:r>
            <w:r w:rsidRPr="00B7760C">
              <w:rPr>
                <w:b/>
                <w:i/>
              </w:rPr>
              <w:t xml:space="preserve">te </w:t>
            </w:r>
            <w:r w:rsidRPr="00B7760C">
              <w:t xml:space="preserve">opredelitve </w:t>
            </w:r>
            <w:r w:rsidRPr="00B7760C">
              <w:rPr>
                <w:b/>
                <w:i/>
              </w:rPr>
              <w:t>izključijo posameznike ali podjetja, ki se ukvarjajo z obsežno predelavo kmetijskih proizvodov, z izjemo skupin kmetov, vključenih v to predelavo.</w:t>
            </w:r>
          </w:p>
        </w:tc>
      </w:tr>
      <w:tr w:rsidR="006B5A41" w:rsidRPr="00B7760C" w14:paraId="1E346DC2" w14:textId="77777777" w:rsidTr="006B5A41">
        <w:trPr>
          <w:jc w:val="center"/>
        </w:trPr>
        <w:tc>
          <w:tcPr>
            <w:tcW w:w="4876" w:type="dxa"/>
          </w:tcPr>
          <w:p w14:paraId="39088C64" w14:textId="77777777" w:rsidR="006B5A41" w:rsidRPr="00B7760C" w:rsidRDefault="006B5A41" w:rsidP="006B5A41">
            <w:pPr>
              <w:pStyle w:val="Normal6"/>
            </w:pPr>
          </w:p>
        </w:tc>
        <w:tc>
          <w:tcPr>
            <w:tcW w:w="4876" w:type="dxa"/>
          </w:tcPr>
          <w:p w14:paraId="17FE9F5D" w14:textId="3A2FA982" w:rsidR="006B5A41" w:rsidRPr="00B7760C" w:rsidRDefault="006B5A41" w:rsidP="006B5A41">
            <w:pPr>
              <w:pStyle w:val="Normal6"/>
            </w:pPr>
            <w:r w:rsidRPr="00B7760C">
              <w:rPr>
                <w:b/>
                <w:i/>
              </w:rPr>
              <w:t>Kadar je kmetijsko gospodarstvo, ki prejema plačila SKP, del večje, predvsem nekmetijske strukture, mora biti to pregledno.</w:t>
            </w:r>
          </w:p>
        </w:tc>
      </w:tr>
      <w:tr w:rsidR="006B5A41" w:rsidRPr="00B7760C" w14:paraId="312A420B" w14:textId="77777777" w:rsidTr="006B5A41">
        <w:trPr>
          <w:jc w:val="center"/>
        </w:trPr>
        <w:tc>
          <w:tcPr>
            <w:tcW w:w="4876" w:type="dxa"/>
          </w:tcPr>
          <w:p w14:paraId="3E480988" w14:textId="77777777" w:rsidR="006B5A41" w:rsidRPr="00B7760C" w:rsidRDefault="006B5A41" w:rsidP="006B5A41">
            <w:pPr>
              <w:pStyle w:val="Normal6"/>
            </w:pPr>
          </w:p>
        </w:tc>
        <w:tc>
          <w:tcPr>
            <w:tcW w:w="4876" w:type="dxa"/>
          </w:tcPr>
          <w:p w14:paraId="6CA2808B" w14:textId="206F2BD7" w:rsidR="006B5A41" w:rsidRPr="00B7760C" w:rsidRDefault="006B5A41" w:rsidP="006B5A41">
            <w:pPr>
              <w:pStyle w:val="Normal6"/>
            </w:pPr>
            <w:r w:rsidRPr="00B7760C">
              <w:rPr>
                <w:b/>
                <w:i/>
              </w:rPr>
              <w:t>Pri oblikovanju opredelitve države članice:</w:t>
            </w:r>
          </w:p>
        </w:tc>
      </w:tr>
      <w:tr w:rsidR="006B5A41" w:rsidRPr="00B7760C" w14:paraId="2939A881" w14:textId="77777777" w:rsidTr="006B5A41">
        <w:trPr>
          <w:jc w:val="center"/>
        </w:trPr>
        <w:tc>
          <w:tcPr>
            <w:tcW w:w="4876" w:type="dxa"/>
          </w:tcPr>
          <w:p w14:paraId="56E4411A" w14:textId="77777777" w:rsidR="006B5A41" w:rsidRPr="00B7760C" w:rsidRDefault="006B5A41" w:rsidP="006B5A41">
            <w:pPr>
              <w:pStyle w:val="Normal6"/>
            </w:pPr>
          </w:p>
        </w:tc>
        <w:tc>
          <w:tcPr>
            <w:tcW w:w="4876" w:type="dxa"/>
          </w:tcPr>
          <w:p w14:paraId="0DA25F96" w14:textId="6BCD1ABC" w:rsidR="006B5A41" w:rsidRPr="00B7760C" w:rsidRDefault="006B5A41" w:rsidP="006B5A41">
            <w:pPr>
              <w:pStyle w:val="Normal6"/>
            </w:pPr>
            <w:r w:rsidRPr="00B7760C">
              <w:rPr>
                <w:b/>
                <w:i/>
              </w:rPr>
              <w:t>(i)</w:t>
            </w:r>
            <w:r w:rsidRPr="00B7760C">
              <w:rPr>
                <w:b/>
                <w:i/>
              </w:rPr>
              <w:tab/>
            </w:r>
            <w:r w:rsidRPr="00B7760C">
              <w:t xml:space="preserve">na podlagi </w:t>
            </w:r>
            <w:r w:rsidRPr="00B7760C">
              <w:rPr>
                <w:b/>
                <w:i/>
              </w:rPr>
              <w:t>objektivnih in nediskriminatornih meril uporabijo enega ali več elementov</w:t>
            </w:r>
            <w:r w:rsidRPr="00B7760C">
              <w:t>, kot so preverjanje dohodkov, vložek dela na kmetiji, poslovni namen</w:t>
            </w:r>
            <w:r w:rsidRPr="00B7760C">
              <w:rPr>
                <w:b/>
                <w:i/>
              </w:rPr>
              <w:t>, merilo minimalne kmetijske dejavnosti, ustrezne izkušnje, usposabljanje in/ali spretnosti</w:t>
            </w:r>
            <w:r w:rsidRPr="00B7760C">
              <w:t xml:space="preserve"> in/ali vpis </w:t>
            </w:r>
            <w:r w:rsidRPr="00B7760C">
              <w:rPr>
                <w:b/>
                <w:i/>
              </w:rPr>
              <w:t xml:space="preserve">kmetijskih dejavnosti </w:t>
            </w:r>
            <w:r w:rsidRPr="00B7760C">
              <w:t xml:space="preserve">v </w:t>
            </w:r>
            <w:r w:rsidRPr="00B7760C">
              <w:rPr>
                <w:b/>
                <w:i/>
              </w:rPr>
              <w:t xml:space="preserve">nacionalne </w:t>
            </w:r>
            <w:r w:rsidRPr="00B7760C">
              <w:t>registre</w:t>
            </w:r>
            <w:r w:rsidRPr="00B7760C">
              <w:rPr>
                <w:b/>
                <w:i/>
              </w:rPr>
              <w:t>;</w:t>
            </w:r>
          </w:p>
        </w:tc>
      </w:tr>
      <w:tr w:rsidR="006B5A41" w:rsidRPr="00B7760C" w14:paraId="381334AD" w14:textId="77777777" w:rsidTr="006B5A41">
        <w:trPr>
          <w:jc w:val="center"/>
        </w:trPr>
        <w:tc>
          <w:tcPr>
            <w:tcW w:w="4876" w:type="dxa"/>
          </w:tcPr>
          <w:p w14:paraId="243CC547" w14:textId="77777777" w:rsidR="006B5A41" w:rsidRPr="00B7760C" w:rsidRDefault="006B5A41" w:rsidP="006B5A41">
            <w:pPr>
              <w:pStyle w:val="Normal6"/>
            </w:pPr>
          </w:p>
        </w:tc>
        <w:tc>
          <w:tcPr>
            <w:tcW w:w="4876" w:type="dxa"/>
          </w:tcPr>
          <w:p w14:paraId="4A68F887" w14:textId="5BD902BD" w:rsidR="006B5A41" w:rsidRPr="00B7760C" w:rsidRDefault="006B5A41" w:rsidP="000D6036">
            <w:pPr>
              <w:pStyle w:val="Normal6"/>
            </w:pPr>
            <w:r w:rsidRPr="00B7760C">
              <w:rPr>
                <w:b/>
                <w:i/>
              </w:rPr>
              <w:t xml:space="preserve">(ii) </w:t>
            </w:r>
            <w:r w:rsidRPr="00B7760C">
              <w:rPr>
                <w:b/>
                <w:i/>
              </w:rPr>
              <w:tab/>
              <w:t>na podlagi svojih nacionalnih ali regionalnih značilnosti določijo znesek neposrednih plačil</w:t>
            </w:r>
            <w:r w:rsidRPr="00B7760C">
              <w:t xml:space="preserve">, </w:t>
            </w:r>
            <w:r w:rsidRPr="00B7760C">
              <w:rPr>
                <w:b/>
                <w:i/>
              </w:rPr>
              <w:t>ki ne presega 5000 EUR in v skladu s katerim se kmetje</w:t>
            </w:r>
            <w:r w:rsidRPr="00B7760C">
              <w:t xml:space="preserve">, </w:t>
            </w:r>
            <w:r w:rsidRPr="00B7760C">
              <w:rPr>
                <w:b/>
                <w:i/>
              </w:rPr>
              <w:t>ki opravljajo vsaj minimalno kmetijsko dejavnost in zagotavljajo javne dobrine, v vsakem primeru</w:t>
            </w:r>
            <w:r w:rsidRPr="00B7760C">
              <w:t xml:space="preserve"> štejejo za </w:t>
            </w:r>
            <w:r w:rsidRPr="00B7760C">
              <w:rPr>
                <w:b/>
                <w:i/>
              </w:rPr>
              <w:t>„</w:t>
            </w:r>
            <w:r w:rsidR="000D6036" w:rsidRPr="00B7760C">
              <w:rPr>
                <w:b/>
                <w:i/>
              </w:rPr>
              <w:t>dejavne</w:t>
            </w:r>
            <w:r w:rsidRPr="00B7760C">
              <w:rPr>
                <w:b/>
                <w:i/>
              </w:rPr>
              <w:t xml:space="preserve"> kmete“</w:t>
            </w:r>
            <w:r w:rsidR="007C10C0" w:rsidRPr="00B7760C">
              <w:rPr>
                <w:b/>
                <w:i/>
              </w:rPr>
              <w:t>.</w:t>
            </w:r>
          </w:p>
        </w:tc>
      </w:tr>
    </w:tbl>
    <w:p w14:paraId="264AA2C8" w14:textId="77777777" w:rsidR="003663AF" w:rsidRPr="00B7760C" w:rsidRDefault="003663AF" w:rsidP="003663AF"/>
    <w:p w14:paraId="18538A08" w14:textId="3A32284B" w:rsidR="003663AF" w:rsidRPr="00B7760C" w:rsidRDefault="00877691" w:rsidP="00B64899">
      <w:pPr>
        <w:pStyle w:val="AMNumberTabs"/>
        <w:keepNext/>
      </w:pPr>
      <w:r w:rsidRPr="00B7760C">
        <w:t>Sprememb</w:t>
      </w:r>
      <w:r w:rsidR="00B64899" w:rsidRPr="00B7760C">
        <w:t>i</w:t>
      </w:r>
      <w:r w:rsidR="003663AF" w:rsidRPr="00B7760C">
        <w:tab/>
      </w:r>
      <w:r w:rsidR="003663AF" w:rsidRPr="00B7760C">
        <w:tab/>
        <w:t>95</w:t>
      </w:r>
      <w:r w:rsidR="004D7917" w:rsidRPr="00B7760C">
        <w:t xml:space="preserve"> in 1148 cp15</w:t>
      </w:r>
    </w:p>
    <w:p w14:paraId="57E3114C" w14:textId="77777777" w:rsidR="003663AF" w:rsidRPr="00B7760C" w:rsidRDefault="003663AF" w:rsidP="003663AF">
      <w:pPr>
        <w:pStyle w:val="NormalBold12b"/>
      </w:pPr>
      <w:r w:rsidRPr="00B7760C">
        <w:t>Predlog uredbe</w:t>
      </w:r>
    </w:p>
    <w:p w14:paraId="3D1B79E2" w14:textId="77777777" w:rsidR="003663AF" w:rsidRPr="00B7760C" w:rsidRDefault="003663AF" w:rsidP="003663AF">
      <w:pPr>
        <w:pStyle w:val="NormalBold"/>
      </w:pPr>
      <w:r w:rsidRPr="00B7760C">
        <w:t>Člen 4 – odstavek 1 – točka e – uvodni del</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5683DA4" w14:textId="77777777" w:rsidTr="00E804B7">
        <w:trPr>
          <w:jc w:val="center"/>
        </w:trPr>
        <w:tc>
          <w:tcPr>
            <w:tcW w:w="9752" w:type="dxa"/>
            <w:gridSpan w:val="2"/>
          </w:tcPr>
          <w:p w14:paraId="621FB4CE" w14:textId="77777777" w:rsidR="003663AF" w:rsidRPr="00B7760C" w:rsidRDefault="003663AF" w:rsidP="00E804B7">
            <w:pPr>
              <w:keepNext/>
            </w:pPr>
          </w:p>
        </w:tc>
      </w:tr>
      <w:tr w:rsidR="003663AF" w:rsidRPr="00B7760C" w14:paraId="61638BF0" w14:textId="77777777" w:rsidTr="00E804B7">
        <w:trPr>
          <w:jc w:val="center"/>
        </w:trPr>
        <w:tc>
          <w:tcPr>
            <w:tcW w:w="4876" w:type="dxa"/>
            <w:hideMark/>
          </w:tcPr>
          <w:p w14:paraId="3B11B19E" w14:textId="77777777" w:rsidR="003663AF" w:rsidRPr="00B7760C" w:rsidRDefault="003663AF" w:rsidP="00E804B7">
            <w:pPr>
              <w:pStyle w:val="ColumnHeading"/>
              <w:keepNext/>
            </w:pPr>
            <w:r w:rsidRPr="00B7760C">
              <w:t>Besedilo, ki ga predlaga Komisija</w:t>
            </w:r>
          </w:p>
        </w:tc>
        <w:tc>
          <w:tcPr>
            <w:tcW w:w="4876" w:type="dxa"/>
            <w:hideMark/>
          </w:tcPr>
          <w:p w14:paraId="30D7C9C0" w14:textId="2A12FF05" w:rsidR="003663AF" w:rsidRPr="00B7760C" w:rsidRDefault="00877691" w:rsidP="00E804B7">
            <w:pPr>
              <w:pStyle w:val="ColumnHeading"/>
              <w:keepNext/>
            </w:pPr>
            <w:r w:rsidRPr="00B7760C">
              <w:t>Sprememba</w:t>
            </w:r>
          </w:p>
        </w:tc>
      </w:tr>
      <w:tr w:rsidR="003663AF" w:rsidRPr="00B7760C" w14:paraId="151757D8" w14:textId="77777777" w:rsidTr="00E804B7">
        <w:trPr>
          <w:jc w:val="center"/>
        </w:trPr>
        <w:tc>
          <w:tcPr>
            <w:tcW w:w="4876" w:type="dxa"/>
            <w:hideMark/>
          </w:tcPr>
          <w:p w14:paraId="42FC5113" w14:textId="77777777" w:rsidR="003663AF" w:rsidRPr="00B7760C" w:rsidRDefault="003663AF" w:rsidP="00E804B7">
            <w:pPr>
              <w:pStyle w:val="Normal6"/>
            </w:pPr>
            <w:r w:rsidRPr="00B7760C">
              <w:t>(e)</w:t>
            </w:r>
            <w:r w:rsidRPr="00B7760C">
              <w:tab/>
              <w:t>pojem „mladi kmet“ se opredeli tako, da vključuje:</w:t>
            </w:r>
          </w:p>
        </w:tc>
        <w:tc>
          <w:tcPr>
            <w:tcW w:w="4876" w:type="dxa"/>
            <w:hideMark/>
          </w:tcPr>
          <w:p w14:paraId="64BF2C67" w14:textId="77777777" w:rsidR="003663AF" w:rsidRPr="00B7760C" w:rsidRDefault="003663AF" w:rsidP="00E804B7">
            <w:pPr>
              <w:pStyle w:val="Normal6"/>
              <w:rPr>
                <w:szCs w:val="24"/>
              </w:rPr>
            </w:pPr>
            <w:r w:rsidRPr="00B7760C">
              <w:t>(e)</w:t>
            </w:r>
            <w:r w:rsidRPr="00B7760C">
              <w:tab/>
              <w:t>pojem „mladi kmet“ se opredeli tako, da vključuje</w:t>
            </w:r>
            <w:r w:rsidRPr="00B7760C">
              <w:rPr>
                <w:b/>
                <w:i/>
              </w:rPr>
              <w:t xml:space="preserve"> starostno omejitev 40 let in</w:t>
            </w:r>
            <w:r w:rsidRPr="00B7760C">
              <w:t>:</w:t>
            </w:r>
          </w:p>
        </w:tc>
      </w:tr>
    </w:tbl>
    <w:p w14:paraId="3B91A694" w14:textId="77777777" w:rsidR="003663AF" w:rsidRPr="00B7760C" w:rsidRDefault="003663AF" w:rsidP="003663AF"/>
    <w:p w14:paraId="5DB03C94" w14:textId="3140A66F" w:rsidR="003663AF" w:rsidRPr="00B7760C" w:rsidRDefault="00877691" w:rsidP="003663AF">
      <w:pPr>
        <w:pStyle w:val="AMNumberTabs"/>
        <w:keepNext/>
      </w:pPr>
      <w:r w:rsidRPr="00B7760C">
        <w:t>Sprememb</w:t>
      </w:r>
      <w:r w:rsidR="004D7917" w:rsidRPr="00B7760C">
        <w:t>i</w:t>
      </w:r>
      <w:r w:rsidR="003663AF" w:rsidRPr="00B7760C">
        <w:tab/>
      </w:r>
      <w:r w:rsidR="003663AF" w:rsidRPr="00B7760C">
        <w:tab/>
        <w:t>96</w:t>
      </w:r>
      <w:r w:rsidR="004D7917" w:rsidRPr="00B7760C">
        <w:t xml:space="preserve"> in 1148 cp16</w:t>
      </w:r>
    </w:p>
    <w:p w14:paraId="4D10D82D" w14:textId="77777777" w:rsidR="003663AF" w:rsidRPr="00B7760C" w:rsidRDefault="003663AF" w:rsidP="003663AF">
      <w:pPr>
        <w:pStyle w:val="NormalBold12b"/>
      </w:pPr>
      <w:r w:rsidRPr="00B7760C">
        <w:t>Predlog uredbe</w:t>
      </w:r>
    </w:p>
    <w:p w14:paraId="1A420B18" w14:textId="77777777" w:rsidR="003663AF" w:rsidRPr="00B7760C" w:rsidRDefault="003663AF" w:rsidP="003663AF">
      <w:pPr>
        <w:pStyle w:val="NormalBold"/>
      </w:pPr>
      <w:r w:rsidRPr="00B7760C">
        <w:t>Člen 4 – odstavek 1 – točka e – točka i</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2C291FE" w14:textId="77777777" w:rsidTr="00E804B7">
        <w:trPr>
          <w:jc w:val="center"/>
        </w:trPr>
        <w:tc>
          <w:tcPr>
            <w:tcW w:w="9752" w:type="dxa"/>
            <w:gridSpan w:val="2"/>
          </w:tcPr>
          <w:p w14:paraId="72B05BE7" w14:textId="77777777" w:rsidR="003663AF" w:rsidRPr="00B7760C" w:rsidRDefault="003663AF" w:rsidP="00E804B7">
            <w:pPr>
              <w:keepNext/>
            </w:pPr>
          </w:p>
        </w:tc>
      </w:tr>
      <w:tr w:rsidR="003663AF" w:rsidRPr="00B7760C" w14:paraId="1427B592" w14:textId="77777777" w:rsidTr="00E804B7">
        <w:trPr>
          <w:jc w:val="center"/>
        </w:trPr>
        <w:tc>
          <w:tcPr>
            <w:tcW w:w="4876" w:type="dxa"/>
            <w:hideMark/>
          </w:tcPr>
          <w:p w14:paraId="2D67BED3" w14:textId="77777777" w:rsidR="003663AF" w:rsidRPr="00B7760C" w:rsidRDefault="003663AF" w:rsidP="00E804B7">
            <w:pPr>
              <w:pStyle w:val="ColumnHeading"/>
              <w:keepNext/>
            </w:pPr>
            <w:r w:rsidRPr="00B7760C">
              <w:t>Besedilo, ki ga predlaga Komisija</w:t>
            </w:r>
          </w:p>
        </w:tc>
        <w:tc>
          <w:tcPr>
            <w:tcW w:w="4876" w:type="dxa"/>
            <w:hideMark/>
          </w:tcPr>
          <w:p w14:paraId="001080BE" w14:textId="40A6F0FC" w:rsidR="003663AF" w:rsidRPr="00B7760C" w:rsidRDefault="00877691" w:rsidP="00E804B7">
            <w:pPr>
              <w:pStyle w:val="ColumnHeading"/>
              <w:keepNext/>
            </w:pPr>
            <w:r w:rsidRPr="00B7760C">
              <w:t>Sprememba</w:t>
            </w:r>
          </w:p>
        </w:tc>
      </w:tr>
      <w:tr w:rsidR="003663AF" w:rsidRPr="00B7760C" w14:paraId="7855630B" w14:textId="77777777" w:rsidTr="00E804B7">
        <w:trPr>
          <w:jc w:val="center"/>
        </w:trPr>
        <w:tc>
          <w:tcPr>
            <w:tcW w:w="4876" w:type="dxa"/>
            <w:hideMark/>
          </w:tcPr>
          <w:p w14:paraId="526D4C86" w14:textId="77777777" w:rsidR="003663AF" w:rsidRPr="00B7760C" w:rsidRDefault="003663AF" w:rsidP="00E804B7">
            <w:pPr>
              <w:pStyle w:val="Normal6"/>
            </w:pPr>
            <w:r w:rsidRPr="00B7760C">
              <w:rPr>
                <w:b/>
                <w:i/>
              </w:rPr>
              <w:t>(i)</w:t>
            </w:r>
            <w:r w:rsidRPr="00B7760C">
              <w:rPr>
                <w:b/>
                <w:i/>
              </w:rPr>
              <w:tab/>
              <w:t>najvišjo starostno mejo, ki ne sme presegati 40 let;</w:t>
            </w:r>
          </w:p>
        </w:tc>
        <w:tc>
          <w:tcPr>
            <w:tcW w:w="4876" w:type="dxa"/>
            <w:hideMark/>
          </w:tcPr>
          <w:p w14:paraId="461D97CD" w14:textId="77777777" w:rsidR="003663AF" w:rsidRPr="00B7760C" w:rsidRDefault="003663AF" w:rsidP="00E804B7">
            <w:pPr>
              <w:pStyle w:val="Normal6"/>
              <w:rPr>
                <w:szCs w:val="24"/>
              </w:rPr>
            </w:pPr>
            <w:r w:rsidRPr="00B7760C">
              <w:rPr>
                <w:b/>
                <w:i/>
              </w:rPr>
              <w:t>črtano</w:t>
            </w:r>
          </w:p>
        </w:tc>
      </w:tr>
    </w:tbl>
    <w:p w14:paraId="7EC59973" w14:textId="77777777" w:rsidR="003663AF" w:rsidRPr="00B7760C" w:rsidRDefault="003663AF" w:rsidP="003663AF"/>
    <w:p w14:paraId="7D9CC5BD" w14:textId="183DAAFF" w:rsidR="003663AF" w:rsidRPr="00B7760C" w:rsidRDefault="00877691" w:rsidP="004D7917">
      <w:pPr>
        <w:pStyle w:val="AMNumberTabs"/>
        <w:keepNext/>
      </w:pPr>
      <w:r w:rsidRPr="00B7760C">
        <w:t>Sprememb</w:t>
      </w:r>
      <w:r w:rsidR="004D7917" w:rsidRPr="00B7760C">
        <w:t>i</w:t>
      </w:r>
      <w:r w:rsidR="003663AF" w:rsidRPr="00B7760C">
        <w:tab/>
      </w:r>
      <w:r w:rsidR="003663AF" w:rsidRPr="00B7760C">
        <w:tab/>
        <w:t>97</w:t>
      </w:r>
      <w:r w:rsidR="004D7917" w:rsidRPr="00B7760C">
        <w:t xml:space="preserve"> in 1148 cp16</w:t>
      </w:r>
    </w:p>
    <w:p w14:paraId="025AD255" w14:textId="77777777" w:rsidR="003663AF" w:rsidRPr="00B7760C" w:rsidRDefault="003663AF" w:rsidP="003663AF">
      <w:pPr>
        <w:pStyle w:val="NormalBold12b"/>
      </w:pPr>
      <w:r w:rsidRPr="00B7760C">
        <w:t>Predlog uredbe</w:t>
      </w:r>
    </w:p>
    <w:p w14:paraId="7143C54B" w14:textId="77777777" w:rsidR="003663AF" w:rsidRPr="00B7760C" w:rsidRDefault="003663AF" w:rsidP="003663AF">
      <w:pPr>
        <w:pStyle w:val="NormalBold"/>
      </w:pPr>
      <w:r w:rsidRPr="00B7760C">
        <w:t>Člen 4 – odstavek 1 – točka e – točka iii</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9A4886F" w14:textId="77777777" w:rsidTr="00E804B7">
        <w:trPr>
          <w:jc w:val="center"/>
        </w:trPr>
        <w:tc>
          <w:tcPr>
            <w:tcW w:w="9752" w:type="dxa"/>
            <w:gridSpan w:val="2"/>
          </w:tcPr>
          <w:p w14:paraId="4FF4B3DA" w14:textId="77777777" w:rsidR="003663AF" w:rsidRPr="00B7760C" w:rsidRDefault="003663AF" w:rsidP="00E804B7">
            <w:pPr>
              <w:keepNext/>
            </w:pPr>
          </w:p>
        </w:tc>
      </w:tr>
      <w:tr w:rsidR="003663AF" w:rsidRPr="00B7760C" w14:paraId="7CECB5C8" w14:textId="77777777" w:rsidTr="00E804B7">
        <w:trPr>
          <w:jc w:val="center"/>
        </w:trPr>
        <w:tc>
          <w:tcPr>
            <w:tcW w:w="4876" w:type="dxa"/>
            <w:hideMark/>
          </w:tcPr>
          <w:p w14:paraId="38130D26" w14:textId="77777777" w:rsidR="003663AF" w:rsidRPr="00B7760C" w:rsidRDefault="003663AF" w:rsidP="00E804B7">
            <w:pPr>
              <w:pStyle w:val="ColumnHeading"/>
              <w:keepNext/>
            </w:pPr>
            <w:r w:rsidRPr="00B7760C">
              <w:t>Besedilo, ki ga predlaga Komisija</w:t>
            </w:r>
          </w:p>
        </w:tc>
        <w:tc>
          <w:tcPr>
            <w:tcW w:w="4876" w:type="dxa"/>
            <w:hideMark/>
          </w:tcPr>
          <w:p w14:paraId="4DEC4A56" w14:textId="10D2EEDE" w:rsidR="003663AF" w:rsidRPr="00B7760C" w:rsidRDefault="00877691" w:rsidP="00E804B7">
            <w:pPr>
              <w:pStyle w:val="ColumnHeading"/>
              <w:keepNext/>
            </w:pPr>
            <w:r w:rsidRPr="00B7760C">
              <w:t>Sprememba</w:t>
            </w:r>
          </w:p>
        </w:tc>
      </w:tr>
      <w:tr w:rsidR="003663AF" w:rsidRPr="00B7760C" w14:paraId="24B98C52" w14:textId="77777777" w:rsidTr="00E804B7">
        <w:trPr>
          <w:jc w:val="center"/>
        </w:trPr>
        <w:tc>
          <w:tcPr>
            <w:tcW w:w="4876" w:type="dxa"/>
            <w:hideMark/>
          </w:tcPr>
          <w:p w14:paraId="2006B31E" w14:textId="77777777" w:rsidR="003663AF" w:rsidRPr="00B7760C" w:rsidRDefault="003663AF" w:rsidP="00E804B7">
            <w:pPr>
              <w:pStyle w:val="Normal6"/>
            </w:pPr>
            <w:r w:rsidRPr="00B7760C">
              <w:t>(iii)</w:t>
            </w:r>
            <w:r w:rsidRPr="00B7760C">
              <w:tab/>
              <w:t xml:space="preserve">ustrezno usposabljanje in/ali </w:t>
            </w:r>
            <w:r w:rsidRPr="00B7760C">
              <w:rPr>
                <w:b/>
                <w:i/>
              </w:rPr>
              <w:t xml:space="preserve">potrebne </w:t>
            </w:r>
            <w:r w:rsidRPr="00B7760C">
              <w:t>spretnosti.</w:t>
            </w:r>
          </w:p>
        </w:tc>
        <w:tc>
          <w:tcPr>
            <w:tcW w:w="4876" w:type="dxa"/>
            <w:hideMark/>
          </w:tcPr>
          <w:p w14:paraId="3C124A4F" w14:textId="77777777" w:rsidR="003663AF" w:rsidRPr="00B7760C" w:rsidRDefault="003663AF" w:rsidP="00E804B7">
            <w:pPr>
              <w:pStyle w:val="Normal6"/>
              <w:rPr>
                <w:szCs w:val="24"/>
              </w:rPr>
            </w:pPr>
            <w:r w:rsidRPr="00B7760C">
              <w:t>(iii)</w:t>
            </w:r>
            <w:r w:rsidRPr="00B7760C">
              <w:tab/>
              <w:t>ustrezno usposabljanje in/ali spretnosti.</w:t>
            </w:r>
          </w:p>
        </w:tc>
      </w:tr>
    </w:tbl>
    <w:p w14:paraId="7D48F489" w14:textId="77777777" w:rsidR="003663AF" w:rsidRPr="00B7760C" w:rsidRDefault="003663AF" w:rsidP="003663AF"/>
    <w:p w14:paraId="72DA284C" w14:textId="10D5B4BB" w:rsidR="003663AF" w:rsidRPr="00B7760C" w:rsidRDefault="00877691" w:rsidP="003663AF">
      <w:pPr>
        <w:pStyle w:val="AMNumberTabs"/>
        <w:keepNext/>
      </w:pPr>
      <w:r w:rsidRPr="00B7760C">
        <w:t>Sprememb</w:t>
      </w:r>
      <w:r w:rsidR="004D7917" w:rsidRPr="00B7760C">
        <w:t>i</w:t>
      </w:r>
      <w:r w:rsidR="003663AF" w:rsidRPr="00B7760C">
        <w:tab/>
      </w:r>
      <w:r w:rsidR="003663AF" w:rsidRPr="00B7760C">
        <w:tab/>
        <w:t>98</w:t>
      </w:r>
      <w:r w:rsidR="004D7917" w:rsidRPr="00B7760C">
        <w:t xml:space="preserve"> in 1148 cp16</w:t>
      </w:r>
    </w:p>
    <w:p w14:paraId="3648E79E" w14:textId="77777777" w:rsidR="003663AF" w:rsidRPr="00B7760C" w:rsidRDefault="003663AF" w:rsidP="003663AF">
      <w:pPr>
        <w:pStyle w:val="NormalBold12b"/>
      </w:pPr>
      <w:r w:rsidRPr="00B7760C">
        <w:t>Predlog uredbe</w:t>
      </w:r>
    </w:p>
    <w:p w14:paraId="25EA638E" w14:textId="71833755" w:rsidR="003663AF" w:rsidRPr="00B7760C" w:rsidRDefault="003663AF" w:rsidP="00B34ADF">
      <w:pPr>
        <w:pStyle w:val="NormalBold"/>
      </w:pPr>
      <w:r w:rsidRPr="00B7760C">
        <w:t xml:space="preserve">Člen 4 – odstavek 1 – točka e – pododstavek </w:t>
      </w:r>
      <w:r w:rsidR="00B34ADF" w:rsidRPr="00B7760C">
        <w:t xml:space="preserve">1 a </w:t>
      </w:r>
      <w:r w:rsidRPr="00B7760C">
        <w:t>(novo)</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FD93533" w14:textId="77777777" w:rsidTr="00E804B7">
        <w:trPr>
          <w:jc w:val="center"/>
        </w:trPr>
        <w:tc>
          <w:tcPr>
            <w:tcW w:w="9752" w:type="dxa"/>
            <w:gridSpan w:val="2"/>
          </w:tcPr>
          <w:p w14:paraId="2BF9F92E" w14:textId="77777777" w:rsidR="003663AF" w:rsidRPr="00B7760C" w:rsidRDefault="003663AF" w:rsidP="00E804B7">
            <w:pPr>
              <w:keepNext/>
            </w:pPr>
          </w:p>
        </w:tc>
      </w:tr>
      <w:tr w:rsidR="003663AF" w:rsidRPr="00B7760C" w14:paraId="577749D0" w14:textId="77777777" w:rsidTr="00E804B7">
        <w:trPr>
          <w:jc w:val="center"/>
        </w:trPr>
        <w:tc>
          <w:tcPr>
            <w:tcW w:w="4876" w:type="dxa"/>
            <w:hideMark/>
          </w:tcPr>
          <w:p w14:paraId="3ADAB70D" w14:textId="77777777" w:rsidR="003663AF" w:rsidRPr="00B7760C" w:rsidRDefault="003663AF" w:rsidP="00E804B7">
            <w:pPr>
              <w:pStyle w:val="ColumnHeading"/>
              <w:keepNext/>
            </w:pPr>
            <w:r w:rsidRPr="00B7760C">
              <w:t>Besedilo, ki ga predlaga Komisija</w:t>
            </w:r>
          </w:p>
        </w:tc>
        <w:tc>
          <w:tcPr>
            <w:tcW w:w="4876" w:type="dxa"/>
            <w:hideMark/>
          </w:tcPr>
          <w:p w14:paraId="73AD392C" w14:textId="4DC8203B" w:rsidR="003663AF" w:rsidRPr="00B7760C" w:rsidRDefault="00877691" w:rsidP="00E804B7">
            <w:pPr>
              <w:pStyle w:val="ColumnHeading"/>
              <w:keepNext/>
            </w:pPr>
            <w:r w:rsidRPr="00B7760C">
              <w:t>Sprememba</w:t>
            </w:r>
          </w:p>
        </w:tc>
      </w:tr>
      <w:tr w:rsidR="003663AF" w:rsidRPr="00B7760C" w14:paraId="6681F831" w14:textId="77777777" w:rsidTr="00E804B7">
        <w:trPr>
          <w:jc w:val="center"/>
        </w:trPr>
        <w:tc>
          <w:tcPr>
            <w:tcW w:w="4876" w:type="dxa"/>
          </w:tcPr>
          <w:p w14:paraId="1657A215" w14:textId="77777777" w:rsidR="003663AF" w:rsidRPr="00B7760C" w:rsidRDefault="003663AF" w:rsidP="00E804B7">
            <w:pPr>
              <w:pStyle w:val="Normal6"/>
            </w:pPr>
          </w:p>
        </w:tc>
        <w:tc>
          <w:tcPr>
            <w:tcW w:w="4876" w:type="dxa"/>
            <w:hideMark/>
          </w:tcPr>
          <w:p w14:paraId="3AF1BA39" w14:textId="77777777" w:rsidR="003663AF" w:rsidRPr="00B7760C" w:rsidRDefault="003663AF" w:rsidP="00E804B7">
            <w:pPr>
              <w:pStyle w:val="Normal6"/>
              <w:rPr>
                <w:szCs w:val="24"/>
              </w:rPr>
            </w:pPr>
            <w:r w:rsidRPr="00B7760C">
              <w:rPr>
                <w:b/>
                <w:i/>
              </w:rPr>
              <w:t>Države članice pri ocenjevanju izpolnjevanja pogojev za vodjo kmetijskega gospodarstva upoštevajo značilnosti partnerskih ureditev.</w:t>
            </w:r>
          </w:p>
        </w:tc>
      </w:tr>
    </w:tbl>
    <w:p w14:paraId="231B67B0" w14:textId="77777777" w:rsidR="003663AF" w:rsidRPr="00B7760C" w:rsidRDefault="003663AF" w:rsidP="003663AF"/>
    <w:p w14:paraId="6D659663" w14:textId="77777777" w:rsidR="003663AF" w:rsidRPr="00B7760C" w:rsidRDefault="003663AF" w:rsidP="003663AF"/>
    <w:p w14:paraId="6D4750CB" w14:textId="51EEAA12" w:rsidR="003663AF" w:rsidRPr="00B7760C" w:rsidRDefault="00877691" w:rsidP="004D7917">
      <w:pPr>
        <w:pStyle w:val="AMNumberTabs"/>
        <w:keepNext/>
      </w:pPr>
      <w:r w:rsidRPr="00B7760C">
        <w:t>Sprememb</w:t>
      </w:r>
      <w:r w:rsidR="004D7917" w:rsidRPr="00B7760C">
        <w:t>i</w:t>
      </w:r>
      <w:r w:rsidR="003663AF" w:rsidRPr="00B7760C">
        <w:tab/>
      </w:r>
      <w:r w:rsidR="003663AF" w:rsidRPr="00B7760C">
        <w:tab/>
        <w:t>99</w:t>
      </w:r>
      <w:r w:rsidR="004D7917" w:rsidRPr="00B7760C">
        <w:t xml:space="preserve"> in 1148 cp16</w:t>
      </w:r>
    </w:p>
    <w:p w14:paraId="63F36D43" w14:textId="77777777" w:rsidR="003663AF" w:rsidRPr="00B7760C" w:rsidRDefault="003663AF" w:rsidP="003663AF">
      <w:pPr>
        <w:pStyle w:val="NormalBold12b"/>
      </w:pPr>
      <w:r w:rsidRPr="00B7760C">
        <w:t>Predlog uredbe</w:t>
      </w:r>
    </w:p>
    <w:p w14:paraId="0CB38460" w14:textId="77777777" w:rsidR="003663AF" w:rsidRPr="00B7760C" w:rsidRDefault="003663AF" w:rsidP="003663AF">
      <w:pPr>
        <w:pStyle w:val="NormalBold"/>
      </w:pPr>
      <w:r w:rsidRPr="00B7760C">
        <w:t>Člen 4 – odstavek 1 – točka e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7E6817E" w14:textId="77777777" w:rsidTr="00E804B7">
        <w:trPr>
          <w:jc w:val="center"/>
        </w:trPr>
        <w:tc>
          <w:tcPr>
            <w:tcW w:w="9752" w:type="dxa"/>
            <w:gridSpan w:val="2"/>
          </w:tcPr>
          <w:p w14:paraId="5DEA12F7" w14:textId="77777777" w:rsidR="003663AF" w:rsidRPr="00B7760C" w:rsidRDefault="003663AF" w:rsidP="00E804B7">
            <w:pPr>
              <w:keepNext/>
            </w:pPr>
          </w:p>
        </w:tc>
      </w:tr>
      <w:tr w:rsidR="003663AF" w:rsidRPr="00B7760C" w14:paraId="5911B79C" w14:textId="77777777" w:rsidTr="00E804B7">
        <w:trPr>
          <w:jc w:val="center"/>
        </w:trPr>
        <w:tc>
          <w:tcPr>
            <w:tcW w:w="4876" w:type="dxa"/>
            <w:hideMark/>
          </w:tcPr>
          <w:p w14:paraId="6102B0F6" w14:textId="77777777" w:rsidR="003663AF" w:rsidRPr="00B7760C" w:rsidRDefault="003663AF" w:rsidP="00E804B7">
            <w:pPr>
              <w:pStyle w:val="ColumnHeading"/>
              <w:keepNext/>
            </w:pPr>
            <w:r w:rsidRPr="00B7760C">
              <w:t>Besedilo, ki ga predlaga Komisija</w:t>
            </w:r>
          </w:p>
        </w:tc>
        <w:tc>
          <w:tcPr>
            <w:tcW w:w="4876" w:type="dxa"/>
            <w:hideMark/>
          </w:tcPr>
          <w:p w14:paraId="3F4BC6AD" w14:textId="0AEAF5ED" w:rsidR="003663AF" w:rsidRPr="00B7760C" w:rsidRDefault="00877691" w:rsidP="00E804B7">
            <w:pPr>
              <w:pStyle w:val="ColumnHeading"/>
              <w:keepNext/>
            </w:pPr>
            <w:r w:rsidRPr="00B7760C">
              <w:t>Sprememba</w:t>
            </w:r>
          </w:p>
        </w:tc>
      </w:tr>
      <w:tr w:rsidR="003663AF" w:rsidRPr="00B7760C" w14:paraId="165F7AF3" w14:textId="77777777" w:rsidTr="00E804B7">
        <w:trPr>
          <w:jc w:val="center"/>
        </w:trPr>
        <w:tc>
          <w:tcPr>
            <w:tcW w:w="4876" w:type="dxa"/>
          </w:tcPr>
          <w:p w14:paraId="17BDB092" w14:textId="77777777" w:rsidR="003663AF" w:rsidRPr="00B7760C" w:rsidRDefault="003663AF" w:rsidP="00E804B7">
            <w:pPr>
              <w:pStyle w:val="Normal6"/>
            </w:pPr>
          </w:p>
        </w:tc>
        <w:tc>
          <w:tcPr>
            <w:tcW w:w="4876" w:type="dxa"/>
            <w:hideMark/>
          </w:tcPr>
          <w:p w14:paraId="632B7CCC" w14:textId="5BE6949A" w:rsidR="003663AF" w:rsidRPr="00B7760C" w:rsidRDefault="003663AF" w:rsidP="00E804B7">
            <w:pPr>
              <w:pStyle w:val="Normal6"/>
              <w:rPr>
                <w:szCs w:val="24"/>
              </w:rPr>
            </w:pPr>
            <w:r w:rsidRPr="00B7760C">
              <w:rPr>
                <w:b/>
                <w:i/>
              </w:rPr>
              <w:t>(ea)</w:t>
            </w:r>
            <w:r w:rsidRPr="00B7760C">
              <w:rPr>
                <w:b/>
                <w:i/>
              </w:rPr>
              <w:tab/>
              <w:t>„novi kmet“ se opredeli tako, da vključuje:</w:t>
            </w:r>
          </w:p>
        </w:tc>
      </w:tr>
      <w:tr w:rsidR="003663AF" w:rsidRPr="00B7760C" w14:paraId="20F5F376" w14:textId="77777777" w:rsidTr="00E804B7">
        <w:trPr>
          <w:jc w:val="center"/>
        </w:trPr>
        <w:tc>
          <w:tcPr>
            <w:tcW w:w="4876" w:type="dxa"/>
          </w:tcPr>
          <w:p w14:paraId="67FC71C6" w14:textId="77777777" w:rsidR="003663AF" w:rsidRPr="00B7760C" w:rsidRDefault="003663AF" w:rsidP="00E804B7">
            <w:pPr>
              <w:pStyle w:val="Normal6"/>
            </w:pPr>
          </w:p>
        </w:tc>
        <w:tc>
          <w:tcPr>
            <w:tcW w:w="4876" w:type="dxa"/>
            <w:hideMark/>
          </w:tcPr>
          <w:p w14:paraId="5AA5AD4B" w14:textId="288AD7D0" w:rsidR="003663AF" w:rsidRPr="00B7760C" w:rsidRDefault="003663AF" w:rsidP="00E804B7">
            <w:pPr>
              <w:pStyle w:val="Normal6"/>
              <w:rPr>
                <w:szCs w:val="24"/>
              </w:rPr>
            </w:pPr>
            <w:r w:rsidRPr="00B7760C">
              <w:rPr>
                <w:b/>
                <w:i/>
              </w:rPr>
              <w:t xml:space="preserve">(i) </w:t>
            </w:r>
            <w:r w:rsidR="00E804B7" w:rsidRPr="00B7760C">
              <w:rPr>
                <w:b/>
                <w:i/>
              </w:rPr>
              <w:tab/>
            </w:r>
            <w:r w:rsidR="0008604B" w:rsidRPr="00B7760C">
              <w:rPr>
                <w:b/>
                <w:i/>
              </w:rPr>
              <w:t>pogoje,</w:t>
            </w:r>
            <w:r w:rsidRPr="00B7760C">
              <w:rPr>
                <w:b/>
                <w:i/>
              </w:rPr>
              <w:t xml:space="preserve"> da mora biti „vodja kmetijskega gospodarstva“;</w:t>
            </w:r>
          </w:p>
        </w:tc>
      </w:tr>
      <w:tr w:rsidR="003663AF" w:rsidRPr="00B7760C" w14:paraId="1D183528" w14:textId="77777777" w:rsidTr="00E804B7">
        <w:trPr>
          <w:jc w:val="center"/>
        </w:trPr>
        <w:tc>
          <w:tcPr>
            <w:tcW w:w="4876" w:type="dxa"/>
          </w:tcPr>
          <w:p w14:paraId="1689A7D9" w14:textId="77777777" w:rsidR="003663AF" w:rsidRPr="00B7760C" w:rsidRDefault="003663AF" w:rsidP="00E804B7">
            <w:pPr>
              <w:pStyle w:val="Normal6"/>
            </w:pPr>
          </w:p>
        </w:tc>
        <w:tc>
          <w:tcPr>
            <w:tcW w:w="4876" w:type="dxa"/>
            <w:hideMark/>
          </w:tcPr>
          <w:p w14:paraId="39F8E93A" w14:textId="5DE6784C" w:rsidR="003663AF" w:rsidRPr="00B7760C" w:rsidRDefault="003663AF" w:rsidP="00E804B7">
            <w:pPr>
              <w:pStyle w:val="Normal6"/>
              <w:rPr>
                <w:szCs w:val="24"/>
              </w:rPr>
            </w:pPr>
            <w:r w:rsidRPr="00B7760C">
              <w:rPr>
                <w:b/>
                <w:i/>
              </w:rPr>
              <w:t xml:space="preserve">(ii) </w:t>
            </w:r>
            <w:r w:rsidR="00E804B7" w:rsidRPr="00B7760C">
              <w:rPr>
                <w:b/>
                <w:i/>
              </w:rPr>
              <w:tab/>
            </w:r>
            <w:r w:rsidRPr="00B7760C">
              <w:rPr>
                <w:b/>
                <w:i/>
              </w:rPr>
              <w:t>ustrezno usposabljanje in/ali spretnosti;</w:t>
            </w:r>
          </w:p>
        </w:tc>
      </w:tr>
      <w:tr w:rsidR="003663AF" w:rsidRPr="00B7760C" w14:paraId="1CFD2159" w14:textId="77777777" w:rsidTr="00E804B7">
        <w:trPr>
          <w:jc w:val="center"/>
        </w:trPr>
        <w:tc>
          <w:tcPr>
            <w:tcW w:w="4876" w:type="dxa"/>
          </w:tcPr>
          <w:p w14:paraId="44BC0643" w14:textId="77777777" w:rsidR="003663AF" w:rsidRPr="00B7760C" w:rsidRDefault="003663AF" w:rsidP="00E804B7">
            <w:pPr>
              <w:pStyle w:val="Normal6"/>
            </w:pPr>
          </w:p>
        </w:tc>
        <w:tc>
          <w:tcPr>
            <w:tcW w:w="4876" w:type="dxa"/>
            <w:hideMark/>
          </w:tcPr>
          <w:p w14:paraId="7C492429" w14:textId="2C7CA1CB" w:rsidR="003663AF" w:rsidRPr="00B7760C" w:rsidRDefault="003663AF" w:rsidP="00E804B7">
            <w:pPr>
              <w:pStyle w:val="Normal6"/>
              <w:rPr>
                <w:szCs w:val="24"/>
              </w:rPr>
            </w:pPr>
            <w:r w:rsidRPr="00B7760C">
              <w:rPr>
                <w:b/>
                <w:i/>
              </w:rPr>
              <w:t xml:space="preserve">(iii) </w:t>
            </w:r>
            <w:r w:rsidR="00E804B7" w:rsidRPr="00B7760C">
              <w:rPr>
                <w:b/>
                <w:i/>
              </w:rPr>
              <w:tab/>
            </w:r>
            <w:r w:rsidRPr="00B7760C">
              <w:rPr>
                <w:b/>
                <w:i/>
              </w:rPr>
              <w:t>starostno mejo nad 40 let.</w:t>
            </w:r>
          </w:p>
        </w:tc>
      </w:tr>
      <w:tr w:rsidR="003663AF" w:rsidRPr="00B7760C" w14:paraId="3E636498" w14:textId="77777777" w:rsidTr="00E804B7">
        <w:trPr>
          <w:jc w:val="center"/>
        </w:trPr>
        <w:tc>
          <w:tcPr>
            <w:tcW w:w="4876" w:type="dxa"/>
          </w:tcPr>
          <w:p w14:paraId="35F50EE7" w14:textId="77777777" w:rsidR="003663AF" w:rsidRPr="00B7760C" w:rsidRDefault="003663AF" w:rsidP="00E804B7">
            <w:pPr>
              <w:pStyle w:val="Normal6"/>
            </w:pPr>
          </w:p>
        </w:tc>
        <w:tc>
          <w:tcPr>
            <w:tcW w:w="4876" w:type="dxa"/>
            <w:hideMark/>
          </w:tcPr>
          <w:p w14:paraId="154976E8" w14:textId="77777777" w:rsidR="003663AF" w:rsidRPr="00B7760C" w:rsidRDefault="003663AF" w:rsidP="00E804B7">
            <w:pPr>
              <w:pStyle w:val="Normal6"/>
              <w:rPr>
                <w:szCs w:val="24"/>
              </w:rPr>
            </w:pPr>
            <w:r w:rsidRPr="00B7760C">
              <w:rPr>
                <w:b/>
                <w:i/>
              </w:rPr>
              <w:t>„Novega kmeta“ se v skladu s to opredelitvijo ne prizna kot „mladega kmeta“, kot je opredeljen v členu 4(e).</w:t>
            </w:r>
          </w:p>
        </w:tc>
      </w:tr>
    </w:tbl>
    <w:p w14:paraId="0616EB8C" w14:textId="77777777" w:rsidR="003663AF" w:rsidRPr="00B7760C" w:rsidRDefault="003663AF" w:rsidP="003663AF"/>
    <w:p w14:paraId="3857028C" w14:textId="72E945FC" w:rsidR="003663AF" w:rsidRPr="00B7760C" w:rsidRDefault="00877691" w:rsidP="003663AF">
      <w:pPr>
        <w:pStyle w:val="AMNumberTabs"/>
        <w:keepNext/>
      </w:pPr>
      <w:r w:rsidRPr="00B7760C">
        <w:t>Sprememba</w:t>
      </w:r>
      <w:r w:rsidR="003663AF" w:rsidRPr="00B7760C">
        <w:tab/>
      </w:r>
      <w:r w:rsidR="003663AF" w:rsidRPr="00B7760C">
        <w:tab/>
        <w:t>100</w:t>
      </w:r>
    </w:p>
    <w:p w14:paraId="7D098089" w14:textId="77777777" w:rsidR="003663AF" w:rsidRPr="00B7760C" w:rsidRDefault="003663AF" w:rsidP="003663AF">
      <w:pPr>
        <w:pStyle w:val="NormalBold12b"/>
      </w:pPr>
      <w:r w:rsidRPr="00B7760C">
        <w:t>Predlog uredbe</w:t>
      </w:r>
    </w:p>
    <w:p w14:paraId="7094F324" w14:textId="77777777" w:rsidR="003663AF" w:rsidRPr="00B7760C" w:rsidRDefault="003663AF" w:rsidP="003663AF">
      <w:pPr>
        <w:pStyle w:val="NormalBold"/>
      </w:pPr>
      <w:r w:rsidRPr="00B7760C">
        <w:t>Člen 4 – odstavek 2</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10D86B8" w14:textId="77777777" w:rsidTr="00E804B7">
        <w:trPr>
          <w:jc w:val="center"/>
        </w:trPr>
        <w:tc>
          <w:tcPr>
            <w:tcW w:w="9752" w:type="dxa"/>
            <w:gridSpan w:val="2"/>
          </w:tcPr>
          <w:p w14:paraId="1D409129" w14:textId="77777777" w:rsidR="003663AF" w:rsidRPr="00B7760C" w:rsidRDefault="003663AF" w:rsidP="00E804B7">
            <w:pPr>
              <w:keepNext/>
            </w:pPr>
          </w:p>
        </w:tc>
      </w:tr>
      <w:tr w:rsidR="003663AF" w:rsidRPr="00B7760C" w14:paraId="184DB21C" w14:textId="77777777" w:rsidTr="00E804B7">
        <w:trPr>
          <w:jc w:val="center"/>
        </w:trPr>
        <w:tc>
          <w:tcPr>
            <w:tcW w:w="4876" w:type="dxa"/>
            <w:hideMark/>
          </w:tcPr>
          <w:p w14:paraId="0EF61CDC" w14:textId="77777777" w:rsidR="003663AF" w:rsidRPr="00B7760C" w:rsidRDefault="003663AF" w:rsidP="00E804B7">
            <w:pPr>
              <w:pStyle w:val="ColumnHeading"/>
              <w:keepNext/>
            </w:pPr>
            <w:r w:rsidRPr="00B7760C">
              <w:t>Besedilo, ki ga predlaga Komisija</w:t>
            </w:r>
          </w:p>
        </w:tc>
        <w:tc>
          <w:tcPr>
            <w:tcW w:w="4876" w:type="dxa"/>
            <w:hideMark/>
          </w:tcPr>
          <w:p w14:paraId="12BDD980" w14:textId="7A2EB9EC" w:rsidR="003663AF" w:rsidRPr="00B7760C" w:rsidRDefault="00877691" w:rsidP="00E804B7">
            <w:pPr>
              <w:pStyle w:val="ColumnHeading"/>
              <w:keepNext/>
            </w:pPr>
            <w:r w:rsidRPr="00B7760C">
              <w:t>Sprememba</w:t>
            </w:r>
          </w:p>
        </w:tc>
      </w:tr>
      <w:tr w:rsidR="003663AF" w:rsidRPr="00B7760C" w14:paraId="3852C14E" w14:textId="77777777" w:rsidTr="00E804B7">
        <w:trPr>
          <w:jc w:val="center"/>
        </w:trPr>
        <w:tc>
          <w:tcPr>
            <w:tcW w:w="4876" w:type="dxa"/>
          </w:tcPr>
          <w:p w14:paraId="77B68EE5" w14:textId="77777777" w:rsidR="003663AF" w:rsidRPr="00B7760C" w:rsidRDefault="003663AF" w:rsidP="00E804B7">
            <w:pPr>
              <w:pStyle w:val="Normal6"/>
            </w:pPr>
            <w:r w:rsidRPr="00B7760C">
              <w:t>(2)</w:t>
            </w:r>
            <w:r w:rsidRPr="00B7760C">
              <w:tab/>
              <w:t>Zaradi ohranjanja javnega zdravja se na Komisijo prenese pooblastilo za sprejemanje delegiranih aktov v skladu s členom 138 za dopolnitev te uredbe s pravili o pogojevanju odobritve plačil z uporabo certificiranih semen nekaterih sort konoplje ter o postopku za določitev sort konoplje in preverjanje njihove vsebnosti tetrahidrokanabinola iz točke (c) odstavka 1.</w:t>
            </w:r>
          </w:p>
        </w:tc>
        <w:tc>
          <w:tcPr>
            <w:tcW w:w="4876" w:type="dxa"/>
          </w:tcPr>
          <w:p w14:paraId="3194E645" w14:textId="77777777" w:rsidR="003663AF" w:rsidRPr="00B7760C" w:rsidRDefault="003663AF" w:rsidP="00E804B7">
            <w:pPr>
              <w:pStyle w:val="Normal6"/>
              <w:rPr>
                <w:szCs w:val="24"/>
              </w:rPr>
            </w:pPr>
            <w:r w:rsidRPr="00B7760C">
              <w:t>(2)</w:t>
            </w:r>
            <w:r w:rsidRPr="00B7760C">
              <w:tab/>
              <w:t>Zaradi ohranjanja javnega zdravja se na Komisijo prenese pooblastilo za sprejemanje delegiranih aktov v skladu s členom 138 za dopolnitev te uredbe s pravili o pogojevanju odobritve plačil z uporabo certificiranih semen nekaterih sort konoplje ter o postopku za določitev sort konoplje in preverjanje njihove vsebnosti tetrahidrokanabinola iz točke (c) odstavka 1</w:t>
            </w:r>
            <w:r w:rsidRPr="00B7760C">
              <w:rPr>
                <w:b/>
                <w:i/>
              </w:rPr>
              <w:t xml:space="preserve"> tega člena</w:t>
            </w:r>
            <w:r w:rsidRPr="00B7760C">
              <w:t>.</w:t>
            </w:r>
          </w:p>
        </w:tc>
      </w:tr>
    </w:tbl>
    <w:p w14:paraId="59CE97D0" w14:textId="77777777" w:rsidR="003663AF" w:rsidRPr="00B7760C" w:rsidRDefault="003663AF" w:rsidP="003663AF"/>
    <w:p w14:paraId="65A2F588" w14:textId="77777777" w:rsidR="003663AF" w:rsidRPr="00B7760C" w:rsidRDefault="003663AF" w:rsidP="003663AF">
      <w:pPr>
        <w:pStyle w:val="Normal6"/>
      </w:pPr>
    </w:p>
    <w:p w14:paraId="37B23C9F" w14:textId="4BFF477C" w:rsidR="003663AF" w:rsidRPr="00B7760C" w:rsidRDefault="00877691" w:rsidP="003663AF">
      <w:pPr>
        <w:pStyle w:val="AMNumberTabs"/>
        <w:keepNext/>
      </w:pPr>
      <w:r w:rsidRPr="00B7760C">
        <w:t>Sprememb</w:t>
      </w:r>
      <w:r w:rsidR="00B64899" w:rsidRPr="00B7760C">
        <w:t>i</w:t>
      </w:r>
      <w:r w:rsidR="003663AF" w:rsidRPr="00B7760C">
        <w:tab/>
      </w:r>
      <w:r w:rsidR="003663AF" w:rsidRPr="00B7760C">
        <w:tab/>
        <w:t>101</w:t>
      </w:r>
      <w:r w:rsidR="00B64899" w:rsidRPr="00B7760C">
        <w:t xml:space="preserve"> in 1149</w:t>
      </w:r>
      <w:r w:rsidR="004D7917" w:rsidRPr="00B7760C">
        <w:t xml:space="preserve"> cp1</w:t>
      </w:r>
    </w:p>
    <w:p w14:paraId="4BCC6DE9" w14:textId="77777777" w:rsidR="003663AF" w:rsidRPr="00B7760C" w:rsidRDefault="003663AF" w:rsidP="003663AF">
      <w:pPr>
        <w:pStyle w:val="NormalBold12b"/>
      </w:pPr>
      <w:r w:rsidRPr="00B7760C">
        <w:t>Predlog uredbe</w:t>
      </w:r>
    </w:p>
    <w:p w14:paraId="7CA16ECA" w14:textId="77777777" w:rsidR="003663AF" w:rsidRPr="00B7760C" w:rsidRDefault="003663AF" w:rsidP="003663AF">
      <w:pPr>
        <w:pStyle w:val="NormalBold"/>
      </w:pPr>
      <w:r w:rsidRPr="00B7760C">
        <w:t>Člen 5 – odstavek 1 – uvodni del</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F990C0C" w14:textId="77777777" w:rsidTr="00E804B7">
        <w:trPr>
          <w:jc w:val="center"/>
        </w:trPr>
        <w:tc>
          <w:tcPr>
            <w:tcW w:w="9752" w:type="dxa"/>
            <w:gridSpan w:val="2"/>
          </w:tcPr>
          <w:p w14:paraId="582431D8" w14:textId="77777777" w:rsidR="003663AF" w:rsidRPr="00B7760C" w:rsidRDefault="003663AF" w:rsidP="00E804B7">
            <w:pPr>
              <w:keepNext/>
            </w:pPr>
          </w:p>
        </w:tc>
      </w:tr>
      <w:tr w:rsidR="003663AF" w:rsidRPr="00B7760C" w14:paraId="1D414065" w14:textId="77777777" w:rsidTr="00E804B7">
        <w:trPr>
          <w:jc w:val="center"/>
        </w:trPr>
        <w:tc>
          <w:tcPr>
            <w:tcW w:w="4876" w:type="dxa"/>
            <w:hideMark/>
          </w:tcPr>
          <w:p w14:paraId="2D702DBC" w14:textId="77777777" w:rsidR="003663AF" w:rsidRPr="00B7760C" w:rsidRDefault="003663AF" w:rsidP="00E804B7">
            <w:pPr>
              <w:pStyle w:val="ColumnHeading"/>
              <w:keepNext/>
            </w:pPr>
            <w:r w:rsidRPr="00B7760C">
              <w:t>Besedilo, ki ga predlaga Komisija</w:t>
            </w:r>
          </w:p>
        </w:tc>
        <w:tc>
          <w:tcPr>
            <w:tcW w:w="4876" w:type="dxa"/>
            <w:hideMark/>
          </w:tcPr>
          <w:p w14:paraId="43974510" w14:textId="1C7622B7" w:rsidR="003663AF" w:rsidRPr="00B7760C" w:rsidRDefault="00877691" w:rsidP="00E804B7">
            <w:pPr>
              <w:pStyle w:val="ColumnHeading"/>
              <w:keepNext/>
            </w:pPr>
            <w:r w:rsidRPr="00B7760C">
              <w:t>Sprememba</w:t>
            </w:r>
          </w:p>
        </w:tc>
      </w:tr>
      <w:tr w:rsidR="003663AF" w:rsidRPr="00B7760C" w14:paraId="716B4ADC" w14:textId="77777777" w:rsidTr="00E804B7">
        <w:trPr>
          <w:jc w:val="center"/>
        </w:trPr>
        <w:tc>
          <w:tcPr>
            <w:tcW w:w="4876" w:type="dxa"/>
            <w:hideMark/>
          </w:tcPr>
          <w:p w14:paraId="6B502467" w14:textId="77777777" w:rsidR="003663AF" w:rsidRPr="00B7760C" w:rsidRDefault="003663AF" w:rsidP="00E804B7">
            <w:pPr>
              <w:pStyle w:val="Normal6"/>
            </w:pPr>
            <w:r w:rsidRPr="00B7760C">
              <w:t>Namen podpore iz EKJS in EKSRP</w:t>
            </w:r>
            <w:r w:rsidRPr="00B7760C">
              <w:rPr>
                <w:b/>
                <w:i/>
              </w:rPr>
              <w:t xml:space="preserve"> je</w:t>
            </w:r>
            <w:r w:rsidRPr="00B7760C">
              <w:t xml:space="preserve"> nadaljnje izboljšanje trajnostnega razvoja na področju kmetijstva, v sektorju hrane in na podeželskih območjih ter prispeva k doseganju naslednjih splošnih ciljev:</w:t>
            </w:r>
          </w:p>
        </w:tc>
        <w:tc>
          <w:tcPr>
            <w:tcW w:w="4876" w:type="dxa"/>
            <w:hideMark/>
          </w:tcPr>
          <w:p w14:paraId="7C9168B8" w14:textId="77777777" w:rsidR="003663AF" w:rsidRPr="00B7760C" w:rsidRDefault="003663AF" w:rsidP="00E804B7">
            <w:pPr>
              <w:pStyle w:val="Normal6"/>
              <w:rPr>
                <w:szCs w:val="24"/>
              </w:rPr>
            </w:pPr>
            <w:r w:rsidRPr="00B7760C">
              <w:rPr>
                <w:b/>
                <w:i/>
              </w:rPr>
              <w:t xml:space="preserve">V povezavi s cilji SKP iz člena 39 PDEU je </w:t>
            </w:r>
            <w:r w:rsidRPr="00B7760C">
              <w:t>namen podpore iz EKJS in EKSRP nadaljnje izboljšanje trajnostnega razvoja na področju kmetijstva, v sektorju hrane in na podeželskih območjih ter prispeva k doseganju naslednjih splošnih ciljev</w:t>
            </w:r>
            <w:r w:rsidRPr="00B7760C">
              <w:rPr>
                <w:b/>
                <w:i/>
              </w:rPr>
              <w:t xml:space="preserve"> na gospodarskem, okoljskem in socialnem področju</w:t>
            </w:r>
            <w:r w:rsidRPr="00B7760C">
              <w:t>:</w:t>
            </w:r>
          </w:p>
        </w:tc>
      </w:tr>
    </w:tbl>
    <w:p w14:paraId="3C23C90B" w14:textId="77777777" w:rsidR="003663AF" w:rsidRPr="00B7760C" w:rsidRDefault="003663AF" w:rsidP="003663AF"/>
    <w:p w14:paraId="43E46CDC" w14:textId="3C37A618" w:rsidR="003663AF" w:rsidRPr="00B7760C" w:rsidRDefault="00877691" w:rsidP="003663AF">
      <w:pPr>
        <w:pStyle w:val="AMNumberTabs"/>
        <w:keepNext/>
      </w:pPr>
      <w:r w:rsidRPr="00B7760C">
        <w:t>Sprememb</w:t>
      </w:r>
      <w:r w:rsidR="00B64899" w:rsidRPr="00B7760C">
        <w:t>i</w:t>
      </w:r>
      <w:r w:rsidR="003663AF" w:rsidRPr="00B7760C">
        <w:tab/>
        <w:t>102</w:t>
      </w:r>
      <w:r w:rsidR="00B64899" w:rsidRPr="00B7760C">
        <w:t xml:space="preserve"> in 1149</w:t>
      </w:r>
      <w:r w:rsidR="004D7917" w:rsidRPr="00B7760C">
        <w:t xml:space="preserve"> cp1</w:t>
      </w:r>
    </w:p>
    <w:p w14:paraId="2D3100CD" w14:textId="77777777" w:rsidR="003663AF" w:rsidRPr="00B7760C" w:rsidRDefault="003663AF" w:rsidP="003663AF">
      <w:pPr>
        <w:pStyle w:val="NormalBold12b"/>
      </w:pPr>
      <w:r w:rsidRPr="00B7760C">
        <w:t>Predlog uredbe</w:t>
      </w:r>
    </w:p>
    <w:p w14:paraId="4BF879E2" w14:textId="77777777" w:rsidR="003663AF" w:rsidRPr="00B7760C" w:rsidRDefault="003663AF" w:rsidP="003663AF">
      <w:pPr>
        <w:pStyle w:val="NormalBold"/>
      </w:pPr>
      <w:r w:rsidRPr="00B7760C">
        <w:t>Člen 5 – odstavek 1 – točka 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C09A554" w14:textId="77777777" w:rsidTr="00E804B7">
        <w:trPr>
          <w:jc w:val="center"/>
        </w:trPr>
        <w:tc>
          <w:tcPr>
            <w:tcW w:w="9752" w:type="dxa"/>
            <w:gridSpan w:val="2"/>
          </w:tcPr>
          <w:p w14:paraId="1668C2E6" w14:textId="77777777" w:rsidR="003663AF" w:rsidRPr="00B7760C" w:rsidRDefault="003663AF" w:rsidP="00E804B7">
            <w:pPr>
              <w:keepNext/>
            </w:pPr>
          </w:p>
        </w:tc>
      </w:tr>
      <w:tr w:rsidR="003663AF" w:rsidRPr="00B7760C" w14:paraId="4E14F591" w14:textId="77777777" w:rsidTr="00E804B7">
        <w:trPr>
          <w:jc w:val="center"/>
        </w:trPr>
        <w:tc>
          <w:tcPr>
            <w:tcW w:w="4876" w:type="dxa"/>
            <w:hideMark/>
          </w:tcPr>
          <w:p w14:paraId="29187510" w14:textId="77777777" w:rsidR="003663AF" w:rsidRPr="00B7760C" w:rsidRDefault="003663AF" w:rsidP="00E804B7">
            <w:pPr>
              <w:pStyle w:val="ColumnHeading"/>
              <w:keepNext/>
            </w:pPr>
            <w:r w:rsidRPr="00B7760C">
              <w:t>Besedilo, ki ga predlaga Komisija</w:t>
            </w:r>
          </w:p>
        </w:tc>
        <w:tc>
          <w:tcPr>
            <w:tcW w:w="4876" w:type="dxa"/>
            <w:hideMark/>
          </w:tcPr>
          <w:p w14:paraId="2A4FAFB8" w14:textId="5CD1AB4F" w:rsidR="003663AF" w:rsidRPr="00B7760C" w:rsidRDefault="00877691" w:rsidP="00E804B7">
            <w:pPr>
              <w:pStyle w:val="ColumnHeading"/>
              <w:keepNext/>
            </w:pPr>
            <w:r w:rsidRPr="00B7760C">
              <w:t>Sprememba</w:t>
            </w:r>
          </w:p>
        </w:tc>
      </w:tr>
      <w:tr w:rsidR="003663AF" w:rsidRPr="00B7760C" w14:paraId="7855A6A4" w14:textId="77777777" w:rsidTr="00E804B7">
        <w:trPr>
          <w:jc w:val="center"/>
        </w:trPr>
        <w:tc>
          <w:tcPr>
            <w:tcW w:w="4876" w:type="dxa"/>
            <w:hideMark/>
          </w:tcPr>
          <w:p w14:paraId="151D9FB5" w14:textId="77777777" w:rsidR="003663AF" w:rsidRPr="00B7760C" w:rsidRDefault="003663AF" w:rsidP="00E804B7">
            <w:pPr>
              <w:pStyle w:val="Normal6"/>
            </w:pPr>
            <w:r w:rsidRPr="00B7760C">
              <w:t>(a)</w:t>
            </w:r>
            <w:r w:rsidRPr="00B7760C">
              <w:tab/>
              <w:t xml:space="preserve">spodbujanje </w:t>
            </w:r>
            <w:r w:rsidRPr="00B7760C">
              <w:rPr>
                <w:b/>
                <w:i/>
              </w:rPr>
              <w:t>pametnega</w:t>
            </w:r>
            <w:r w:rsidRPr="00B7760C">
              <w:t>, odpornega in raznolikega kmetijskega sektorja, ki zagotavlja prehransko varnost;</w:t>
            </w:r>
          </w:p>
        </w:tc>
        <w:tc>
          <w:tcPr>
            <w:tcW w:w="4876" w:type="dxa"/>
            <w:hideMark/>
          </w:tcPr>
          <w:p w14:paraId="2C84A90A" w14:textId="77777777" w:rsidR="003663AF" w:rsidRPr="00B7760C" w:rsidRDefault="003663AF" w:rsidP="00E804B7">
            <w:pPr>
              <w:pStyle w:val="Normal6"/>
              <w:rPr>
                <w:szCs w:val="24"/>
              </w:rPr>
            </w:pPr>
            <w:r w:rsidRPr="00B7760C">
              <w:t>(a)</w:t>
            </w:r>
            <w:r w:rsidRPr="00B7760C">
              <w:tab/>
              <w:t xml:space="preserve">spodbujanje </w:t>
            </w:r>
            <w:r w:rsidRPr="00B7760C">
              <w:rPr>
                <w:b/>
                <w:i/>
              </w:rPr>
              <w:t>sodobnega, konkurenčnega</w:t>
            </w:r>
            <w:r w:rsidRPr="00B7760C">
              <w:t xml:space="preserve">, odpornega in raznolikega kmetijskega sektorja, ki zagotavlja </w:t>
            </w:r>
            <w:r w:rsidRPr="00B7760C">
              <w:rPr>
                <w:b/>
                <w:i/>
              </w:rPr>
              <w:t xml:space="preserve">dolgoročno </w:t>
            </w:r>
            <w:r w:rsidRPr="00B7760C">
              <w:t>prehransko varnost</w:t>
            </w:r>
            <w:r w:rsidRPr="00B7760C">
              <w:rPr>
                <w:b/>
                <w:i/>
              </w:rPr>
              <w:t>, obenem pa ohranja model družinske kmetije</w:t>
            </w:r>
            <w:r w:rsidRPr="00B7760C">
              <w:t>;</w:t>
            </w:r>
          </w:p>
        </w:tc>
      </w:tr>
    </w:tbl>
    <w:p w14:paraId="08E6E2C2" w14:textId="77777777" w:rsidR="003663AF" w:rsidRPr="00B7760C" w:rsidRDefault="003663AF" w:rsidP="003663AF"/>
    <w:p w14:paraId="1C95E5A6" w14:textId="3DEBB8D7" w:rsidR="003663AF" w:rsidRPr="00B7760C" w:rsidRDefault="00877691" w:rsidP="003548F6">
      <w:pPr>
        <w:pStyle w:val="AMNumberTabs"/>
        <w:keepNext/>
      </w:pPr>
      <w:r w:rsidRPr="00B7760C">
        <w:t>Sprememba</w:t>
      </w:r>
      <w:r w:rsidR="003663AF" w:rsidRPr="00B7760C">
        <w:tab/>
      </w:r>
      <w:r w:rsidR="003663AF" w:rsidRPr="00B7760C">
        <w:tab/>
      </w:r>
      <w:r w:rsidR="003548F6" w:rsidRPr="00B7760C">
        <w:t>1149</w:t>
      </w:r>
      <w:r w:rsidR="009473FB" w:rsidRPr="00B7760C">
        <w:t xml:space="preserve"> cp2</w:t>
      </w:r>
    </w:p>
    <w:p w14:paraId="3D97DB7C" w14:textId="77777777" w:rsidR="003663AF" w:rsidRPr="00B7760C" w:rsidRDefault="003663AF" w:rsidP="003663AF">
      <w:pPr>
        <w:pStyle w:val="NormalBold12b"/>
      </w:pPr>
      <w:r w:rsidRPr="00B7760C">
        <w:t>Predlog uredbe</w:t>
      </w:r>
    </w:p>
    <w:p w14:paraId="05CBF725" w14:textId="77777777" w:rsidR="003663AF" w:rsidRPr="00B7760C" w:rsidRDefault="003663AF" w:rsidP="003663AF">
      <w:pPr>
        <w:pStyle w:val="NormalBold"/>
      </w:pPr>
      <w:r w:rsidRPr="00B7760C">
        <w:t>Člen 5 – odstavek 1 – točka b</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40B40F3" w14:textId="77777777" w:rsidTr="003548F6">
        <w:trPr>
          <w:jc w:val="center"/>
        </w:trPr>
        <w:tc>
          <w:tcPr>
            <w:tcW w:w="9752" w:type="dxa"/>
            <w:gridSpan w:val="2"/>
          </w:tcPr>
          <w:p w14:paraId="7CD50AC6" w14:textId="77777777" w:rsidR="003663AF" w:rsidRPr="00B7760C" w:rsidRDefault="003663AF" w:rsidP="00E804B7">
            <w:pPr>
              <w:keepNext/>
            </w:pPr>
          </w:p>
        </w:tc>
      </w:tr>
      <w:tr w:rsidR="003663AF" w:rsidRPr="00B7760C" w14:paraId="37459878" w14:textId="77777777" w:rsidTr="003548F6">
        <w:trPr>
          <w:jc w:val="center"/>
        </w:trPr>
        <w:tc>
          <w:tcPr>
            <w:tcW w:w="4876" w:type="dxa"/>
            <w:hideMark/>
          </w:tcPr>
          <w:p w14:paraId="0EC756DD" w14:textId="77777777" w:rsidR="003663AF" w:rsidRPr="00B7760C" w:rsidRDefault="003663AF" w:rsidP="00E804B7">
            <w:pPr>
              <w:pStyle w:val="ColumnHeading"/>
              <w:keepNext/>
            </w:pPr>
            <w:r w:rsidRPr="00B7760C">
              <w:t>Besedilo, ki ga predlaga Komisija</w:t>
            </w:r>
          </w:p>
        </w:tc>
        <w:tc>
          <w:tcPr>
            <w:tcW w:w="4876" w:type="dxa"/>
            <w:hideMark/>
          </w:tcPr>
          <w:p w14:paraId="105C12B0" w14:textId="6250822D" w:rsidR="003663AF" w:rsidRPr="00B7760C" w:rsidRDefault="00877691" w:rsidP="00E804B7">
            <w:pPr>
              <w:pStyle w:val="ColumnHeading"/>
              <w:keepNext/>
            </w:pPr>
            <w:r w:rsidRPr="00B7760C">
              <w:t>Sprememba</w:t>
            </w:r>
          </w:p>
        </w:tc>
      </w:tr>
      <w:tr w:rsidR="003548F6" w:rsidRPr="00B7760C" w14:paraId="74595405" w14:textId="77777777" w:rsidTr="003548F6">
        <w:trPr>
          <w:jc w:val="center"/>
        </w:trPr>
        <w:tc>
          <w:tcPr>
            <w:tcW w:w="4876" w:type="dxa"/>
          </w:tcPr>
          <w:p w14:paraId="68C2E3A0" w14:textId="2E261418" w:rsidR="003548F6" w:rsidRPr="00B7760C" w:rsidRDefault="003548F6" w:rsidP="003548F6">
            <w:pPr>
              <w:pStyle w:val="Normal6"/>
            </w:pPr>
            <w:r w:rsidRPr="00B7760C">
              <w:t>(b)</w:t>
            </w:r>
            <w:r w:rsidRPr="00B7760C">
              <w:tab/>
            </w:r>
            <w:r w:rsidRPr="00B7760C">
              <w:rPr>
                <w:b/>
                <w:i/>
              </w:rPr>
              <w:t>krepitev skrbi za okolje</w:t>
            </w:r>
            <w:r w:rsidRPr="00B7760C">
              <w:t xml:space="preserve"> in </w:t>
            </w:r>
            <w:r w:rsidRPr="00B7760C">
              <w:rPr>
                <w:b/>
                <w:i/>
              </w:rPr>
              <w:t>podnebnih ukrepov</w:t>
            </w:r>
            <w:r w:rsidRPr="00B7760C">
              <w:t xml:space="preserve"> ter </w:t>
            </w:r>
            <w:r w:rsidRPr="00B7760C">
              <w:rPr>
                <w:b/>
                <w:i/>
              </w:rPr>
              <w:t>prispevanje k doseganju</w:t>
            </w:r>
            <w:r w:rsidRPr="00B7760C">
              <w:t xml:space="preserve"> ciljev Unije, povezanih z okoljem in podnebjem;</w:t>
            </w:r>
          </w:p>
        </w:tc>
        <w:tc>
          <w:tcPr>
            <w:tcW w:w="4876" w:type="dxa"/>
          </w:tcPr>
          <w:p w14:paraId="17A37201" w14:textId="171EECF2" w:rsidR="003548F6" w:rsidRPr="00B7760C" w:rsidRDefault="003548F6" w:rsidP="003548F6">
            <w:pPr>
              <w:pStyle w:val="Normal6"/>
            </w:pPr>
            <w:r w:rsidRPr="00B7760C">
              <w:t>(b)</w:t>
            </w:r>
            <w:r w:rsidRPr="00B7760C">
              <w:tab/>
            </w:r>
            <w:r w:rsidRPr="00B7760C">
              <w:rPr>
                <w:b/>
                <w:i/>
              </w:rPr>
              <w:t xml:space="preserve">podpora in </w:t>
            </w:r>
            <w:r w:rsidR="0008604B" w:rsidRPr="00B7760C">
              <w:rPr>
                <w:b/>
                <w:i/>
              </w:rPr>
              <w:t>izboljšanje</w:t>
            </w:r>
            <w:r w:rsidRPr="00B7760C">
              <w:rPr>
                <w:b/>
                <w:i/>
              </w:rPr>
              <w:t xml:space="preserve"> varstva okolja</w:t>
            </w:r>
            <w:r w:rsidRPr="00B7760C">
              <w:t xml:space="preserve"> in </w:t>
            </w:r>
            <w:r w:rsidRPr="00B7760C">
              <w:rPr>
                <w:b/>
                <w:i/>
              </w:rPr>
              <w:t>biotske raznovrstnosti</w:t>
            </w:r>
            <w:r w:rsidRPr="00B7760C">
              <w:t xml:space="preserve"> ter </w:t>
            </w:r>
            <w:r w:rsidRPr="00B7760C">
              <w:rPr>
                <w:b/>
                <w:i/>
              </w:rPr>
              <w:t>podnebnih ukrepov ter izpolnjevanje</w:t>
            </w:r>
            <w:r w:rsidRPr="00B7760C">
              <w:t xml:space="preserve"> ciljev Unije, povezanih z okoljem in podnebjem;</w:t>
            </w:r>
          </w:p>
        </w:tc>
      </w:tr>
    </w:tbl>
    <w:p w14:paraId="371ABBED" w14:textId="77777777" w:rsidR="003548F6" w:rsidRPr="00B7760C" w:rsidRDefault="003548F6" w:rsidP="003663AF"/>
    <w:p w14:paraId="6617484F" w14:textId="1874B56A" w:rsidR="003663AF" w:rsidRPr="00B7760C" w:rsidRDefault="00877691" w:rsidP="003663AF">
      <w:pPr>
        <w:pStyle w:val="AMNumberTabs"/>
        <w:keepNext/>
      </w:pPr>
      <w:r w:rsidRPr="00B7760C">
        <w:t>Sprememb</w:t>
      </w:r>
      <w:r w:rsidR="003548F6" w:rsidRPr="00B7760C">
        <w:t>i</w:t>
      </w:r>
      <w:r w:rsidR="003663AF" w:rsidRPr="00B7760C">
        <w:tab/>
      </w:r>
      <w:r w:rsidR="003663AF" w:rsidRPr="00B7760C">
        <w:tab/>
        <w:t>104</w:t>
      </w:r>
      <w:r w:rsidR="003548F6" w:rsidRPr="00B7760C">
        <w:t xml:space="preserve"> in 1149</w:t>
      </w:r>
      <w:r w:rsidR="009473FB" w:rsidRPr="00B7760C">
        <w:t xml:space="preserve"> cp3</w:t>
      </w:r>
    </w:p>
    <w:p w14:paraId="263DFD68" w14:textId="77777777" w:rsidR="003663AF" w:rsidRPr="00B7760C" w:rsidRDefault="003663AF" w:rsidP="003663AF">
      <w:pPr>
        <w:pStyle w:val="NormalBold12b"/>
      </w:pPr>
      <w:r w:rsidRPr="00B7760C">
        <w:t>Predlog uredbe</w:t>
      </w:r>
    </w:p>
    <w:p w14:paraId="332F382D" w14:textId="77777777" w:rsidR="003663AF" w:rsidRPr="00B7760C" w:rsidRDefault="003663AF" w:rsidP="003663AF">
      <w:pPr>
        <w:pStyle w:val="NormalBold"/>
      </w:pPr>
      <w:r w:rsidRPr="00B7760C">
        <w:t>Člen 5 – odstavek 1 – točka c</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EF66A0F" w14:textId="77777777" w:rsidTr="00E804B7">
        <w:trPr>
          <w:jc w:val="center"/>
        </w:trPr>
        <w:tc>
          <w:tcPr>
            <w:tcW w:w="9752" w:type="dxa"/>
            <w:gridSpan w:val="2"/>
          </w:tcPr>
          <w:p w14:paraId="358AF56F" w14:textId="77777777" w:rsidR="003663AF" w:rsidRPr="00B7760C" w:rsidRDefault="003663AF" w:rsidP="00E804B7">
            <w:pPr>
              <w:keepNext/>
            </w:pPr>
          </w:p>
        </w:tc>
      </w:tr>
      <w:tr w:rsidR="003663AF" w:rsidRPr="00B7760C" w14:paraId="2B6099B7" w14:textId="77777777" w:rsidTr="00E804B7">
        <w:trPr>
          <w:jc w:val="center"/>
        </w:trPr>
        <w:tc>
          <w:tcPr>
            <w:tcW w:w="4876" w:type="dxa"/>
            <w:hideMark/>
          </w:tcPr>
          <w:p w14:paraId="3E4F86E8" w14:textId="77777777" w:rsidR="003663AF" w:rsidRPr="00B7760C" w:rsidRDefault="003663AF" w:rsidP="00E804B7">
            <w:pPr>
              <w:pStyle w:val="ColumnHeading"/>
              <w:keepNext/>
            </w:pPr>
            <w:r w:rsidRPr="00B7760C">
              <w:t>Besedilo, ki ga predlaga Komisija</w:t>
            </w:r>
          </w:p>
        </w:tc>
        <w:tc>
          <w:tcPr>
            <w:tcW w:w="4876" w:type="dxa"/>
            <w:hideMark/>
          </w:tcPr>
          <w:p w14:paraId="0BF75ABC" w14:textId="7C67A546" w:rsidR="003663AF" w:rsidRPr="00B7760C" w:rsidRDefault="00877691" w:rsidP="00E804B7">
            <w:pPr>
              <w:pStyle w:val="ColumnHeading"/>
              <w:keepNext/>
            </w:pPr>
            <w:r w:rsidRPr="00B7760C">
              <w:t>Sprememba</w:t>
            </w:r>
          </w:p>
        </w:tc>
      </w:tr>
      <w:tr w:rsidR="003663AF" w:rsidRPr="00B7760C" w14:paraId="6CBDF9F5" w14:textId="77777777" w:rsidTr="00E804B7">
        <w:trPr>
          <w:jc w:val="center"/>
        </w:trPr>
        <w:tc>
          <w:tcPr>
            <w:tcW w:w="4876" w:type="dxa"/>
            <w:hideMark/>
          </w:tcPr>
          <w:p w14:paraId="33F5DCE5" w14:textId="77777777" w:rsidR="003663AF" w:rsidRPr="00B7760C" w:rsidRDefault="003663AF" w:rsidP="00E804B7">
            <w:pPr>
              <w:pStyle w:val="Normal6"/>
            </w:pPr>
            <w:r w:rsidRPr="00B7760C">
              <w:t>(c)</w:t>
            </w:r>
            <w:r w:rsidRPr="00B7760C">
              <w:tab/>
              <w:t>krepitev družbenogospodarskega tkiva podeželskih območij.</w:t>
            </w:r>
          </w:p>
        </w:tc>
        <w:tc>
          <w:tcPr>
            <w:tcW w:w="4876" w:type="dxa"/>
            <w:hideMark/>
          </w:tcPr>
          <w:p w14:paraId="7A2807BE" w14:textId="77777777" w:rsidR="003663AF" w:rsidRPr="00B7760C" w:rsidRDefault="003663AF" w:rsidP="00E804B7">
            <w:pPr>
              <w:pStyle w:val="Normal6"/>
              <w:rPr>
                <w:szCs w:val="24"/>
              </w:rPr>
            </w:pPr>
            <w:r w:rsidRPr="00B7760C">
              <w:t>(c)</w:t>
            </w:r>
            <w:r w:rsidRPr="00B7760C">
              <w:tab/>
              <w:t>krepitev družbenogospodarskega tkiva podeželskih območij</w:t>
            </w:r>
            <w:r w:rsidRPr="00B7760C">
              <w:rPr>
                <w:b/>
                <w:i/>
              </w:rPr>
              <w:t>, da bi se prispevalo k ustvarjanju in ohranjanju delovnih mest z zagotavljanjem vzdržnih dohodkov kmetov, prizadevanji za primeren življenjski standard vsega kmečkega prebivalstva in bojem proti upadanju števila prebivalcev na podeželju, s posebnim poudarkom na manj poseljenih in manj razvitih regijah, ter z uravnoteženim teritorialnim razvojem</w:t>
            </w:r>
            <w:r w:rsidRPr="00B7760C">
              <w:t>.</w:t>
            </w:r>
          </w:p>
        </w:tc>
      </w:tr>
    </w:tbl>
    <w:p w14:paraId="4F2B289C" w14:textId="77777777" w:rsidR="003663AF" w:rsidRPr="00B7760C" w:rsidRDefault="003663AF" w:rsidP="003663AF"/>
    <w:p w14:paraId="45C1C535" w14:textId="50607182" w:rsidR="003663AF" w:rsidRPr="00B7760C" w:rsidRDefault="00877691" w:rsidP="003663AF">
      <w:pPr>
        <w:pStyle w:val="AMNumberTabs"/>
        <w:keepNext/>
      </w:pPr>
      <w:r w:rsidRPr="00B7760C">
        <w:t>Sprememb</w:t>
      </w:r>
      <w:r w:rsidR="003548F6" w:rsidRPr="00B7760C">
        <w:t>i</w:t>
      </w:r>
      <w:r w:rsidR="003663AF" w:rsidRPr="00B7760C">
        <w:tab/>
      </w:r>
      <w:r w:rsidR="003663AF" w:rsidRPr="00B7760C">
        <w:tab/>
        <w:t>105</w:t>
      </w:r>
      <w:r w:rsidR="003548F6" w:rsidRPr="00B7760C">
        <w:t xml:space="preserve"> in 1149</w:t>
      </w:r>
      <w:r w:rsidR="009473FB" w:rsidRPr="00B7760C">
        <w:t xml:space="preserve"> cp4</w:t>
      </w:r>
    </w:p>
    <w:p w14:paraId="35B7689B" w14:textId="77777777" w:rsidR="003663AF" w:rsidRPr="00B7760C" w:rsidRDefault="003663AF" w:rsidP="003663AF">
      <w:pPr>
        <w:pStyle w:val="NormalBold12b"/>
      </w:pPr>
      <w:r w:rsidRPr="00B7760C">
        <w:t>Predlog uredbe</w:t>
      </w:r>
    </w:p>
    <w:p w14:paraId="5834E0CB" w14:textId="77777777" w:rsidR="003663AF" w:rsidRPr="00B7760C" w:rsidRDefault="003663AF" w:rsidP="003663AF">
      <w:pPr>
        <w:pStyle w:val="NormalBold"/>
      </w:pPr>
      <w:r w:rsidRPr="00B7760C">
        <w:t>Člen 5 – odstavek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14519EE" w14:textId="77777777" w:rsidTr="00E804B7">
        <w:trPr>
          <w:jc w:val="center"/>
        </w:trPr>
        <w:tc>
          <w:tcPr>
            <w:tcW w:w="9752" w:type="dxa"/>
            <w:gridSpan w:val="2"/>
          </w:tcPr>
          <w:p w14:paraId="7FA0A774" w14:textId="77777777" w:rsidR="003663AF" w:rsidRPr="00B7760C" w:rsidRDefault="003663AF" w:rsidP="00E804B7">
            <w:pPr>
              <w:keepNext/>
            </w:pPr>
          </w:p>
        </w:tc>
      </w:tr>
      <w:tr w:rsidR="003663AF" w:rsidRPr="00B7760C" w14:paraId="16D64A47" w14:textId="77777777" w:rsidTr="00E804B7">
        <w:trPr>
          <w:jc w:val="center"/>
        </w:trPr>
        <w:tc>
          <w:tcPr>
            <w:tcW w:w="4876" w:type="dxa"/>
            <w:hideMark/>
          </w:tcPr>
          <w:p w14:paraId="6300A4FD" w14:textId="77777777" w:rsidR="003663AF" w:rsidRPr="00B7760C" w:rsidRDefault="003663AF" w:rsidP="00E804B7">
            <w:pPr>
              <w:pStyle w:val="ColumnHeading"/>
              <w:keepNext/>
            </w:pPr>
            <w:r w:rsidRPr="00B7760C">
              <w:t>Besedilo, ki ga predlaga Komisija</w:t>
            </w:r>
          </w:p>
        </w:tc>
        <w:tc>
          <w:tcPr>
            <w:tcW w:w="4876" w:type="dxa"/>
            <w:hideMark/>
          </w:tcPr>
          <w:p w14:paraId="2AC65C79" w14:textId="3BDD5511" w:rsidR="003663AF" w:rsidRPr="00B7760C" w:rsidRDefault="00877691" w:rsidP="00E804B7">
            <w:pPr>
              <w:pStyle w:val="ColumnHeading"/>
              <w:keepNext/>
            </w:pPr>
            <w:r w:rsidRPr="00B7760C">
              <w:t>Sprememba</w:t>
            </w:r>
          </w:p>
        </w:tc>
      </w:tr>
      <w:tr w:rsidR="003663AF" w:rsidRPr="00B7760C" w14:paraId="532532B2" w14:textId="77777777" w:rsidTr="00E804B7">
        <w:trPr>
          <w:jc w:val="center"/>
        </w:trPr>
        <w:tc>
          <w:tcPr>
            <w:tcW w:w="4876" w:type="dxa"/>
            <w:hideMark/>
          </w:tcPr>
          <w:p w14:paraId="35EC41BD" w14:textId="77777777" w:rsidR="003663AF" w:rsidRPr="00B7760C" w:rsidRDefault="003663AF" w:rsidP="00E804B7">
            <w:pPr>
              <w:pStyle w:val="Normal6"/>
            </w:pPr>
            <w:r w:rsidRPr="00B7760C">
              <w:t xml:space="preserve">Te cilje dopolnjuje horizontalni cilj posodobitve sektorja </w:t>
            </w:r>
            <w:r w:rsidRPr="00B7760C">
              <w:rPr>
                <w:b/>
                <w:i/>
              </w:rPr>
              <w:t>s spodbujanjem in razširjanjem</w:t>
            </w:r>
            <w:r w:rsidRPr="00B7760C">
              <w:t xml:space="preserve"> znanja, inovacij in digitalizacije v kmetijstvu in na podeželskih območjih ter s spodbujanjem njihovega prevzemanja.</w:t>
            </w:r>
          </w:p>
        </w:tc>
        <w:tc>
          <w:tcPr>
            <w:tcW w:w="4876" w:type="dxa"/>
            <w:hideMark/>
          </w:tcPr>
          <w:p w14:paraId="43A2AF20" w14:textId="77777777" w:rsidR="003663AF" w:rsidRPr="00B7760C" w:rsidRDefault="003663AF" w:rsidP="00E804B7">
            <w:pPr>
              <w:pStyle w:val="Normal6"/>
              <w:rPr>
                <w:szCs w:val="24"/>
              </w:rPr>
            </w:pPr>
            <w:r w:rsidRPr="00B7760C">
              <w:t xml:space="preserve">Te cilje dopolnjuje </w:t>
            </w:r>
            <w:r w:rsidRPr="00B7760C">
              <w:rPr>
                <w:b/>
                <w:i/>
              </w:rPr>
              <w:t xml:space="preserve">in med seboj povezuje </w:t>
            </w:r>
            <w:r w:rsidRPr="00B7760C">
              <w:t xml:space="preserve">horizontalni cilj posodobitve sektorja </w:t>
            </w:r>
            <w:r w:rsidRPr="00B7760C">
              <w:rPr>
                <w:b/>
                <w:i/>
              </w:rPr>
              <w:t>z zagotavljanjem, da imajo kmetje dostop do raziskav, usposabljanja, razširjanja znanja ter storitev prenosa</w:t>
            </w:r>
            <w:r w:rsidRPr="00B7760C">
              <w:t xml:space="preserve"> znanja, inovacij in digitalizacije v kmetijstvu in na podeželskih območjih ter s spodbujanjem njihovega prevzemanja.</w:t>
            </w:r>
          </w:p>
        </w:tc>
      </w:tr>
    </w:tbl>
    <w:p w14:paraId="5516A8DC" w14:textId="77777777" w:rsidR="003663AF" w:rsidRPr="00B7760C" w:rsidRDefault="003663AF" w:rsidP="003663AF"/>
    <w:p w14:paraId="6158E3BA" w14:textId="35153568" w:rsidR="003663AF" w:rsidRPr="00B7760C" w:rsidRDefault="00877691" w:rsidP="003663AF">
      <w:pPr>
        <w:pStyle w:val="AMNumberTabs"/>
        <w:keepNext/>
      </w:pPr>
      <w:r w:rsidRPr="00B7760C">
        <w:t>Sprememba</w:t>
      </w:r>
      <w:r w:rsidR="003663AF" w:rsidRPr="00B7760C">
        <w:tab/>
      </w:r>
      <w:r w:rsidR="003663AF" w:rsidRPr="00B7760C">
        <w:tab/>
        <w:t>106</w:t>
      </w:r>
    </w:p>
    <w:p w14:paraId="2A252E50" w14:textId="77777777" w:rsidR="003663AF" w:rsidRPr="00B7760C" w:rsidRDefault="003663AF" w:rsidP="003663AF">
      <w:pPr>
        <w:pStyle w:val="NormalBold12b"/>
      </w:pPr>
      <w:r w:rsidRPr="00B7760C">
        <w:t>Predlog uredbe</w:t>
      </w:r>
    </w:p>
    <w:p w14:paraId="6F6E816F" w14:textId="77777777" w:rsidR="003663AF" w:rsidRPr="00B7760C" w:rsidRDefault="003663AF" w:rsidP="003663AF">
      <w:pPr>
        <w:pStyle w:val="NormalBold"/>
      </w:pPr>
      <w:r w:rsidRPr="00B7760C">
        <w:t>Člen 6 – odstavek 1 – točka 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CEB700D" w14:textId="77777777" w:rsidTr="00E804B7">
        <w:trPr>
          <w:jc w:val="center"/>
        </w:trPr>
        <w:tc>
          <w:tcPr>
            <w:tcW w:w="9752" w:type="dxa"/>
            <w:gridSpan w:val="2"/>
          </w:tcPr>
          <w:p w14:paraId="7D687F60" w14:textId="77777777" w:rsidR="003663AF" w:rsidRPr="00B7760C" w:rsidRDefault="003663AF" w:rsidP="00E804B7">
            <w:pPr>
              <w:keepNext/>
            </w:pPr>
          </w:p>
        </w:tc>
      </w:tr>
      <w:tr w:rsidR="003663AF" w:rsidRPr="00B7760C" w14:paraId="4EA4C844" w14:textId="77777777" w:rsidTr="00E804B7">
        <w:trPr>
          <w:jc w:val="center"/>
        </w:trPr>
        <w:tc>
          <w:tcPr>
            <w:tcW w:w="4876" w:type="dxa"/>
            <w:hideMark/>
          </w:tcPr>
          <w:p w14:paraId="5F366508" w14:textId="77777777" w:rsidR="003663AF" w:rsidRPr="00B7760C" w:rsidRDefault="003663AF" w:rsidP="00E804B7">
            <w:pPr>
              <w:pStyle w:val="ColumnHeading"/>
              <w:keepNext/>
            </w:pPr>
            <w:r w:rsidRPr="00B7760C">
              <w:t>Besedilo, ki ga predlaga Komisija</w:t>
            </w:r>
          </w:p>
        </w:tc>
        <w:tc>
          <w:tcPr>
            <w:tcW w:w="4876" w:type="dxa"/>
            <w:hideMark/>
          </w:tcPr>
          <w:p w14:paraId="44CEDA98" w14:textId="09AEB485" w:rsidR="003663AF" w:rsidRPr="00B7760C" w:rsidRDefault="00877691" w:rsidP="00E804B7">
            <w:pPr>
              <w:pStyle w:val="ColumnHeading"/>
              <w:keepNext/>
            </w:pPr>
            <w:r w:rsidRPr="00B7760C">
              <w:t>Sprememba</w:t>
            </w:r>
          </w:p>
        </w:tc>
      </w:tr>
      <w:tr w:rsidR="003663AF" w:rsidRPr="00B7760C" w14:paraId="72B8F5B1" w14:textId="77777777" w:rsidTr="00E804B7">
        <w:trPr>
          <w:jc w:val="center"/>
        </w:trPr>
        <w:tc>
          <w:tcPr>
            <w:tcW w:w="4876" w:type="dxa"/>
            <w:hideMark/>
          </w:tcPr>
          <w:p w14:paraId="22A3CABF" w14:textId="77777777" w:rsidR="003663AF" w:rsidRPr="00B7760C" w:rsidRDefault="003663AF" w:rsidP="00E804B7">
            <w:pPr>
              <w:pStyle w:val="Normal6"/>
            </w:pPr>
            <w:r w:rsidRPr="00B7760C">
              <w:t>(a)</w:t>
            </w:r>
            <w:r w:rsidRPr="00B7760C">
              <w:tab/>
            </w:r>
            <w:r w:rsidRPr="00B7760C">
              <w:rPr>
                <w:b/>
                <w:i/>
              </w:rPr>
              <w:t>podpora vzdržnim dohodkom</w:t>
            </w:r>
            <w:r w:rsidRPr="00B7760C">
              <w:t xml:space="preserve"> kmetij in odpornosti po vsej Uniji za povečanje prehranske varnosti;</w:t>
            </w:r>
          </w:p>
        </w:tc>
        <w:tc>
          <w:tcPr>
            <w:tcW w:w="4876" w:type="dxa"/>
            <w:hideMark/>
          </w:tcPr>
          <w:p w14:paraId="00A5C666" w14:textId="77777777" w:rsidR="003663AF" w:rsidRPr="00B7760C" w:rsidRDefault="003663AF" w:rsidP="00E804B7">
            <w:pPr>
              <w:pStyle w:val="Normal6"/>
              <w:rPr>
                <w:szCs w:val="24"/>
              </w:rPr>
            </w:pPr>
            <w:r w:rsidRPr="00B7760C">
              <w:t>(a)</w:t>
            </w:r>
            <w:r w:rsidRPr="00B7760C">
              <w:tab/>
            </w:r>
            <w:r w:rsidRPr="00B7760C">
              <w:rPr>
                <w:b/>
                <w:i/>
              </w:rPr>
              <w:t>zagotavljanje vzdržnih dohodkov</w:t>
            </w:r>
            <w:r w:rsidRPr="00B7760C">
              <w:t xml:space="preserve"> kmetij in odpornosti </w:t>
            </w:r>
            <w:r w:rsidRPr="00B7760C">
              <w:rPr>
                <w:b/>
                <w:i/>
              </w:rPr>
              <w:t xml:space="preserve">kmetijskega sektorja </w:t>
            </w:r>
            <w:r w:rsidRPr="00B7760C">
              <w:t xml:space="preserve">po vsej Uniji za povečanje </w:t>
            </w:r>
            <w:r w:rsidRPr="00B7760C">
              <w:rPr>
                <w:b/>
                <w:i/>
              </w:rPr>
              <w:t xml:space="preserve">dolgoročne </w:t>
            </w:r>
            <w:r w:rsidRPr="00B7760C">
              <w:t>prehranske varnosti</w:t>
            </w:r>
            <w:r w:rsidRPr="00B7760C">
              <w:rPr>
                <w:b/>
                <w:i/>
              </w:rPr>
              <w:t xml:space="preserve"> in kmetijske raznolikosti ter hkratno zagotavljanje varne in visokokakovostne hrane po poštenih cenah, da bi se obrnil trend upadanja števila kmetov in zagotovila gospodarska trajnost kmetijske proizvodnje v Uniji</w:t>
            </w:r>
            <w:r w:rsidRPr="00B7760C">
              <w:t>;</w:t>
            </w:r>
          </w:p>
        </w:tc>
      </w:tr>
    </w:tbl>
    <w:p w14:paraId="3CB681CF" w14:textId="77777777" w:rsidR="003663AF" w:rsidRPr="00B7760C" w:rsidRDefault="003663AF" w:rsidP="003663AF"/>
    <w:p w14:paraId="409EC6FA" w14:textId="0E500EB6" w:rsidR="003663AF" w:rsidRPr="00B7760C" w:rsidRDefault="00877691" w:rsidP="003663AF">
      <w:pPr>
        <w:pStyle w:val="AMNumberTabs"/>
        <w:keepNext/>
      </w:pPr>
      <w:r w:rsidRPr="00B7760C">
        <w:t>Sprememba</w:t>
      </w:r>
      <w:r w:rsidR="003663AF" w:rsidRPr="00B7760C">
        <w:tab/>
      </w:r>
      <w:r w:rsidR="003663AF" w:rsidRPr="00B7760C">
        <w:tab/>
        <w:t>107</w:t>
      </w:r>
    </w:p>
    <w:p w14:paraId="26444A6D" w14:textId="77777777" w:rsidR="003663AF" w:rsidRPr="00B7760C" w:rsidRDefault="003663AF" w:rsidP="003663AF">
      <w:pPr>
        <w:pStyle w:val="NormalBold12b"/>
      </w:pPr>
      <w:r w:rsidRPr="00B7760C">
        <w:t>Predlog uredbe</w:t>
      </w:r>
    </w:p>
    <w:p w14:paraId="24E7F6C4" w14:textId="77777777" w:rsidR="003663AF" w:rsidRPr="00B7760C" w:rsidRDefault="003663AF" w:rsidP="003663AF">
      <w:pPr>
        <w:pStyle w:val="NormalBold"/>
      </w:pPr>
      <w:r w:rsidRPr="00B7760C">
        <w:t>Člen 6 – odstavek 1 – točka b</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D8EACBB" w14:textId="77777777" w:rsidTr="00E804B7">
        <w:trPr>
          <w:jc w:val="center"/>
        </w:trPr>
        <w:tc>
          <w:tcPr>
            <w:tcW w:w="9752" w:type="dxa"/>
            <w:gridSpan w:val="2"/>
          </w:tcPr>
          <w:p w14:paraId="71F27566" w14:textId="77777777" w:rsidR="003663AF" w:rsidRPr="00B7760C" w:rsidRDefault="003663AF" w:rsidP="00E804B7">
            <w:pPr>
              <w:keepNext/>
            </w:pPr>
          </w:p>
        </w:tc>
      </w:tr>
      <w:tr w:rsidR="003663AF" w:rsidRPr="00B7760C" w14:paraId="7F3698C2" w14:textId="77777777" w:rsidTr="00E804B7">
        <w:trPr>
          <w:jc w:val="center"/>
        </w:trPr>
        <w:tc>
          <w:tcPr>
            <w:tcW w:w="4876" w:type="dxa"/>
            <w:hideMark/>
          </w:tcPr>
          <w:p w14:paraId="65858AAD" w14:textId="77777777" w:rsidR="003663AF" w:rsidRPr="00B7760C" w:rsidRDefault="003663AF" w:rsidP="00E804B7">
            <w:pPr>
              <w:pStyle w:val="ColumnHeading"/>
              <w:keepNext/>
            </w:pPr>
            <w:r w:rsidRPr="00B7760C">
              <w:t>Besedilo, ki ga predlaga Komisija</w:t>
            </w:r>
          </w:p>
        </w:tc>
        <w:tc>
          <w:tcPr>
            <w:tcW w:w="4876" w:type="dxa"/>
            <w:hideMark/>
          </w:tcPr>
          <w:p w14:paraId="4F25FBB8" w14:textId="30511F08" w:rsidR="003663AF" w:rsidRPr="00B7760C" w:rsidRDefault="00877691" w:rsidP="00E804B7">
            <w:pPr>
              <w:pStyle w:val="ColumnHeading"/>
              <w:keepNext/>
            </w:pPr>
            <w:r w:rsidRPr="00B7760C">
              <w:t>Sprememba</w:t>
            </w:r>
          </w:p>
        </w:tc>
      </w:tr>
      <w:tr w:rsidR="003663AF" w:rsidRPr="00B7760C" w14:paraId="007EA60F" w14:textId="77777777" w:rsidTr="00E804B7">
        <w:trPr>
          <w:jc w:val="center"/>
        </w:trPr>
        <w:tc>
          <w:tcPr>
            <w:tcW w:w="4876" w:type="dxa"/>
            <w:hideMark/>
          </w:tcPr>
          <w:p w14:paraId="6C8F3F4A" w14:textId="77777777" w:rsidR="003663AF" w:rsidRPr="00B7760C" w:rsidRDefault="003663AF" w:rsidP="00E804B7">
            <w:pPr>
              <w:pStyle w:val="Normal6"/>
            </w:pPr>
            <w:r w:rsidRPr="00B7760C">
              <w:t>(b)</w:t>
            </w:r>
            <w:r w:rsidRPr="00B7760C">
              <w:tab/>
              <w:t xml:space="preserve">krepitev tržne usmerjenosti in povečanje konkurenčnosti, </w:t>
            </w:r>
            <w:r w:rsidRPr="00B7760C">
              <w:rPr>
                <w:b/>
                <w:i/>
              </w:rPr>
              <w:t>tudi</w:t>
            </w:r>
            <w:r w:rsidRPr="00B7760C">
              <w:t xml:space="preserve"> z večjim poudarkom na raziskavah, tehnologiji in digitalizaciji;</w:t>
            </w:r>
          </w:p>
        </w:tc>
        <w:tc>
          <w:tcPr>
            <w:tcW w:w="4876" w:type="dxa"/>
            <w:hideMark/>
          </w:tcPr>
          <w:p w14:paraId="4E7BDA9D" w14:textId="77777777" w:rsidR="003663AF" w:rsidRPr="00B7760C" w:rsidRDefault="003663AF" w:rsidP="00E804B7">
            <w:pPr>
              <w:pStyle w:val="Normal6"/>
              <w:rPr>
                <w:szCs w:val="24"/>
              </w:rPr>
            </w:pPr>
            <w:r w:rsidRPr="00B7760C">
              <w:t>(b)</w:t>
            </w:r>
            <w:r w:rsidRPr="00B7760C">
              <w:tab/>
              <w:t xml:space="preserve">krepitev tržne usmerjenosti </w:t>
            </w:r>
            <w:r w:rsidRPr="00B7760C">
              <w:rPr>
                <w:b/>
                <w:i/>
              </w:rPr>
              <w:t xml:space="preserve">na lokalne, nacionalne, tudi mednarodne trge </w:t>
            </w:r>
            <w:r w:rsidRPr="00B7760C">
              <w:t xml:space="preserve">in </w:t>
            </w:r>
            <w:r w:rsidRPr="00B7760C">
              <w:rPr>
                <w:b/>
                <w:i/>
              </w:rPr>
              <w:t xml:space="preserve">trge Unije, kot tudi stabilizacija trga, obvladovanje tveganj in kriz, </w:t>
            </w:r>
            <w:r w:rsidRPr="00B7760C">
              <w:t>povečanje</w:t>
            </w:r>
            <w:r w:rsidRPr="00B7760C">
              <w:rPr>
                <w:b/>
                <w:i/>
              </w:rPr>
              <w:t xml:space="preserve"> dolgoročne</w:t>
            </w:r>
            <w:r w:rsidRPr="00B7760C">
              <w:t xml:space="preserve"> konkurenčnosti</w:t>
            </w:r>
            <w:r w:rsidRPr="00B7760C">
              <w:rPr>
                <w:b/>
                <w:i/>
              </w:rPr>
              <w:t xml:space="preserve"> kmetij</w:t>
            </w:r>
            <w:r w:rsidRPr="00B7760C">
              <w:t xml:space="preserve">, </w:t>
            </w:r>
            <w:r w:rsidRPr="00B7760C">
              <w:rPr>
                <w:b/>
                <w:i/>
              </w:rPr>
              <w:t>predelovalnih in tržnih zmogljivosti kmetijskih proizvodov,</w:t>
            </w:r>
            <w:r w:rsidRPr="00B7760C">
              <w:t xml:space="preserve"> z večjim poudarkom na </w:t>
            </w:r>
            <w:r w:rsidRPr="00B7760C">
              <w:rPr>
                <w:b/>
                <w:i/>
              </w:rPr>
              <w:t xml:space="preserve">razlikovanju kakovosti, </w:t>
            </w:r>
            <w:r w:rsidRPr="00B7760C">
              <w:t xml:space="preserve">raziskavah, </w:t>
            </w:r>
            <w:r w:rsidRPr="00B7760C">
              <w:rPr>
                <w:b/>
                <w:i/>
              </w:rPr>
              <w:t xml:space="preserve">inovacijah, </w:t>
            </w:r>
            <w:r w:rsidRPr="00B7760C">
              <w:t>tehnologiji</w:t>
            </w:r>
            <w:r w:rsidRPr="00B7760C">
              <w:rPr>
                <w:b/>
                <w:i/>
              </w:rPr>
              <w:t>, prenosu in izmenjavi znanja</w:t>
            </w:r>
            <w:r w:rsidRPr="00B7760C">
              <w:t xml:space="preserve"> in digitalizaciji</w:t>
            </w:r>
            <w:r w:rsidRPr="00B7760C">
              <w:rPr>
                <w:b/>
                <w:i/>
              </w:rPr>
              <w:t xml:space="preserve"> ter omogočanje dostopa kmetov do dinamike krožnega gospodarstva</w:t>
            </w:r>
            <w:r w:rsidRPr="00B7760C">
              <w:t>;</w:t>
            </w:r>
          </w:p>
        </w:tc>
      </w:tr>
    </w:tbl>
    <w:p w14:paraId="15B54BF1" w14:textId="77777777" w:rsidR="003663AF" w:rsidRPr="00B7760C" w:rsidRDefault="003663AF" w:rsidP="003663AF"/>
    <w:p w14:paraId="672F22C2" w14:textId="137A9B32" w:rsidR="003663AF" w:rsidRPr="00B7760C" w:rsidRDefault="00877691" w:rsidP="003663AF">
      <w:pPr>
        <w:pStyle w:val="AMNumberTabs"/>
        <w:keepNext/>
      </w:pPr>
      <w:r w:rsidRPr="00B7760C">
        <w:t>Sprememba</w:t>
      </w:r>
      <w:r w:rsidR="003663AF" w:rsidRPr="00B7760C">
        <w:tab/>
      </w:r>
      <w:r w:rsidR="003663AF" w:rsidRPr="00B7760C">
        <w:tab/>
        <w:t>108</w:t>
      </w:r>
    </w:p>
    <w:p w14:paraId="16555963" w14:textId="77777777" w:rsidR="003663AF" w:rsidRPr="00B7760C" w:rsidRDefault="003663AF" w:rsidP="003663AF">
      <w:pPr>
        <w:pStyle w:val="NormalBold12b"/>
      </w:pPr>
      <w:r w:rsidRPr="00B7760C">
        <w:t>Predlog uredbe</w:t>
      </w:r>
    </w:p>
    <w:p w14:paraId="6352F225" w14:textId="77777777" w:rsidR="003663AF" w:rsidRPr="00B7760C" w:rsidRDefault="003663AF" w:rsidP="003663AF">
      <w:pPr>
        <w:pStyle w:val="NormalBold"/>
      </w:pPr>
      <w:r w:rsidRPr="00B7760C">
        <w:t>Člen 6 – odstavek 1 – točka c</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5C469D7" w14:textId="77777777" w:rsidTr="00E804B7">
        <w:trPr>
          <w:jc w:val="center"/>
        </w:trPr>
        <w:tc>
          <w:tcPr>
            <w:tcW w:w="9752" w:type="dxa"/>
            <w:gridSpan w:val="2"/>
          </w:tcPr>
          <w:p w14:paraId="002064B7" w14:textId="77777777" w:rsidR="003663AF" w:rsidRPr="00B7760C" w:rsidRDefault="003663AF" w:rsidP="00E804B7">
            <w:pPr>
              <w:keepNext/>
            </w:pPr>
          </w:p>
        </w:tc>
      </w:tr>
      <w:tr w:rsidR="003663AF" w:rsidRPr="00B7760C" w14:paraId="7176630D" w14:textId="77777777" w:rsidTr="00E804B7">
        <w:trPr>
          <w:jc w:val="center"/>
        </w:trPr>
        <w:tc>
          <w:tcPr>
            <w:tcW w:w="4876" w:type="dxa"/>
            <w:hideMark/>
          </w:tcPr>
          <w:p w14:paraId="0B1D4124" w14:textId="77777777" w:rsidR="003663AF" w:rsidRPr="00B7760C" w:rsidRDefault="003663AF" w:rsidP="00E804B7">
            <w:pPr>
              <w:pStyle w:val="ColumnHeading"/>
              <w:keepNext/>
            </w:pPr>
            <w:r w:rsidRPr="00B7760C">
              <w:t>Besedilo, ki ga predlaga Komisija</w:t>
            </w:r>
          </w:p>
        </w:tc>
        <w:tc>
          <w:tcPr>
            <w:tcW w:w="4876" w:type="dxa"/>
            <w:hideMark/>
          </w:tcPr>
          <w:p w14:paraId="7C58B075" w14:textId="61A081B0" w:rsidR="003663AF" w:rsidRPr="00B7760C" w:rsidRDefault="00877691" w:rsidP="00E804B7">
            <w:pPr>
              <w:pStyle w:val="ColumnHeading"/>
              <w:keepNext/>
            </w:pPr>
            <w:r w:rsidRPr="00B7760C">
              <w:t>Sprememba</w:t>
            </w:r>
          </w:p>
        </w:tc>
      </w:tr>
      <w:tr w:rsidR="003663AF" w:rsidRPr="00B7760C" w14:paraId="38632830" w14:textId="77777777" w:rsidTr="00E804B7">
        <w:trPr>
          <w:jc w:val="center"/>
        </w:trPr>
        <w:tc>
          <w:tcPr>
            <w:tcW w:w="4876" w:type="dxa"/>
            <w:hideMark/>
          </w:tcPr>
          <w:p w14:paraId="65C2CEF3" w14:textId="77777777" w:rsidR="003663AF" w:rsidRPr="00B7760C" w:rsidRDefault="003663AF" w:rsidP="00E804B7">
            <w:pPr>
              <w:pStyle w:val="Normal6"/>
            </w:pPr>
            <w:r w:rsidRPr="00B7760C">
              <w:t>(c)</w:t>
            </w:r>
            <w:r w:rsidRPr="00B7760C">
              <w:tab/>
              <w:t xml:space="preserve">izboljšanje položaja kmetov v </w:t>
            </w:r>
            <w:r w:rsidRPr="00B7760C">
              <w:rPr>
                <w:b/>
                <w:i/>
              </w:rPr>
              <w:t>vrednostni verigi</w:t>
            </w:r>
            <w:r w:rsidRPr="00B7760C">
              <w:t>;</w:t>
            </w:r>
          </w:p>
        </w:tc>
        <w:tc>
          <w:tcPr>
            <w:tcW w:w="4876" w:type="dxa"/>
            <w:hideMark/>
          </w:tcPr>
          <w:p w14:paraId="7D8A2966" w14:textId="77777777" w:rsidR="003663AF" w:rsidRPr="00B7760C" w:rsidRDefault="003663AF" w:rsidP="00E804B7">
            <w:pPr>
              <w:pStyle w:val="Normal6"/>
              <w:rPr>
                <w:szCs w:val="24"/>
              </w:rPr>
            </w:pPr>
            <w:r w:rsidRPr="00B7760C">
              <w:t>(c)</w:t>
            </w:r>
            <w:r w:rsidRPr="00B7760C">
              <w:tab/>
              <w:t xml:space="preserve">izboljšanje </w:t>
            </w:r>
            <w:r w:rsidRPr="00B7760C">
              <w:rPr>
                <w:b/>
                <w:i/>
              </w:rPr>
              <w:t xml:space="preserve">pogajalskega </w:t>
            </w:r>
            <w:r w:rsidRPr="00B7760C">
              <w:t xml:space="preserve">položaja kmetov v </w:t>
            </w:r>
            <w:r w:rsidRPr="00B7760C">
              <w:rPr>
                <w:b/>
                <w:i/>
              </w:rPr>
              <w:t>vrednostnih verigah s spodbujanjem oblik združevanja, organizacij proizvajalcev in kolektivnih pogajanj ter krajših dobavnih verig in izboljšanja preglednosti trga</w:t>
            </w:r>
            <w:r w:rsidRPr="00B7760C">
              <w:t>;</w:t>
            </w:r>
          </w:p>
        </w:tc>
      </w:tr>
    </w:tbl>
    <w:p w14:paraId="4F099646" w14:textId="77777777" w:rsidR="003663AF" w:rsidRPr="00B7760C" w:rsidRDefault="003663AF" w:rsidP="003663AF"/>
    <w:p w14:paraId="3DD6D74B" w14:textId="1EEF6571" w:rsidR="003663AF" w:rsidRPr="00B7760C" w:rsidRDefault="00877691" w:rsidP="003548F6">
      <w:pPr>
        <w:pStyle w:val="AMNumberTabs"/>
        <w:keepNext/>
      </w:pPr>
      <w:r w:rsidRPr="00B7760C">
        <w:t>Sprememba</w:t>
      </w:r>
      <w:r w:rsidR="003663AF" w:rsidRPr="00B7760C">
        <w:tab/>
      </w:r>
      <w:r w:rsidR="003663AF" w:rsidRPr="00B7760C">
        <w:tab/>
      </w:r>
      <w:r w:rsidR="003548F6" w:rsidRPr="00B7760C">
        <w:t>1150</w:t>
      </w:r>
      <w:r w:rsidR="009473FB" w:rsidRPr="00B7760C">
        <w:t xml:space="preserve"> cp1</w:t>
      </w:r>
    </w:p>
    <w:p w14:paraId="760E263E" w14:textId="3A89D8A4" w:rsidR="003663AF" w:rsidRPr="00B7760C" w:rsidRDefault="003663AF" w:rsidP="003663AF">
      <w:pPr>
        <w:pStyle w:val="NormalBold12b"/>
      </w:pPr>
      <w:r w:rsidRPr="00B7760C">
        <w:t>Predlog uredbe</w:t>
      </w:r>
    </w:p>
    <w:p w14:paraId="17DE1C1A" w14:textId="68C40979" w:rsidR="003663AF" w:rsidRPr="00B7760C" w:rsidRDefault="003663AF" w:rsidP="003663AF">
      <w:pPr>
        <w:pStyle w:val="NormalBold"/>
      </w:pPr>
      <w:r w:rsidRPr="00B7760C">
        <w:t>Člen 6 – odstavek 1 – točka d</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29DE5FF" w14:textId="43CB51EF" w:rsidTr="003548F6">
        <w:trPr>
          <w:jc w:val="center"/>
        </w:trPr>
        <w:tc>
          <w:tcPr>
            <w:tcW w:w="9752" w:type="dxa"/>
            <w:gridSpan w:val="2"/>
          </w:tcPr>
          <w:p w14:paraId="3EE8C36C" w14:textId="43AC4B23" w:rsidR="003663AF" w:rsidRPr="00B7760C" w:rsidRDefault="003663AF" w:rsidP="00E804B7">
            <w:pPr>
              <w:keepNext/>
            </w:pPr>
          </w:p>
        </w:tc>
      </w:tr>
      <w:tr w:rsidR="003663AF" w:rsidRPr="00B7760C" w14:paraId="52874B11" w14:textId="6131D307" w:rsidTr="003548F6">
        <w:trPr>
          <w:jc w:val="center"/>
        </w:trPr>
        <w:tc>
          <w:tcPr>
            <w:tcW w:w="4876" w:type="dxa"/>
            <w:hideMark/>
          </w:tcPr>
          <w:p w14:paraId="7E8D205B" w14:textId="6A131DF4" w:rsidR="003663AF" w:rsidRPr="00B7760C" w:rsidRDefault="003663AF" w:rsidP="00E804B7">
            <w:pPr>
              <w:pStyle w:val="ColumnHeading"/>
              <w:keepNext/>
            </w:pPr>
            <w:r w:rsidRPr="00B7760C">
              <w:t>Besedilo, ki ga predlaga Komisija</w:t>
            </w:r>
          </w:p>
        </w:tc>
        <w:tc>
          <w:tcPr>
            <w:tcW w:w="4876" w:type="dxa"/>
            <w:hideMark/>
          </w:tcPr>
          <w:p w14:paraId="071F3029" w14:textId="603B622A" w:rsidR="003663AF" w:rsidRPr="00B7760C" w:rsidRDefault="00877691" w:rsidP="00E804B7">
            <w:pPr>
              <w:pStyle w:val="ColumnHeading"/>
              <w:keepNext/>
            </w:pPr>
            <w:r w:rsidRPr="00B7760C">
              <w:t>Sprememba</w:t>
            </w:r>
          </w:p>
        </w:tc>
      </w:tr>
      <w:tr w:rsidR="003548F6" w:rsidRPr="00B7760C" w14:paraId="6CD2DC69" w14:textId="77777777" w:rsidTr="003548F6">
        <w:trPr>
          <w:jc w:val="center"/>
        </w:trPr>
        <w:tc>
          <w:tcPr>
            <w:tcW w:w="4876" w:type="dxa"/>
          </w:tcPr>
          <w:p w14:paraId="70A83D54" w14:textId="518DB8D9" w:rsidR="003548F6" w:rsidRPr="00B7760C" w:rsidRDefault="003548F6" w:rsidP="003548F6">
            <w:pPr>
              <w:pStyle w:val="Normal6"/>
            </w:pPr>
            <w:r w:rsidRPr="00B7760C">
              <w:t>(d)</w:t>
            </w:r>
            <w:r w:rsidRPr="00B7760C">
              <w:tab/>
              <w:t xml:space="preserve">prispevanje k blažitvi podnebnih sprememb in prilagajanju nanje ter </w:t>
            </w:r>
            <w:r w:rsidRPr="00B7760C">
              <w:rPr>
                <w:b/>
                <w:i/>
              </w:rPr>
              <w:t>k trajnostni energiji</w:t>
            </w:r>
            <w:r w:rsidRPr="00B7760C">
              <w:t>;</w:t>
            </w:r>
          </w:p>
        </w:tc>
        <w:tc>
          <w:tcPr>
            <w:tcW w:w="4876" w:type="dxa"/>
          </w:tcPr>
          <w:p w14:paraId="0145C63E" w14:textId="44F94043" w:rsidR="003548F6" w:rsidRPr="00B7760C" w:rsidRDefault="003548F6" w:rsidP="003548F6">
            <w:pPr>
              <w:pStyle w:val="Normal6"/>
            </w:pPr>
            <w:r w:rsidRPr="00B7760C">
              <w:t>(d)</w:t>
            </w:r>
            <w:r w:rsidRPr="00B7760C">
              <w:tab/>
              <w:t xml:space="preserve">prispevanje k blažitvi podnebnih sprememb in prilagajanju nanje </w:t>
            </w:r>
            <w:r w:rsidRPr="00B7760C">
              <w:rPr>
                <w:b/>
                <w:i/>
              </w:rPr>
              <w:t xml:space="preserve">z zmanjševanjem emisij toplogrednih plinov, vključno s povečanjem ponorov ogljika, sekvestracijo in skladiščenjem ogljika v kmetijskem in živilskem sektorju </w:t>
            </w:r>
            <w:r w:rsidRPr="00B7760C">
              <w:t xml:space="preserve">ter </w:t>
            </w:r>
            <w:r w:rsidRPr="00B7760C">
              <w:rPr>
                <w:b/>
                <w:i/>
              </w:rPr>
              <w:t>vključevanjem trajnostne energije, ob zagotavljanju prehranske varnosti ter trajnostnega upravljanja in varstva gozdov v skladu s Pariškim sporazumom</w:t>
            </w:r>
            <w:r w:rsidRPr="00B7760C">
              <w:t>;</w:t>
            </w:r>
          </w:p>
        </w:tc>
      </w:tr>
    </w:tbl>
    <w:p w14:paraId="1682FB6A" w14:textId="77777777" w:rsidR="003548F6" w:rsidRPr="00B7760C" w:rsidRDefault="003548F6" w:rsidP="003663AF"/>
    <w:p w14:paraId="1BB32197" w14:textId="0B6B17C2" w:rsidR="003663AF" w:rsidRPr="00B7760C" w:rsidRDefault="00877691" w:rsidP="003663AF">
      <w:pPr>
        <w:pStyle w:val="AMNumberTabs"/>
        <w:keepNext/>
      </w:pPr>
      <w:r w:rsidRPr="00B7760C">
        <w:t>Sprememba</w:t>
      </w:r>
      <w:r w:rsidR="003663AF" w:rsidRPr="00B7760C">
        <w:tab/>
      </w:r>
      <w:r w:rsidR="003663AF" w:rsidRPr="00B7760C">
        <w:tab/>
        <w:t>110</w:t>
      </w:r>
    </w:p>
    <w:p w14:paraId="421C4F16" w14:textId="77777777" w:rsidR="003663AF" w:rsidRPr="00B7760C" w:rsidRDefault="003663AF" w:rsidP="003663AF">
      <w:pPr>
        <w:pStyle w:val="NormalBold12b"/>
      </w:pPr>
      <w:r w:rsidRPr="00B7760C">
        <w:t>Predlog uredbe</w:t>
      </w:r>
    </w:p>
    <w:p w14:paraId="5312CAEE" w14:textId="77777777" w:rsidR="003663AF" w:rsidRPr="00B7760C" w:rsidRDefault="003663AF" w:rsidP="003663AF">
      <w:pPr>
        <w:pStyle w:val="NormalBold"/>
      </w:pPr>
      <w:r w:rsidRPr="00B7760C">
        <w:t>Člen 6 – odstavek 1 – točka e</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199E277" w14:textId="77777777" w:rsidTr="00E804B7">
        <w:trPr>
          <w:jc w:val="center"/>
        </w:trPr>
        <w:tc>
          <w:tcPr>
            <w:tcW w:w="9752" w:type="dxa"/>
            <w:gridSpan w:val="2"/>
          </w:tcPr>
          <w:p w14:paraId="12FFFD02" w14:textId="77777777" w:rsidR="003663AF" w:rsidRPr="00B7760C" w:rsidRDefault="003663AF" w:rsidP="00E804B7">
            <w:pPr>
              <w:keepNext/>
            </w:pPr>
          </w:p>
        </w:tc>
      </w:tr>
      <w:tr w:rsidR="003663AF" w:rsidRPr="00B7760C" w14:paraId="196742DF" w14:textId="77777777" w:rsidTr="00E804B7">
        <w:trPr>
          <w:jc w:val="center"/>
        </w:trPr>
        <w:tc>
          <w:tcPr>
            <w:tcW w:w="4876" w:type="dxa"/>
            <w:hideMark/>
          </w:tcPr>
          <w:p w14:paraId="07918D35" w14:textId="77777777" w:rsidR="003663AF" w:rsidRPr="00B7760C" w:rsidRDefault="003663AF" w:rsidP="00E804B7">
            <w:pPr>
              <w:pStyle w:val="ColumnHeading"/>
              <w:keepNext/>
            </w:pPr>
            <w:r w:rsidRPr="00B7760C">
              <w:t>Besedilo, ki ga predlaga Komisija</w:t>
            </w:r>
          </w:p>
        </w:tc>
        <w:tc>
          <w:tcPr>
            <w:tcW w:w="4876" w:type="dxa"/>
            <w:hideMark/>
          </w:tcPr>
          <w:p w14:paraId="75E2D08A" w14:textId="267B2586" w:rsidR="003663AF" w:rsidRPr="00B7760C" w:rsidRDefault="00877691" w:rsidP="00E804B7">
            <w:pPr>
              <w:pStyle w:val="ColumnHeading"/>
              <w:keepNext/>
            </w:pPr>
            <w:r w:rsidRPr="00B7760C">
              <w:t>Sprememba</w:t>
            </w:r>
          </w:p>
        </w:tc>
      </w:tr>
      <w:tr w:rsidR="003663AF" w:rsidRPr="00B7760C" w14:paraId="2572CC7F" w14:textId="77777777" w:rsidTr="00E804B7">
        <w:trPr>
          <w:jc w:val="center"/>
        </w:trPr>
        <w:tc>
          <w:tcPr>
            <w:tcW w:w="4876" w:type="dxa"/>
            <w:hideMark/>
          </w:tcPr>
          <w:p w14:paraId="297D2321" w14:textId="77777777" w:rsidR="003663AF" w:rsidRPr="00B7760C" w:rsidRDefault="003663AF" w:rsidP="00E804B7">
            <w:pPr>
              <w:pStyle w:val="Normal6"/>
            </w:pPr>
            <w:r w:rsidRPr="00B7760C">
              <w:t>(e)</w:t>
            </w:r>
            <w:r w:rsidRPr="00B7760C">
              <w:tab/>
              <w:t>spodbujanje trajnostnega razvoja in učinkovitega upravljanja naravnih virov, kot so voda, tla in zrak;</w:t>
            </w:r>
          </w:p>
        </w:tc>
        <w:tc>
          <w:tcPr>
            <w:tcW w:w="4876" w:type="dxa"/>
            <w:hideMark/>
          </w:tcPr>
          <w:p w14:paraId="40B972B8" w14:textId="77777777" w:rsidR="003663AF" w:rsidRPr="00B7760C" w:rsidRDefault="003663AF" w:rsidP="00E804B7">
            <w:pPr>
              <w:pStyle w:val="Normal6"/>
              <w:rPr>
                <w:szCs w:val="24"/>
              </w:rPr>
            </w:pPr>
            <w:r w:rsidRPr="00B7760C">
              <w:t>(e)</w:t>
            </w:r>
            <w:r w:rsidRPr="00B7760C">
              <w:tab/>
              <w:t>spodbujanje trajnostnega razvoja in učinkovitega upravljanja naravnih virov, kot so voda, tla in zrak</w:t>
            </w:r>
            <w:r w:rsidRPr="00B7760C">
              <w:rPr>
                <w:b/>
                <w:i/>
              </w:rPr>
              <w:t xml:space="preserve"> ter obenem zmanjšanje odvisnosti od kemičnih snovi, da bi dosegli cilje iz ustreznih zakonodajnih instrumentov in nagrajevali kmetijske prakse in sisteme, ki imajo številne okoljske koristi, vključno z zaustavitvijo dezertifikacije</w:t>
            </w:r>
            <w:r w:rsidRPr="00B7760C">
              <w:t>;</w:t>
            </w:r>
          </w:p>
        </w:tc>
      </w:tr>
    </w:tbl>
    <w:p w14:paraId="401BDAD6" w14:textId="77777777" w:rsidR="003663AF" w:rsidRPr="00B7760C" w:rsidRDefault="003663AF" w:rsidP="003663AF"/>
    <w:p w14:paraId="07A70E26" w14:textId="61135207" w:rsidR="003663AF" w:rsidRPr="00B7760C" w:rsidRDefault="00877691" w:rsidP="003548F6">
      <w:pPr>
        <w:pStyle w:val="AMNumberTabs"/>
        <w:keepNext/>
      </w:pPr>
      <w:r w:rsidRPr="00B7760C">
        <w:t>Sprememba</w:t>
      </w:r>
      <w:r w:rsidR="003663AF" w:rsidRPr="00B7760C">
        <w:tab/>
      </w:r>
      <w:r w:rsidR="003663AF" w:rsidRPr="00B7760C">
        <w:tab/>
      </w:r>
      <w:r w:rsidR="003548F6" w:rsidRPr="00B7760C">
        <w:t>1150</w:t>
      </w:r>
      <w:r w:rsidR="009473FB" w:rsidRPr="00B7760C">
        <w:t xml:space="preserve"> cp3</w:t>
      </w:r>
    </w:p>
    <w:p w14:paraId="2ED68971" w14:textId="77777777" w:rsidR="003663AF" w:rsidRPr="00B7760C" w:rsidRDefault="003663AF" w:rsidP="003663AF">
      <w:pPr>
        <w:pStyle w:val="NormalBold12b"/>
      </w:pPr>
      <w:r w:rsidRPr="00B7760C">
        <w:t>Predlog uredbe</w:t>
      </w:r>
    </w:p>
    <w:p w14:paraId="77639262" w14:textId="77777777" w:rsidR="003663AF" w:rsidRPr="00B7760C" w:rsidRDefault="003663AF" w:rsidP="003663AF">
      <w:pPr>
        <w:pStyle w:val="NormalBold"/>
      </w:pPr>
      <w:r w:rsidRPr="00B7760C">
        <w:t>Člen 6 – odstavek 1 – točka f</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C5D1A7B" w14:textId="77777777" w:rsidTr="003548F6">
        <w:trPr>
          <w:jc w:val="center"/>
        </w:trPr>
        <w:tc>
          <w:tcPr>
            <w:tcW w:w="9752" w:type="dxa"/>
            <w:gridSpan w:val="2"/>
          </w:tcPr>
          <w:p w14:paraId="41F3ADBE" w14:textId="77777777" w:rsidR="003663AF" w:rsidRPr="00B7760C" w:rsidRDefault="003663AF" w:rsidP="00E804B7">
            <w:pPr>
              <w:keepNext/>
            </w:pPr>
          </w:p>
        </w:tc>
      </w:tr>
      <w:tr w:rsidR="003663AF" w:rsidRPr="00B7760C" w14:paraId="54420FE0" w14:textId="77777777" w:rsidTr="003548F6">
        <w:trPr>
          <w:jc w:val="center"/>
        </w:trPr>
        <w:tc>
          <w:tcPr>
            <w:tcW w:w="4876" w:type="dxa"/>
            <w:hideMark/>
          </w:tcPr>
          <w:p w14:paraId="5ACDACF6" w14:textId="77777777" w:rsidR="003663AF" w:rsidRPr="00B7760C" w:rsidRDefault="003663AF" w:rsidP="00E804B7">
            <w:pPr>
              <w:pStyle w:val="ColumnHeading"/>
              <w:keepNext/>
            </w:pPr>
            <w:r w:rsidRPr="00B7760C">
              <w:t>Besedilo, ki ga predlaga Komisija</w:t>
            </w:r>
          </w:p>
        </w:tc>
        <w:tc>
          <w:tcPr>
            <w:tcW w:w="4876" w:type="dxa"/>
            <w:hideMark/>
          </w:tcPr>
          <w:p w14:paraId="1F712FC3" w14:textId="14A8CBC9" w:rsidR="003663AF" w:rsidRPr="00B7760C" w:rsidRDefault="00877691" w:rsidP="00E804B7">
            <w:pPr>
              <w:pStyle w:val="ColumnHeading"/>
              <w:keepNext/>
            </w:pPr>
            <w:r w:rsidRPr="00B7760C">
              <w:t>Sprememba</w:t>
            </w:r>
          </w:p>
        </w:tc>
      </w:tr>
      <w:tr w:rsidR="003548F6" w:rsidRPr="00B7760C" w14:paraId="166324D6" w14:textId="77777777" w:rsidTr="003548F6">
        <w:trPr>
          <w:jc w:val="center"/>
        </w:trPr>
        <w:tc>
          <w:tcPr>
            <w:tcW w:w="4876" w:type="dxa"/>
          </w:tcPr>
          <w:p w14:paraId="78414E28" w14:textId="77777777" w:rsidR="003548F6" w:rsidRPr="00B7760C" w:rsidRDefault="003548F6" w:rsidP="00B2260C">
            <w:pPr>
              <w:pStyle w:val="Normal6a"/>
            </w:pPr>
            <w:r w:rsidRPr="00B7760C">
              <w:t>(f)</w:t>
            </w:r>
            <w:r w:rsidRPr="00B7760C">
              <w:tab/>
            </w:r>
            <w:r w:rsidRPr="00B7760C">
              <w:rPr>
                <w:b/>
                <w:i/>
              </w:rPr>
              <w:t>prispevanje</w:t>
            </w:r>
            <w:r w:rsidRPr="00B7760C">
              <w:t xml:space="preserve"> k </w:t>
            </w:r>
            <w:r w:rsidRPr="00B7760C">
              <w:rPr>
                <w:b/>
                <w:i/>
              </w:rPr>
              <w:t>varstvu</w:t>
            </w:r>
            <w:r w:rsidRPr="00B7760C">
              <w:t xml:space="preserve"> biotske raznovrstnosti, </w:t>
            </w:r>
            <w:r w:rsidRPr="00B7760C">
              <w:rPr>
                <w:b/>
                <w:i/>
              </w:rPr>
              <w:t>krepitev ekosistemskih storitev</w:t>
            </w:r>
            <w:r w:rsidRPr="00B7760C">
              <w:t xml:space="preserve"> ter </w:t>
            </w:r>
            <w:r w:rsidRPr="00B7760C">
              <w:rPr>
                <w:b/>
                <w:i/>
              </w:rPr>
              <w:t>ohranjanje</w:t>
            </w:r>
            <w:r w:rsidRPr="00B7760C">
              <w:t xml:space="preserve"> habitatov in krajine;</w:t>
            </w:r>
          </w:p>
        </w:tc>
        <w:tc>
          <w:tcPr>
            <w:tcW w:w="4876" w:type="dxa"/>
          </w:tcPr>
          <w:p w14:paraId="7C605328" w14:textId="29E4870F" w:rsidR="003548F6" w:rsidRPr="00B7760C" w:rsidRDefault="003548F6" w:rsidP="0008604B">
            <w:pPr>
              <w:pStyle w:val="Normal6a"/>
            </w:pPr>
            <w:r w:rsidRPr="00B7760C">
              <w:t>(f)</w:t>
            </w:r>
            <w:r w:rsidRPr="00B7760C">
              <w:tab/>
            </w:r>
            <w:r w:rsidRPr="00B7760C">
              <w:rPr>
                <w:b/>
                <w:i/>
              </w:rPr>
              <w:t>krepitev ekosistemskih storitev in prispevanje</w:t>
            </w:r>
            <w:r w:rsidRPr="00B7760C">
              <w:t xml:space="preserve"> k </w:t>
            </w:r>
            <w:r w:rsidRPr="00B7760C">
              <w:rPr>
                <w:b/>
                <w:i/>
              </w:rPr>
              <w:t>zaustavitvi in obratu trenda upadanja</w:t>
            </w:r>
            <w:r w:rsidRPr="00B7760C">
              <w:t xml:space="preserve"> biotske raznovrstnosti, </w:t>
            </w:r>
            <w:r w:rsidRPr="00B7760C">
              <w:rPr>
                <w:b/>
                <w:i/>
              </w:rPr>
              <w:t xml:space="preserve">tudi z varovanjem koristnih </w:t>
            </w:r>
            <w:r w:rsidR="0008604B" w:rsidRPr="00B7760C">
              <w:rPr>
                <w:b/>
                <w:i/>
              </w:rPr>
              <w:t xml:space="preserve">rastlin, živali, </w:t>
            </w:r>
            <w:r w:rsidRPr="00B7760C">
              <w:rPr>
                <w:b/>
                <w:i/>
              </w:rPr>
              <w:t>in opraševalskih vrst s podpiranjem kmetijske raznolikosti, ohranjanja narave in gozdarsko-kmetijske dejavnosti</w:t>
            </w:r>
            <w:r w:rsidRPr="00B7760C">
              <w:t xml:space="preserve"> ter </w:t>
            </w:r>
            <w:r w:rsidRPr="00B7760C">
              <w:rPr>
                <w:b/>
                <w:i/>
              </w:rPr>
              <w:t>prispevanje k večji naravni odpornosti, obnovi in ohranjanju tal, vodnih teles,</w:t>
            </w:r>
            <w:r w:rsidRPr="00B7760C">
              <w:t xml:space="preserve"> habitatov in krajine</w:t>
            </w:r>
            <w:r w:rsidRPr="00B7760C">
              <w:rPr>
                <w:b/>
                <w:i/>
              </w:rPr>
              <w:t xml:space="preserve"> ter podpiranjem kmetijskih sistemov z visoko naravno vrednostjo</w:t>
            </w:r>
            <w:r w:rsidRPr="00B7760C">
              <w:t>;</w:t>
            </w:r>
          </w:p>
        </w:tc>
      </w:tr>
      <w:tr w:rsidR="003663AF" w:rsidRPr="00B7760C" w14:paraId="1F92BCFF" w14:textId="77777777" w:rsidTr="003F5478">
        <w:trPr>
          <w:jc w:val="center"/>
        </w:trPr>
        <w:tc>
          <w:tcPr>
            <w:tcW w:w="4876" w:type="dxa"/>
          </w:tcPr>
          <w:p w14:paraId="0567DB85" w14:textId="1C406CD3" w:rsidR="003663AF" w:rsidRPr="00B7760C" w:rsidRDefault="003663AF" w:rsidP="00E804B7">
            <w:pPr>
              <w:pStyle w:val="Normal6"/>
            </w:pPr>
          </w:p>
        </w:tc>
        <w:tc>
          <w:tcPr>
            <w:tcW w:w="4876" w:type="dxa"/>
          </w:tcPr>
          <w:p w14:paraId="7C5D3A4E" w14:textId="16FCE713" w:rsidR="003663AF" w:rsidRPr="00B7760C" w:rsidRDefault="003663AF" w:rsidP="00E804B7">
            <w:pPr>
              <w:pStyle w:val="Normal6"/>
              <w:rPr>
                <w:szCs w:val="24"/>
              </w:rPr>
            </w:pPr>
          </w:p>
        </w:tc>
      </w:tr>
    </w:tbl>
    <w:p w14:paraId="5B694373" w14:textId="77777777" w:rsidR="003663AF" w:rsidRPr="00B7760C" w:rsidRDefault="003663AF" w:rsidP="003663AF"/>
    <w:p w14:paraId="704D712F" w14:textId="7F3994BF" w:rsidR="003663AF" w:rsidRPr="00B7760C" w:rsidRDefault="00877691" w:rsidP="003663AF">
      <w:pPr>
        <w:pStyle w:val="AMNumberTabs"/>
        <w:keepNext/>
      </w:pPr>
      <w:r w:rsidRPr="00B7760C">
        <w:t>Sprememb</w:t>
      </w:r>
      <w:r w:rsidR="003548F6" w:rsidRPr="00B7760C">
        <w:t>i</w:t>
      </w:r>
      <w:r w:rsidR="003663AF" w:rsidRPr="00B7760C">
        <w:tab/>
      </w:r>
      <w:r w:rsidR="003663AF" w:rsidRPr="00B7760C">
        <w:tab/>
        <w:t>112</w:t>
      </w:r>
      <w:r w:rsidR="003548F6" w:rsidRPr="00B7760C">
        <w:t xml:space="preserve"> in 1150</w:t>
      </w:r>
      <w:r w:rsidR="009473FB" w:rsidRPr="00B7760C">
        <w:t xml:space="preserve"> cp4</w:t>
      </w:r>
    </w:p>
    <w:p w14:paraId="65FC132E" w14:textId="77777777" w:rsidR="003663AF" w:rsidRPr="00B7760C" w:rsidRDefault="003663AF" w:rsidP="003663AF">
      <w:pPr>
        <w:pStyle w:val="NormalBold12b"/>
      </w:pPr>
      <w:r w:rsidRPr="00B7760C">
        <w:t>Predlog uredbe</w:t>
      </w:r>
    </w:p>
    <w:p w14:paraId="1278B656" w14:textId="77777777" w:rsidR="003663AF" w:rsidRPr="00B7760C" w:rsidRDefault="003663AF" w:rsidP="003663AF">
      <w:pPr>
        <w:pStyle w:val="NormalBold"/>
      </w:pPr>
      <w:r w:rsidRPr="00B7760C">
        <w:t>Člen 6 – odstavek 1 – točka g</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B974917" w14:textId="77777777" w:rsidTr="00E804B7">
        <w:trPr>
          <w:jc w:val="center"/>
        </w:trPr>
        <w:tc>
          <w:tcPr>
            <w:tcW w:w="9752" w:type="dxa"/>
            <w:gridSpan w:val="2"/>
          </w:tcPr>
          <w:p w14:paraId="3BF7C6ED" w14:textId="77777777" w:rsidR="003663AF" w:rsidRPr="00B7760C" w:rsidRDefault="003663AF" w:rsidP="00E804B7">
            <w:pPr>
              <w:keepNext/>
            </w:pPr>
          </w:p>
        </w:tc>
      </w:tr>
      <w:tr w:rsidR="003663AF" w:rsidRPr="00B7760C" w14:paraId="3CF14F95" w14:textId="77777777" w:rsidTr="00E804B7">
        <w:trPr>
          <w:jc w:val="center"/>
        </w:trPr>
        <w:tc>
          <w:tcPr>
            <w:tcW w:w="4876" w:type="dxa"/>
            <w:hideMark/>
          </w:tcPr>
          <w:p w14:paraId="65DBCCC6" w14:textId="77777777" w:rsidR="003663AF" w:rsidRPr="00B7760C" w:rsidRDefault="003663AF" w:rsidP="00E804B7">
            <w:pPr>
              <w:pStyle w:val="ColumnHeading"/>
              <w:keepNext/>
            </w:pPr>
            <w:r w:rsidRPr="00B7760C">
              <w:t>Besedilo, ki ga predlaga Komisija</w:t>
            </w:r>
          </w:p>
        </w:tc>
        <w:tc>
          <w:tcPr>
            <w:tcW w:w="4876" w:type="dxa"/>
            <w:hideMark/>
          </w:tcPr>
          <w:p w14:paraId="3C4BA477" w14:textId="21EFB369" w:rsidR="003663AF" w:rsidRPr="00B7760C" w:rsidRDefault="00877691" w:rsidP="00E804B7">
            <w:pPr>
              <w:pStyle w:val="ColumnHeading"/>
              <w:keepNext/>
            </w:pPr>
            <w:r w:rsidRPr="00B7760C">
              <w:t>Sprememba</w:t>
            </w:r>
          </w:p>
        </w:tc>
      </w:tr>
      <w:tr w:rsidR="003663AF" w:rsidRPr="00B7760C" w14:paraId="49E7ECD0" w14:textId="77777777" w:rsidTr="00E804B7">
        <w:trPr>
          <w:jc w:val="center"/>
        </w:trPr>
        <w:tc>
          <w:tcPr>
            <w:tcW w:w="4876" w:type="dxa"/>
            <w:hideMark/>
          </w:tcPr>
          <w:p w14:paraId="1086E59E" w14:textId="77777777" w:rsidR="003663AF" w:rsidRPr="00B7760C" w:rsidRDefault="003663AF" w:rsidP="00E804B7">
            <w:pPr>
              <w:pStyle w:val="Normal6"/>
            </w:pPr>
            <w:r w:rsidRPr="00B7760C">
              <w:t>(g)</w:t>
            </w:r>
            <w:r w:rsidRPr="00B7760C">
              <w:tab/>
              <w:t>privabljanje mladih kmetov in spodbujanje razvoja podjetij na podeželskih območjih;</w:t>
            </w:r>
          </w:p>
        </w:tc>
        <w:tc>
          <w:tcPr>
            <w:tcW w:w="4876" w:type="dxa"/>
            <w:hideMark/>
          </w:tcPr>
          <w:p w14:paraId="222393C0" w14:textId="77777777" w:rsidR="003663AF" w:rsidRPr="00B7760C" w:rsidRDefault="003663AF" w:rsidP="00E804B7">
            <w:pPr>
              <w:pStyle w:val="Normal6"/>
              <w:rPr>
                <w:szCs w:val="24"/>
              </w:rPr>
            </w:pPr>
            <w:r w:rsidRPr="00B7760C">
              <w:t>(g)</w:t>
            </w:r>
            <w:r w:rsidRPr="00B7760C">
              <w:tab/>
              <w:t xml:space="preserve">privabljanje </w:t>
            </w:r>
            <w:r w:rsidRPr="00B7760C">
              <w:rPr>
                <w:b/>
                <w:i/>
              </w:rPr>
              <w:t xml:space="preserve">in podpiranje </w:t>
            </w:r>
            <w:r w:rsidRPr="00B7760C">
              <w:t>mladih</w:t>
            </w:r>
            <w:r w:rsidRPr="00B7760C">
              <w:rPr>
                <w:b/>
                <w:i/>
              </w:rPr>
              <w:t xml:space="preserve"> kmetov, novih</w:t>
            </w:r>
            <w:r w:rsidRPr="00B7760C">
              <w:t xml:space="preserve"> kmetov in spodbujanje </w:t>
            </w:r>
            <w:r w:rsidRPr="00B7760C">
              <w:rPr>
                <w:b/>
                <w:i/>
              </w:rPr>
              <w:t>sodelovanja žensk v kmetijskem sektorju, zlasti na najmanj poseljenih območjih in območjih z naravnimi omejitvami;</w:t>
            </w:r>
            <w:r w:rsidRPr="00B7760C">
              <w:t xml:space="preserve"> </w:t>
            </w:r>
            <w:r w:rsidRPr="00B7760C">
              <w:rPr>
                <w:b/>
                <w:i/>
              </w:rPr>
              <w:t xml:space="preserve">spodbujanje usposabljanja in pridobivanja izkušenj po vsej Uniji, trajnostnega </w:t>
            </w:r>
            <w:r w:rsidRPr="00B7760C">
              <w:t>razvoja podjetij</w:t>
            </w:r>
            <w:r w:rsidRPr="00B7760C">
              <w:rPr>
                <w:b/>
                <w:i/>
              </w:rPr>
              <w:t xml:space="preserve"> in ustvarjanja delovnih mest</w:t>
            </w:r>
            <w:r w:rsidRPr="00B7760C">
              <w:t xml:space="preserve"> na podeželskih območjih;</w:t>
            </w:r>
          </w:p>
        </w:tc>
      </w:tr>
    </w:tbl>
    <w:p w14:paraId="6174CD04" w14:textId="77777777" w:rsidR="003663AF" w:rsidRPr="00B7760C" w:rsidRDefault="003663AF" w:rsidP="003663AF"/>
    <w:p w14:paraId="58E9EA0B" w14:textId="5F0C6336" w:rsidR="003663AF" w:rsidRPr="00B7760C" w:rsidRDefault="00877691" w:rsidP="003548F6">
      <w:pPr>
        <w:pStyle w:val="AMNumberTabs"/>
        <w:keepNext/>
      </w:pPr>
      <w:r w:rsidRPr="00B7760C">
        <w:t>Sprememba</w:t>
      </w:r>
      <w:r w:rsidR="003663AF" w:rsidRPr="00B7760C">
        <w:tab/>
      </w:r>
      <w:r w:rsidR="003663AF" w:rsidRPr="00B7760C">
        <w:tab/>
      </w:r>
      <w:r w:rsidR="003548F6" w:rsidRPr="00B7760C">
        <w:t>1150</w:t>
      </w:r>
      <w:r w:rsidR="009473FB" w:rsidRPr="00B7760C">
        <w:t xml:space="preserve"> cp5</w:t>
      </w:r>
    </w:p>
    <w:p w14:paraId="20C48ECD" w14:textId="77777777" w:rsidR="003663AF" w:rsidRPr="00B7760C" w:rsidRDefault="003663AF" w:rsidP="003663AF">
      <w:pPr>
        <w:pStyle w:val="NormalBold12b"/>
      </w:pPr>
      <w:r w:rsidRPr="00B7760C">
        <w:t>Predlog uredbe</w:t>
      </w:r>
    </w:p>
    <w:p w14:paraId="2FA70A0B" w14:textId="77777777" w:rsidR="003663AF" w:rsidRPr="00B7760C" w:rsidRDefault="003663AF" w:rsidP="003663AF">
      <w:pPr>
        <w:pStyle w:val="NormalBold"/>
      </w:pPr>
      <w:r w:rsidRPr="00B7760C">
        <w:t>Člen 6 – odstavek 1 – točka h</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56727DC" w14:textId="77777777" w:rsidTr="00B34ADF">
        <w:trPr>
          <w:jc w:val="center"/>
        </w:trPr>
        <w:tc>
          <w:tcPr>
            <w:tcW w:w="9752" w:type="dxa"/>
            <w:gridSpan w:val="2"/>
          </w:tcPr>
          <w:p w14:paraId="36390AFC" w14:textId="77777777" w:rsidR="003663AF" w:rsidRPr="00B7760C" w:rsidRDefault="003663AF" w:rsidP="00E804B7">
            <w:pPr>
              <w:keepNext/>
            </w:pPr>
          </w:p>
        </w:tc>
      </w:tr>
      <w:tr w:rsidR="003663AF" w:rsidRPr="00B7760C" w14:paraId="31B570DE" w14:textId="77777777" w:rsidTr="00B34ADF">
        <w:trPr>
          <w:jc w:val="center"/>
        </w:trPr>
        <w:tc>
          <w:tcPr>
            <w:tcW w:w="4876" w:type="dxa"/>
            <w:hideMark/>
          </w:tcPr>
          <w:p w14:paraId="2170F33F" w14:textId="77777777" w:rsidR="003663AF" w:rsidRPr="00B7760C" w:rsidRDefault="003663AF" w:rsidP="00E804B7">
            <w:pPr>
              <w:pStyle w:val="ColumnHeading"/>
              <w:keepNext/>
            </w:pPr>
            <w:r w:rsidRPr="00B7760C">
              <w:t>Besedilo, ki ga predlaga Komisija</w:t>
            </w:r>
          </w:p>
        </w:tc>
        <w:tc>
          <w:tcPr>
            <w:tcW w:w="4876" w:type="dxa"/>
            <w:hideMark/>
          </w:tcPr>
          <w:p w14:paraId="053086F1" w14:textId="5B55497F" w:rsidR="003663AF" w:rsidRPr="00B7760C" w:rsidRDefault="00877691" w:rsidP="00E804B7">
            <w:pPr>
              <w:pStyle w:val="ColumnHeading"/>
              <w:keepNext/>
            </w:pPr>
            <w:r w:rsidRPr="00B7760C">
              <w:t>Sprememba</w:t>
            </w:r>
          </w:p>
        </w:tc>
      </w:tr>
      <w:tr w:rsidR="003548F6" w:rsidRPr="00B7760C" w:rsidDel="003548F6" w14:paraId="6B560527" w14:textId="77777777" w:rsidTr="003548F6">
        <w:trPr>
          <w:jc w:val="center"/>
        </w:trPr>
        <w:tc>
          <w:tcPr>
            <w:tcW w:w="4876" w:type="dxa"/>
          </w:tcPr>
          <w:p w14:paraId="13F32F7E" w14:textId="7E2DEC1F" w:rsidR="003548F6" w:rsidRPr="00B7760C" w:rsidDel="003548F6" w:rsidRDefault="003548F6" w:rsidP="003548F6">
            <w:pPr>
              <w:pStyle w:val="Normal6"/>
            </w:pPr>
            <w:r w:rsidRPr="00B7760C">
              <w:t>(h)</w:t>
            </w:r>
            <w:r w:rsidRPr="00B7760C">
              <w:tab/>
              <w:t xml:space="preserve">spodbujanje </w:t>
            </w:r>
            <w:r w:rsidRPr="00B7760C">
              <w:rPr>
                <w:b/>
                <w:i/>
              </w:rPr>
              <w:t>zaposlovanja</w:t>
            </w:r>
            <w:r w:rsidRPr="00B7760C">
              <w:t xml:space="preserve">, rasti, socialne vključenosti in lokalnega razvoja na </w:t>
            </w:r>
            <w:r w:rsidRPr="00B7760C">
              <w:rPr>
                <w:b/>
                <w:i/>
              </w:rPr>
              <w:t>podeželskih območjih</w:t>
            </w:r>
            <w:r w:rsidRPr="00B7760C">
              <w:t xml:space="preserve">, vključno </w:t>
            </w:r>
            <w:r w:rsidRPr="00B7760C">
              <w:rPr>
                <w:b/>
                <w:i/>
              </w:rPr>
              <w:t>z</w:t>
            </w:r>
            <w:r w:rsidRPr="00B7760C">
              <w:t xml:space="preserve"> biogospodarstvom</w:t>
            </w:r>
            <w:r w:rsidRPr="00B7760C">
              <w:rPr>
                <w:b/>
                <w:i/>
              </w:rPr>
              <w:t xml:space="preserve"> in</w:t>
            </w:r>
            <w:r w:rsidRPr="00B7760C">
              <w:t xml:space="preserve"> trajnostnim </w:t>
            </w:r>
            <w:r w:rsidRPr="00B7760C">
              <w:rPr>
                <w:b/>
                <w:i/>
              </w:rPr>
              <w:t>gozdarstvom</w:t>
            </w:r>
            <w:r w:rsidRPr="00B7760C">
              <w:t>;</w:t>
            </w:r>
          </w:p>
        </w:tc>
        <w:tc>
          <w:tcPr>
            <w:tcW w:w="4876" w:type="dxa"/>
          </w:tcPr>
          <w:p w14:paraId="7371AF11" w14:textId="42C84D15" w:rsidR="003548F6" w:rsidRPr="00B7760C" w:rsidDel="003548F6" w:rsidRDefault="003548F6" w:rsidP="003548F6">
            <w:pPr>
              <w:pStyle w:val="Normal6"/>
            </w:pPr>
            <w:r w:rsidRPr="00B7760C">
              <w:t>(h)</w:t>
            </w:r>
            <w:r w:rsidRPr="00B7760C">
              <w:tab/>
              <w:t xml:space="preserve">spodbujanje </w:t>
            </w:r>
            <w:r w:rsidRPr="00B7760C">
              <w:rPr>
                <w:b/>
                <w:i/>
              </w:rPr>
              <w:t>socialne in teritorialne kohezije na podeželskih območjih, tudi prek ustvarjanja delovnih mest</w:t>
            </w:r>
            <w:r w:rsidRPr="00B7760C">
              <w:t xml:space="preserve">, rasti, </w:t>
            </w:r>
            <w:r w:rsidRPr="00B7760C">
              <w:rPr>
                <w:b/>
                <w:i/>
              </w:rPr>
              <w:t xml:space="preserve">naložb, </w:t>
            </w:r>
            <w:r w:rsidRPr="00B7760C">
              <w:t>socialne vključenosti</w:t>
            </w:r>
            <w:r w:rsidRPr="00B7760C">
              <w:rPr>
                <w:b/>
                <w:i/>
              </w:rPr>
              <w:t>, boja proti revščini na podeželju</w:t>
            </w:r>
            <w:r w:rsidRPr="00B7760C">
              <w:t xml:space="preserve"> in </w:t>
            </w:r>
            <w:r w:rsidRPr="00B7760C">
              <w:rPr>
                <w:b/>
                <w:i/>
              </w:rPr>
              <w:t xml:space="preserve">prek </w:t>
            </w:r>
            <w:r w:rsidRPr="00B7760C">
              <w:t>lokalnega razvoja</w:t>
            </w:r>
            <w:r w:rsidRPr="00B7760C">
              <w:rPr>
                <w:b/>
                <w:i/>
              </w:rPr>
              <w:t>, vključno z visokokakovostnimi lokalnimi storitvami za podeželske skupnosti, s posebnim poudarkom</w:t>
            </w:r>
            <w:r w:rsidRPr="00B7760C">
              <w:t xml:space="preserve"> na </w:t>
            </w:r>
            <w:r w:rsidRPr="00B7760C">
              <w:rPr>
                <w:b/>
                <w:i/>
              </w:rPr>
              <w:t>območjih z naravnimi omejitvami; spodbujanje dostojnih življenjskih, delovnih in gospodarskih pogojev; diverzifikacija dejavnosti in prihodkov, vključno s kmečkim turizmom, trajnostnim biogospodarstvom, krožnim gospodarstvom, trajnostnim upravljanjem in varstvom gozdov, ob zagotavljanju enakosti spolov; podpiranje enakih možnosti na podeželskih območjih s posebnimi ukrepi za podpiranje in priznavanje dela žensk v kmetijstvu, rokodelstvu, turizmu ter lokalnih storitvah</w:t>
            </w:r>
            <w:r w:rsidRPr="00B7760C">
              <w:t>;</w:t>
            </w:r>
          </w:p>
        </w:tc>
      </w:tr>
    </w:tbl>
    <w:p w14:paraId="633DD3AC" w14:textId="77777777" w:rsidR="003663AF" w:rsidRPr="00B7760C" w:rsidRDefault="003663AF" w:rsidP="003663AF"/>
    <w:p w14:paraId="55EE4D2B" w14:textId="79470A52" w:rsidR="003663AF" w:rsidRPr="00B7760C" w:rsidRDefault="00877691" w:rsidP="003548F6">
      <w:pPr>
        <w:pStyle w:val="AMNumberTabs"/>
        <w:keepNext/>
      </w:pPr>
      <w:r w:rsidRPr="00B7760C">
        <w:t>Sprememba</w:t>
      </w:r>
      <w:r w:rsidR="003663AF" w:rsidRPr="00B7760C">
        <w:tab/>
      </w:r>
      <w:r w:rsidR="003663AF" w:rsidRPr="00B7760C">
        <w:tab/>
      </w:r>
      <w:r w:rsidR="003548F6" w:rsidRPr="00B7760C">
        <w:t>1150</w:t>
      </w:r>
      <w:r w:rsidR="009473FB" w:rsidRPr="00B7760C">
        <w:t xml:space="preserve"> cp6</w:t>
      </w:r>
    </w:p>
    <w:p w14:paraId="321342BD" w14:textId="77777777" w:rsidR="003663AF" w:rsidRPr="00B7760C" w:rsidRDefault="003663AF" w:rsidP="003663AF">
      <w:pPr>
        <w:pStyle w:val="NormalBold12b"/>
      </w:pPr>
      <w:r w:rsidRPr="00B7760C">
        <w:t>Predlog uredbe</w:t>
      </w:r>
    </w:p>
    <w:p w14:paraId="27F41784" w14:textId="77777777" w:rsidR="003663AF" w:rsidRPr="00B7760C" w:rsidRDefault="003663AF" w:rsidP="003663AF">
      <w:pPr>
        <w:pStyle w:val="NormalBold"/>
      </w:pPr>
      <w:r w:rsidRPr="00B7760C">
        <w:t>Člen 6 – odstavek 1 – točka i</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7708D3F" w14:textId="77777777" w:rsidTr="003548F6">
        <w:trPr>
          <w:jc w:val="center"/>
        </w:trPr>
        <w:tc>
          <w:tcPr>
            <w:tcW w:w="9752" w:type="dxa"/>
            <w:gridSpan w:val="2"/>
          </w:tcPr>
          <w:p w14:paraId="5A36E809" w14:textId="77777777" w:rsidR="003663AF" w:rsidRPr="00B7760C" w:rsidRDefault="003663AF" w:rsidP="00E804B7">
            <w:pPr>
              <w:keepNext/>
            </w:pPr>
          </w:p>
        </w:tc>
      </w:tr>
      <w:tr w:rsidR="003663AF" w:rsidRPr="00B7760C" w14:paraId="41C55437" w14:textId="77777777" w:rsidTr="003548F6">
        <w:trPr>
          <w:jc w:val="center"/>
        </w:trPr>
        <w:tc>
          <w:tcPr>
            <w:tcW w:w="4876" w:type="dxa"/>
            <w:hideMark/>
          </w:tcPr>
          <w:p w14:paraId="03E7538D" w14:textId="77777777" w:rsidR="003663AF" w:rsidRPr="00B7760C" w:rsidRDefault="003663AF" w:rsidP="00E804B7">
            <w:pPr>
              <w:pStyle w:val="ColumnHeading"/>
              <w:keepNext/>
            </w:pPr>
            <w:r w:rsidRPr="00B7760C">
              <w:t>Besedilo, ki ga predlaga Komisija</w:t>
            </w:r>
          </w:p>
        </w:tc>
        <w:tc>
          <w:tcPr>
            <w:tcW w:w="4876" w:type="dxa"/>
            <w:hideMark/>
          </w:tcPr>
          <w:p w14:paraId="5C7CFB66" w14:textId="543F1F8B" w:rsidR="003663AF" w:rsidRPr="00B7760C" w:rsidRDefault="00877691" w:rsidP="00E804B7">
            <w:pPr>
              <w:pStyle w:val="ColumnHeading"/>
              <w:keepNext/>
            </w:pPr>
            <w:r w:rsidRPr="00B7760C">
              <w:t>Sprememba</w:t>
            </w:r>
          </w:p>
        </w:tc>
      </w:tr>
      <w:tr w:rsidR="003548F6" w:rsidRPr="00B7760C" w14:paraId="79389787" w14:textId="77777777" w:rsidTr="003548F6">
        <w:trPr>
          <w:jc w:val="center"/>
        </w:trPr>
        <w:tc>
          <w:tcPr>
            <w:tcW w:w="4876" w:type="dxa"/>
          </w:tcPr>
          <w:p w14:paraId="383AA147" w14:textId="2BF13C98" w:rsidR="003548F6" w:rsidRPr="00B7760C" w:rsidRDefault="003548F6" w:rsidP="003548F6">
            <w:pPr>
              <w:pStyle w:val="Normal6"/>
            </w:pPr>
            <w:r w:rsidRPr="00B7760C">
              <w:t>(i)</w:t>
            </w:r>
            <w:r w:rsidRPr="00B7760C">
              <w:tab/>
              <w:t xml:space="preserve">izboljšanje odziva kmetijstva </w:t>
            </w:r>
            <w:r w:rsidRPr="00B7760C">
              <w:rPr>
                <w:b/>
                <w:i/>
              </w:rPr>
              <w:t>EU</w:t>
            </w:r>
            <w:r w:rsidRPr="00B7760C">
              <w:t xml:space="preserve"> na potrebe družbe na področju hrane in zdravja, vključno z </w:t>
            </w:r>
            <w:r w:rsidRPr="00B7760C">
              <w:rPr>
                <w:b/>
                <w:i/>
              </w:rPr>
              <w:t>zdravo</w:t>
            </w:r>
            <w:r w:rsidRPr="00B7760C">
              <w:t xml:space="preserve">, hranljivo in trajnostno hrano, </w:t>
            </w:r>
            <w:r w:rsidRPr="00B7760C">
              <w:rPr>
                <w:b/>
                <w:i/>
              </w:rPr>
              <w:t>zavrženo hrano</w:t>
            </w:r>
            <w:r w:rsidRPr="00B7760C">
              <w:t xml:space="preserve"> ter </w:t>
            </w:r>
            <w:r w:rsidRPr="00B7760C">
              <w:rPr>
                <w:b/>
                <w:i/>
              </w:rPr>
              <w:t>dobrobitjo živali</w:t>
            </w:r>
            <w:r w:rsidRPr="00B7760C">
              <w:t>.</w:t>
            </w:r>
          </w:p>
        </w:tc>
        <w:tc>
          <w:tcPr>
            <w:tcW w:w="4876" w:type="dxa"/>
          </w:tcPr>
          <w:p w14:paraId="3C49E08F" w14:textId="38795919" w:rsidR="003548F6" w:rsidRPr="00B7760C" w:rsidRDefault="003548F6" w:rsidP="003548F6">
            <w:pPr>
              <w:pStyle w:val="Normal6"/>
            </w:pPr>
            <w:r w:rsidRPr="00B7760C">
              <w:t>(i)</w:t>
            </w:r>
            <w:r w:rsidRPr="00B7760C">
              <w:tab/>
              <w:t xml:space="preserve">izboljšanje odziva kmetijstva </w:t>
            </w:r>
            <w:r w:rsidRPr="00B7760C">
              <w:rPr>
                <w:b/>
                <w:i/>
              </w:rPr>
              <w:t>Unije</w:t>
            </w:r>
            <w:r w:rsidRPr="00B7760C">
              <w:t xml:space="preserve"> na potrebe družbe na področju hrane in zdravja, vključno z </w:t>
            </w:r>
            <w:r w:rsidRPr="00B7760C">
              <w:rPr>
                <w:b/>
                <w:i/>
              </w:rPr>
              <w:t>varno</w:t>
            </w:r>
            <w:r w:rsidRPr="00B7760C">
              <w:t>, hranljivo</w:t>
            </w:r>
            <w:r w:rsidRPr="00B7760C">
              <w:rPr>
                <w:b/>
                <w:i/>
              </w:rPr>
              <w:t>, visokokakovostno</w:t>
            </w:r>
            <w:r w:rsidRPr="00B7760C">
              <w:t xml:space="preserve"> in trajnostno hrano, </w:t>
            </w:r>
            <w:r w:rsidRPr="00B7760C">
              <w:rPr>
                <w:b/>
                <w:i/>
              </w:rPr>
              <w:t>kmetijstvom z manj vložki, ekološkim kmetijstvom, zmanjševanjem količin zavržene hrane, boja proti odpornosti na antimikrobike in izboljševanjem zdravja in dobrobiti živali,</w:t>
            </w:r>
            <w:r w:rsidRPr="00B7760C">
              <w:t xml:space="preserve"> ter </w:t>
            </w:r>
            <w:r w:rsidRPr="00B7760C">
              <w:rPr>
                <w:b/>
                <w:i/>
              </w:rPr>
              <w:t xml:space="preserve">ozaveščanje državljanov o pomenu </w:t>
            </w:r>
            <w:r w:rsidR="0008604B" w:rsidRPr="00B7760C">
              <w:rPr>
                <w:b/>
                <w:i/>
              </w:rPr>
              <w:t>kmetijstva</w:t>
            </w:r>
            <w:r w:rsidRPr="00B7760C">
              <w:rPr>
                <w:b/>
                <w:i/>
              </w:rPr>
              <w:t xml:space="preserve"> in podeželskih območij ob prispevanju k izvajanju agende za trajnostni razvoj do leta 2030</w:t>
            </w:r>
            <w:r w:rsidRPr="00B7760C">
              <w:t>.</w:t>
            </w:r>
          </w:p>
        </w:tc>
      </w:tr>
    </w:tbl>
    <w:p w14:paraId="2AF96218" w14:textId="77777777" w:rsidR="003663AF" w:rsidRPr="00B7760C" w:rsidRDefault="003663AF" w:rsidP="003663AF"/>
    <w:p w14:paraId="3C350C1C" w14:textId="14AA04D2" w:rsidR="003663AF" w:rsidRPr="00B7760C" w:rsidRDefault="00877691" w:rsidP="003663AF">
      <w:pPr>
        <w:pStyle w:val="AMNumberTabs"/>
        <w:keepNext/>
      </w:pPr>
      <w:r w:rsidRPr="00B7760C">
        <w:t>Sprememba</w:t>
      </w:r>
      <w:r w:rsidR="003663AF" w:rsidRPr="00B7760C">
        <w:tab/>
      </w:r>
      <w:r w:rsidR="003663AF" w:rsidRPr="00B7760C">
        <w:tab/>
        <w:t>115</w:t>
      </w:r>
    </w:p>
    <w:p w14:paraId="5A1E5C65" w14:textId="77777777" w:rsidR="003663AF" w:rsidRPr="00B7760C" w:rsidRDefault="003663AF" w:rsidP="003663AF">
      <w:pPr>
        <w:pStyle w:val="NormalBold12b"/>
      </w:pPr>
      <w:r w:rsidRPr="00B7760C">
        <w:t>Predlog uredbe</w:t>
      </w:r>
    </w:p>
    <w:p w14:paraId="59CB80CE" w14:textId="77777777" w:rsidR="003663AF" w:rsidRPr="00B7760C" w:rsidRDefault="003663AF" w:rsidP="003663AF">
      <w:pPr>
        <w:pStyle w:val="NormalBold"/>
      </w:pPr>
      <w:r w:rsidRPr="00B7760C">
        <w:t>Člen 6 – odstavek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94C0C3B" w14:textId="77777777" w:rsidTr="00E804B7">
        <w:trPr>
          <w:jc w:val="center"/>
        </w:trPr>
        <w:tc>
          <w:tcPr>
            <w:tcW w:w="9752" w:type="dxa"/>
            <w:gridSpan w:val="2"/>
          </w:tcPr>
          <w:p w14:paraId="6F19512D" w14:textId="77777777" w:rsidR="003663AF" w:rsidRPr="00B7760C" w:rsidRDefault="003663AF" w:rsidP="00E804B7">
            <w:pPr>
              <w:keepNext/>
            </w:pPr>
          </w:p>
        </w:tc>
      </w:tr>
      <w:tr w:rsidR="003663AF" w:rsidRPr="00B7760C" w14:paraId="0392B27E" w14:textId="77777777" w:rsidTr="00E804B7">
        <w:trPr>
          <w:jc w:val="center"/>
        </w:trPr>
        <w:tc>
          <w:tcPr>
            <w:tcW w:w="4876" w:type="dxa"/>
            <w:hideMark/>
          </w:tcPr>
          <w:p w14:paraId="357E0807" w14:textId="77777777" w:rsidR="003663AF" w:rsidRPr="00B7760C" w:rsidRDefault="003663AF" w:rsidP="00E804B7">
            <w:pPr>
              <w:pStyle w:val="ColumnHeading"/>
              <w:keepNext/>
            </w:pPr>
            <w:r w:rsidRPr="00B7760C">
              <w:t>Besedilo, ki ga predlaga Komisija</w:t>
            </w:r>
          </w:p>
        </w:tc>
        <w:tc>
          <w:tcPr>
            <w:tcW w:w="4876" w:type="dxa"/>
            <w:hideMark/>
          </w:tcPr>
          <w:p w14:paraId="3F06D128" w14:textId="5987A04A" w:rsidR="003663AF" w:rsidRPr="00B7760C" w:rsidRDefault="00877691" w:rsidP="00E804B7">
            <w:pPr>
              <w:pStyle w:val="ColumnHeading"/>
              <w:keepNext/>
            </w:pPr>
            <w:r w:rsidRPr="00B7760C">
              <w:t>Sprememba</w:t>
            </w:r>
          </w:p>
        </w:tc>
      </w:tr>
      <w:tr w:rsidR="003663AF" w:rsidRPr="00B7760C" w14:paraId="746B5B5B" w14:textId="77777777" w:rsidTr="00E804B7">
        <w:trPr>
          <w:jc w:val="center"/>
        </w:trPr>
        <w:tc>
          <w:tcPr>
            <w:tcW w:w="4876" w:type="dxa"/>
            <w:hideMark/>
          </w:tcPr>
          <w:p w14:paraId="2DD63FC6" w14:textId="77777777" w:rsidR="003663AF" w:rsidRPr="00B7760C" w:rsidRDefault="003663AF" w:rsidP="00E804B7">
            <w:pPr>
              <w:pStyle w:val="Normal6"/>
            </w:pPr>
            <w:r w:rsidRPr="00B7760C">
              <w:t>2.</w:t>
            </w:r>
            <w:r w:rsidRPr="00B7760C">
              <w:tab/>
              <w:t xml:space="preserve">Države članice </w:t>
            </w:r>
            <w:r w:rsidRPr="00B7760C">
              <w:rPr>
                <w:b/>
                <w:i/>
              </w:rPr>
              <w:t>pri uresničevanju</w:t>
            </w:r>
            <w:r w:rsidRPr="00B7760C">
              <w:t xml:space="preserve"> specifičnih ciljev zagotovijo</w:t>
            </w:r>
            <w:r w:rsidRPr="00B7760C">
              <w:rPr>
                <w:b/>
                <w:i/>
              </w:rPr>
              <w:t xml:space="preserve"> poenostavitev in</w:t>
            </w:r>
            <w:r w:rsidRPr="00B7760C">
              <w:t xml:space="preserve"> uspešnost podpore SKP.</w:t>
            </w:r>
          </w:p>
        </w:tc>
        <w:tc>
          <w:tcPr>
            <w:tcW w:w="4876" w:type="dxa"/>
            <w:hideMark/>
          </w:tcPr>
          <w:p w14:paraId="0F596B05" w14:textId="77777777" w:rsidR="003663AF" w:rsidRPr="00B7760C" w:rsidRDefault="003663AF" w:rsidP="00E804B7">
            <w:pPr>
              <w:pStyle w:val="Normal6"/>
              <w:rPr>
                <w:szCs w:val="24"/>
              </w:rPr>
            </w:pPr>
            <w:r w:rsidRPr="00B7760C">
              <w:t>2.</w:t>
            </w:r>
            <w:r w:rsidRPr="00B7760C">
              <w:tab/>
              <w:t xml:space="preserve">Države članice </w:t>
            </w:r>
            <w:r w:rsidRPr="00B7760C">
              <w:rPr>
                <w:b/>
                <w:i/>
              </w:rPr>
              <w:t>in Komisija za uresničitev</w:t>
            </w:r>
            <w:r w:rsidRPr="00B7760C">
              <w:t xml:space="preserve"> specifičnih ciljev zagotovijo uspešnost podpore SKP</w:t>
            </w:r>
            <w:r w:rsidRPr="00B7760C">
              <w:rPr>
                <w:b/>
                <w:i/>
              </w:rPr>
              <w:t xml:space="preserve"> in poenostavitev za končne upravičence, tako da zmanjšajo upravno breme, pri tem pa zagotovijo nediskriminiranje med upravičenci</w:t>
            </w:r>
            <w:r w:rsidRPr="00B7760C">
              <w:t>.</w:t>
            </w:r>
          </w:p>
        </w:tc>
      </w:tr>
    </w:tbl>
    <w:p w14:paraId="559CA945" w14:textId="77777777" w:rsidR="003663AF" w:rsidRPr="00B7760C" w:rsidRDefault="003663AF" w:rsidP="003663AF"/>
    <w:p w14:paraId="7616959A" w14:textId="431D12F8" w:rsidR="003663AF" w:rsidRPr="00B7760C" w:rsidRDefault="00877691" w:rsidP="003663AF">
      <w:pPr>
        <w:pStyle w:val="AMNumberTabs"/>
        <w:keepNext/>
      </w:pPr>
      <w:r w:rsidRPr="00B7760C">
        <w:t>Sprememba</w:t>
      </w:r>
      <w:r w:rsidR="003663AF" w:rsidRPr="00B7760C">
        <w:tab/>
      </w:r>
      <w:r w:rsidR="003663AF" w:rsidRPr="00B7760C">
        <w:tab/>
        <w:t>116</w:t>
      </w:r>
    </w:p>
    <w:p w14:paraId="5B763778" w14:textId="77777777" w:rsidR="003663AF" w:rsidRPr="00B7760C" w:rsidRDefault="003663AF" w:rsidP="003663AF">
      <w:pPr>
        <w:pStyle w:val="NormalBold12b"/>
      </w:pPr>
      <w:r w:rsidRPr="00B7760C">
        <w:t>Predlog uredbe</w:t>
      </w:r>
    </w:p>
    <w:p w14:paraId="613AE09E" w14:textId="77777777" w:rsidR="003663AF" w:rsidRPr="00B7760C" w:rsidRDefault="003663AF" w:rsidP="003663AF">
      <w:pPr>
        <w:pStyle w:val="NormalBold"/>
      </w:pPr>
      <w:r w:rsidRPr="00B7760C">
        <w:t>Člen 7 – odstavek 1 – pododstavek 1 – uvodni del</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21E7F69" w14:textId="77777777" w:rsidTr="00E804B7">
        <w:trPr>
          <w:jc w:val="center"/>
        </w:trPr>
        <w:tc>
          <w:tcPr>
            <w:tcW w:w="9752" w:type="dxa"/>
            <w:gridSpan w:val="2"/>
          </w:tcPr>
          <w:p w14:paraId="2AC7E810" w14:textId="77777777" w:rsidR="003663AF" w:rsidRPr="00B7760C" w:rsidRDefault="003663AF" w:rsidP="00E804B7">
            <w:pPr>
              <w:keepNext/>
            </w:pPr>
          </w:p>
        </w:tc>
      </w:tr>
      <w:tr w:rsidR="003663AF" w:rsidRPr="00B7760C" w14:paraId="029AE3A3" w14:textId="77777777" w:rsidTr="00E804B7">
        <w:trPr>
          <w:jc w:val="center"/>
        </w:trPr>
        <w:tc>
          <w:tcPr>
            <w:tcW w:w="4876" w:type="dxa"/>
            <w:hideMark/>
          </w:tcPr>
          <w:p w14:paraId="770AB190" w14:textId="77777777" w:rsidR="003663AF" w:rsidRPr="00B7760C" w:rsidRDefault="003663AF" w:rsidP="00E804B7">
            <w:pPr>
              <w:pStyle w:val="ColumnHeading"/>
              <w:keepNext/>
            </w:pPr>
            <w:r w:rsidRPr="00B7760C">
              <w:t>Besedilo, ki ga predlaga Komisija</w:t>
            </w:r>
          </w:p>
        </w:tc>
        <w:tc>
          <w:tcPr>
            <w:tcW w:w="4876" w:type="dxa"/>
            <w:hideMark/>
          </w:tcPr>
          <w:p w14:paraId="704ADA05" w14:textId="4D6D9700" w:rsidR="003663AF" w:rsidRPr="00B7760C" w:rsidRDefault="00877691" w:rsidP="00E804B7">
            <w:pPr>
              <w:pStyle w:val="ColumnHeading"/>
              <w:keepNext/>
            </w:pPr>
            <w:r w:rsidRPr="00B7760C">
              <w:t>Sprememba</w:t>
            </w:r>
          </w:p>
        </w:tc>
      </w:tr>
      <w:tr w:rsidR="003663AF" w:rsidRPr="00B7760C" w14:paraId="1B7137A7" w14:textId="77777777" w:rsidTr="00E804B7">
        <w:trPr>
          <w:jc w:val="center"/>
        </w:trPr>
        <w:tc>
          <w:tcPr>
            <w:tcW w:w="4876" w:type="dxa"/>
            <w:hideMark/>
          </w:tcPr>
          <w:p w14:paraId="0B1B9466" w14:textId="77777777" w:rsidR="003663AF" w:rsidRPr="00B7760C" w:rsidRDefault="003663AF" w:rsidP="00E804B7">
            <w:pPr>
              <w:pStyle w:val="Normal6"/>
            </w:pPr>
            <w:r w:rsidRPr="00B7760C">
              <w:t>Doseganje ciljev iz člena 5 in člena 6(1) se oceni na podlagi skupnih kazalnikov, povezanih z izložki, rezultati in učinki. Sklop skupnih kazalnikov vključuje:</w:t>
            </w:r>
          </w:p>
        </w:tc>
        <w:tc>
          <w:tcPr>
            <w:tcW w:w="4876" w:type="dxa"/>
            <w:hideMark/>
          </w:tcPr>
          <w:p w14:paraId="3C18B8AA" w14:textId="77777777" w:rsidR="003663AF" w:rsidRPr="00B7760C" w:rsidRDefault="003663AF" w:rsidP="00E804B7">
            <w:pPr>
              <w:pStyle w:val="Normal6"/>
              <w:rPr>
                <w:szCs w:val="24"/>
              </w:rPr>
            </w:pPr>
            <w:r w:rsidRPr="00B7760C">
              <w:t>Doseganje ciljev iz člena 5 in člena 6(1) se oceni na podlagi skupnih kazalnikov, povezanih z izložki, rezultati in učinki</w:t>
            </w:r>
            <w:r w:rsidRPr="00B7760C">
              <w:rPr>
                <w:b/>
                <w:i/>
              </w:rPr>
              <w:t>, pri čemer ocena temelji na uradnih virih informacij</w:t>
            </w:r>
            <w:r w:rsidRPr="00B7760C">
              <w:t>. Sklop skupnih kazalnikov vključuje:</w:t>
            </w:r>
          </w:p>
        </w:tc>
      </w:tr>
    </w:tbl>
    <w:p w14:paraId="6170CD6B" w14:textId="77777777" w:rsidR="003663AF" w:rsidRPr="00B7760C" w:rsidRDefault="003663AF" w:rsidP="003663AF"/>
    <w:p w14:paraId="3F857436" w14:textId="0046ABDA" w:rsidR="003663AF" w:rsidRPr="00B7760C" w:rsidRDefault="00877691" w:rsidP="003663AF">
      <w:pPr>
        <w:pStyle w:val="AMNumberTabs"/>
        <w:keepNext/>
      </w:pPr>
      <w:r w:rsidRPr="00B7760C">
        <w:t>Sprememba</w:t>
      </w:r>
      <w:r w:rsidR="003663AF" w:rsidRPr="00B7760C">
        <w:tab/>
      </w:r>
      <w:r w:rsidR="003663AF" w:rsidRPr="00B7760C">
        <w:tab/>
        <w:t>117</w:t>
      </w:r>
    </w:p>
    <w:p w14:paraId="7DC81C7F" w14:textId="77777777" w:rsidR="003663AF" w:rsidRPr="00B7760C" w:rsidRDefault="003663AF" w:rsidP="003663AF">
      <w:pPr>
        <w:pStyle w:val="NormalBold12b"/>
      </w:pPr>
      <w:r w:rsidRPr="00B7760C">
        <w:t>Predlog uredbe</w:t>
      </w:r>
    </w:p>
    <w:p w14:paraId="00FA2F06" w14:textId="77777777" w:rsidR="003663AF" w:rsidRPr="00B7760C" w:rsidRDefault="003663AF" w:rsidP="003663AF">
      <w:pPr>
        <w:pStyle w:val="NormalBold"/>
      </w:pPr>
      <w:r w:rsidRPr="00B7760C">
        <w:t>Člen 7 – odstavek 1 – pododstavek 1 – točka b</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D4D81F1" w14:textId="77777777" w:rsidTr="00E804B7">
        <w:trPr>
          <w:jc w:val="center"/>
        </w:trPr>
        <w:tc>
          <w:tcPr>
            <w:tcW w:w="9752" w:type="dxa"/>
            <w:gridSpan w:val="2"/>
          </w:tcPr>
          <w:p w14:paraId="18EAA876" w14:textId="77777777" w:rsidR="003663AF" w:rsidRPr="00B7760C" w:rsidRDefault="003663AF" w:rsidP="00E804B7">
            <w:pPr>
              <w:keepNext/>
            </w:pPr>
          </w:p>
        </w:tc>
      </w:tr>
      <w:tr w:rsidR="003663AF" w:rsidRPr="00B7760C" w14:paraId="38708D37" w14:textId="77777777" w:rsidTr="00E804B7">
        <w:trPr>
          <w:jc w:val="center"/>
        </w:trPr>
        <w:tc>
          <w:tcPr>
            <w:tcW w:w="4876" w:type="dxa"/>
            <w:hideMark/>
          </w:tcPr>
          <w:p w14:paraId="217F0668" w14:textId="77777777" w:rsidR="003663AF" w:rsidRPr="00B7760C" w:rsidRDefault="003663AF" w:rsidP="00E804B7">
            <w:pPr>
              <w:pStyle w:val="ColumnHeading"/>
              <w:keepNext/>
            </w:pPr>
            <w:r w:rsidRPr="00B7760C">
              <w:t>Besedilo, ki ga predlaga Komisija</w:t>
            </w:r>
          </w:p>
        </w:tc>
        <w:tc>
          <w:tcPr>
            <w:tcW w:w="4876" w:type="dxa"/>
            <w:hideMark/>
          </w:tcPr>
          <w:p w14:paraId="21258BCA" w14:textId="323B7D4C" w:rsidR="003663AF" w:rsidRPr="00B7760C" w:rsidRDefault="00877691" w:rsidP="00E804B7">
            <w:pPr>
              <w:pStyle w:val="ColumnHeading"/>
              <w:keepNext/>
            </w:pPr>
            <w:r w:rsidRPr="00B7760C">
              <w:t>Sprememba</w:t>
            </w:r>
          </w:p>
        </w:tc>
      </w:tr>
      <w:tr w:rsidR="003663AF" w:rsidRPr="00B7760C" w14:paraId="144CBCB0" w14:textId="77777777" w:rsidTr="00E804B7">
        <w:trPr>
          <w:jc w:val="center"/>
        </w:trPr>
        <w:tc>
          <w:tcPr>
            <w:tcW w:w="4876" w:type="dxa"/>
            <w:hideMark/>
          </w:tcPr>
          <w:p w14:paraId="50E63FBC" w14:textId="77777777" w:rsidR="003663AF" w:rsidRPr="00B7760C" w:rsidRDefault="003663AF" w:rsidP="00E804B7">
            <w:pPr>
              <w:pStyle w:val="Normal6"/>
            </w:pPr>
            <w:r w:rsidRPr="00B7760C">
              <w:t>(b)</w:t>
            </w:r>
            <w:r w:rsidRPr="00B7760C">
              <w:tab/>
              <w:t xml:space="preserve">kazalnike rezultatov, ki se nanašajo na zadevne specifične cilje ter se uporabijo pri določanju merljivih mejnikov in ciljnih vrednosti v zvezi s temi specifičnimi cilji v strateških načrtih SKP in ocenjevanju napredka pri doseganju ciljnih vrednosti. Kazalniki, ki se nanašajo na cilje, povezane z okoljem in podnebjem, lahko zajemajo intervencije, </w:t>
            </w:r>
            <w:r w:rsidRPr="00B7760C">
              <w:rPr>
                <w:b/>
                <w:i/>
              </w:rPr>
              <w:t>vključene v zadevne nacionalne instrumente načrtovanja na področju okolja in podnebja</w:t>
            </w:r>
            <w:r w:rsidRPr="00B7760C">
              <w:t>, ki izhajajo iz zakonodaje Unije, navedene v Prilogi XI;</w:t>
            </w:r>
          </w:p>
        </w:tc>
        <w:tc>
          <w:tcPr>
            <w:tcW w:w="4876" w:type="dxa"/>
            <w:hideMark/>
          </w:tcPr>
          <w:p w14:paraId="2C27F773" w14:textId="77777777" w:rsidR="003663AF" w:rsidRPr="00B7760C" w:rsidRDefault="003663AF" w:rsidP="00E804B7">
            <w:pPr>
              <w:pStyle w:val="Normal6"/>
              <w:rPr>
                <w:szCs w:val="24"/>
              </w:rPr>
            </w:pPr>
            <w:r w:rsidRPr="00B7760C">
              <w:t>(b)</w:t>
            </w:r>
            <w:r w:rsidRPr="00B7760C">
              <w:tab/>
              <w:t xml:space="preserve">kazalnike rezultatov, ki se nanašajo na zadevne specifične cilje ter se uporabijo pri določanju merljivih mejnikov in ciljnih vrednosti v zvezi s temi specifičnimi cilji v strateških načrtih SKP in ocenjevanju napredka pri doseganju ciljnih vrednosti. Kazalniki, ki se nanašajo na cilje, povezane z okoljem in podnebjem, lahko zajemajo intervencije, </w:t>
            </w:r>
            <w:r w:rsidRPr="00B7760C">
              <w:rPr>
                <w:b/>
                <w:i/>
              </w:rPr>
              <w:t>ki prispevajo k obveznostim</w:t>
            </w:r>
            <w:r w:rsidRPr="00B7760C">
              <w:t>, ki izhajajo iz zakonodaje Unije, navedene v Prilogi XI;</w:t>
            </w:r>
          </w:p>
        </w:tc>
      </w:tr>
    </w:tbl>
    <w:p w14:paraId="5EEF7178" w14:textId="77777777" w:rsidR="003663AF" w:rsidRPr="00B7760C" w:rsidRDefault="003663AF" w:rsidP="003663AF"/>
    <w:p w14:paraId="22E0F804" w14:textId="2A4631DB" w:rsidR="003663AF" w:rsidRPr="00B7760C" w:rsidRDefault="00877691" w:rsidP="003663AF">
      <w:pPr>
        <w:pStyle w:val="AMNumberTabs"/>
        <w:keepNext/>
      </w:pPr>
      <w:r w:rsidRPr="00B7760C">
        <w:t>Sprememba</w:t>
      </w:r>
      <w:r w:rsidR="003663AF" w:rsidRPr="00B7760C">
        <w:tab/>
      </w:r>
      <w:r w:rsidR="003663AF" w:rsidRPr="00B7760C">
        <w:tab/>
        <w:t>118</w:t>
      </w:r>
    </w:p>
    <w:p w14:paraId="2B9768C0" w14:textId="77777777" w:rsidR="003663AF" w:rsidRPr="00B7760C" w:rsidRDefault="003663AF" w:rsidP="003663AF">
      <w:pPr>
        <w:pStyle w:val="NormalBold12b"/>
      </w:pPr>
      <w:r w:rsidRPr="00B7760C">
        <w:t>Predlog uredbe</w:t>
      </w:r>
    </w:p>
    <w:p w14:paraId="6A9A6989" w14:textId="77777777" w:rsidR="003663AF" w:rsidRPr="00B7760C" w:rsidRDefault="003663AF" w:rsidP="003663AF">
      <w:pPr>
        <w:pStyle w:val="NormalBold"/>
      </w:pPr>
      <w:r w:rsidRPr="00B7760C">
        <w:t>Člen 7 – odstavek 1 – pododstavek 1 – točka c</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75A1E96" w14:textId="77777777" w:rsidTr="00E804B7">
        <w:trPr>
          <w:jc w:val="center"/>
        </w:trPr>
        <w:tc>
          <w:tcPr>
            <w:tcW w:w="9752" w:type="dxa"/>
            <w:gridSpan w:val="2"/>
          </w:tcPr>
          <w:p w14:paraId="40CF9A2A" w14:textId="77777777" w:rsidR="003663AF" w:rsidRPr="00B7760C" w:rsidRDefault="003663AF" w:rsidP="00E804B7">
            <w:pPr>
              <w:keepNext/>
            </w:pPr>
          </w:p>
        </w:tc>
      </w:tr>
      <w:tr w:rsidR="003663AF" w:rsidRPr="00B7760C" w14:paraId="0C6B4B1C" w14:textId="77777777" w:rsidTr="00E804B7">
        <w:trPr>
          <w:jc w:val="center"/>
        </w:trPr>
        <w:tc>
          <w:tcPr>
            <w:tcW w:w="4876" w:type="dxa"/>
            <w:hideMark/>
          </w:tcPr>
          <w:p w14:paraId="57545ED2" w14:textId="77777777" w:rsidR="003663AF" w:rsidRPr="00B7760C" w:rsidRDefault="003663AF" w:rsidP="00E804B7">
            <w:pPr>
              <w:pStyle w:val="ColumnHeading"/>
              <w:keepNext/>
            </w:pPr>
            <w:r w:rsidRPr="00B7760C">
              <w:t>Besedilo, ki ga predlaga Komisija</w:t>
            </w:r>
          </w:p>
        </w:tc>
        <w:tc>
          <w:tcPr>
            <w:tcW w:w="4876" w:type="dxa"/>
            <w:hideMark/>
          </w:tcPr>
          <w:p w14:paraId="5AC681B8" w14:textId="61F3661D" w:rsidR="003663AF" w:rsidRPr="00B7760C" w:rsidRDefault="00877691" w:rsidP="00E804B7">
            <w:pPr>
              <w:pStyle w:val="ColumnHeading"/>
              <w:keepNext/>
            </w:pPr>
            <w:r w:rsidRPr="00B7760C">
              <w:t>Sprememba</w:t>
            </w:r>
          </w:p>
        </w:tc>
      </w:tr>
      <w:tr w:rsidR="003663AF" w:rsidRPr="00B7760C" w14:paraId="13BD57E0" w14:textId="77777777" w:rsidTr="00E804B7">
        <w:trPr>
          <w:jc w:val="center"/>
        </w:trPr>
        <w:tc>
          <w:tcPr>
            <w:tcW w:w="4876" w:type="dxa"/>
            <w:hideMark/>
          </w:tcPr>
          <w:p w14:paraId="0B2D2DCB" w14:textId="77777777" w:rsidR="003663AF" w:rsidRPr="00B7760C" w:rsidRDefault="003663AF" w:rsidP="00E804B7">
            <w:pPr>
              <w:pStyle w:val="Normal6"/>
            </w:pPr>
            <w:r w:rsidRPr="00B7760C">
              <w:t>(c)</w:t>
            </w:r>
            <w:r w:rsidRPr="00B7760C">
              <w:tab/>
              <w:t>kazalnike učinkov, ki se nanašajo na cilje iz člena 5 in člena 6(1) ter se uporabljajo v okviru SKP</w:t>
            </w:r>
            <w:r w:rsidRPr="00B7760C">
              <w:rPr>
                <w:b/>
                <w:i/>
              </w:rPr>
              <w:t xml:space="preserve"> in strateških načrtov</w:t>
            </w:r>
            <w:r w:rsidRPr="00B7760C">
              <w:t xml:space="preserve"> SKP.</w:t>
            </w:r>
          </w:p>
        </w:tc>
        <w:tc>
          <w:tcPr>
            <w:tcW w:w="4876" w:type="dxa"/>
            <w:hideMark/>
          </w:tcPr>
          <w:p w14:paraId="5F427632" w14:textId="77777777" w:rsidR="003663AF" w:rsidRPr="00B7760C" w:rsidRDefault="003663AF" w:rsidP="00E804B7">
            <w:pPr>
              <w:pStyle w:val="Normal6"/>
              <w:rPr>
                <w:szCs w:val="24"/>
              </w:rPr>
            </w:pPr>
            <w:r w:rsidRPr="00B7760C">
              <w:t>(c)</w:t>
            </w:r>
            <w:r w:rsidRPr="00B7760C">
              <w:tab/>
              <w:t xml:space="preserve">kazalnike učinkov, ki se nanašajo na cilje iz člena 5 in člena 6(1) ter se uporabljajo v okviru </w:t>
            </w:r>
            <w:r w:rsidRPr="00B7760C">
              <w:rPr>
                <w:b/>
                <w:i/>
              </w:rPr>
              <w:t xml:space="preserve">strateških načrtov </w:t>
            </w:r>
            <w:r w:rsidRPr="00B7760C">
              <w:t>SKP</w:t>
            </w:r>
            <w:r w:rsidRPr="00B7760C">
              <w:rPr>
                <w:b/>
                <w:i/>
              </w:rPr>
              <w:t>, ob upoštevanju dejavnikov zunaj</w:t>
            </w:r>
            <w:r w:rsidRPr="00B7760C">
              <w:t xml:space="preserve"> SKP.</w:t>
            </w:r>
          </w:p>
        </w:tc>
      </w:tr>
    </w:tbl>
    <w:p w14:paraId="61E0DB94" w14:textId="77777777" w:rsidR="003663AF" w:rsidRPr="00B7760C" w:rsidRDefault="003663AF" w:rsidP="003663AF"/>
    <w:p w14:paraId="0A54A73E" w14:textId="51A15248" w:rsidR="003663AF" w:rsidRPr="00B7760C" w:rsidRDefault="00877691" w:rsidP="003663AF">
      <w:pPr>
        <w:pStyle w:val="AMNumberTabs"/>
        <w:keepNext/>
      </w:pPr>
      <w:r w:rsidRPr="00B7760C">
        <w:t>Sprememba</w:t>
      </w:r>
      <w:r w:rsidR="003663AF" w:rsidRPr="00B7760C">
        <w:tab/>
      </w:r>
      <w:r w:rsidR="003663AF" w:rsidRPr="00B7760C">
        <w:tab/>
        <w:t>119</w:t>
      </w:r>
    </w:p>
    <w:p w14:paraId="6CA0AD45" w14:textId="77777777" w:rsidR="003663AF" w:rsidRPr="00B7760C" w:rsidRDefault="003663AF" w:rsidP="003663AF">
      <w:pPr>
        <w:pStyle w:val="NormalBold12b"/>
      </w:pPr>
      <w:r w:rsidRPr="00B7760C">
        <w:t>Predlog uredbe</w:t>
      </w:r>
    </w:p>
    <w:p w14:paraId="6B240F4C" w14:textId="77777777" w:rsidR="003663AF" w:rsidRPr="00B7760C" w:rsidRDefault="003663AF" w:rsidP="003663AF">
      <w:pPr>
        <w:pStyle w:val="NormalBold"/>
      </w:pPr>
      <w:r w:rsidRPr="00B7760C">
        <w:t>Člen 7 – odstavek 1 – pododstavek 2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059441C" w14:textId="77777777" w:rsidTr="00E804B7">
        <w:trPr>
          <w:jc w:val="center"/>
        </w:trPr>
        <w:tc>
          <w:tcPr>
            <w:tcW w:w="9752" w:type="dxa"/>
            <w:gridSpan w:val="2"/>
          </w:tcPr>
          <w:p w14:paraId="616BD1B7" w14:textId="77777777" w:rsidR="003663AF" w:rsidRPr="00B7760C" w:rsidRDefault="003663AF" w:rsidP="00E804B7">
            <w:pPr>
              <w:keepNext/>
            </w:pPr>
          </w:p>
        </w:tc>
      </w:tr>
      <w:tr w:rsidR="003663AF" w:rsidRPr="00B7760C" w14:paraId="0F5F8816" w14:textId="77777777" w:rsidTr="00E804B7">
        <w:trPr>
          <w:jc w:val="center"/>
        </w:trPr>
        <w:tc>
          <w:tcPr>
            <w:tcW w:w="4876" w:type="dxa"/>
            <w:hideMark/>
          </w:tcPr>
          <w:p w14:paraId="7B96857D" w14:textId="77777777" w:rsidR="003663AF" w:rsidRPr="00B7760C" w:rsidRDefault="003663AF" w:rsidP="00E804B7">
            <w:pPr>
              <w:pStyle w:val="ColumnHeading"/>
              <w:keepNext/>
            </w:pPr>
            <w:r w:rsidRPr="00B7760C">
              <w:t>Besedilo, ki ga predlaga Komisija</w:t>
            </w:r>
          </w:p>
        </w:tc>
        <w:tc>
          <w:tcPr>
            <w:tcW w:w="4876" w:type="dxa"/>
            <w:hideMark/>
          </w:tcPr>
          <w:p w14:paraId="588C09C4" w14:textId="34DE75A4" w:rsidR="003663AF" w:rsidRPr="00B7760C" w:rsidRDefault="00877691" w:rsidP="00E804B7">
            <w:pPr>
              <w:pStyle w:val="ColumnHeading"/>
              <w:keepNext/>
            </w:pPr>
            <w:r w:rsidRPr="00B7760C">
              <w:t>Sprememba</w:t>
            </w:r>
          </w:p>
        </w:tc>
      </w:tr>
      <w:tr w:rsidR="003663AF" w:rsidRPr="00B7760C" w14:paraId="5E8644FC" w14:textId="77777777" w:rsidTr="00E804B7">
        <w:trPr>
          <w:jc w:val="center"/>
        </w:trPr>
        <w:tc>
          <w:tcPr>
            <w:tcW w:w="4876" w:type="dxa"/>
          </w:tcPr>
          <w:p w14:paraId="5EF46C56" w14:textId="77777777" w:rsidR="003663AF" w:rsidRPr="00B7760C" w:rsidRDefault="003663AF" w:rsidP="00E804B7">
            <w:pPr>
              <w:pStyle w:val="Normal6"/>
            </w:pPr>
          </w:p>
        </w:tc>
        <w:tc>
          <w:tcPr>
            <w:tcW w:w="4876" w:type="dxa"/>
            <w:hideMark/>
          </w:tcPr>
          <w:p w14:paraId="61ED0FDC" w14:textId="77777777" w:rsidR="003663AF" w:rsidRPr="00B7760C" w:rsidRDefault="003663AF" w:rsidP="00E804B7">
            <w:pPr>
              <w:pStyle w:val="Normal6"/>
              <w:rPr>
                <w:szCs w:val="24"/>
              </w:rPr>
            </w:pPr>
            <w:r w:rsidRPr="00B7760C">
              <w:rPr>
                <w:b/>
                <w:i/>
              </w:rPr>
              <w:t>Države članice lahko kazalnike izložkov in kazalnike rezultatov iz Priloge I podrobneje razčlenijo glede na posebne nacionalne in regionalne značilnosti v svojem strateškem načrtu.</w:t>
            </w:r>
          </w:p>
        </w:tc>
      </w:tr>
    </w:tbl>
    <w:p w14:paraId="60115E1F" w14:textId="77777777" w:rsidR="003663AF" w:rsidRPr="00B7760C" w:rsidRDefault="003663AF" w:rsidP="003663AF"/>
    <w:p w14:paraId="1554BEA7" w14:textId="5553D41E" w:rsidR="003663AF" w:rsidRPr="00B7760C" w:rsidRDefault="00877691" w:rsidP="003663AF">
      <w:pPr>
        <w:pStyle w:val="AMNumberTabs"/>
        <w:keepNext/>
      </w:pPr>
      <w:r w:rsidRPr="00B7760C">
        <w:t>Sprememba</w:t>
      </w:r>
      <w:r w:rsidR="003663AF" w:rsidRPr="00B7760C">
        <w:tab/>
      </w:r>
      <w:r w:rsidR="003663AF" w:rsidRPr="00B7760C">
        <w:tab/>
        <w:t>120</w:t>
      </w:r>
    </w:p>
    <w:p w14:paraId="6F22DC04" w14:textId="77777777" w:rsidR="003663AF" w:rsidRPr="00B7760C" w:rsidRDefault="003663AF" w:rsidP="003663AF">
      <w:pPr>
        <w:pStyle w:val="NormalBold12b"/>
      </w:pPr>
      <w:r w:rsidRPr="00B7760C">
        <w:t>Predlog uredbe</w:t>
      </w:r>
    </w:p>
    <w:p w14:paraId="275F6D02" w14:textId="77777777" w:rsidR="003663AF" w:rsidRPr="00B7760C" w:rsidRDefault="003663AF" w:rsidP="003663AF">
      <w:pPr>
        <w:pStyle w:val="NormalBold"/>
      </w:pPr>
      <w:r w:rsidRPr="00B7760C">
        <w:t>Člen 7 – odstavek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D612F7F" w14:textId="77777777" w:rsidTr="00E804B7">
        <w:trPr>
          <w:jc w:val="center"/>
        </w:trPr>
        <w:tc>
          <w:tcPr>
            <w:tcW w:w="9752" w:type="dxa"/>
            <w:gridSpan w:val="2"/>
          </w:tcPr>
          <w:p w14:paraId="12E59A67" w14:textId="77777777" w:rsidR="003663AF" w:rsidRPr="00B7760C" w:rsidRDefault="003663AF" w:rsidP="00E804B7">
            <w:pPr>
              <w:keepNext/>
            </w:pPr>
          </w:p>
        </w:tc>
      </w:tr>
      <w:tr w:rsidR="003663AF" w:rsidRPr="00B7760C" w14:paraId="78F7C40D" w14:textId="77777777" w:rsidTr="00E804B7">
        <w:trPr>
          <w:jc w:val="center"/>
        </w:trPr>
        <w:tc>
          <w:tcPr>
            <w:tcW w:w="4876" w:type="dxa"/>
            <w:hideMark/>
          </w:tcPr>
          <w:p w14:paraId="6467D8F3" w14:textId="77777777" w:rsidR="003663AF" w:rsidRPr="00B7760C" w:rsidRDefault="003663AF" w:rsidP="00E804B7">
            <w:pPr>
              <w:pStyle w:val="ColumnHeading"/>
              <w:keepNext/>
            </w:pPr>
            <w:r w:rsidRPr="00B7760C">
              <w:t>Besedilo, ki ga predlaga Komisija</w:t>
            </w:r>
          </w:p>
        </w:tc>
        <w:tc>
          <w:tcPr>
            <w:tcW w:w="4876" w:type="dxa"/>
            <w:hideMark/>
          </w:tcPr>
          <w:p w14:paraId="7EFADCDB" w14:textId="0BFD5DF1" w:rsidR="003663AF" w:rsidRPr="00B7760C" w:rsidRDefault="00877691" w:rsidP="00E804B7">
            <w:pPr>
              <w:pStyle w:val="ColumnHeading"/>
              <w:keepNext/>
            </w:pPr>
            <w:r w:rsidRPr="00B7760C">
              <w:t>Sprememba</w:t>
            </w:r>
          </w:p>
        </w:tc>
      </w:tr>
      <w:tr w:rsidR="003663AF" w:rsidRPr="00B7760C" w14:paraId="4E50E334" w14:textId="77777777" w:rsidTr="00E804B7">
        <w:trPr>
          <w:jc w:val="center"/>
        </w:trPr>
        <w:tc>
          <w:tcPr>
            <w:tcW w:w="4876" w:type="dxa"/>
            <w:hideMark/>
          </w:tcPr>
          <w:p w14:paraId="542928B9" w14:textId="77777777" w:rsidR="003663AF" w:rsidRPr="00B7760C" w:rsidRDefault="003663AF" w:rsidP="00E804B7">
            <w:pPr>
              <w:pStyle w:val="Normal6"/>
            </w:pPr>
            <w:r w:rsidRPr="00B7760C">
              <w:t>2.</w:t>
            </w:r>
            <w:r w:rsidRPr="00B7760C">
              <w:tab/>
            </w:r>
            <w:r w:rsidRPr="00B7760C">
              <w:rPr>
                <w:b/>
                <w:i/>
              </w:rPr>
              <w:t>Na Komisijo se prenese pooblastilo za sprejemanje delegiranih aktov</w:t>
            </w:r>
            <w:r w:rsidRPr="00B7760C">
              <w:t xml:space="preserve"> v </w:t>
            </w:r>
            <w:r w:rsidRPr="00B7760C">
              <w:rPr>
                <w:b/>
                <w:i/>
              </w:rPr>
              <w:t>skladu s členom 138 za spremembo Priloge I zaradi prilagoditve skupnih</w:t>
            </w:r>
            <w:r w:rsidRPr="00B7760C">
              <w:t xml:space="preserve"> kazalnikov izložkov, rezultatov in učinkov</w:t>
            </w:r>
            <w:r w:rsidRPr="00B7760C">
              <w:rPr>
                <w:b/>
                <w:i/>
              </w:rPr>
              <w:t>, da bi se upoštevale izkušnje pri njihovi uporabi in po potrebi dodali novi kazalniki</w:t>
            </w:r>
            <w:r w:rsidRPr="00B7760C">
              <w:t>.</w:t>
            </w:r>
          </w:p>
        </w:tc>
        <w:tc>
          <w:tcPr>
            <w:tcW w:w="4876" w:type="dxa"/>
            <w:hideMark/>
          </w:tcPr>
          <w:p w14:paraId="4A0C20BE" w14:textId="77777777" w:rsidR="003663AF" w:rsidRPr="00B7760C" w:rsidRDefault="003663AF" w:rsidP="00E804B7">
            <w:pPr>
              <w:pStyle w:val="Normal6"/>
              <w:rPr>
                <w:szCs w:val="24"/>
              </w:rPr>
            </w:pPr>
            <w:r w:rsidRPr="00B7760C">
              <w:t>2.</w:t>
            </w:r>
            <w:r w:rsidRPr="00B7760C">
              <w:tab/>
            </w:r>
            <w:r w:rsidRPr="00B7760C">
              <w:rPr>
                <w:b/>
                <w:i/>
              </w:rPr>
              <w:t>Komisija do konca tretjega leta uporabe strateških načrtov v celoti oceni učinkovitost kazalnikov izložkov, rezultatov in učinkov iz Priloge I.</w:t>
            </w:r>
            <w:r w:rsidRPr="00B7760C">
              <w:t xml:space="preserve"> </w:t>
            </w:r>
          </w:p>
        </w:tc>
      </w:tr>
      <w:tr w:rsidR="003663AF" w:rsidRPr="00B7760C" w14:paraId="72582789" w14:textId="77777777" w:rsidTr="00E804B7">
        <w:trPr>
          <w:jc w:val="center"/>
        </w:trPr>
        <w:tc>
          <w:tcPr>
            <w:tcW w:w="4876" w:type="dxa"/>
          </w:tcPr>
          <w:p w14:paraId="102914FD" w14:textId="77777777" w:rsidR="003663AF" w:rsidRPr="00B7760C" w:rsidRDefault="003663AF" w:rsidP="00E804B7">
            <w:pPr>
              <w:pStyle w:val="Normal6"/>
            </w:pPr>
          </w:p>
        </w:tc>
        <w:tc>
          <w:tcPr>
            <w:tcW w:w="4876" w:type="dxa"/>
            <w:hideMark/>
          </w:tcPr>
          <w:p w14:paraId="1316F23F" w14:textId="77777777" w:rsidR="003663AF" w:rsidRPr="00B7760C" w:rsidRDefault="003663AF" w:rsidP="00E804B7">
            <w:pPr>
              <w:pStyle w:val="Normal6"/>
              <w:rPr>
                <w:szCs w:val="24"/>
              </w:rPr>
            </w:pPr>
            <w:r w:rsidRPr="00B7760C">
              <w:rPr>
                <w:b/>
                <w:i/>
              </w:rPr>
              <w:t>Po tej oceni se na Komisijo prenese pooblastilo za sprejemanje delegiranih aktov v skladu s členom 138 za spremembo Priloge I zaradi prilagoditve skupnih kazalnikov po potrebi, ob upoštevanju izkušenj, pridobljenih pri izvajanju politike iz te uredbe.</w:t>
            </w:r>
          </w:p>
        </w:tc>
      </w:tr>
    </w:tbl>
    <w:p w14:paraId="3AF1AC01" w14:textId="77777777" w:rsidR="003663AF" w:rsidRPr="00B7760C" w:rsidRDefault="003663AF" w:rsidP="003663AF"/>
    <w:p w14:paraId="6460784E" w14:textId="12098E44" w:rsidR="003663AF" w:rsidRPr="00B7760C" w:rsidRDefault="00877691" w:rsidP="003663AF">
      <w:pPr>
        <w:pStyle w:val="AMNumberTabs"/>
        <w:keepNext/>
      </w:pPr>
      <w:r w:rsidRPr="00B7760C">
        <w:t>Sprememba</w:t>
      </w:r>
      <w:r w:rsidR="003663AF" w:rsidRPr="00B7760C">
        <w:tab/>
      </w:r>
      <w:r w:rsidR="003663AF" w:rsidRPr="00B7760C">
        <w:tab/>
        <w:t>121</w:t>
      </w:r>
    </w:p>
    <w:p w14:paraId="63F42F49" w14:textId="77777777" w:rsidR="003663AF" w:rsidRPr="00B7760C" w:rsidRDefault="003663AF" w:rsidP="003663AF">
      <w:pPr>
        <w:pStyle w:val="NormalBold12b"/>
      </w:pPr>
      <w:r w:rsidRPr="00B7760C">
        <w:t>Predlog uredbe</w:t>
      </w:r>
    </w:p>
    <w:p w14:paraId="29C6F364" w14:textId="77777777" w:rsidR="003663AF" w:rsidRPr="00B7760C" w:rsidRDefault="003663AF" w:rsidP="003663AF">
      <w:pPr>
        <w:pStyle w:val="NormalBold"/>
      </w:pPr>
      <w:r w:rsidRPr="00B7760C">
        <w:t>Člen 8 – 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CE6E1F7" w14:textId="77777777" w:rsidTr="00E804B7">
        <w:trPr>
          <w:jc w:val="center"/>
        </w:trPr>
        <w:tc>
          <w:tcPr>
            <w:tcW w:w="9752" w:type="dxa"/>
            <w:gridSpan w:val="2"/>
          </w:tcPr>
          <w:p w14:paraId="5073FE12" w14:textId="77777777" w:rsidR="003663AF" w:rsidRPr="00B7760C" w:rsidRDefault="003663AF" w:rsidP="00E804B7">
            <w:pPr>
              <w:keepNext/>
            </w:pPr>
          </w:p>
        </w:tc>
      </w:tr>
      <w:tr w:rsidR="003663AF" w:rsidRPr="00B7760C" w14:paraId="0AFF49AC" w14:textId="77777777" w:rsidTr="00E804B7">
        <w:trPr>
          <w:jc w:val="center"/>
        </w:trPr>
        <w:tc>
          <w:tcPr>
            <w:tcW w:w="4876" w:type="dxa"/>
            <w:hideMark/>
          </w:tcPr>
          <w:p w14:paraId="10778A03" w14:textId="77777777" w:rsidR="003663AF" w:rsidRPr="00B7760C" w:rsidRDefault="003663AF" w:rsidP="00E804B7">
            <w:pPr>
              <w:pStyle w:val="ColumnHeading"/>
              <w:keepNext/>
            </w:pPr>
            <w:r w:rsidRPr="00B7760C">
              <w:t>Besedilo, ki ga predlaga Komisija</w:t>
            </w:r>
          </w:p>
        </w:tc>
        <w:tc>
          <w:tcPr>
            <w:tcW w:w="4876" w:type="dxa"/>
            <w:hideMark/>
          </w:tcPr>
          <w:p w14:paraId="54F6614A" w14:textId="13A38486" w:rsidR="003663AF" w:rsidRPr="00B7760C" w:rsidRDefault="00877691" w:rsidP="00E804B7">
            <w:pPr>
              <w:pStyle w:val="ColumnHeading"/>
              <w:keepNext/>
            </w:pPr>
            <w:r w:rsidRPr="00B7760C">
              <w:t>Sprememba</w:t>
            </w:r>
          </w:p>
        </w:tc>
      </w:tr>
      <w:tr w:rsidR="003663AF" w:rsidRPr="00B7760C" w14:paraId="128D8400" w14:textId="77777777" w:rsidTr="00E804B7">
        <w:trPr>
          <w:jc w:val="center"/>
        </w:trPr>
        <w:tc>
          <w:tcPr>
            <w:tcW w:w="4876" w:type="dxa"/>
            <w:hideMark/>
          </w:tcPr>
          <w:p w14:paraId="7EBA13A3" w14:textId="77777777" w:rsidR="003663AF" w:rsidRPr="00B7760C" w:rsidRDefault="003663AF" w:rsidP="00E804B7">
            <w:pPr>
              <w:pStyle w:val="Normal6"/>
            </w:pPr>
            <w:r w:rsidRPr="00B7760C">
              <w:t>Države članice si prizadevajo uresničiti cilje iz naslova II z določitvijo intervencij na podlagi vrst intervencij iz poglavij II, III in IV tega naslova v skladu s splošnimi zahtevami iz tega poglavja.</w:t>
            </w:r>
          </w:p>
        </w:tc>
        <w:tc>
          <w:tcPr>
            <w:tcW w:w="4876" w:type="dxa"/>
            <w:hideMark/>
          </w:tcPr>
          <w:p w14:paraId="43905158" w14:textId="77777777" w:rsidR="003663AF" w:rsidRPr="00B7760C" w:rsidRDefault="003663AF" w:rsidP="00E804B7">
            <w:pPr>
              <w:pStyle w:val="Normal6"/>
              <w:rPr>
                <w:szCs w:val="24"/>
              </w:rPr>
            </w:pPr>
            <w:r w:rsidRPr="00B7760C">
              <w:t xml:space="preserve">Države članice </w:t>
            </w:r>
            <w:r w:rsidRPr="00B7760C">
              <w:rPr>
                <w:b/>
                <w:i/>
              </w:rPr>
              <w:t xml:space="preserve">in po potrebi regije </w:t>
            </w:r>
            <w:r w:rsidRPr="00B7760C">
              <w:t>si prizadevajo uresničiti cilje iz naslova II z določitvijo intervencij na podlagi vrst intervencij iz poglavij II, III in IV tega naslova v skladu s splošnimi zahtevami iz tega poglavja.</w:t>
            </w:r>
          </w:p>
        </w:tc>
      </w:tr>
    </w:tbl>
    <w:p w14:paraId="5A0D9E1C" w14:textId="77777777" w:rsidR="003663AF" w:rsidRPr="00B7760C" w:rsidRDefault="003663AF" w:rsidP="003663AF"/>
    <w:p w14:paraId="57777528" w14:textId="3563E7B9" w:rsidR="003663AF" w:rsidRPr="00B7760C" w:rsidRDefault="00877691" w:rsidP="003548F6">
      <w:pPr>
        <w:pStyle w:val="AMNumberTabs"/>
        <w:keepNext/>
      </w:pPr>
      <w:r w:rsidRPr="00B7760C">
        <w:t>Sprememb</w:t>
      </w:r>
      <w:r w:rsidR="003548F6" w:rsidRPr="00B7760C">
        <w:t>i</w:t>
      </w:r>
      <w:r w:rsidR="003663AF" w:rsidRPr="00B7760C">
        <w:tab/>
      </w:r>
      <w:r w:rsidR="003663AF" w:rsidRPr="00B7760C">
        <w:tab/>
        <w:t>122</w:t>
      </w:r>
      <w:r w:rsidR="003548F6" w:rsidRPr="00B7760C">
        <w:t xml:space="preserve"> in 1117</w:t>
      </w:r>
      <w:r w:rsidR="009473FB" w:rsidRPr="00B7760C">
        <w:t xml:space="preserve"> cp1</w:t>
      </w:r>
    </w:p>
    <w:p w14:paraId="1CD66955" w14:textId="77777777" w:rsidR="003663AF" w:rsidRPr="00B7760C" w:rsidRDefault="003663AF" w:rsidP="003663AF">
      <w:pPr>
        <w:pStyle w:val="NormalBold12b"/>
      </w:pPr>
      <w:r w:rsidRPr="00B7760C">
        <w:t>Predlog uredbe</w:t>
      </w:r>
    </w:p>
    <w:p w14:paraId="6893A7A3" w14:textId="77777777" w:rsidR="003663AF" w:rsidRPr="00B7760C" w:rsidRDefault="003663AF" w:rsidP="003663AF">
      <w:pPr>
        <w:pStyle w:val="NormalBold"/>
      </w:pPr>
      <w:r w:rsidRPr="00B7760C">
        <w:t>Člen 9 – 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7FAEDA5" w14:textId="77777777" w:rsidTr="00E804B7">
        <w:trPr>
          <w:jc w:val="center"/>
        </w:trPr>
        <w:tc>
          <w:tcPr>
            <w:tcW w:w="9752" w:type="dxa"/>
            <w:gridSpan w:val="2"/>
          </w:tcPr>
          <w:p w14:paraId="0392F62E" w14:textId="77777777" w:rsidR="003663AF" w:rsidRPr="00B7760C" w:rsidRDefault="003663AF" w:rsidP="00E804B7">
            <w:pPr>
              <w:keepNext/>
            </w:pPr>
          </w:p>
        </w:tc>
      </w:tr>
      <w:tr w:rsidR="003663AF" w:rsidRPr="00B7760C" w14:paraId="2FFDD36C" w14:textId="77777777" w:rsidTr="00E804B7">
        <w:trPr>
          <w:jc w:val="center"/>
        </w:trPr>
        <w:tc>
          <w:tcPr>
            <w:tcW w:w="4876" w:type="dxa"/>
            <w:hideMark/>
          </w:tcPr>
          <w:p w14:paraId="307BAFDB" w14:textId="77777777" w:rsidR="003663AF" w:rsidRPr="00B7760C" w:rsidRDefault="003663AF" w:rsidP="00E804B7">
            <w:pPr>
              <w:pStyle w:val="ColumnHeading"/>
              <w:keepNext/>
            </w:pPr>
            <w:r w:rsidRPr="00B7760C">
              <w:t>Besedilo, ki ga predlaga Komisija</w:t>
            </w:r>
          </w:p>
        </w:tc>
        <w:tc>
          <w:tcPr>
            <w:tcW w:w="4876" w:type="dxa"/>
            <w:hideMark/>
          </w:tcPr>
          <w:p w14:paraId="14162107" w14:textId="72AA85E6" w:rsidR="003663AF" w:rsidRPr="00B7760C" w:rsidRDefault="00877691" w:rsidP="00E804B7">
            <w:pPr>
              <w:pStyle w:val="ColumnHeading"/>
              <w:keepNext/>
            </w:pPr>
            <w:r w:rsidRPr="00B7760C">
              <w:t>Sprememba</w:t>
            </w:r>
          </w:p>
        </w:tc>
      </w:tr>
      <w:tr w:rsidR="003663AF" w:rsidRPr="00B7760C" w14:paraId="630E8153" w14:textId="77777777" w:rsidTr="00E804B7">
        <w:trPr>
          <w:jc w:val="center"/>
        </w:trPr>
        <w:tc>
          <w:tcPr>
            <w:tcW w:w="4876" w:type="dxa"/>
            <w:hideMark/>
          </w:tcPr>
          <w:p w14:paraId="37A4B3D2" w14:textId="77777777" w:rsidR="003663AF" w:rsidRPr="00B7760C" w:rsidRDefault="003663AF" w:rsidP="00E804B7">
            <w:pPr>
              <w:pStyle w:val="Normal6"/>
            </w:pPr>
            <w:r w:rsidRPr="00B7760C">
              <w:t>Države članice zasnujejo intervencije svojih strateških načrtov SKP v skladu z Listino o temeljnih pravicah Evropske unije in splošnimi načeli prava Unije.</w:t>
            </w:r>
          </w:p>
        </w:tc>
        <w:tc>
          <w:tcPr>
            <w:tcW w:w="4876" w:type="dxa"/>
            <w:hideMark/>
          </w:tcPr>
          <w:p w14:paraId="4493541C" w14:textId="77777777" w:rsidR="003663AF" w:rsidRPr="00B7760C" w:rsidRDefault="003663AF" w:rsidP="00E804B7">
            <w:pPr>
              <w:pStyle w:val="Normal6"/>
              <w:rPr>
                <w:szCs w:val="24"/>
              </w:rPr>
            </w:pPr>
            <w:r w:rsidRPr="00B7760C">
              <w:t xml:space="preserve">Države članice </w:t>
            </w:r>
            <w:r w:rsidRPr="00B7760C">
              <w:rPr>
                <w:b/>
                <w:i/>
              </w:rPr>
              <w:t xml:space="preserve">– po potrebi v sodelovanju z regijami – </w:t>
            </w:r>
            <w:r w:rsidRPr="00B7760C">
              <w:t>zasnujejo intervencije svojih strateških načrtov SKP v skladu z Listino o temeljnih pravicah Evropske unije in splošnimi načeli prava Unije.</w:t>
            </w:r>
          </w:p>
        </w:tc>
      </w:tr>
    </w:tbl>
    <w:p w14:paraId="3E842E1C" w14:textId="7E85BB11" w:rsidR="003663AF" w:rsidRPr="00B7760C" w:rsidRDefault="003663AF" w:rsidP="003663AF"/>
    <w:p w14:paraId="74B67E9C" w14:textId="40F405A8" w:rsidR="003548F6" w:rsidRPr="00B7760C" w:rsidRDefault="003548F6" w:rsidP="003548F6">
      <w:pPr>
        <w:pStyle w:val="AmNumberTabs0"/>
      </w:pPr>
      <w:r w:rsidRPr="00B7760C">
        <w:t>Sprememba</w:t>
      </w:r>
      <w:r w:rsidRPr="00B7760C">
        <w:tab/>
        <w:t>1104</w:t>
      </w:r>
    </w:p>
    <w:p w14:paraId="182411C0" w14:textId="77777777" w:rsidR="003548F6" w:rsidRPr="00B7760C" w:rsidRDefault="003548F6" w:rsidP="003548F6">
      <w:pPr>
        <w:pStyle w:val="NormalBold12b"/>
      </w:pPr>
      <w:r w:rsidRPr="00B7760C">
        <w:t>Predlog uredbe</w:t>
      </w:r>
    </w:p>
    <w:p w14:paraId="3AC9AC85" w14:textId="77777777" w:rsidR="003548F6" w:rsidRPr="00B7760C" w:rsidRDefault="003548F6" w:rsidP="003548F6">
      <w:pPr>
        <w:pStyle w:val="NormalBold"/>
      </w:pPr>
      <w:r w:rsidRPr="00B7760C">
        <w:t>Člen 9 – odstavek 1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548F6" w:rsidRPr="00B7760C" w14:paraId="3441A13B" w14:textId="77777777" w:rsidTr="00B2260C">
        <w:trPr>
          <w:trHeight w:hRule="exact" w:val="240"/>
          <w:jc w:val="center"/>
        </w:trPr>
        <w:tc>
          <w:tcPr>
            <w:tcW w:w="9752" w:type="dxa"/>
            <w:gridSpan w:val="2"/>
          </w:tcPr>
          <w:p w14:paraId="65EC45E0" w14:textId="77777777" w:rsidR="003548F6" w:rsidRPr="00B7760C" w:rsidRDefault="003548F6" w:rsidP="00B2260C"/>
        </w:tc>
      </w:tr>
      <w:tr w:rsidR="003548F6" w:rsidRPr="00B7760C" w14:paraId="571764D7" w14:textId="77777777" w:rsidTr="00B2260C">
        <w:trPr>
          <w:trHeight w:val="240"/>
          <w:jc w:val="center"/>
        </w:trPr>
        <w:tc>
          <w:tcPr>
            <w:tcW w:w="4876" w:type="dxa"/>
          </w:tcPr>
          <w:p w14:paraId="54D31BC4" w14:textId="77777777" w:rsidR="003548F6" w:rsidRPr="00B7760C" w:rsidRDefault="003548F6" w:rsidP="00B2260C">
            <w:pPr>
              <w:pStyle w:val="AmColumnHeading"/>
            </w:pPr>
            <w:r w:rsidRPr="00B7760C">
              <w:t>Besedilo, ki ga predlaga Komisija</w:t>
            </w:r>
          </w:p>
        </w:tc>
        <w:tc>
          <w:tcPr>
            <w:tcW w:w="4876" w:type="dxa"/>
          </w:tcPr>
          <w:p w14:paraId="41DD050C" w14:textId="2B07820F" w:rsidR="003548F6" w:rsidRPr="00B7760C" w:rsidRDefault="003548F6" w:rsidP="00B2260C">
            <w:pPr>
              <w:pStyle w:val="AmColumnHeading"/>
            </w:pPr>
            <w:r w:rsidRPr="00B7760C">
              <w:t>Sprememba</w:t>
            </w:r>
          </w:p>
        </w:tc>
      </w:tr>
      <w:tr w:rsidR="003548F6" w:rsidRPr="00B7760C" w14:paraId="59C2A5EB" w14:textId="77777777" w:rsidTr="00B2260C">
        <w:trPr>
          <w:jc w:val="center"/>
        </w:trPr>
        <w:tc>
          <w:tcPr>
            <w:tcW w:w="4876" w:type="dxa"/>
          </w:tcPr>
          <w:p w14:paraId="378470E3" w14:textId="77777777" w:rsidR="003548F6" w:rsidRPr="00B7760C" w:rsidRDefault="003548F6" w:rsidP="00B2260C">
            <w:pPr>
              <w:pStyle w:val="Normal6a"/>
            </w:pPr>
          </w:p>
        </w:tc>
        <w:tc>
          <w:tcPr>
            <w:tcW w:w="4876" w:type="dxa"/>
          </w:tcPr>
          <w:p w14:paraId="6EEB73B4" w14:textId="77777777" w:rsidR="003548F6" w:rsidRPr="00B7760C" w:rsidRDefault="003548F6" w:rsidP="00B2260C">
            <w:pPr>
              <w:pStyle w:val="Normal6a"/>
            </w:pPr>
            <w:r w:rsidRPr="00B7760C">
              <w:rPr>
                <w:b/>
                <w:i/>
              </w:rPr>
              <w:t>Države članice pri pripravi strateških načrtov SKP po potrebi v sodelovanju s svojimi regijami upoštevajo posebna načela iz člena 39 PDEU, in sicer posebno naravo kmetijske dejavnosti, ki izhaja iz socialne strukture kmetijstva ter strukturnih in naravnih razlik med različnimi kmetijskimi regijami; potrebo, da se ustrezne prilagoditve izvedejo postopno; dejstvo, da je kmetijstvo v državah članicah sektor, ki je tesno povezan s celotnim gospodarstvom.</w:t>
            </w:r>
          </w:p>
        </w:tc>
      </w:tr>
    </w:tbl>
    <w:p w14:paraId="0347CE00" w14:textId="77777777" w:rsidR="003548F6" w:rsidRPr="00B7760C" w:rsidRDefault="003548F6" w:rsidP="003663AF"/>
    <w:p w14:paraId="6FE9C3A8" w14:textId="54BD6877" w:rsidR="003663AF" w:rsidRPr="00B7760C" w:rsidRDefault="00877691" w:rsidP="003663AF">
      <w:pPr>
        <w:pStyle w:val="AMNumberTabs"/>
        <w:keepNext/>
      </w:pPr>
      <w:r w:rsidRPr="00B7760C">
        <w:t>Sprememb</w:t>
      </w:r>
      <w:r w:rsidR="002A3ED7" w:rsidRPr="00B7760C">
        <w:t>i</w:t>
      </w:r>
      <w:r w:rsidR="003663AF" w:rsidRPr="00B7760C">
        <w:tab/>
      </w:r>
      <w:r w:rsidR="003663AF" w:rsidRPr="00B7760C">
        <w:tab/>
        <w:t>123</w:t>
      </w:r>
      <w:r w:rsidR="002A3ED7" w:rsidRPr="00B7760C">
        <w:t xml:space="preserve"> in 1117</w:t>
      </w:r>
      <w:r w:rsidR="009473FB" w:rsidRPr="00B7760C">
        <w:t xml:space="preserve"> cp2</w:t>
      </w:r>
    </w:p>
    <w:p w14:paraId="7603FBEA" w14:textId="77777777" w:rsidR="003663AF" w:rsidRPr="00B7760C" w:rsidRDefault="003663AF" w:rsidP="003663AF">
      <w:pPr>
        <w:pStyle w:val="NormalBold12b"/>
      </w:pPr>
      <w:r w:rsidRPr="00B7760C">
        <w:t>Predlog uredbe</w:t>
      </w:r>
    </w:p>
    <w:p w14:paraId="11E431D4" w14:textId="77777777" w:rsidR="003663AF" w:rsidRPr="00B7760C" w:rsidRDefault="003663AF" w:rsidP="003663AF">
      <w:pPr>
        <w:pStyle w:val="NormalBold"/>
      </w:pPr>
      <w:r w:rsidRPr="00B7760C">
        <w:t>Člen 9 – odstavek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6F04A23" w14:textId="77777777" w:rsidTr="00E804B7">
        <w:trPr>
          <w:jc w:val="center"/>
        </w:trPr>
        <w:tc>
          <w:tcPr>
            <w:tcW w:w="9752" w:type="dxa"/>
            <w:gridSpan w:val="2"/>
          </w:tcPr>
          <w:p w14:paraId="7A584231" w14:textId="77777777" w:rsidR="003663AF" w:rsidRPr="00B7760C" w:rsidRDefault="003663AF" w:rsidP="00E804B7">
            <w:pPr>
              <w:keepNext/>
            </w:pPr>
          </w:p>
        </w:tc>
      </w:tr>
      <w:tr w:rsidR="003663AF" w:rsidRPr="00B7760C" w14:paraId="7E028C42" w14:textId="77777777" w:rsidTr="00E804B7">
        <w:trPr>
          <w:jc w:val="center"/>
        </w:trPr>
        <w:tc>
          <w:tcPr>
            <w:tcW w:w="4876" w:type="dxa"/>
            <w:hideMark/>
          </w:tcPr>
          <w:p w14:paraId="6B58EFC3" w14:textId="77777777" w:rsidR="003663AF" w:rsidRPr="00B7760C" w:rsidRDefault="003663AF" w:rsidP="00E804B7">
            <w:pPr>
              <w:pStyle w:val="ColumnHeading"/>
              <w:keepNext/>
            </w:pPr>
            <w:r w:rsidRPr="00B7760C">
              <w:t>Besedilo, ki ga predlaga Komisija</w:t>
            </w:r>
          </w:p>
        </w:tc>
        <w:tc>
          <w:tcPr>
            <w:tcW w:w="4876" w:type="dxa"/>
            <w:hideMark/>
          </w:tcPr>
          <w:p w14:paraId="4DF2FDE1" w14:textId="2E67C041" w:rsidR="003663AF" w:rsidRPr="00B7760C" w:rsidRDefault="00877691" w:rsidP="00E804B7">
            <w:pPr>
              <w:pStyle w:val="ColumnHeading"/>
              <w:keepNext/>
            </w:pPr>
            <w:r w:rsidRPr="00B7760C">
              <w:t>Sprememba</w:t>
            </w:r>
          </w:p>
        </w:tc>
      </w:tr>
      <w:tr w:rsidR="003663AF" w:rsidRPr="00B7760C" w14:paraId="3E58F016" w14:textId="77777777" w:rsidTr="00E804B7">
        <w:trPr>
          <w:jc w:val="center"/>
        </w:trPr>
        <w:tc>
          <w:tcPr>
            <w:tcW w:w="4876" w:type="dxa"/>
            <w:hideMark/>
          </w:tcPr>
          <w:p w14:paraId="42CBB2EB" w14:textId="77777777" w:rsidR="003663AF" w:rsidRPr="00B7760C" w:rsidRDefault="003663AF" w:rsidP="00E804B7">
            <w:pPr>
              <w:pStyle w:val="Normal6"/>
            </w:pPr>
            <w:r w:rsidRPr="00B7760C">
              <w:t>Države članice zagotovijo, da so intervencije določene na podlagi objektivnih in nediskriminatornih meril</w:t>
            </w:r>
            <w:r w:rsidRPr="00B7760C">
              <w:rPr>
                <w:b/>
                <w:i/>
              </w:rPr>
              <w:t>, združljive z notranjim trgom in ne izkrivljajo konkurence</w:t>
            </w:r>
            <w:r w:rsidRPr="00B7760C">
              <w:t>.</w:t>
            </w:r>
          </w:p>
        </w:tc>
        <w:tc>
          <w:tcPr>
            <w:tcW w:w="4876" w:type="dxa"/>
            <w:hideMark/>
          </w:tcPr>
          <w:p w14:paraId="1B9BAD6D" w14:textId="77777777" w:rsidR="003663AF" w:rsidRPr="00B7760C" w:rsidRDefault="003663AF" w:rsidP="00E804B7">
            <w:pPr>
              <w:pStyle w:val="Normal6"/>
              <w:rPr>
                <w:szCs w:val="24"/>
              </w:rPr>
            </w:pPr>
            <w:r w:rsidRPr="00B7760C">
              <w:t xml:space="preserve">Države članice </w:t>
            </w:r>
            <w:r w:rsidRPr="00B7760C">
              <w:rPr>
                <w:b/>
                <w:i/>
              </w:rPr>
              <w:t xml:space="preserve">– po potrebi v sodelovanju z regijami – </w:t>
            </w:r>
            <w:r w:rsidRPr="00B7760C">
              <w:t>zagotovijo, da so intervencije določene na podlagi objektivnih in nediskriminatornih meril</w:t>
            </w:r>
            <w:r w:rsidRPr="00B7760C">
              <w:rPr>
                <w:b/>
                <w:i/>
              </w:rPr>
              <w:t xml:space="preserve"> ter ne ovirajo dobrega delovanja notranjega trga</w:t>
            </w:r>
            <w:r w:rsidRPr="00B7760C">
              <w:t>.</w:t>
            </w:r>
          </w:p>
        </w:tc>
      </w:tr>
    </w:tbl>
    <w:p w14:paraId="74FF4C63" w14:textId="7B634F9C" w:rsidR="003663AF" w:rsidRPr="00B7760C" w:rsidRDefault="003663AF" w:rsidP="003663AF"/>
    <w:p w14:paraId="02A63678" w14:textId="074C8224" w:rsidR="002A3ED7" w:rsidRPr="00B7760C" w:rsidRDefault="002A3ED7" w:rsidP="002A3ED7">
      <w:pPr>
        <w:pStyle w:val="AMNumberTabs"/>
        <w:keepNext/>
      </w:pPr>
      <w:r w:rsidRPr="00B7760C">
        <w:t>Sprememba</w:t>
      </w:r>
      <w:r w:rsidRPr="00B7760C">
        <w:tab/>
      </w:r>
      <w:r w:rsidRPr="00B7760C">
        <w:tab/>
        <w:t>1117</w:t>
      </w:r>
      <w:r w:rsidR="009473FB" w:rsidRPr="00B7760C">
        <w:t xml:space="preserve"> cp3</w:t>
      </w:r>
    </w:p>
    <w:p w14:paraId="3D844700" w14:textId="77777777" w:rsidR="002A3ED7" w:rsidRPr="00B7760C" w:rsidRDefault="002A3ED7" w:rsidP="002A3ED7">
      <w:pPr>
        <w:pStyle w:val="NormalBold12b"/>
      </w:pPr>
      <w:r w:rsidRPr="00B7760C">
        <w:t>Predlog uredbe</w:t>
      </w:r>
    </w:p>
    <w:p w14:paraId="16A4A7B1" w14:textId="14E0B9FC" w:rsidR="002A3ED7" w:rsidRPr="00B7760C" w:rsidRDefault="002A3ED7" w:rsidP="002A3ED7">
      <w:pPr>
        <w:pStyle w:val="NormalBold"/>
      </w:pPr>
      <w:r w:rsidRPr="00B7760C">
        <w:t>Člen 9</w:t>
      </w:r>
      <w:r w:rsidR="009473FB" w:rsidRPr="00B7760C">
        <w:t xml:space="preserve"> – odstavek 2 a (novo)</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2A3ED7" w:rsidRPr="00B7760C" w14:paraId="3C1BE4D3" w14:textId="77777777" w:rsidTr="008C44C1">
        <w:trPr>
          <w:jc w:val="center"/>
        </w:trPr>
        <w:tc>
          <w:tcPr>
            <w:tcW w:w="9752" w:type="dxa"/>
            <w:gridSpan w:val="2"/>
          </w:tcPr>
          <w:p w14:paraId="45C1EFDE" w14:textId="77777777" w:rsidR="002A3ED7" w:rsidRPr="00B7760C" w:rsidRDefault="002A3ED7" w:rsidP="00B2260C">
            <w:pPr>
              <w:keepNext/>
            </w:pPr>
          </w:p>
        </w:tc>
      </w:tr>
      <w:tr w:rsidR="002A3ED7" w:rsidRPr="00B7760C" w14:paraId="1008A8C7" w14:textId="77777777" w:rsidTr="008C44C1">
        <w:trPr>
          <w:jc w:val="center"/>
        </w:trPr>
        <w:tc>
          <w:tcPr>
            <w:tcW w:w="4876" w:type="dxa"/>
          </w:tcPr>
          <w:p w14:paraId="15264FF1" w14:textId="77777777" w:rsidR="002A3ED7" w:rsidRPr="00B7760C" w:rsidRDefault="002A3ED7" w:rsidP="00B2260C">
            <w:pPr>
              <w:pStyle w:val="ColumnHeading"/>
              <w:keepNext/>
            </w:pPr>
            <w:r w:rsidRPr="00B7760C">
              <w:t>Besedilo, ki ga predlaga Komisija</w:t>
            </w:r>
          </w:p>
        </w:tc>
        <w:tc>
          <w:tcPr>
            <w:tcW w:w="4876" w:type="dxa"/>
          </w:tcPr>
          <w:p w14:paraId="79D5897E" w14:textId="7DE0754E" w:rsidR="002A3ED7" w:rsidRPr="00B7760C" w:rsidRDefault="002A3ED7" w:rsidP="00B2260C">
            <w:pPr>
              <w:pStyle w:val="ColumnHeading"/>
              <w:keepNext/>
            </w:pPr>
            <w:r w:rsidRPr="00B7760C">
              <w:t>Sprememba</w:t>
            </w:r>
          </w:p>
        </w:tc>
      </w:tr>
      <w:tr w:rsidR="002A3ED7" w:rsidRPr="00B7760C" w14:paraId="23A3AEBD" w14:textId="77777777" w:rsidTr="008C44C1">
        <w:trPr>
          <w:jc w:val="center"/>
        </w:trPr>
        <w:tc>
          <w:tcPr>
            <w:tcW w:w="4876" w:type="dxa"/>
          </w:tcPr>
          <w:p w14:paraId="00AD96A6" w14:textId="77777777" w:rsidR="002A3ED7" w:rsidRPr="00B7760C" w:rsidRDefault="002A3ED7" w:rsidP="00B2260C">
            <w:pPr>
              <w:pStyle w:val="Normal6"/>
            </w:pPr>
          </w:p>
        </w:tc>
        <w:tc>
          <w:tcPr>
            <w:tcW w:w="4876" w:type="dxa"/>
          </w:tcPr>
          <w:p w14:paraId="1E790439" w14:textId="2F129BB9" w:rsidR="002A3ED7" w:rsidRPr="00B7760C" w:rsidRDefault="002A3ED7" w:rsidP="000D6036">
            <w:pPr>
              <w:pStyle w:val="Normal6"/>
              <w:rPr>
                <w:b/>
                <w:i/>
                <w:szCs w:val="24"/>
              </w:rPr>
            </w:pPr>
            <w:r w:rsidRPr="00B7760C">
              <w:rPr>
                <w:b/>
                <w:i/>
              </w:rPr>
              <w:t xml:space="preserve">V primeru pravnih oseb ali skupin fizičnih ali pravnih oseb se lahko države članice odločijo za znižanje iz člena 15 in podporo iz členov s 26, 27, 29, 66, 67 in 68, kot opredeljeno v njihovih strateških načrtih SKP na ravni članov teh pravnih oseb ali skupin, če nacionalna zakonodaja določa, da morajo posamezni člani prevzeti pravice in obveznosti, primerljive s tistimi posameznih </w:t>
            </w:r>
            <w:r w:rsidR="000D6036" w:rsidRPr="00B7760C">
              <w:rPr>
                <w:b/>
                <w:i/>
              </w:rPr>
              <w:t>dejavnih</w:t>
            </w:r>
            <w:r w:rsidRPr="00B7760C">
              <w:rPr>
                <w:b/>
                <w:i/>
              </w:rPr>
              <w:t xml:space="preserve"> kmetov, ki imajo status vodje kmetijskega gospodarstva, zlasti kar zadeva njihov ekonomski, socialni in davčni položaj, pod pogojem, da so prispevali h krepitvi kmetijskih struktur obravnavanih pravnih oseb ali skupin.</w:t>
            </w:r>
          </w:p>
        </w:tc>
      </w:tr>
    </w:tbl>
    <w:p w14:paraId="2BF21F44" w14:textId="77777777" w:rsidR="002A3ED7" w:rsidRPr="00B7760C" w:rsidRDefault="002A3ED7" w:rsidP="003663AF"/>
    <w:p w14:paraId="01226E5A" w14:textId="015D8948" w:rsidR="003663AF" w:rsidRPr="00B7760C" w:rsidRDefault="00877691" w:rsidP="003663AF">
      <w:pPr>
        <w:pStyle w:val="AMNumberTabs"/>
        <w:keepNext/>
      </w:pPr>
      <w:r w:rsidRPr="00B7760C">
        <w:t>Sprememb</w:t>
      </w:r>
      <w:r w:rsidR="009473FB" w:rsidRPr="00B7760C">
        <w:t>i</w:t>
      </w:r>
      <w:r w:rsidR="003663AF" w:rsidRPr="00B7760C">
        <w:tab/>
      </w:r>
      <w:r w:rsidR="003663AF" w:rsidRPr="00B7760C">
        <w:tab/>
        <w:t>124</w:t>
      </w:r>
      <w:r w:rsidR="002A3ED7" w:rsidRPr="00B7760C">
        <w:t xml:space="preserve"> in 1117</w:t>
      </w:r>
      <w:r w:rsidR="009473FB" w:rsidRPr="00B7760C">
        <w:t xml:space="preserve"> cp4</w:t>
      </w:r>
    </w:p>
    <w:p w14:paraId="20F013E4" w14:textId="77777777" w:rsidR="003663AF" w:rsidRPr="00B7760C" w:rsidRDefault="003663AF" w:rsidP="003663AF">
      <w:pPr>
        <w:pStyle w:val="NormalBold12b"/>
      </w:pPr>
      <w:r w:rsidRPr="00B7760C">
        <w:t>Predlog uredbe</w:t>
      </w:r>
    </w:p>
    <w:p w14:paraId="3537D737" w14:textId="77777777" w:rsidR="003663AF" w:rsidRPr="00B7760C" w:rsidRDefault="003663AF" w:rsidP="003663AF">
      <w:pPr>
        <w:pStyle w:val="NormalBold"/>
      </w:pPr>
      <w:r w:rsidRPr="00B7760C">
        <w:t>Člen 9 – odstavek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BF12521" w14:textId="77777777" w:rsidTr="00E804B7">
        <w:trPr>
          <w:jc w:val="center"/>
        </w:trPr>
        <w:tc>
          <w:tcPr>
            <w:tcW w:w="9752" w:type="dxa"/>
            <w:gridSpan w:val="2"/>
          </w:tcPr>
          <w:p w14:paraId="3A481F9A" w14:textId="77777777" w:rsidR="003663AF" w:rsidRPr="00B7760C" w:rsidRDefault="003663AF" w:rsidP="00E804B7">
            <w:pPr>
              <w:keepNext/>
            </w:pPr>
          </w:p>
        </w:tc>
      </w:tr>
      <w:tr w:rsidR="003663AF" w:rsidRPr="00B7760C" w14:paraId="59AD4B20" w14:textId="77777777" w:rsidTr="00E804B7">
        <w:trPr>
          <w:jc w:val="center"/>
        </w:trPr>
        <w:tc>
          <w:tcPr>
            <w:tcW w:w="4876" w:type="dxa"/>
            <w:hideMark/>
          </w:tcPr>
          <w:p w14:paraId="6D2A64C3" w14:textId="77777777" w:rsidR="003663AF" w:rsidRPr="00B7760C" w:rsidRDefault="003663AF" w:rsidP="00E804B7">
            <w:pPr>
              <w:pStyle w:val="ColumnHeading"/>
              <w:keepNext/>
            </w:pPr>
            <w:r w:rsidRPr="00B7760C">
              <w:t>Besedilo, ki ga predlaga Komisija</w:t>
            </w:r>
          </w:p>
        </w:tc>
        <w:tc>
          <w:tcPr>
            <w:tcW w:w="4876" w:type="dxa"/>
            <w:hideMark/>
          </w:tcPr>
          <w:p w14:paraId="0E687DC3" w14:textId="11DC5261" w:rsidR="003663AF" w:rsidRPr="00B7760C" w:rsidRDefault="00877691" w:rsidP="00E804B7">
            <w:pPr>
              <w:pStyle w:val="ColumnHeading"/>
              <w:keepNext/>
            </w:pPr>
            <w:r w:rsidRPr="00B7760C">
              <w:t>Sprememba</w:t>
            </w:r>
          </w:p>
        </w:tc>
      </w:tr>
      <w:tr w:rsidR="003663AF" w:rsidRPr="00B7760C" w14:paraId="5E6F929B" w14:textId="77777777" w:rsidTr="00E804B7">
        <w:trPr>
          <w:jc w:val="center"/>
        </w:trPr>
        <w:tc>
          <w:tcPr>
            <w:tcW w:w="4876" w:type="dxa"/>
            <w:hideMark/>
          </w:tcPr>
          <w:p w14:paraId="6827E7AF" w14:textId="77777777" w:rsidR="003663AF" w:rsidRPr="00B7760C" w:rsidRDefault="003663AF" w:rsidP="00E804B7">
            <w:pPr>
              <w:pStyle w:val="Normal6"/>
            </w:pPr>
            <w:r w:rsidRPr="00B7760C">
              <w:t xml:space="preserve">Države članice vzpostavijo pravni okvir, ki ureja dodelitev podpore Unije upravičencem na podlagi strateškega načrta SKP ter v skladu z načeli in zahtevami iz te uredbe in Uredbe (EU) [HZU]. </w:t>
            </w:r>
          </w:p>
        </w:tc>
        <w:tc>
          <w:tcPr>
            <w:tcW w:w="4876" w:type="dxa"/>
            <w:hideMark/>
          </w:tcPr>
          <w:p w14:paraId="5DF01557" w14:textId="77777777" w:rsidR="003663AF" w:rsidRPr="00B7760C" w:rsidRDefault="003663AF" w:rsidP="00E804B7">
            <w:pPr>
              <w:pStyle w:val="Normal6"/>
              <w:rPr>
                <w:szCs w:val="24"/>
              </w:rPr>
            </w:pPr>
            <w:r w:rsidRPr="00B7760C">
              <w:t xml:space="preserve">Države članice </w:t>
            </w:r>
            <w:r w:rsidRPr="00B7760C">
              <w:rPr>
                <w:b/>
                <w:i/>
              </w:rPr>
              <w:t xml:space="preserve">– po potrebi v sodelovanju z regijami – </w:t>
            </w:r>
            <w:r w:rsidRPr="00B7760C">
              <w:t>vzpostavijo pravni okvir, ki ureja dodelitev podpore Unije upravičencem na podlagi strateškega načrta SKP ter v skladu z načeli in zahtevami iz te uredbe in Uredbe (EU) [HZU].</w:t>
            </w:r>
          </w:p>
        </w:tc>
      </w:tr>
    </w:tbl>
    <w:p w14:paraId="795822A4" w14:textId="77777777" w:rsidR="003663AF" w:rsidRPr="00B7760C" w:rsidRDefault="003663AF" w:rsidP="003663AF"/>
    <w:p w14:paraId="4A3052DC" w14:textId="1CDEB6B7" w:rsidR="00EF759E" w:rsidRPr="00B7760C" w:rsidRDefault="00EF759E" w:rsidP="00EF759E">
      <w:pPr>
        <w:pStyle w:val="AMNumberTabs"/>
        <w:keepNext/>
      </w:pPr>
      <w:r w:rsidRPr="00B7760C">
        <w:t>Spremembi</w:t>
      </w:r>
      <w:r w:rsidRPr="00B7760C">
        <w:tab/>
      </w:r>
      <w:r w:rsidRPr="00B7760C">
        <w:tab/>
        <w:t>731 in 807</w:t>
      </w:r>
    </w:p>
    <w:p w14:paraId="3AE7AB0C" w14:textId="77777777" w:rsidR="00EF759E" w:rsidRPr="00B7760C" w:rsidRDefault="00EF759E" w:rsidP="00EF759E">
      <w:pPr>
        <w:pStyle w:val="NormalBold12b"/>
      </w:pPr>
      <w:r w:rsidRPr="00B7760C">
        <w:t>Predlog uredbe</w:t>
      </w:r>
    </w:p>
    <w:p w14:paraId="6499BF21" w14:textId="26DAA9A5" w:rsidR="00EF759E" w:rsidRPr="00B7760C" w:rsidRDefault="00B2260C" w:rsidP="00EF759E">
      <w:pPr>
        <w:pStyle w:val="NormalBold"/>
      </w:pPr>
      <w:r w:rsidRPr="00B7760C">
        <w:t>Člen 9 a</w:t>
      </w:r>
      <w:r w:rsidR="00EF759E" w:rsidRPr="00B7760C">
        <w:t xml:space="preserve"> (novo)</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EF759E" w:rsidRPr="00B7760C" w14:paraId="14EC87C7" w14:textId="77777777" w:rsidTr="00B2260C">
        <w:trPr>
          <w:jc w:val="center"/>
        </w:trPr>
        <w:tc>
          <w:tcPr>
            <w:tcW w:w="9752" w:type="dxa"/>
            <w:gridSpan w:val="2"/>
          </w:tcPr>
          <w:p w14:paraId="794631AC" w14:textId="77777777" w:rsidR="00EF759E" w:rsidRPr="00B7760C" w:rsidRDefault="00EF759E" w:rsidP="00B2260C">
            <w:pPr>
              <w:keepNext/>
            </w:pPr>
          </w:p>
        </w:tc>
      </w:tr>
      <w:tr w:rsidR="00EF759E" w:rsidRPr="00B7760C" w14:paraId="7FD7CDCB" w14:textId="77777777" w:rsidTr="00B2260C">
        <w:trPr>
          <w:jc w:val="center"/>
        </w:trPr>
        <w:tc>
          <w:tcPr>
            <w:tcW w:w="4876" w:type="dxa"/>
          </w:tcPr>
          <w:p w14:paraId="51218D2C" w14:textId="77777777" w:rsidR="00EF759E" w:rsidRPr="00B7760C" w:rsidRDefault="00EF759E" w:rsidP="00B2260C">
            <w:pPr>
              <w:pStyle w:val="ColumnHeading"/>
              <w:keepNext/>
            </w:pPr>
            <w:r w:rsidRPr="00B7760C">
              <w:t>Besedilo, ki ga predlaga Komisija</w:t>
            </w:r>
          </w:p>
        </w:tc>
        <w:tc>
          <w:tcPr>
            <w:tcW w:w="4876" w:type="dxa"/>
          </w:tcPr>
          <w:p w14:paraId="0F31AD73" w14:textId="4236AC0E" w:rsidR="00EF759E" w:rsidRPr="00B7760C" w:rsidRDefault="00EF759E" w:rsidP="00B2260C">
            <w:pPr>
              <w:pStyle w:val="ColumnHeading"/>
              <w:keepNext/>
            </w:pPr>
            <w:r w:rsidRPr="00B7760C">
              <w:t>Sprememba</w:t>
            </w:r>
          </w:p>
        </w:tc>
      </w:tr>
      <w:tr w:rsidR="00EF759E" w:rsidRPr="00B7760C" w14:paraId="77791BDF" w14:textId="77777777" w:rsidTr="00B2260C">
        <w:trPr>
          <w:jc w:val="center"/>
        </w:trPr>
        <w:tc>
          <w:tcPr>
            <w:tcW w:w="4876" w:type="dxa"/>
          </w:tcPr>
          <w:p w14:paraId="14FEEDB8" w14:textId="77777777" w:rsidR="00EF759E" w:rsidRPr="00B7760C" w:rsidRDefault="00EF759E" w:rsidP="00B2260C">
            <w:pPr>
              <w:pStyle w:val="Normal6"/>
            </w:pPr>
          </w:p>
        </w:tc>
        <w:tc>
          <w:tcPr>
            <w:tcW w:w="4876" w:type="dxa"/>
          </w:tcPr>
          <w:p w14:paraId="12F260D2" w14:textId="77777777" w:rsidR="00EF759E" w:rsidRPr="00B7760C" w:rsidRDefault="00EF759E" w:rsidP="00B2260C">
            <w:pPr>
              <w:pStyle w:val="Normal6"/>
              <w:jc w:val="center"/>
              <w:rPr>
                <w:szCs w:val="24"/>
              </w:rPr>
            </w:pPr>
            <w:r w:rsidRPr="00B7760C">
              <w:rPr>
                <w:b/>
                <w:i/>
              </w:rPr>
              <w:t>Člen 9a</w:t>
            </w:r>
          </w:p>
        </w:tc>
      </w:tr>
      <w:tr w:rsidR="00EF759E" w:rsidRPr="00B7760C" w14:paraId="6461D1F7" w14:textId="77777777" w:rsidTr="00B2260C">
        <w:trPr>
          <w:jc w:val="center"/>
        </w:trPr>
        <w:tc>
          <w:tcPr>
            <w:tcW w:w="4876" w:type="dxa"/>
          </w:tcPr>
          <w:p w14:paraId="7C2F3411" w14:textId="77777777" w:rsidR="00EF759E" w:rsidRPr="00B7760C" w:rsidRDefault="00EF759E" w:rsidP="00B2260C">
            <w:pPr>
              <w:pStyle w:val="Normal6"/>
            </w:pPr>
          </w:p>
        </w:tc>
        <w:tc>
          <w:tcPr>
            <w:tcW w:w="4876" w:type="dxa"/>
          </w:tcPr>
          <w:p w14:paraId="39ED6C55" w14:textId="77777777" w:rsidR="00EF759E" w:rsidRPr="00B7760C" w:rsidRDefault="00EF759E" w:rsidP="00B2260C">
            <w:pPr>
              <w:pStyle w:val="Normal6"/>
              <w:jc w:val="center"/>
              <w:rPr>
                <w:szCs w:val="24"/>
              </w:rPr>
            </w:pPr>
            <w:r w:rsidRPr="00B7760C">
              <w:rPr>
                <w:b/>
                <w:i/>
              </w:rPr>
              <w:t>Trajnostni razvoj</w:t>
            </w:r>
          </w:p>
        </w:tc>
      </w:tr>
      <w:tr w:rsidR="00EF759E" w:rsidRPr="00B7760C" w14:paraId="6562F72A" w14:textId="77777777" w:rsidTr="00B2260C">
        <w:trPr>
          <w:jc w:val="center"/>
        </w:trPr>
        <w:tc>
          <w:tcPr>
            <w:tcW w:w="4876" w:type="dxa"/>
          </w:tcPr>
          <w:p w14:paraId="17C0EFD0" w14:textId="77777777" w:rsidR="00EF759E" w:rsidRPr="00B7760C" w:rsidRDefault="00EF759E" w:rsidP="00B2260C">
            <w:pPr>
              <w:pStyle w:val="Normal6"/>
            </w:pPr>
          </w:p>
        </w:tc>
        <w:tc>
          <w:tcPr>
            <w:tcW w:w="4876" w:type="dxa"/>
          </w:tcPr>
          <w:p w14:paraId="5FBCB46F" w14:textId="4031DD25" w:rsidR="00EF759E" w:rsidRPr="00B7760C" w:rsidRDefault="0008604B" w:rsidP="00B2260C">
            <w:pPr>
              <w:pStyle w:val="Normal6"/>
              <w:rPr>
                <w:szCs w:val="24"/>
              </w:rPr>
            </w:pPr>
            <w:r w:rsidRPr="00B7760C">
              <w:rPr>
                <w:b/>
                <w:i/>
              </w:rPr>
              <w:t xml:space="preserve">Cilji strateških načrtov SKP se uresničujejo v skladu z načelom trajnostnega razvoja in ciljem ohranjanja, varstva in izboljšanja kakovosti okolja, kot določata člen 11 in člen 191(1) PDEU, pri čemer je treba upoštevati načelo, da „plača onesnaževalec“. Države članice in Komisija zagotovijo, da se med pripravo in izvajanjem specifičnih ciljev SKP spodbujajo zahteve glede varstva okolja, učinkovite rabe virov, blažitve podnebnih sprememb in prilagajanja nanje, biotske raznovrstnosti, pripravljenosti na nesreče ter zmanjševanja in preprečevanja tveganj. Intervencije se načrtujejo in izvajajo v skladu z načelom skladnosti politik za razvoj, kot določa člen 208 PDEU. Komisija preveri strateško skladnost v skladu s postopkom iz poglavja III naslova V. </w:t>
            </w:r>
          </w:p>
        </w:tc>
      </w:tr>
    </w:tbl>
    <w:p w14:paraId="3718B6FA" w14:textId="4DFF27B8" w:rsidR="00EF759E" w:rsidRPr="00B7760C" w:rsidRDefault="00EF759E" w:rsidP="003663AF">
      <w:pPr>
        <w:pStyle w:val="Normal6"/>
      </w:pPr>
    </w:p>
    <w:p w14:paraId="72058E41" w14:textId="64BF3079" w:rsidR="00847668" w:rsidRPr="00B7760C" w:rsidRDefault="00847668" w:rsidP="00847668">
      <w:pPr>
        <w:pStyle w:val="AmNumberTabs0"/>
      </w:pPr>
      <w:r w:rsidRPr="00B7760C">
        <w:t>Sprememba</w:t>
      </w:r>
      <w:r w:rsidRPr="00B7760C">
        <w:tab/>
      </w:r>
      <w:r w:rsidRPr="00B7760C">
        <w:tab/>
        <w:t>808</w:t>
      </w:r>
    </w:p>
    <w:p w14:paraId="5A2F55D6" w14:textId="77777777" w:rsidR="00847668" w:rsidRPr="00B7760C" w:rsidRDefault="00847668" w:rsidP="00847668">
      <w:pPr>
        <w:pStyle w:val="NormalBold12b"/>
      </w:pPr>
      <w:r w:rsidRPr="00B7760C">
        <w:t>Predlog uredbe</w:t>
      </w:r>
    </w:p>
    <w:p w14:paraId="64FCE741" w14:textId="77777777" w:rsidR="00847668" w:rsidRPr="00B7760C" w:rsidRDefault="00847668" w:rsidP="00847668">
      <w:pPr>
        <w:pStyle w:val="NormalBold"/>
      </w:pPr>
      <w:r w:rsidRPr="00B7760C">
        <w:t>Člen 9 b (novo)</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847668" w:rsidRPr="00B7760C" w14:paraId="29716FF1" w14:textId="77777777" w:rsidTr="008C44C1">
        <w:trPr>
          <w:trHeight w:hRule="exact" w:val="240"/>
          <w:jc w:val="center"/>
        </w:trPr>
        <w:tc>
          <w:tcPr>
            <w:tcW w:w="9752" w:type="dxa"/>
            <w:gridSpan w:val="2"/>
          </w:tcPr>
          <w:p w14:paraId="554093C2" w14:textId="77777777" w:rsidR="00847668" w:rsidRPr="00B7760C" w:rsidRDefault="00847668" w:rsidP="00B2260C"/>
        </w:tc>
      </w:tr>
      <w:tr w:rsidR="00847668" w:rsidRPr="00B7760C" w14:paraId="121DD1B8" w14:textId="77777777" w:rsidTr="008C44C1">
        <w:trPr>
          <w:trHeight w:val="240"/>
          <w:jc w:val="center"/>
        </w:trPr>
        <w:tc>
          <w:tcPr>
            <w:tcW w:w="4876" w:type="dxa"/>
          </w:tcPr>
          <w:p w14:paraId="7FE02AB1" w14:textId="77777777" w:rsidR="00847668" w:rsidRPr="00B7760C" w:rsidRDefault="00847668" w:rsidP="00B2260C">
            <w:pPr>
              <w:pStyle w:val="AmColumnHeading"/>
            </w:pPr>
            <w:r w:rsidRPr="00B7760C">
              <w:t>Besedilo, ki ga predlaga Komisija</w:t>
            </w:r>
          </w:p>
        </w:tc>
        <w:tc>
          <w:tcPr>
            <w:tcW w:w="4876" w:type="dxa"/>
          </w:tcPr>
          <w:p w14:paraId="55D2C6B4" w14:textId="1D541809" w:rsidR="00847668" w:rsidRPr="00B7760C" w:rsidRDefault="00847668" w:rsidP="00B2260C">
            <w:pPr>
              <w:pStyle w:val="AmColumnHeading"/>
            </w:pPr>
            <w:r w:rsidRPr="00B7760C">
              <w:t>Sprememba</w:t>
            </w:r>
          </w:p>
        </w:tc>
      </w:tr>
      <w:tr w:rsidR="00847668" w:rsidRPr="00B7760C" w14:paraId="4CEE065C" w14:textId="77777777" w:rsidTr="008C44C1">
        <w:trPr>
          <w:jc w:val="center"/>
        </w:trPr>
        <w:tc>
          <w:tcPr>
            <w:tcW w:w="4876" w:type="dxa"/>
          </w:tcPr>
          <w:p w14:paraId="1D0329A8" w14:textId="77777777" w:rsidR="00847668" w:rsidRPr="00B7760C" w:rsidRDefault="00847668" w:rsidP="00B2260C">
            <w:pPr>
              <w:pStyle w:val="Normal6a"/>
            </w:pPr>
          </w:p>
        </w:tc>
        <w:tc>
          <w:tcPr>
            <w:tcW w:w="4876" w:type="dxa"/>
          </w:tcPr>
          <w:p w14:paraId="1D61D325" w14:textId="77777777" w:rsidR="00847668" w:rsidRPr="00B7760C" w:rsidRDefault="00847668" w:rsidP="00B2260C">
            <w:pPr>
              <w:pStyle w:val="NormalBoldItalicCenter6a"/>
            </w:pPr>
            <w:r w:rsidRPr="00B7760C">
              <w:t>Člen 9b</w:t>
            </w:r>
          </w:p>
        </w:tc>
      </w:tr>
      <w:tr w:rsidR="00847668" w:rsidRPr="00B7760C" w14:paraId="4B36F8FD" w14:textId="77777777" w:rsidTr="008C44C1">
        <w:trPr>
          <w:jc w:val="center"/>
        </w:trPr>
        <w:tc>
          <w:tcPr>
            <w:tcW w:w="4876" w:type="dxa"/>
          </w:tcPr>
          <w:p w14:paraId="6276E20B" w14:textId="77777777" w:rsidR="00847668" w:rsidRPr="00B7760C" w:rsidRDefault="00847668" w:rsidP="00B2260C">
            <w:pPr>
              <w:pStyle w:val="Normal6a"/>
            </w:pPr>
          </w:p>
        </w:tc>
        <w:tc>
          <w:tcPr>
            <w:tcW w:w="4876" w:type="dxa"/>
          </w:tcPr>
          <w:p w14:paraId="05CAAC0C" w14:textId="77777777" w:rsidR="00847668" w:rsidRPr="00B7760C" w:rsidRDefault="00847668" w:rsidP="00B2260C">
            <w:pPr>
              <w:pStyle w:val="NormalBoldItalicCenter6a"/>
            </w:pPr>
            <w:r w:rsidRPr="00B7760C">
              <w:t>Skladnost s Pariškim sporazumom</w:t>
            </w:r>
          </w:p>
        </w:tc>
      </w:tr>
      <w:tr w:rsidR="00847668" w:rsidRPr="00B7760C" w14:paraId="5F0D6F13" w14:textId="77777777" w:rsidTr="008C44C1">
        <w:trPr>
          <w:jc w:val="center"/>
        </w:trPr>
        <w:tc>
          <w:tcPr>
            <w:tcW w:w="4876" w:type="dxa"/>
          </w:tcPr>
          <w:p w14:paraId="16FAD755" w14:textId="77777777" w:rsidR="00847668" w:rsidRPr="00B7760C" w:rsidRDefault="00847668" w:rsidP="00B2260C">
            <w:pPr>
              <w:pStyle w:val="Normal6a"/>
            </w:pPr>
          </w:p>
        </w:tc>
        <w:tc>
          <w:tcPr>
            <w:tcW w:w="4876" w:type="dxa"/>
          </w:tcPr>
          <w:p w14:paraId="30238E0E" w14:textId="648F261D" w:rsidR="00847668" w:rsidRPr="00B7760C" w:rsidRDefault="00847668" w:rsidP="00B2260C">
            <w:pPr>
              <w:pStyle w:val="Normal6a"/>
            </w:pPr>
            <w:r w:rsidRPr="00B7760C">
              <w:rPr>
                <w:b/>
                <w:i/>
              </w:rPr>
              <w:t>Cilji strateških načrtov SKP se uresničujejo v skladu s Pariškim sporazumom ter za uresničevanje globalnih ciljev iz Pariškega sporazuma in obveznosti, opisanih v nacionalno določenih prispevkih Unije in držav članic.</w:t>
            </w:r>
          </w:p>
        </w:tc>
      </w:tr>
      <w:tr w:rsidR="00847668" w:rsidRPr="00B7760C" w14:paraId="26BF5862" w14:textId="77777777" w:rsidTr="008C44C1">
        <w:trPr>
          <w:jc w:val="center"/>
        </w:trPr>
        <w:tc>
          <w:tcPr>
            <w:tcW w:w="4876" w:type="dxa"/>
          </w:tcPr>
          <w:p w14:paraId="16AD8161" w14:textId="77777777" w:rsidR="00847668" w:rsidRPr="00B7760C" w:rsidRDefault="00847668" w:rsidP="00B2260C">
            <w:pPr>
              <w:pStyle w:val="Normal6a"/>
            </w:pPr>
          </w:p>
        </w:tc>
        <w:tc>
          <w:tcPr>
            <w:tcW w:w="4876" w:type="dxa"/>
          </w:tcPr>
          <w:p w14:paraId="1949293A" w14:textId="443A8D18" w:rsidR="00847668" w:rsidRPr="00B7760C" w:rsidRDefault="00847668" w:rsidP="00B2260C">
            <w:pPr>
              <w:pStyle w:val="Normal6a"/>
            </w:pPr>
            <w:r w:rsidRPr="00B7760C">
              <w:rPr>
                <w:b/>
                <w:i/>
              </w:rPr>
              <w:t>Komisija pred odobritvijo strateških načrtov SKP zagotovi, da bo kombinacija vseh ciljev in ukrepov iz strateških načrtov omogočila izpolnitev podnebnih ciljev iz tega člena.</w:t>
            </w:r>
          </w:p>
        </w:tc>
      </w:tr>
    </w:tbl>
    <w:p w14:paraId="6118085C" w14:textId="77777777" w:rsidR="00847668" w:rsidRPr="00B7760C" w:rsidRDefault="00847668" w:rsidP="003663AF">
      <w:pPr>
        <w:pStyle w:val="Normal6"/>
      </w:pPr>
    </w:p>
    <w:p w14:paraId="299008D3" w14:textId="77777777" w:rsidR="009473FB" w:rsidRPr="00B7760C" w:rsidRDefault="009473FB" w:rsidP="009473FB">
      <w:pPr>
        <w:pStyle w:val="AMNumberTabs"/>
        <w:keepNext/>
      </w:pPr>
      <w:r w:rsidRPr="00B7760C">
        <w:t>Sprememba</w:t>
      </w:r>
      <w:r w:rsidRPr="00B7760C">
        <w:tab/>
      </w:r>
      <w:r w:rsidRPr="00B7760C">
        <w:tab/>
        <w:t>125</w:t>
      </w:r>
    </w:p>
    <w:p w14:paraId="15AF6298" w14:textId="77777777" w:rsidR="009473FB" w:rsidRPr="00B7760C" w:rsidRDefault="009473FB" w:rsidP="009473FB">
      <w:pPr>
        <w:pStyle w:val="NormalBold12b"/>
      </w:pPr>
      <w:r w:rsidRPr="00B7760C">
        <w:t>Predlog uredbe</w:t>
      </w:r>
    </w:p>
    <w:p w14:paraId="04660FD4" w14:textId="53FD9E18" w:rsidR="009473FB" w:rsidRPr="00B7760C" w:rsidRDefault="009473FB" w:rsidP="009473FB">
      <w:pPr>
        <w:pStyle w:val="NormalBold"/>
      </w:pPr>
      <w:r w:rsidRPr="00B7760C">
        <w:t xml:space="preserve">Člen 9 </w:t>
      </w:r>
      <w:r w:rsidR="00AA0E62" w:rsidRPr="00B7760C">
        <w:t>c</w:t>
      </w:r>
      <w:r w:rsidRPr="00B7760C">
        <w:t xml:space="preserve"> (novo)</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9473FB" w:rsidRPr="00B7760C" w14:paraId="122F53BE" w14:textId="77777777" w:rsidTr="00B2260C">
        <w:trPr>
          <w:jc w:val="center"/>
        </w:trPr>
        <w:tc>
          <w:tcPr>
            <w:tcW w:w="9752" w:type="dxa"/>
            <w:gridSpan w:val="2"/>
          </w:tcPr>
          <w:p w14:paraId="5A79EABE" w14:textId="77777777" w:rsidR="009473FB" w:rsidRPr="00B7760C" w:rsidRDefault="009473FB" w:rsidP="00B2260C">
            <w:pPr>
              <w:keepNext/>
            </w:pPr>
          </w:p>
        </w:tc>
      </w:tr>
      <w:tr w:rsidR="009473FB" w:rsidRPr="00B7760C" w14:paraId="4814D8E0" w14:textId="77777777" w:rsidTr="00B2260C">
        <w:trPr>
          <w:jc w:val="center"/>
        </w:trPr>
        <w:tc>
          <w:tcPr>
            <w:tcW w:w="4876" w:type="dxa"/>
          </w:tcPr>
          <w:p w14:paraId="3CAC55E6" w14:textId="77777777" w:rsidR="009473FB" w:rsidRPr="00B7760C" w:rsidRDefault="009473FB" w:rsidP="00B2260C">
            <w:pPr>
              <w:pStyle w:val="ColumnHeading"/>
              <w:keepNext/>
            </w:pPr>
            <w:r w:rsidRPr="00B7760C">
              <w:t>Besedilo, ki ga predlaga Komisija</w:t>
            </w:r>
          </w:p>
        </w:tc>
        <w:tc>
          <w:tcPr>
            <w:tcW w:w="4876" w:type="dxa"/>
          </w:tcPr>
          <w:p w14:paraId="3A682309" w14:textId="77777777" w:rsidR="009473FB" w:rsidRPr="00B7760C" w:rsidRDefault="009473FB" w:rsidP="00B2260C">
            <w:pPr>
              <w:pStyle w:val="ColumnHeading"/>
              <w:keepNext/>
            </w:pPr>
            <w:r w:rsidRPr="00B7760C">
              <w:t>Sprememba</w:t>
            </w:r>
          </w:p>
        </w:tc>
      </w:tr>
      <w:tr w:rsidR="009473FB" w:rsidRPr="00B7760C" w14:paraId="63FF9F82" w14:textId="77777777" w:rsidTr="00B2260C">
        <w:trPr>
          <w:jc w:val="center"/>
        </w:trPr>
        <w:tc>
          <w:tcPr>
            <w:tcW w:w="4876" w:type="dxa"/>
          </w:tcPr>
          <w:p w14:paraId="62D0E396" w14:textId="77777777" w:rsidR="009473FB" w:rsidRPr="00B7760C" w:rsidRDefault="009473FB" w:rsidP="00B2260C">
            <w:pPr>
              <w:pStyle w:val="Normal6"/>
            </w:pPr>
          </w:p>
        </w:tc>
        <w:tc>
          <w:tcPr>
            <w:tcW w:w="4876" w:type="dxa"/>
          </w:tcPr>
          <w:p w14:paraId="02B7E602" w14:textId="43A6EDC3" w:rsidR="009473FB" w:rsidRPr="00B7760C" w:rsidRDefault="009473FB" w:rsidP="00B2260C">
            <w:pPr>
              <w:pStyle w:val="Normal6"/>
              <w:jc w:val="center"/>
              <w:rPr>
                <w:b/>
                <w:i/>
                <w:szCs w:val="24"/>
              </w:rPr>
            </w:pPr>
            <w:r w:rsidRPr="00B7760C">
              <w:rPr>
                <w:b/>
                <w:i/>
                <w:szCs w:val="24"/>
              </w:rPr>
              <w:t>Člen 9</w:t>
            </w:r>
            <w:r w:rsidR="00AA0E62" w:rsidRPr="00B7760C">
              <w:rPr>
                <w:b/>
                <w:i/>
                <w:szCs w:val="24"/>
              </w:rPr>
              <w:t>c</w:t>
            </w:r>
          </w:p>
        </w:tc>
      </w:tr>
      <w:tr w:rsidR="009473FB" w:rsidRPr="00B7760C" w14:paraId="136E79C1" w14:textId="77777777" w:rsidTr="00B2260C">
        <w:trPr>
          <w:jc w:val="center"/>
        </w:trPr>
        <w:tc>
          <w:tcPr>
            <w:tcW w:w="4876" w:type="dxa"/>
          </w:tcPr>
          <w:p w14:paraId="609734B0" w14:textId="77777777" w:rsidR="009473FB" w:rsidRPr="00B7760C" w:rsidRDefault="009473FB" w:rsidP="00B2260C">
            <w:pPr>
              <w:pStyle w:val="Normal6"/>
            </w:pPr>
          </w:p>
        </w:tc>
        <w:tc>
          <w:tcPr>
            <w:tcW w:w="4876" w:type="dxa"/>
          </w:tcPr>
          <w:p w14:paraId="23CD3B73" w14:textId="77777777" w:rsidR="009473FB" w:rsidRPr="00B7760C" w:rsidRDefault="009473FB" w:rsidP="00B2260C">
            <w:pPr>
              <w:pStyle w:val="Normal6"/>
              <w:jc w:val="center"/>
              <w:rPr>
                <w:b/>
                <w:i/>
                <w:szCs w:val="24"/>
              </w:rPr>
            </w:pPr>
            <w:r w:rsidRPr="00B7760C">
              <w:rPr>
                <w:b/>
                <w:i/>
              </w:rPr>
              <w:t>Vključevanje vidika enakosti spolov</w:t>
            </w:r>
          </w:p>
        </w:tc>
      </w:tr>
      <w:tr w:rsidR="009473FB" w:rsidRPr="00B7760C" w14:paraId="66F1D548" w14:textId="77777777" w:rsidTr="00B2260C">
        <w:trPr>
          <w:jc w:val="center"/>
        </w:trPr>
        <w:tc>
          <w:tcPr>
            <w:tcW w:w="4876" w:type="dxa"/>
          </w:tcPr>
          <w:p w14:paraId="1041A5D3" w14:textId="77777777" w:rsidR="009473FB" w:rsidRPr="00B7760C" w:rsidRDefault="009473FB" w:rsidP="00B2260C">
            <w:pPr>
              <w:pStyle w:val="Normal6"/>
            </w:pPr>
          </w:p>
        </w:tc>
        <w:tc>
          <w:tcPr>
            <w:tcW w:w="4876" w:type="dxa"/>
          </w:tcPr>
          <w:p w14:paraId="418358C8" w14:textId="77777777" w:rsidR="009473FB" w:rsidRPr="00B7760C" w:rsidRDefault="009473FB" w:rsidP="00B2260C">
            <w:pPr>
              <w:pStyle w:val="Normal6"/>
              <w:rPr>
                <w:b/>
                <w:i/>
                <w:szCs w:val="24"/>
              </w:rPr>
            </w:pPr>
            <w:r w:rsidRPr="00B7760C">
              <w:rPr>
                <w:b/>
                <w:i/>
                <w:szCs w:val="24"/>
              </w:rPr>
              <w:t>Države članice zagotovijo vključevanje vidika enakosti spolov v pripravo, izvajanje in ocenjevanje strateških načrtov SKP za spodbujanje enakosti spolov in boj proti diskriminaciji na podlagi spola.</w:t>
            </w:r>
          </w:p>
        </w:tc>
      </w:tr>
    </w:tbl>
    <w:p w14:paraId="3915FC16" w14:textId="657B05ED" w:rsidR="003663AF" w:rsidRPr="00B7760C" w:rsidRDefault="00877691" w:rsidP="003663AF">
      <w:pPr>
        <w:pStyle w:val="AMNumberTabs"/>
        <w:keepNext/>
      </w:pPr>
      <w:r w:rsidRPr="00B7760C">
        <w:t>Sprememba</w:t>
      </w:r>
      <w:r w:rsidR="003663AF" w:rsidRPr="00B7760C">
        <w:tab/>
      </w:r>
      <w:r w:rsidR="003663AF" w:rsidRPr="00B7760C">
        <w:tab/>
        <w:t>126</w:t>
      </w:r>
    </w:p>
    <w:p w14:paraId="1B74B116" w14:textId="77777777" w:rsidR="003663AF" w:rsidRPr="00B7760C" w:rsidRDefault="003663AF" w:rsidP="003663AF">
      <w:pPr>
        <w:pStyle w:val="NormalBold12b"/>
      </w:pPr>
      <w:r w:rsidRPr="00B7760C">
        <w:t>Predlog uredbe</w:t>
      </w:r>
    </w:p>
    <w:p w14:paraId="66BA4B58" w14:textId="77777777" w:rsidR="003663AF" w:rsidRPr="00B7760C" w:rsidRDefault="003663AF" w:rsidP="003663AF">
      <w:pPr>
        <w:pStyle w:val="NormalBold"/>
      </w:pPr>
      <w:r w:rsidRPr="00B7760C">
        <w:t>Člen 10 – odstavek -1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7F6FABB" w14:textId="77777777" w:rsidTr="00E804B7">
        <w:trPr>
          <w:jc w:val="center"/>
        </w:trPr>
        <w:tc>
          <w:tcPr>
            <w:tcW w:w="9752" w:type="dxa"/>
            <w:gridSpan w:val="2"/>
          </w:tcPr>
          <w:p w14:paraId="13E94B35" w14:textId="77777777" w:rsidR="003663AF" w:rsidRPr="00B7760C" w:rsidRDefault="003663AF" w:rsidP="00E804B7">
            <w:pPr>
              <w:keepNext/>
            </w:pPr>
          </w:p>
        </w:tc>
      </w:tr>
      <w:tr w:rsidR="003663AF" w:rsidRPr="00B7760C" w14:paraId="7B91D45E" w14:textId="77777777" w:rsidTr="00E804B7">
        <w:trPr>
          <w:jc w:val="center"/>
        </w:trPr>
        <w:tc>
          <w:tcPr>
            <w:tcW w:w="4876" w:type="dxa"/>
            <w:hideMark/>
          </w:tcPr>
          <w:p w14:paraId="58FDC6E7" w14:textId="77777777" w:rsidR="003663AF" w:rsidRPr="00B7760C" w:rsidRDefault="003663AF" w:rsidP="00E804B7">
            <w:pPr>
              <w:pStyle w:val="ColumnHeading"/>
              <w:keepNext/>
            </w:pPr>
            <w:r w:rsidRPr="00B7760C">
              <w:t>Besedilo, ki ga predlaga Komisija</w:t>
            </w:r>
          </w:p>
        </w:tc>
        <w:tc>
          <w:tcPr>
            <w:tcW w:w="4876" w:type="dxa"/>
            <w:hideMark/>
          </w:tcPr>
          <w:p w14:paraId="1AC46636" w14:textId="3B9F3C20" w:rsidR="003663AF" w:rsidRPr="00B7760C" w:rsidRDefault="00877691" w:rsidP="00E804B7">
            <w:pPr>
              <w:pStyle w:val="ColumnHeading"/>
              <w:keepNext/>
            </w:pPr>
            <w:r w:rsidRPr="00B7760C">
              <w:t>Sprememba</w:t>
            </w:r>
          </w:p>
        </w:tc>
      </w:tr>
      <w:tr w:rsidR="003663AF" w:rsidRPr="00B7760C" w14:paraId="70A45C2A" w14:textId="77777777" w:rsidTr="00E804B7">
        <w:trPr>
          <w:jc w:val="center"/>
        </w:trPr>
        <w:tc>
          <w:tcPr>
            <w:tcW w:w="4876" w:type="dxa"/>
          </w:tcPr>
          <w:p w14:paraId="248D278A" w14:textId="77777777" w:rsidR="003663AF" w:rsidRPr="00B7760C" w:rsidRDefault="003663AF" w:rsidP="00E804B7">
            <w:pPr>
              <w:pStyle w:val="Normal6"/>
            </w:pPr>
          </w:p>
        </w:tc>
        <w:tc>
          <w:tcPr>
            <w:tcW w:w="4876" w:type="dxa"/>
            <w:hideMark/>
          </w:tcPr>
          <w:p w14:paraId="5632A9AE" w14:textId="77777777" w:rsidR="003663AF" w:rsidRPr="00B7760C" w:rsidRDefault="003663AF" w:rsidP="00E804B7">
            <w:pPr>
              <w:pStyle w:val="Normal6"/>
              <w:rPr>
                <w:szCs w:val="24"/>
              </w:rPr>
            </w:pPr>
            <w:r w:rsidRPr="00B7760C">
              <w:rPr>
                <w:b/>
                <w:i/>
              </w:rPr>
              <w:t>-1.</w:t>
            </w:r>
            <w:r w:rsidRPr="00B7760C">
              <w:rPr>
                <w:b/>
                <w:i/>
              </w:rPr>
              <w:tab/>
              <w:t>Komisija zagotovi, da se v strateških načrtih držav članic spoštujejo obveznosti v okviru Svetovne trgovinske organizacije (STO).</w:t>
            </w:r>
          </w:p>
        </w:tc>
      </w:tr>
    </w:tbl>
    <w:p w14:paraId="6C709CEF" w14:textId="77777777" w:rsidR="003663AF" w:rsidRPr="00B7760C" w:rsidRDefault="003663AF" w:rsidP="003663AF"/>
    <w:p w14:paraId="37416965" w14:textId="66D26819" w:rsidR="003663AF" w:rsidRPr="00B7760C" w:rsidRDefault="00877691" w:rsidP="003663AF">
      <w:pPr>
        <w:pStyle w:val="AMNumberTabs"/>
        <w:keepNext/>
      </w:pPr>
      <w:r w:rsidRPr="00B7760C">
        <w:t>Sprememba</w:t>
      </w:r>
      <w:r w:rsidR="003663AF" w:rsidRPr="00B7760C">
        <w:tab/>
      </w:r>
      <w:r w:rsidR="003663AF" w:rsidRPr="00B7760C">
        <w:tab/>
        <w:t>127</w:t>
      </w:r>
    </w:p>
    <w:p w14:paraId="6375292C" w14:textId="77777777" w:rsidR="003663AF" w:rsidRPr="00B7760C" w:rsidRDefault="003663AF" w:rsidP="003663AF">
      <w:pPr>
        <w:pStyle w:val="NormalBold12b"/>
      </w:pPr>
      <w:r w:rsidRPr="00B7760C">
        <w:t>Predlog uredbe</w:t>
      </w:r>
    </w:p>
    <w:p w14:paraId="20B962E4" w14:textId="77777777" w:rsidR="003663AF" w:rsidRPr="00B7760C" w:rsidRDefault="003663AF" w:rsidP="003663AF">
      <w:pPr>
        <w:pStyle w:val="NormalBold"/>
      </w:pPr>
      <w:r w:rsidRPr="00B7760C">
        <w:t>Člen 10 – odstavek 1 – pododstavek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D2917F1" w14:textId="77777777" w:rsidTr="00E804B7">
        <w:trPr>
          <w:jc w:val="center"/>
        </w:trPr>
        <w:tc>
          <w:tcPr>
            <w:tcW w:w="9752" w:type="dxa"/>
            <w:gridSpan w:val="2"/>
          </w:tcPr>
          <w:p w14:paraId="03137982" w14:textId="77777777" w:rsidR="003663AF" w:rsidRPr="00B7760C" w:rsidRDefault="003663AF" w:rsidP="00E804B7">
            <w:pPr>
              <w:keepNext/>
            </w:pPr>
          </w:p>
        </w:tc>
      </w:tr>
      <w:tr w:rsidR="003663AF" w:rsidRPr="00B7760C" w14:paraId="66E0D694" w14:textId="77777777" w:rsidTr="00E804B7">
        <w:trPr>
          <w:jc w:val="center"/>
        </w:trPr>
        <w:tc>
          <w:tcPr>
            <w:tcW w:w="4876" w:type="dxa"/>
            <w:hideMark/>
          </w:tcPr>
          <w:p w14:paraId="4C88365E" w14:textId="77777777" w:rsidR="003663AF" w:rsidRPr="00B7760C" w:rsidRDefault="003663AF" w:rsidP="00E804B7">
            <w:pPr>
              <w:pStyle w:val="ColumnHeading"/>
              <w:keepNext/>
            </w:pPr>
            <w:r w:rsidRPr="00B7760C">
              <w:t>Besedilo, ki ga predlaga Komisija</w:t>
            </w:r>
          </w:p>
        </w:tc>
        <w:tc>
          <w:tcPr>
            <w:tcW w:w="4876" w:type="dxa"/>
            <w:hideMark/>
          </w:tcPr>
          <w:p w14:paraId="209A9F60" w14:textId="30F06412" w:rsidR="003663AF" w:rsidRPr="00B7760C" w:rsidRDefault="00877691" w:rsidP="00E804B7">
            <w:pPr>
              <w:pStyle w:val="ColumnHeading"/>
              <w:keepNext/>
            </w:pPr>
            <w:r w:rsidRPr="00B7760C">
              <w:t>Sprememba</w:t>
            </w:r>
          </w:p>
        </w:tc>
      </w:tr>
      <w:tr w:rsidR="003663AF" w:rsidRPr="00B7760C" w14:paraId="658632DB" w14:textId="77777777" w:rsidTr="00E804B7">
        <w:trPr>
          <w:jc w:val="center"/>
        </w:trPr>
        <w:tc>
          <w:tcPr>
            <w:tcW w:w="4876" w:type="dxa"/>
            <w:hideMark/>
          </w:tcPr>
          <w:p w14:paraId="5A94C827" w14:textId="77777777" w:rsidR="003663AF" w:rsidRPr="00B7760C" w:rsidRDefault="003663AF" w:rsidP="00E804B7">
            <w:pPr>
              <w:pStyle w:val="Normal6"/>
            </w:pPr>
            <w:r w:rsidRPr="00B7760C">
              <w:rPr>
                <w:b/>
                <w:i/>
              </w:rPr>
              <w:t xml:space="preserve">Države članice zagotovijo, da </w:t>
            </w:r>
            <w:r w:rsidRPr="00B7760C">
              <w:t>intervencije, ki temeljijo na vrstah intervencij iz Priloge II k tej uredbi, vključno z opredelitvami pojmov iz člena 3 in opredelitvami pojmov, ki jih je treba določiti v strateških načrtih SKP, iz člena 4, upoštevajo določbe odstavka 1 Priloge 2 k Sporazumu STO o kmetijstvu.</w:t>
            </w:r>
          </w:p>
        </w:tc>
        <w:tc>
          <w:tcPr>
            <w:tcW w:w="4876" w:type="dxa"/>
            <w:hideMark/>
          </w:tcPr>
          <w:p w14:paraId="18CF5896" w14:textId="77777777" w:rsidR="003663AF" w:rsidRPr="00B7760C" w:rsidRDefault="003663AF" w:rsidP="00E804B7">
            <w:pPr>
              <w:pStyle w:val="Normal6"/>
              <w:rPr>
                <w:szCs w:val="24"/>
              </w:rPr>
            </w:pPr>
            <w:r w:rsidRPr="00B7760C">
              <w:t>Intervencije, ki temeljijo na vrstah intervencij iz Priloge II k tej uredbi, vključno z opredelitvami pojmov iz člena 3 in opredelitvami pojmov, ki jih je treba določiti v strateških načrtih SKP, iz člena 4, upoštevajo določbe odstavka 1 Priloge 2 k Sporazumu STO o kmetijstvu.</w:t>
            </w:r>
          </w:p>
        </w:tc>
      </w:tr>
    </w:tbl>
    <w:p w14:paraId="6859D685" w14:textId="77777777" w:rsidR="003663AF" w:rsidRPr="00B7760C" w:rsidRDefault="003663AF" w:rsidP="003663AF"/>
    <w:p w14:paraId="598799C9" w14:textId="113BC9FA" w:rsidR="003663AF" w:rsidRPr="00B7760C" w:rsidRDefault="00877691" w:rsidP="003663AF">
      <w:pPr>
        <w:pStyle w:val="AMNumberTabs"/>
        <w:keepNext/>
      </w:pPr>
      <w:r w:rsidRPr="00B7760C">
        <w:t>Sprememba</w:t>
      </w:r>
      <w:r w:rsidR="003663AF" w:rsidRPr="00B7760C">
        <w:tab/>
      </w:r>
      <w:r w:rsidR="003663AF" w:rsidRPr="00B7760C">
        <w:tab/>
        <w:t>128</w:t>
      </w:r>
    </w:p>
    <w:p w14:paraId="42239C52" w14:textId="77777777" w:rsidR="003663AF" w:rsidRPr="00B7760C" w:rsidRDefault="003663AF" w:rsidP="003663AF">
      <w:pPr>
        <w:pStyle w:val="NormalBold12b"/>
      </w:pPr>
      <w:r w:rsidRPr="00B7760C">
        <w:t>Predlog uredbe</w:t>
      </w:r>
    </w:p>
    <w:p w14:paraId="6B30C9A2" w14:textId="77777777" w:rsidR="003663AF" w:rsidRPr="00B7760C" w:rsidRDefault="003663AF" w:rsidP="003663AF">
      <w:pPr>
        <w:pStyle w:val="NormalBold"/>
      </w:pPr>
      <w:r w:rsidRPr="00B7760C">
        <w:t>Člen 10 – odstavek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08F582F" w14:textId="77777777" w:rsidTr="00E804B7">
        <w:trPr>
          <w:jc w:val="center"/>
        </w:trPr>
        <w:tc>
          <w:tcPr>
            <w:tcW w:w="9752" w:type="dxa"/>
            <w:gridSpan w:val="2"/>
          </w:tcPr>
          <w:p w14:paraId="49B42F82" w14:textId="77777777" w:rsidR="003663AF" w:rsidRPr="00B7760C" w:rsidRDefault="003663AF" w:rsidP="00E804B7">
            <w:pPr>
              <w:keepNext/>
            </w:pPr>
          </w:p>
        </w:tc>
      </w:tr>
      <w:tr w:rsidR="003663AF" w:rsidRPr="00B7760C" w14:paraId="591820F2" w14:textId="77777777" w:rsidTr="00E804B7">
        <w:trPr>
          <w:jc w:val="center"/>
        </w:trPr>
        <w:tc>
          <w:tcPr>
            <w:tcW w:w="4876" w:type="dxa"/>
            <w:hideMark/>
          </w:tcPr>
          <w:p w14:paraId="3636C144" w14:textId="77777777" w:rsidR="003663AF" w:rsidRPr="00B7760C" w:rsidRDefault="003663AF" w:rsidP="00E804B7">
            <w:pPr>
              <w:pStyle w:val="ColumnHeading"/>
              <w:keepNext/>
            </w:pPr>
            <w:r w:rsidRPr="00B7760C">
              <w:t>Besedilo, ki ga predlaga Komisija</w:t>
            </w:r>
          </w:p>
        </w:tc>
        <w:tc>
          <w:tcPr>
            <w:tcW w:w="4876" w:type="dxa"/>
            <w:hideMark/>
          </w:tcPr>
          <w:p w14:paraId="6DA11E66" w14:textId="3DC04194" w:rsidR="003663AF" w:rsidRPr="00B7760C" w:rsidRDefault="00877691" w:rsidP="00E804B7">
            <w:pPr>
              <w:pStyle w:val="ColumnHeading"/>
              <w:keepNext/>
            </w:pPr>
            <w:r w:rsidRPr="00B7760C">
              <w:t>Sprememba</w:t>
            </w:r>
          </w:p>
        </w:tc>
      </w:tr>
      <w:tr w:rsidR="003663AF" w:rsidRPr="00B7760C" w14:paraId="0E07E12A" w14:textId="77777777" w:rsidTr="00E804B7">
        <w:trPr>
          <w:jc w:val="center"/>
        </w:trPr>
        <w:tc>
          <w:tcPr>
            <w:tcW w:w="4876" w:type="dxa"/>
            <w:hideMark/>
          </w:tcPr>
          <w:p w14:paraId="0DB4C15A" w14:textId="77777777" w:rsidR="003663AF" w:rsidRPr="00B7760C" w:rsidRDefault="003663AF" w:rsidP="00E804B7">
            <w:pPr>
              <w:pStyle w:val="Normal6"/>
            </w:pPr>
            <w:r w:rsidRPr="00B7760C">
              <w:rPr>
                <w:b/>
                <w:i/>
              </w:rPr>
              <w:t>2.</w:t>
            </w:r>
            <w:r w:rsidRPr="00B7760C">
              <w:rPr>
                <w:b/>
                <w:i/>
              </w:rPr>
              <w:tab/>
              <w:t>Države članice zagotovijo, da intervencije v obliki na kmetijsko rastlino vezanega plačila za bombaž iz pododdelka 2 oddelka 3 poglavja II tega naslova upoštevajo določbe člena 6(5) Sporazuma STO o kmetijstvu.</w:t>
            </w:r>
          </w:p>
        </w:tc>
        <w:tc>
          <w:tcPr>
            <w:tcW w:w="4876" w:type="dxa"/>
            <w:hideMark/>
          </w:tcPr>
          <w:p w14:paraId="6A6A6093" w14:textId="77777777" w:rsidR="003663AF" w:rsidRPr="00B7760C" w:rsidRDefault="003663AF" w:rsidP="00E804B7">
            <w:pPr>
              <w:pStyle w:val="Normal6"/>
              <w:rPr>
                <w:szCs w:val="24"/>
              </w:rPr>
            </w:pPr>
            <w:r w:rsidRPr="00B7760C">
              <w:rPr>
                <w:b/>
                <w:i/>
              </w:rPr>
              <w:t>črtano</w:t>
            </w:r>
          </w:p>
        </w:tc>
      </w:tr>
    </w:tbl>
    <w:p w14:paraId="5F55C21A" w14:textId="68AA0DFC" w:rsidR="003663AF" w:rsidRPr="00B7760C" w:rsidRDefault="003663AF" w:rsidP="003663AF"/>
    <w:p w14:paraId="49407713" w14:textId="4C238F8C" w:rsidR="00847668" w:rsidRPr="00B7760C" w:rsidRDefault="00847668" w:rsidP="00847668">
      <w:pPr>
        <w:pStyle w:val="AmNumberTabs0"/>
      </w:pPr>
      <w:r w:rsidRPr="00B7760C">
        <w:t>Sprememba</w:t>
      </w:r>
      <w:r w:rsidRPr="00B7760C">
        <w:tab/>
      </w:r>
      <w:r w:rsidRPr="00B7760C">
        <w:tab/>
        <w:t>809</w:t>
      </w:r>
    </w:p>
    <w:p w14:paraId="4924EE7E" w14:textId="77777777" w:rsidR="00847668" w:rsidRPr="00B7760C" w:rsidRDefault="00847668" w:rsidP="00847668">
      <w:pPr>
        <w:pStyle w:val="NormalBold12b"/>
      </w:pPr>
      <w:r w:rsidRPr="00B7760C">
        <w:t>Predlog uredbe</w:t>
      </w:r>
    </w:p>
    <w:p w14:paraId="28DE2267" w14:textId="77777777" w:rsidR="00847668" w:rsidRPr="00B7760C" w:rsidRDefault="00847668" w:rsidP="00847668">
      <w:pPr>
        <w:pStyle w:val="NormalBold"/>
      </w:pPr>
      <w:r w:rsidRPr="00B7760C">
        <w:t>Člen 10 a (novo)</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847668" w:rsidRPr="00B7760C" w14:paraId="1A377257" w14:textId="77777777" w:rsidTr="008C44C1">
        <w:trPr>
          <w:trHeight w:hRule="exact" w:val="240"/>
          <w:jc w:val="center"/>
        </w:trPr>
        <w:tc>
          <w:tcPr>
            <w:tcW w:w="9752" w:type="dxa"/>
            <w:gridSpan w:val="2"/>
          </w:tcPr>
          <w:p w14:paraId="6CDA9FF5" w14:textId="77777777" w:rsidR="00847668" w:rsidRPr="00B7760C" w:rsidRDefault="00847668" w:rsidP="00B2260C"/>
        </w:tc>
      </w:tr>
      <w:tr w:rsidR="00847668" w:rsidRPr="00B7760C" w14:paraId="68AAF520" w14:textId="77777777" w:rsidTr="008C44C1">
        <w:trPr>
          <w:trHeight w:val="240"/>
          <w:jc w:val="center"/>
        </w:trPr>
        <w:tc>
          <w:tcPr>
            <w:tcW w:w="4876" w:type="dxa"/>
          </w:tcPr>
          <w:p w14:paraId="5C2A42A7" w14:textId="77777777" w:rsidR="00847668" w:rsidRPr="00B7760C" w:rsidRDefault="00847668" w:rsidP="00B2260C">
            <w:pPr>
              <w:pStyle w:val="AmColumnHeading"/>
            </w:pPr>
            <w:r w:rsidRPr="00B7760C">
              <w:t>Besedilo, ki ga predlaga Komisija</w:t>
            </w:r>
          </w:p>
        </w:tc>
        <w:tc>
          <w:tcPr>
            <w:tcW w:w="4876" w:type="dxa"/>
          </w:tcPr>
          <w:p w14:paraId="5C4BF2B5" w14:textId="2DBECE81" w:rsidR="00847668" w:rsidRPr="00B7760C" w:rsidRDefault="00847668" w:rsidP="00B2260C">
            <w:pPr>
              <w:pStyle w:val="AmColumnHeading"/>
            </w:pPr>
            <w:r w:rsidRPr="00B7760C">
              <w:t>Sprememba</w:t>
            </w:r>
          </w:p>
        </w:tc>
      </w:tr>
      <w:tr w:rsidR="00847668" w:rsidRPr="00B7760C" w14:paraId="1D5BBD05" w14:textId="77777777" w:rsidTr="008C44C1">
        <w:trPr>
          <w:jc w:val="center"/>
        </w:trPr>
        <w:tc>
          <w:tcPr>
            <w:tcW w:w="4876" w:type="dxa"/>
          </w:tcPr>
          <w:p w14:paraId="018AB1A2" w14:textId="77777777" w:rsidR="00847668" w:rsidRPr="00B7760C" w:rsidRDefault="00847668" w:rsidP="00B2260C">
            <w:pPr>
              <w:pStyle w:val="Normal6a"/>
            </w:pPr>
          </w:p>
        </w:tc>
        <w:tc>
          <w:tcPr>
            <w:tcW w:w="4876" w:type="dxa"/>
          </w:tcPr>
          <w:p w14:paraId="40CD41A2" w14:textId="77777777" w:rsidR="00847668" w:rsidRPr="00B7760C" w:rsidRDefault="00847668" w:rsidP="00B2260C">
            <w:pPr>
              <w:pStyle w:val="NormalBoldItalicCenter6a"/>
            </w:pPr>
            <w:r w:rsidRPr="00B7760C">
              <w:t>Člen 10a</w:t>
            </w:r>
          </w:p>
        </w:tc>
      </w:tr>
      <w:tr w:rsidR="00847668" w:rsidRPr="00B7760C" w14:paraId="0473AF82" w14:textId="77777777" w:rsidTr="008C44C1">
        <w:trPr>
          <w:jc w:val="center"/>
        </w:trPr>
        <w:tc>
          <w:tcPr>
            <w:tcW w:w="4876" w:type="dxa"/>
          </w:tcPr>
          <w:p w14:paraId="636F2D99" w14:textId="77777777" w:rsidR="00847668" w:rsidRPr="00B7760C" w:rsidRDefault="00847668" w:rsidP="00B2260C">
            <w:pPr>
              <w:pStyle w:val="Normal6a"/>
            </w:pPr>
          </w:p>
        </w:tc>
        <w:tc>
          <w:tcPr>
            <w:tcW w:w="4876" w:type="dxa"/>
          </w:tcPr>
          <w:p w14:paraId="3B353D0B" w14:textId="77777777" w:rsidR="00847668" w:rsidRPr="00B7760C" w:rsidRDefault="00847668" w:rsidP="00B2260C">
            <w:pPr>
              <w:pStyle w:val="NormalBoldItalicCenter6a"/>
            </w:pPr>
            <w:r w:rsidRPr="00B7760C">
              <w:t>Svetovna razsežnost SKP</w:t>
            </w:r>
          </w:p>
        </w:tc>
      </w:tr>
      <w:tr w:rsidR="00847668" w:rsidRPr="00B7760C" w14:paraId="1E4099D4" w14:textId="77777777" w:rsidTr="008C44C1">
        <w:trPr>
          <w:jc w:val="center"/>
        </w:trPr>
        <w:tc>
          <w:tcPr>
            <w:tcW w:w="4876" w:type="dxa"/>
          </w:tcPr>
          <w:p w14:paraId="6520BFE7" w14:textId="77777777" w:rsidR="00847668" w:rsidRPr="00B7760C" w:rsidRDefault="00847668" w:rsidP="00B2260C">
            <w:pPr>
              <w:pStyle w:val="Normal6a"/>
            </w:pPr>
          </w:p>
        </w:tc>
        <w:tc>
          <w:tcPr>
            <w:tcW w:w="4876" w:type="dxa"/>
          </w:tcPr>
          <w:p w14:paraId="346EEB2B" w14:textId="598441BE" w:rsidR="00847668" w:rsidRPr="00B7760C" w:rsidRDefault="00847668" w:rsidP="00B2260C">
            <w:pPr>
              <w:pStyle w:val="Normal6a"/>
            </w:pPr>
            <w:r w:rsidRPr="00B7760C">
              <w:rPr>
                <w:b/>
                <w:i/>
              </w:rPr>
              <w:t xml:space="preserve">1. </w:t>
            </w:r>
            <w:r w:rsidRPr="00B7760C">
              <w:rPr>
                <w:b/>
                <w:i/>
              </w:rPr>
              <w:tab/>
              <w:t>V skladu s členom 208 PDEU Unija in države članice zagotovijo, da se cilji razvojnega sodelovanja upoštevajo v vseh intervencijah SKP in da spoštujejo pravico do hrane in pravico do razvoja.</w:t>
            </w:r>
          </w:p>
        </w:tc>
      </w:tr>
      <w:tr w:rsidR="00847668" w:rsidRPr="00B7760C" w14:paraId="1DB132E5" w14:textId="77777777" w:rsidTr="008C44C1">
        <w:trPr>
          <w:jc w:val="center"/>
        </w:trPr>
        <w:tc>
          <w:tcPr>
            <w:tcW w:w="4876" w:type="dxa"/>
          </w:tcPr>
          <w:p w14:paraId="2F5A1F40" w14:textId="77777777" w:rsidR="00847668" w:rsidRPr="00B7760C" w:rsidRDefault="00847668" w:rsidP="00B2260C">
            <w:pPr>
              <w:pStyle w:val="Normal6a"/>
            </w:pPr>
          </w:p>
        </w:tc>
        <w:tc>
          <w:tcPr>
            <w:tcW w:w="4876" w:type="dxa"/>
          </w:tcPr>
          <w:p w14:paraId="2F6DADCC" w14:textId="41DB049E" w:rsidR="00847668" w:rsidRPr="00B7760C" w:rsidRDefault="00847668" w:rsidP="00B2260C">
            <w:pPr>
              <w:pStyle w:val="Normal6a"/>
            </w:pPr>
            <w:r w:rsidRPr="00B7760C">
              <w:rPr>
                <w:b/>
                <w:i/>
              </w:rPr>
              <w:t xml:space="preserve">2. </w:t>
            </w:r>
            <w:r w:rsidRPr="00B7760C">
              <w:rPr>
                <w:b/>
                <w:i/>
              </w:rPr>
              <w:tab/>
              <w:t>Države članice zagotovijo, da strateški načrti SKP čim bolj prispevajo k pravočasnemu doseganju ciljev iz agende za trajnostni razvoj do leta 2030, predvsem ciljev trajnostnega razvoja 2, 10, 12 in 13, ter iz Pariškega sporazuma. Zato intervencije SKP:</w:t>
            </w:r>
          </w:p>
        </w:tc>
      </w:tr>
      <w:tr w:rsidR="00847668" w:rsidRPr="00B7760C" w14:paraId="05F2EB7C" w14:textId="77777777" w:rsidTr="008C44C1">
        <w:trPr>
          <w:jc w:val="center"/>
        </w:trPr>
        <w:tc>
          <w:tcPr>
            <w:tcW w:w="4876" w:type="dxa"/>
          </w:tcPr>
          <w:p w14:paraId="31FA2F1E" w14:textId="77777777" w:rsidR="00847668" w:rsidRPr="00B7760C" w:rsidRDefault="00847668" w:rsidP="00B2260C">
            <w:pPr>
              <w:pStyle w:val="Normal6a"/>
            </w:pPr>
          </w:p>
        </w:tc>
        <w:tc>
          <w:tcPr>
            <w:tcW w:w="4876" w:type="dxa"/>
          </w:tcPr>
          <w:p w14:paraId="65EE6704" w14:textId="0A4CFF23" w:rsidR="00847668" w:rsidRPr="00B7760C" w:rsidRDefault="00847668" w:rsidP="00B2260C">
            <w:pPr>
              <w:pStyle w:val="Normal6a"/>
            </w:pPr>
            <w:r w:rsidRPr="00B7760C">
              <w:rPr>
                <w:b/>
                <w:i/>
              </w:rPr>
              <w:t xml:space="preserve">(i) </w:t>
            </w:r>
            <w:r w:rsidRPr="00B7760C">
              <w:rPr>
                <w:b/>
                <w:i/>
              </w:rPr>
              <w:tab/>
              <w:t>prispevajo k razvoju raznolikega in trajnostnega kmetijstva ter odpornih ekoloških kmetijskih praks v Uniji in partnerskih državah;</w:t>
            </w:r>
          </w:p>
        </w:tc>
      </w:tr>
      <w:tr w:rsidR="00847668" w:rsidRPr="00B7760C" w14:paraId="31DE4EC1" w14:textId="77777777" w:rsidTr="008C44C1">
        <w:trPr>
          <w:jc w:val="center"/>
        </w:trPr>
        <w:tc>
          <w:tcPr>
            <w:tcW w:w="4876" w:type="dxa"/>
          </w:tcPr>
          <w:p w14:paraId="53409E28" w14:textId="77777777" w:rsidR="00847668" w:rsidRPr="00B7760C" w:rsidRDefault="00847668" w:rsidP="00B2260C">
            <w:pPr>
              <w:pStyle w:val="Normal6a"/>
            </w:pPr>
          </w:p>
        </w:tc>
        <w:tc>
          <w:tcPr>
            <w:tcW w:w="4876" w:type="dxa"/>
          </w:tcPr>
          <w:p w14:paraId="71004184" w14:textId="46E49E1B" w:rsidR="00847668" w:rsidRPr="00B7760C" w:rsidRDefault="00847668" w:rsidP="00B2260C">
            <w:pPr>
              <w:pStyle w:val="Normal6a"/>
            </w:pPr>
            <w:r w:rsidRPr="00B7760C">
              <w:rPr>
                <w:b/>
                <w:i/>
              </w:rPr>
              <w:t xml:space="preserve">(ii) </w:t>
            </w:r>
            <w:r w:rsidRPr="00B7760C">
              <w:rPr>
                <w:b/>
                <w:i/>
              </w:rPr>
              <w:tab/>
              <w:t>prispevajo k ohranjanju genske raznovrstnosti semen, gojenih rastlin, gojenih in udomačenih živali ter prostoživečih vrst v Uniji in partnerskih državah;</w:t>
            </w:r>
          </w:p>
        </w:tc>
      </w:tr>
      <w:tr w:rsidR="00847668" w:rsidRPr="00B7760C" w14:paraId="084D027C" w14:textId="77777777" w:rsidTr="008C44C1">
        <w:trPr>
          <w:jc w:val="center"/>
        </w:trPr>
        <w:tc>
          <w:tcPr>
            <w:tcW w:w="4876" w:type="dxa"/>
          </w:tcPr>
          <w:p w14:paraId="49A6CB7B" w14:textId="77777777" w:rsidR="00847668" w:rsidRPr="00B7760C" w:rsidRDefault="00847668" w:rsidP="00B2260C">
            <w:pPr>
              <w:pStyle w:val="Normal6a"/>
            </w:pPr>
          </w:p>
        </w:tc>
        <w:tc>
          <w:tcPr>
            <w:tcW w:w="4876" w:type="dxa"/>
          </w:tcPr>
          <w:p w14:paraId="1ED91024" w14:textId="194A1816" w:rsidR="00847668" w:rsidRPr="00B7760C" w:rsidRDefault="00AA0E62" w:rsidP="00AA0E62">
            <w:pPr>
              <w:pStyle w:val="Normal6a"/>
            </w:pPr>
            <w:r w:rsidRPr="00B7760C">
              <w:rPr>
                <w:b/>
                <w:i/>
              </w:rPr>
              <w:t>(iii</w:t>
            </w:r>
            <w:r w:rsidR="00847668" w:rsidRPr="00B7760C">
              <w:rPr>
                <w:b/>
                <w:i/>
              </w:rPr>
              <w:t xml:space="preserve">) </w:t>
            </w:r>
            <w:r w:rsidR="00847668" w:rsidRPr="00B7760C">
              <w:rPr>
                <w:b/>
                <w:i/>
              </w:rPr>
              <w:tab/>
              <w:t>v celoti vključujejo ukrepe za blažitev podnebnih sprememb in prilagoditev nanje;</w:t>
            </w:r>
          </w:p>
        </w:tc>
      </w:tr>
      <w:tr w:rsidR="00847668" w:rsidRPr="00B7760C" w14:paraId="28A7A77D" w14:textId="77777777" w:rsidTr="008C44C1">
        <w:trPr>
          <w:jc w:val="center"/>
        </w:trPr>
        <w:tc>
          <w:tcPr>
            <w:tcW w:w="4876" w:type="dxa"/>
          </w:tcPr>
          <w:p w14:paraId="76D26272" w14:textId="77777777" w:rsidR="00847668" w:rsidRPr="00B7760C" w:rsidRDefault="00847668" w:rsidP="00B2260C">
            <w:pPr>
              <w:pStyle w:val="Normal6a"/>
            </w:pPr>
          </w:p>
        </w:tc>
        <w:tc>
          <w:tcPr>
            <w:tcW w:w="4876" w:type="dxa"/>
          </w:tcPr>
          <w:p w14:paraId="0017B5D7" w14:textId="48BD1656" w:rsidR="00847668" w:rsidRPr="00B7760C" w:rsidRDefault="00847668" w:rsidP="00B2260C">
            <w:pPr>
              <w:pStyle w:val="Normal6a"/>
            </w:pPr>
            <w:r w:rsidRPr="00B7760C">
              <w:rPr>
                <w:b/>
                <w:i/>
              </w:rPr>
              <w:t xml:space="preserve">3. </w:t>
            </w:r>
            <w:r w:rsidRPr="00B7760C">
              <w:rPr>
                <w:b/>
                <w:i/>
              </w:rPr>
              <w:tab/>
              <w:t>Redno se ocenjuje, ali SKP upošteva skladnost politik za razvoj, med drugim na podlagi podatkov iz mehanizma spremljanja iz člena 119a. Komisija Svetu in Evropskemu parlamentu poroča o rezultatih ocene in odzivu politike Unije.</w:t>
            </w:r>
          </w:p>
        </w:tc>
      </w:tr>
    </w:tbl>
    <w:p w14:paraId="445D4582" w14:textId="77777777" w:rsidR="00847668" w:rsidRPr="00B7760C" w:rsidRDefault="00847668" w:rsidP="003663AF"/>
    <w:p w14:paraId="780441F9" w14:textId="75FC3305" w:rsidR="003663AF" w:rsidRPr="00B7760C" w:rsidRDefault="00877691" w:rsidP="00847668">
      <w:pPr>
        <w:pStyle w:val="AMNumberTabs"/>
        <w:keepNext/>
      </w:pPr>
      <w:r w:rsidRPr="00B7760C">
        <w:t>Sprememba</w:t>
      </w:r>
      <w:r w:rsidR="003663AF" w:rsidRPr="00B7760C">
        <w:tab/>
      </w:r>
      <w:r w:rsidR="003663AF" w:rsidRPr="00B7760C">
        <w:tab/>
      </w:r>
      <w:r w:rsidR="00847668" w:rsidRPr="00B7760C">
        <w:t>1151</w:t>
      </w:r>
      <w:r w:rsidR="00AA0E62" w:rsidRPr="00B7760C">
        <w:t xml:space="preserve"> cp1</w:t>
      </w:r>
    </w:p>
    <w:p w14:paraId="5663E830" w14:textId="77777777" w:rsidR="003663AF" w:rsidRPr="00B7760C" w:rsidRDefault="003663AF" w:rsidP="003663AF">
      <w:pPr>
        <w:pStyle w:val="NormalBold12b"/>
      </w:pPr>
      <w:r w:rsidRPr="00B7760C">
        <w:t>Predlog uredbe</w:t>
      </w:r>
    </w:p>
    <w:p w14:paraId="51CF67A8" w14:textId="77777777" w:rsidR="003663AF" w:rsidRPr="00B7760C" w:rsidRDefault="003663AF" w:rsidP="003663AF">
      <w:pPr>
        <w:pStyle w:val="NormalBold"/>
      </w:pPr>
      <w:r w:rsidRPr="00B7760C">
        <w:t>Člen 11 – odstavek 1 – uvodni del</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1E1DCE1" w14:textId="77777777" w:rsidTr="00847668">
        <w:trPr>
          <w:jc w:val="center"/>
        </w:trPr>
        <w:tc>
          <w:tcPr>
            <w:tcW w:w="9752" w:type="dxa"/>
            <w:gridSpan w:val="2"/>
          </w:tcPr>
          <w:p w14:paraId="1CC8794A" w14:textId="77777777" w:rsidR="003663AF" w:rsidRPr="00B7760C" w:rsidRDefault="003663AF" w:rsidP="00E804B7">
            <w:pPr>
              <w:keepNext/>
            </w:pPr>
          </w:p>
        </w:tc>
      </w:tr>
      <w:tr w:rsidR="003663AF" w:rsidRPr="00B7760C" w14:paraId="695D4849" w14:textId="77777777" w:rsidTr="00847668">
        <w:trPr>
          <w:jc w:val="center"/>
        </w:trPr>
        <w:tc>
          <w:tcPr>
            <w:tcW w:w="4876" w:type="dxa"/>
            <w:hideMark/>
          </w:tcPr>
          <w:p w14:paraId="60E38B23" w14:textId="77777777" w:rsidR="003663AF" w:rsidRPr="00B7760C" w:rsidRDefault="003663AF" w:rsidP="00E804B7">
            <w:pPr>
              <w:pStyle w:val="ColumnHeading"/>
              <w:keepNext/>
            </w:pPr>
            <w:r w:rsidRPr="00B7760C">
              <w:t>Besedilo, ki ga predlaga Komisija</w:t>
            </w:r>
          </w:p>
        </w:tc>
        <w:tc>
          <w:tcPr>
            <w:tcW w:w="4876" w:type="dxa"/>
            <w:hideMark/>
          </w:tcPr>
          <w:p w14:paraId="145DB108" w14:textId="1575B8DF" w:rsidR="003663AF" w:rsidRPr="00B7760C" w:rsidRDefault="00877691" w:rsidP="00E804B7">
            <w:pPr>
              <w:pStyle w:val="ColumnHeading"/>
              <w:keepNext/>
            </w:pPr>
            <w:r w:rsidRPr="00B7760C">
              <w:t>Sprememba</w:t>
            </w:r>
          </w:p>
        </w:tc>
      </w:tr>
      <w:tr w:rsidR="00847668" w:rsidRPr="00B7760C" w14:paraId="501FCACF" w14:textId="77777777" w:rsidTr="00847668">
        <w:trPr>
          <w:jc w:val="center"/>
        </w:trPr>
        <w:tc>
          <w:tcPr>
            <w:tcW w:w="4876" w:type="dxa"/>
          </w:tcPr>
          <w:p w14:paraId="69D1B317" w14:textId="77777777" w:rsidR="00847668" w:rsidRPr="00B7760C" w:rsidRDefault="00847668" w:rsidP="00B2260C">
            <w:pPr>
              <w:pStyle w:val="Normal6a"/>
            </w:pPr>
            <w:r w:rsidRPr="00B7760C">
              <w:t>1.</w:t>
            </w:r>
            <w:r w:rsidRPr="00B7760C">
              <w:tab/>
              <w:t>Države članice v svoje strateške načrte SKP vključijo sistem pogojenosti, v okviru katerega se upravna kazen naloži upravičencem, ki prejemajo neposredna plačila na podlagi poglavja II tega naslova ali letne premije na podlagi členov 65, 66 in 67</w:t>
            </w:r>
            <w:r w:rsidRPr="00B7760C">
              <w:rPr>
                <w:b/>
                <w:i/>
              </w:rPr>
              <w:t xml:space="preserve"> ter ki</w:t>
            </w:r>
            <w:r w:rsidRPr="00B7760C">
              <w:t xml:space="preserve"> ne izpolnjujejo predpisanih zahtev ravnanja na podlagi prava Unije ter standardov za ohranjanje dobrih kmetijskih in okoljskih pogojev zemljišč, ki so določeni v strateškem načrtu SKP, kot je navedeno v Prilogi III, in sicer v zvezi z naslednjimi področji:</w:t>
            </w:r>
          </w:p>
        </w:tc>
        <w:tc>
          <w:tcPr>
            <w:tcW w:w="4876" w:type="dxa"/>
          </w:tcPr>
          <w:p w14:paraId="2CD05A2A" w14:textId="77777777" w:rsidR="00847668" w:rsidRPr="00B7760C" w:rsidRDefault="00847668" w:rsidP="00B2260C">
            <w:pPr>
              <w:pStyle w:val="Normal6a"/>
            </w:pPr>
            <w:r w:rsidRPr="00B7760C">
              <w:t>1.</w:t>
            </w:r>
            <w:r w:rsidRPr="00B7760C">
              <w:tab/>
              <w:t>Države članice v svoje strateške načrte SKP vključijo sistem pogojenosti, v okviru katerega se upravna kazen naloži upravičencem, ki prejemajo neposredna plačila na podlagi poglavja II tega naslova ali letne premije na podlagi členov 65, 66 in 67</w:t>
            </w:r>
            <w:r w:rsidRPr="00B7760C">
              <w:rPr>
                <w:b/>
                <w:i/>
              </w:rPr>
              <w:t>, če</w:t>
            </w:r>
            <w:r w:rsidRPr="00B7760C">
              <w:t xml:space="preserve"> ne izpolnjujejo predpisanih zahtev ravnanja na podlagi prava Unije ter standardov za ohranjanje dobrih kmetijskih in okoljskih pogojev zemljišč, ki so določeni v strateškem načrtu SKP, kot je navedeno v Prilogi III, in sicer v zvezi z naslednjimi področji:</w:t>
            </w:r>
          </w:p>
        </w:tc>
      </w:tr>
    </w:tbl>
    <w:p w14:paraId="27C8D309" w14:textId="77777777" w:rsidR="00847668" w:rsidRPr="00B7760C" w:rsidRDefault="00847668" w:rsidP="003663AF"/>
    <w:p w14:paraId="106F69A2" w14:textId="58D8D7C6" w:rsidR="003663AF" w:rsidRPr="00B7760C" w:rsidRDefault="00877691" w:rsidP="00847668">
      <w:pPr>
        <w:pStyle w:val="AMNumberTabs"/>
        <w:keepNext/>
      </w:pPr>
      <w:r w:rsidRPr="00B7760C">
        <w:t>Sprememb</w:t>
      </w:r>
      <w:r w:rsidR="00847668" w:rsidRPr="00B7760C">
        <w:t>e</w:t>
      </w:r>
      <w:r w:rsidR="003663AF" w:rsidRPr="00B7760C">
        <w:tab/>
      </w:r>
      <w:r w:rsidR="003663AF" w:rsidRPr="00B7760C">
        <w:tab/>
      </w:r>
      <w:r w:rsidR="00847668" w:rsidRPr="00B7760C">
        <w:t>810</w:t>
      </w:r>
      <w:r w:rsidR="00AA0E62" w:rsidRPr="00B7760C">
        <w:t xml:space="preserve"> cp2</w:t>
      </w:r>
      <w:r w:rsidR="00847668" w:rsidRPr="00B7760C">
        <w:t>, 887 in 1151</w:t>
      </w:r>
      <w:r w:rsidR="00AA0E62" w:rsidRPr="00B7760C">
        <w:t xml:space="preserve"> cp2</w:t>
      </w:r>
    </w:p>
    <w:p w14:paraId="1D3417E9" w14:textId="77777777" w:rsidR="003663AF" w:rsidRPr="00B7760C" w:rsidRDefault="003663AF" w:rsidP="003663AF">
      <w:pPr>
        <w:pStyle w:val="NormalBold12b"/>
      </w:pPr>
      <w:r w:rsidRPr="00B7760C">
        <w:t>Predlog uredbe</w:t>
      </w:r>
    </w:p>
    <w:p w14:paraId="728617FD" w14:textId="77777777" w:rsidR="003663AF" w:rsidRPr="00B7760C" w:rsidRDefault="003663AF" w:rsidP="003663AF">
      <w:pPr>
        <w:pStyle w:val="NormalBold"/>
      </w:pPr>
      <w:r w:rsidRPr="00B7760C">
        <w:t>Člen 11 – odstavek 1 – točka a</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C647452" w14:textId="77777777" w:rsidTr="00847668">
        <w:trPr>
          <w:jc w:val="center"/>
        </w:trPr>
        <w:tc>
          <w:tcPr>
            <w:tcW w:w="9752" w:type="dxa"/>
            <w:gridSpan w:val="2"/>
          </w:tcPr>
          <w:p w14:paraId="1D5336A7" w14:textId="77777777" w:rsidR="003663AF" w:rsidRPr="00B7760C" w:rsidRDefault="003663AF" w:rsidP="00E804B7">
            <w:pPr>
              <w:keepNext/>
            </w:pPr>
          </w:p>
        </w:tc>
      </w:tr>
      <w:tr w:rsidR="003663AF" w:rsidRPr="00B7760C" w14:paraId="0394A891" w14:textId="77777777" w:rsidTr="00847668">
        <w:trPr>
          <w:jc w:val="center"/>
        </w:trPr>
        <w:tc>
          <w:tcPr>
            <w:tcW w:w="4876" w:type="dxa"/>
            <w:hideMark/>
          </w:tcPr>
          <w:p w14:paraId="54CF247C" w14:textId="77777777" w:rsidR="003663AF" w:rsidRPr="00B7760C" w:rsidRDefault="003663AF" w:rsidP="00E804B7">
            <w:pPr>
              <w:pStyle w:val="ColumnHeading"/>
              <w:keepNext/>
            </w:pPr>
            <w:r w:rsidRPr="00B7760C">
              <w:t>Besedilo, ki ga predlaga Komisija</w:t>
            </w:r>
          </w:p>
        </w:tc>
        <w:tc>
          <w:tcPr>
            <w:tcW w:w="4876" w:type="dxa"/>
            <w:hideMark/>
          </w:tcPr>
          <w:p w14:paraId="29B799D1" w14:textId="5E0FC5C7" w:rsidR="003663AF" w:rsidRPr="00B7760C" w:rsidRDefault="00877691" w:rsidP="00E804B7">
            <w:pPr>
              <w:pStyle w:val="ColumnHeading"/>
              <w:keepNext/>
            </w:pPr>
            <w:r w:rsidRPr="00B7760C">
              <w:t>Sprememba</w:t>
            </w:r>
          </w:p>
        </w:tc>
      </w:tr>
      <w:tr w:rsidR="00847668" w:rsidRPr="00B7760C" w14:paraId="2DF3BCE3" w14:textId="77777777" w:rsidTr="00847668">
        <w:trPr>
          <w:jc w:val="center"/>
        </w:trPr>
        <w:tc>
          <w:tcPr>
            <w:tcW w:w="4876" w:type="dxa"/>
          </w:tcPr>
          <w:p w14:paraId="14962DBD" w14:textId="77777777" w:rsidR="00847668" w:rsidRPr="00B7760C" w:rsidRDefault="00847668" w:rsidP="00B2260C">
            <w:pPr>
              <w:pStyle w:val="Normal6a"/>
            </w:pPr>
            <w:r w:rsidRPr="00B7760C">
              <w:t>(a)</w:t>
            </w:r>
            <w:r w:rsidRPr="00B7760C">
              <w:tab/>
              <w:t>podnebje in okolje;</w:t>
            </w:r>
          </w:p>
        </w:tc>
        <w:tc>
          <w:tcPr>
            <w:tcW w:w="4876" w:type="dxa"/>
          </w:tcPr>
          <w:p w14:paraId="60656C2C" w14:textId="77777777" w:rsidR="00847668" w:rsidRPr="00B7760C" w:rsidRDefault="00847668" w:rsidP="00B2260C">
            <w:pPr>
              <w:pStyle w:val="Normal6a"/>
            </w:pPr>
            <w:r w:rsidRPr="00B7760C">
              <w:t>(a)</w:t>
            </w:r>
            <w:r w:rsidRPr="00B7760C">
              <w:tab/>
              <w:t>podnebje in okolje</w:t>
            </w:r>
            <w:r w:rsidRPr="00B7760C">
              <w:rPr>
                <w:b/>
                <w:i/>
              </w:rPr>
              <w:t>, vključno z vodo, zrakom, tlemi, biotsko raznovrstnostjo in ekosistemskimi storitvami</w:t>
            </w:r>
            <w:r w:rsidRPr="00B7760C">
              <w:t>;</w:t>
            </w:r>
          </w:p>
        </w:tc>
      </w:tr>
      <w:tr w:rsidR="00847668" w:rsidRPr="00B7760C" w14:paraId="4E1ACFB0" w14:textId="77777777" w:rsidTr="00847668">
        <w:trPr>
          <w:jc w:val="center"/>
        </w:trPr>
        <w:tc>
          <w:tcPr>
            <w:tcW w:w="4876" w:type="dxa"/>
          </w:tcPr>
          <w:p w14:paraId="457A786E" w14:textId="77777777" w:rsidR="00847668" w:rsidRPr="00B7760C" w:rsidRDefault="00847668" w:rsidP="00E804B7">
            <w:pPr>
              <w:pStyle w:val="Normal6"/>
            </w:pPr>
          </w:p>
        </w:tc>
        <w:tc>
          <w:tcPr>
            <w:tcW w:w="4876" w:type="dxa"/>
          </w:tcPr>
          <w:p w14:paraId="066AE689" w14:textId="77777777" w:rsidR="00847668" w:rsidRPr="00B7760C" w:rsidRDefault="00847668" w:rsidP="00E804B7">
            <w:pPr>
              <w:pStyle w:val="Normal6"/>
            </w:pPr>
          </w:p>
        </w:tc>
      </w:tr>
    </w:tbl>
    <w:p w14:paraId="63EA8E58" w14:textId="77777777" w:rsidR="003663AF" w:rsidRPr="00B7760C" w:rsidRDefault="003663AF" w:rsidP="003663AF"/>
    <w:p w14:paraId="3863A355" w14:textId="11DAB9DF" w:rsidR="003663AF" w:rsidRPr="00B7760C" w:rsidRDefault="00877691" w:rsidP="00847668">
      <w:pPr>
        <w:pStyle w:val="AMNumberTabs"/>
        <w:keepNext/>
      </w:pPr>
      <w:r w:rsidRPr="00B7760C">
        <w:t>Sprememba</w:t>
      </w:r>
      <w:r w:rsidR="003663AF" w:rsidRPr="00B7760C">
        <w:tab/>
      </w:r>
      <w:r w:rsidR="003663AF" w:rsidRPr="00B7760C">
        <w:tab/>
      </w:r>
      <w:r w:rsidR="00847668" w:rsidRPr="00B7760C">
        <w:t>1151</w:t>
      </w:r>
      <w:r w:rsidR="00AA0E62" w:rsidRPr="00B7760C">
        <w:t xml:space="preserve"> cp3</w:t>
      </w:r>
    </w:p>
    <w:p w14:paraId="617DB3CB" w14:textId="77777777" w:rsidR="003663AF" w:rsidRPr="00B7760C" w:rsidRDefault="003663AF" w:rsidP="003663AF">
      <w:pPr>
        <w:pStyle w:val="NormalBold12b"/>
      </w:pPr>
      <w:r w:rsidRPr="00B7760C">
        <w:t>Predlog uredbe</w:t>
      </w:r>
    </w:p>
    <w:p w14:paraId="2E674A44" w14:textId="77777777" w:rsidR="003663AF" w:rsidRPr="00B7760C" w:rsidRDefault="003663AF" w:rsidP="003663AF">
      <w:pPr>
        <w:pStyle w:val="NormalBold"/>
      </w:pPr>
      <w:r w:rsidRPr="00B7760C">
        <w:t>Člen 11 – odstavek 2</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FDD9A09" w14:textId="77777777" w:rsidTr="00847668">
        <w:trPr>
          <w:jc w:val="center"/>
        </w:trPr>
        <w:tc>
          <w:tcPr>
            <w:tcW w:w="9752" w:type="dxa"/>
            <w:gridSpan w:val="2"/>
          </w:tcPr>
          <w:p w14:paraId="4B98CC2C" w14:textId="77777777" w:rsidR="003663AF" w:rsidRPr="00B7760C" w:rsidRDefault="003663AF" w:rsidP="00E804B7">
            <w:pPr>
              <w:keepNext/>
            </w:pPr>
          </w:p>
        </w:tc>
      </w:tr>
      <w:tr w:rsidR="003663AF" w:rsidRPr="00B7760C" w14:paraId="0ECDE9C7" w14:textId="77777777" w:rsidTr="00847668">
        <w:trPr>
          <w:jc w:val="center"/>
        </w:trPr>
        <w:tc>
          <w:tcPr>
            <w:tcW w:w="4876" w:type="dxa"/>
            <w:hideMark/>
          </w:tcPr>
          <w:p w14:paraId="336B343F" w14:textId="77777777" w:rsidR="003663AF" w:rsidRPr="00B7760C" w:rsidRDefault="003663AF" w:rsidP="00E804B7">
            <w:pPr>
              <w:pStyle w:val="ColumnHeading"/>
              <w:keepNext/>
            </w:pPr>
            <w:r w:rsidRPr="00B7760C">
              <w:t>Besedilo, ki ga predlaga Komisija</w:t>
            </w:r>
          </w:p>
        </w:tc>
        <w:tc>
          <w:tcPr>
            <w:tcW w:w="4876" w:type="dxa"/>
            <w:hideMark/>
          </w:tcPr>
          <w:p w14:paraId="32C01AB9" w14:textId="4C488C5B" w:rsidR="003663AF" w:rsidRPr="00B7760C" w:rsidRDefault="00877691" w:rsidP="00E804B7">
            <w:pPr>
              <w:pStyle w:val="ColumnHeading"/>
              <w:keepNext/>
            </w:pPr>
            <w:r w:rsidRPr="00B7760C">
              <w:t>Sprememba</w:t>
            </w:r>
          </w:p>
        </w:tc>
      </w:tr>
      <w:tr w:rsidR="00847668" w:rsidRPr="00B7760C" w14:paraId="5FFE4358" w14:textId="77777777" w:rsidTr="00847668">
        <w:trPr>
          <w:jc w:val="center"/>
        </w:trPr>
        <w:tc>
          <w:tcPr>
            <w:tcW w:w="4876" w:type="dxa"/>
          </w:tcPr>
          <w:p w14:paraId="68B9D613" w14:textId="77777777" w:rsidR="00847668" w:rsidRPr="00B7760C" w:rsidRDefault="00847668" w:rsidP="00B2260C">
            <w:pPr>
              <w:pStyle w:val="Normal6a"/>
            </w:pPr>
            <w:r w:rsidRPr="00B7760C">
              <w:t>2.</w:t>
            </w:r>
            <w:r w:rsidRPr="00B7760C">
              <w:tab/>
              <w:t xml:space="preserve">Pravila o upravnih </w:t>
            </w:r>
            <w:r w:rsidRPr="00B7760C">
              <w:rPr>
                <w:b/>
                <w:i/>
              </w:rPr>
              <w:t>kaznih</w:t>
            </w:r>
            <w:r w:rsidRPr="00B7760C">
              <w:t>, ki se vključijo v strateški načrt SKP, upoštevajo zahteve iz poglavja IV naslova IV Uredbe (EU) [HZU].</w:t>
            </w:r>
          </w:p>
        </w:tc>
        <w:tc>
          <w:tcPr>
            <w:tcW w:w="4876" w:type="dxa"/>
          </w:tcPr>
          <w:p w14:paraId="3C5690D0" w14:textId="77777777" w:rsidR="00847668" w:rsidRPr="00B7760C" w:rsidRDefault="00847668" w:rsidP="00B2260C">
            <w:pPr>
              <w:pStyle w:val="Normal6a"/>
            </w:pPr>
            <w:r w:rsidRPr="00B7760C">
              <w:t>2.</w:t>
            </w:r>
            <w:r w:rsidRPr="00B7760C">
              <w:tab/>
              <w:t xml:space="preserve">Pravila o </w:t>
            </w:r>
            <w:r w:rsidRPr="00B7760C">
              <w:rPr>
                <w:b/>
                <w:i/>
              </w:rPr>
              <w:t xml:space="preserve">učinkovitem in sorazmernem sistemu </w:t>
            </w:r>
            <w:r w:rsidRPr="00B7760C">
              <w:t xml:space="preserve">upravnih </w:t>
            </w:r>
            <w:r w:rsidRPr="00B7760C">
              <w:rPr>
                <w:b/>
                <w:i/>
              </w:rPr>
              <w:t>kazni</w:t>
            </w:r>
            <w:r w:rsidRPr="00B7760C">
              <w:t>, ki se vključijo v strateški načrt SKP, upoštevajo zahteve iz poglavja IV naslova IV Uredbe (EU) [HZU].</w:t>
            </w:r>
          </w:p>
        </w:tc>
      </w:tr>
    </w:tbl>
    <w:p w14:paraId="0A3EBE94" w14:textId="77777777" w:rsidR="00847668" w:rsidRPr="00B7760C" w:rsidRDefault="00847668" w:rsidP="003663AF"/>
    <w:p w14:paraId="668C4F2B" w14:textId="163D53E1" w:rsidR="003663AF" w:rsidRPr="00B7760C" w:rsidRDefault="00877691" w:rsidP="003663AF">
      <w:pPr>
        <w:pStyle w:val="AMNumberTabs"/>
        <w:keepNext/>
      </w:pPr>
      <w:r w:rsidRPr="00B7760C">
        <w:t>Sprememba</w:t>
      </w:r>
      <w:r w:rsidR="003663AF" w:rsidRPr="00B7760C">
        <w:tab/>
      </w:r>
      <w:r w:rsidR="003663AF" w:rsidRPr="00B7760C">
        <w:tab/>
        <w:t>132</w:t>
      </w:r>
    </w:p>
    <w:p w14:paraId="2FC60E59" w14:textId="77777777" w:rsidR="003663AF" w:rsidRPr="00B7760C" w:rsidRDefault="003663AF" w:rsidP="003663AF">
      <w:pPr>
        <w:pStyle w:val="NormalBold12b"/>
      </w:pPr>
      <w:r w:rsidRPr="00B7760C">
        <w:t>Predlog uredbe</w:t>
      </w:r>
    </w:p>
    <w:p w14:paraId="5C212B1F" w14:textId="77777777" w:rsidR="003663AF" w:rsidRPr="00B7760C" w:rsidRDefault="003663AF" w:rsidP="003663AF">
      <w:pPr>
        <w:pStyle w:val="NormalBold"/>
      </w:pPr>
      <w:r w:rsidRPr="00B7760C">
        <w:t>Člen 11 – odstavek 2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24BCEE3" w14:textId="77777777" w:rsidTr="00E804B7">
        <w:trPr>
          <w:jc w:val="center"/>
        </w:trPr>
        <w:tc>
          <w:tcPr>
            <w:tcW w:w="9752" w:type="dxa"/>
            <w:gridSpan w:val="2"/>
          </w:tcPr>
          <w:p w14:paraId="7F802657" w14:textId="77777777" w:rsidR="003663AF" w:rsidRPr="00B7760C" w:rsidRDefault="003663AF" w:rsidP="00E804B7">
            <w:pPr>
              <w:keepNext/>
            </w:pPr>
          </w:p>
        </w:tc>
      </w:tr>
      <w:tr w:rsidR="003663AF" w:rsidRPr="00B7760C" w14:paraId="5D68C262" w14:textId="77777777" w:rsidTr="00E804B7">
        <w:trPr>
          <w:jc w:val="center"/>
        </w:trPr>
        <w:tc>
          <w:tcPr>
            <w:tcW w:w="4876" w:type="dxa"/>
            <w:hideMark/>
          </w:tcPr>
          <w:p w14:paraId="614CE142" w14:textId="77777777" w:rsidR="003663AF" w:rsidRPr="00B7760C" w:rsidRDefault="003663AF" w:rsidP="00E804B7">
            <w:pPr>
              <w:pStyle w:val="ColumnHeading"/>
              <w:keepNext/>
            </w:pPr>
            <w:r w:rsidRPr="00B7760C">
              <w:t>Besedilo, ki ga predlaga Komisija</w:t>
            </w:r>
          </w:p>
        </w:tc>
        <w:tc>
          <w:tcPr>
            <w:tcW w:w="4876" w:type="dxa"/>
            <w:hideMark/>
          </w:tcPr>
          <w:p w14:paraId="5D6A987C" w14:textId="0BCD70CA" w:rsidR="003663AF" w:rsidRPr="00B7760C" w:rsidRDefault="00877691" w:rsidP="00E804B7">
            <w:pPr>
              <w:pStyle w:val="ColumnHeading"/>
              <w:keepNext/>
            </w:pPr>
            <w:r w:rsidRPr="00B7760C">
              <w:t>Sprememba</w:t>
            </w:r>
          </w:p>
        </w:tc>
      </w:tr>
      <w:tr w:rsidR="003663AF" w:rsidRPr="00B7760C" w14:paraId="5719D073" w14:textId="77777777" w:rsidTr="00E804B7">
        <w:trPr>
          <w:jc w:val="center"/>
        </w:trPr>
        <w:tc>
          <w:tcPr>
            <w:tcW w:w="4876" w:type="dxa"/>
          </w:tcPr>
          <w:p w14:paraId="16F614AD" w14:textId="77777777" w:rsidR="003663AF" w:rsidRPr="00B7760C" w:rsidRDefault="003663AF" w:rsidP="00E804B7">
            <w:pPr>
              <w:pStyle w:val="Normal6"/>
            </w:pPr>
          </w:p>
        </w:tc>
        <w:tc>
          <w:tcPr>
            <w:tcW w:w="4876" w:type="dxa"/>
            <w:hideMark/>
          </w:tcPr>
          <w:p w14:paraId="7983F9F9" w14:textId="77777777" w:rsidR="003663AF" w:rsidRPr="00B7760C" w:rsidRDefault="003663AF" w:rsidP="00E804B7">
            <w:pPr>
              <w:pStyle w:val="Normal6"/>
              <w:rPr>
                <w:szCs w:val="24"/>
              </w:rPr>
            </w:pPr>
            <w:r w:rsidRPr="00B7760C">
              <w:rPr>
                <w:b/>
                <w:i/>
              </w:rPr>
              <w:t>2a.</w:t>
            </w:r>
            <w:r w:rsidRPr="00B7760C">
              <w:rPr>
                <w:b/>
                <w:i/>
              </w:rPr>
              <w:tab/>
              <w:t>Na Komisijo se prenese pooblastilo za sprejemanje delegiranih aktov v skladu s členom 138 za dopolnitev te uredbe v zvezi z začasnimi odstopanji od pravil o pogojenosti med epidemijami bolezni, slabimi vremenskimi razmerami, katastrofami ali naravnimi nesrečami.</w:t>
            </w:r>
          </w:p>
        </w:tc>
      </w:tr>
    </w:tbl>
    <w:p w14:paraId="145EA385" w14:textId="77777777" w:rsidR="003663AF" w:rsidRPr="00B7760C" w:rsidRDefault="003663AF" w:rsidP="003663AF"/>
    <w:p w14:paraId="383A308D" w14:textId="12D5B733" w:rsidR="00AA0E62" w:rsidRPr="00B7760C" w:rsidRDefault="00AA0E62" w:rsidP="003663AF">
      <w:pPr>
        <w:pStyle w:val="AMNumberTabs"/>
        <w:keepNext/>
      </w:pPr>
    </w:p>
    <w:p w14:paraId="11E1599B" w14:textId="2714B1CE" w:rsidR="00AA0E62" w:rsidRPr="00B7760C" w:rsidRDefault="00AA0E62" w:rsidP="00AA0E62">
      <w:pPr>
        <w:pStyle w:val="AMNumberTabs"/>
        <w:keepNext/>
      </w:pPr>
      <w:r w:rsidRPr="00B7760C">
        <w:t>Sprememba</w:t>
      </w:r>
      <w:r w:rsidRPr="00B7760C">
        <w:tab/>
        <w:t>732</w:t>
      </w:r>
    </w:p>
    <w:p w14:paraId="0D375512" w14:textId="77777777" w:rsidR="00AA0E62" w:rsidRPr="00B7760C" w:rsidRDefault="00AA0E62" w:rsidP="00AA0E62">
      <w:pPr>
        <w:pStyle w:val="NormalBold12b"/>
      </w:pPr>
      <w:r w:rsidRPr="00B7760C">
        <w:t>Predlog uredbe</w:t>
      </w:r>
    </w:p>
    <w:p w14:paraId="1EC74B23" w14:textId="77777777" w:rsidR="00AA0E62" w:rsidRPr="00B7760C" w:rsidRDefault="00AA0E62" w:rsidP="00AA0E62">
      <w:pPr>
        <w:pStyle w:val="NormalBold"/>
      </w:pPr>
      <w:r w:rsidRPr="00B7760C">
        <w:t>Člen 11 a (novo)</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A0E62" w:rsidRPr="00B7760C" w14:paraId="60D60300" w14:textId="77777777" w:rsidTr="002E2EB0">
        <w:trPr>
          <w:jc w:val="center"/>
        </w:trPr>
        <w:tc>
          <w:tcPr>
            <w:tcW w:w="9752" w:type="dxa"/>
            <w:gridSpan w:val="2"/>
          </w:tcPr>
          <w:p w14:paraId="5E9A4F03" w14:textId="77777777" w:rsidR="00AA0E62" w:rsidRPr="00B7760C" w:rsidRDefault="00AA0E62" w:rsidP="002E2EB0">
            <w:pPr>
              <w:keepNext/>
            </w:pPr>
          </w:p>
        </w:tc>
      </w:tr>
      <w:tr w:rsidR="00AA0E62" w:rsidRPr="00B7760C" w14:paraId="0AB00391" w14:textId="77777777" w:rsidTr="002E2EB0">
        <w:trPr>
          <w:jc w:val="center"/>
        </w:trPr>
        <w:tc>
          <w:tcPr>
            <w:tcW w:w="4876" w:type="dxa"/>
          </w:tcPr>
          <w:p w14:paraId="0D3DF9D5" w14:textId="77777777" w:rsidR="00AA0E62" w:rsidRPr="00B7760C" w:rsidRDefault="00AA0E62" w:rsidP="002E2EB0">
            <w:pPr>
              <w:pStyle w:val="ColumnHeading"/>
              <w:keepNext/>
            </w:pPr>
            <w:r w:rsidRPr="00B7760C">
              <w:t>Besedilo, ki ga predlaga Komisija</w:t>
            </w:r>
          </w:p>
        </w:tc>
        <w:tc>
          <w:tcPr>
            <w:tcW w:w="4876" w:type="dxa"/>
          </w:tcPr>
          <w:p w14:paraId="1DA62A43" w14:textId="1DF03971" w:rsidR="00AA0E62" w:rsidRPr="00B7760C" w:rsidRDefault="00AA0E62" w:rsidP="002E2EB0">
            <w:pPr>
              <w:pStyle w:val="ColumnHeading"/>
              <w:keepNext/>
            </w:pPr>
            <w:r w:rsidRPr="00B7760C">
              <w:t>Sprememba</w:t>
            </w:r>
          </w:p>
        </w:tc>
      </w:tr>
      <w:tr w:rsidR="00AA0E62" w:rsidRPr="00B7760C" w14:paraId="55A32CD2" w14:textId="77777777" w:rsidTr="002E2EB0">
        <w:trPr>
          <w:jc w:val="center"/>
        </w:trPr>
        <w:tc>
          <w:tcPr>
            <w:tcW w:w="4876" w:type="dxa"/>
          </w:tcPr>
          <w:p w14:paraId="1D858022" w14:textId="77777777" w:rsidR="00AA0E62" w:rsidRPr="00B7760C" w:rsidRDefault="00AA0E62" w:rsidP="002E2EB0">
            <w:pPr>
              <w:pStyle w:val="Normal6"/>
            </w:pPr>
          </w:p>
        </w:tc>
        <w:tc>
          <w:tcPr>
            <w:tcW w:w="4876" w:type="dxa"/>
          </w:tcPr>
          <w:p w14:paraId="25916382" w14:textId="77777777" w:rsidR="00AA0E62" w:rsidRPr="00B7760C" w:rsidRDefault="00AA0E62" w:rsidP="002E2EB0">
            <w:pPr>
              <w:pStyle w:val="Normal6"/>
              <w:jc w:val="center"/>
              <w:rPr>
                <w:szCs w:val="24"/>
              </w:rPr>
            </w:pPr>
            <w:r w:rsidRPr="00B7760C">
              <w:rPr>
                <w:b/>
                <w:i/>
              </w:rPr>
              <w:t>Člen 11a</w:t>
            </w:r>
          </w:p>
        </w:tc>
      </w:tr>
      <w:tr w:rsidR="00AA0E62" w:rsidRPr="00B7760C" w14:paraId="347F5B61" w14:textId="77777777" w:rsidTr="002E2EB0">
        <w:trPr>
          <w:jc w:val="center"/>
        </w:trPr>
        <w:tc>
          <w:tcPr>
            <w:tcW w:w="4876" w:type="dxa"/>
          </w:tcPr>
          <w:p w14:paraId="6FFB4FC6" w14:textId="77777777" w:rsidR="00AA0E62" w:rsidRPr="00B7760C" w:rsidRDefault="00AA0E62" w:rsidP="002E2EB0">
            <w:pPr>
              <w:pStyle w:val="Normal6"/>
            </w:pPr>
          </w:p>
        </w:tc>
        <w:tc>
          <w:tcPr>
            <w:tcW w:w="4876" w:type="dxa"/>
          </w:tcPr>
          <w:p w14:paraId="173056D1" w14:textId="77777777" w:rsidR="00AA0E62" w:rsidRPr="00B7760C" w:rsidRDefault="00AA0E62" w:rsidP="002E2EB0">
            <w:pPr>
              <w:pStyle w:val="Normal6"/>
              <w:jc w:val="center"/>
              <w:rPr>
                <w:szCs w:val="24"/>
              </w:rPr>
            </w:pPr>
            <w:r w:rsidRPr="00B7760C">
              <w:rPr>
                <w:b/>
                <w:i/>
              </w:rPr>
              <w:t>Načelo socialnega pogojevanja in njegovo področje uporabe</w:t>
            </w:r>
          </w:p>
        </w:tc>
      </w:tr>
      <w:tr w:rsidR="00AA0E62" w:rsidRPr="00B7760C" w14:paraId="4A9B457F" w14:textId="77777777" w:rsidTr="002E2EB0">
        <w:trPr>
          <w:jc w:val="center"/>
        </w:trPr>
        <w:tc>
          <w:tcPr>
            <w:tcW w:w="4876" w:type="dxa"/>
          </w:tcPr>
          <w:p w14:paraId="14E16EB5" w14:textId="77777777" w:rsidR="00AA0E62" w:rsidRPr="00B7760C" w:rsidRDefault="00AA0E62" w:rsidP="002E2EB0">
            <w:pPr>
              <w:pStyle w:val="Normal6"/>
            </w:pPr>
          </w:p>
        </w:tc>
        <w:tc>
          <w:tcPr>
            <w:tcW w:w="4876" w:type="dxa"/>
          </w:tcPr>
          <w:p w14:paraId="2760E0C2" w14:textId="58F189EA" w:rsidR="00AA0E62" w:rsidRPr="00B7760C" w:rsidRDefault="00AA0E62" w:rsidP="002E2EB0">
            <w:pPr>
              <w:pStyle w:val="Normal6"/>
              <w:rPr>
                <w:szCs w:val="24"/>
              </w:rPr>
            </w:pPr>
            <w:r w:rsidRPr="00B7760C">
              <w:rPr>
                <w:b/>
                <w:i/>
              </w:rPr>
              <w:t xml:space="preserve">1. </w:t>
            </w:r>
            <w:r w:rsidR="00412461" w:rsidRPr="00B7760C">
              <w:rPr>
                <w:b/>
                <w:i/>
              </w:rPr>
              <w:tab/>
            </w:r>
            <w:r w:rsidRPr="00B7760C">
              <w:rPr>
                <w:b/>
                <w:i/>
              </w:rPr>
              <w:t>Države članice v svoje strateške načrte SKP vključijo sistem pogojevanja, v skladu s katerim se upravičencem, ki prejemajo neposredna plačila na podlagi poglavij II in III iz tega naslova ali letne premije na podlagi členov 65, 66 in 67, naloži upravna kazen, če ne spoštujejo veljavnih delovnih in zaposlitvenih pogojev in/ali obveznosti delodajalcev iz vseh ustreznih kolektivnih pogodb ter socialnega in delovnega prava na nacionalni ravni, ravni Unije in mednarodni ravni.</w:t>
            </w:r>
          </w:p>
        </w:tc>
      </w:tr>
      <w:tr w:rsidR="00AA0E62" w:rsidRPr="00B7760C" w14:paraId="25777EBB" w14:textId="77777777" w:rsidTr="002E2EB0">
        <w:trPr>
          <w:jc w:val="center"/>
        </w:trPr>
        <w:tc>
          <w:tcPr>
            <w:tcW w:w="4876" w:type="dxa"/>
          </w:tcPr>
          <w:p w14:paraId="41C5FCDE" w14:textId="77777777" w:rsidR="00AA0E62" w:rsidRPr="00B7760C" w:rsidRDefault="00AA0E62" w:rsidP="002E2EB0">
            <w:pPr>
              <w:pStyle w:val="Normal6"/>
            </w:pPr>
          </w:p>
        </w:tc>
        <w:tc>
          <w:tcPr>
            <w:tcW w:w="4876" w:type="dxa"/>
          </w:tcPr>
          <w:p w14:paraId="6382A16B" w14:textId="4544B325" w:rsidR="00AA0E62" w:rsidRPr="00B7760C" w:rsidRDefault="00AA0E62" w:rsidP="002E2EB0">
            <w:pPr>
              <w:pStyle w:val="Normal6"/>
              <w:rPr>
                <w:szCs w:val="24"/>
              </w:rPr>
            </w:pPr>
            <w:r w:rsidRPr="00B7760C">
              <w:rPr>
                <w:b/>
                <w:i/>
              </w:rPr>
              <w:t xml:space="preserve">2. </w:t>
            </w:r>
            <w:r w:rsidR="00412461" w:rsidRPr="00B7760C">
              <w:rPr>
                <w:b/>
                <w:i/>
              </w:rPr>
              <w:tab/>
            </w:r>
            <w:r w:rsidRPr="00B7760C">
              <w:rPr>
                <w:b/>
                <w:i/>
              </w:rPr>
              <w:t>Pri pravilih o učinkovitem in sorazmernem sistemu upravnih kazni, ki se vključijo v strateški načrt SKP, se upoštevajo zahteve iz poglavja IV naslova IV Uredbe (EU) [HZU].</w:t>
            </w:r>
          </w:p>
        </w:tc>
      </w:tr>
    </w:tbl>
    <w:p w14:paraId="2BE1D627" w14:textId="77777777" w:rsidR="00AA0E62" w:rsidRPr="00B7760C" w:rsidRDefault="00AA0E62" w:rsidP="003663AF">
      <w:pPr>
        <w:pStyle w:val="AMNumberTabs"/>
        <w:keepNext/>
      </w:pPr>
    </w:p>
    <w:p w14:paraId="67243745" w14:textId="1A1F7547" w:rsidR="003663AF" w:rsidRPr="00B7760C" w:rsidRDefault="003663AF" w:rsidP="003663AF"/>
    <w:p w14:paraId="4999F35A" w14:textId="2CA28953" w:rsidR="006C08ED" w:rsidRPr="00B7760C" w:rsidRDefault="00877691" w:rsidP="006C08ED">
      <w:pPr>
        <w:pStyle w:val="AmNumberTabs0"/>
      </w:pPr>
      <w:r w:rsidRPr="00B7760C">
        <w:t>Sprememba</w:t>
      </w:r>
      <w:r w:rsidR="006C08ED" w:rsidRPr="00B7760C">
        <w:tab/>
      </w:r>
      <w:r w:rsidR="006C08ED" w:rsidRPr="00B7760C">
        <w:tab/>
        <w:t>1128</w:t>
      </w:r>
    </w:p>
    <w:p w14:paraId="32199AB1" w14:textId="77777777" w:rsidR="006C08ED" w:rsidRPr="00B7760C" w:rsidRDefault="006C08ED" w:rsidP="006C08ED">
      <w:pPr>
        <w:pStyle w:val="NormalBold12b"/>
      </w:pPr>
      <w:r w:rsidRPr="00B7760C">
        <w:t>Predlog uredbe</w:t>
      </w:r>
    </w:p>
    <w:p w14:paraId="1B503E5C" w14:textId="77777777" w:rsidR="006C08ED" w:rsidRPr="00B7760C" w:rsidRDefault="006C08ED" w:rsidP="006C08ED">
      <w:pPr>
        <w:pStyle w:val="NormalBold"/>
      </w:pPr>
      <w:r w:rsidRPr="00B7760C">
        <w:t>Člen 12</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6C08ED" w:rsidRPr="00B7760C" w14:paraId="58C86C01" w14:textId="77777777" w:rsidTr="004F0B88">
        <w:trPr>
          <w:jc w:val="center"/>
        </w:trPr>
        <w:tc>
          <w:tcPr>
            <w:tcW w:w="9752" w:type="dxa"/>
            <w:gridSpan w:val="2"/>
          </w:tcPr>
          <w:p w14:paraId="707522E4" w14:textId="77777777" w:rsidR="006C08ED" w:rsidRPr="00B7760C" w:rsidRDefault="006C08ED" w:rsidP="004F0B88">
            <w:pPr>
              <w:keepNext/>
            </w:pPr>
          </w:p>
        </w:tc>
      </w:tr>
      <w:tr w:rsidR="006C08ED" w:rsidRPr="00B7760C" w14:paraId="6053DAEC" w14:textId="77777777" w:rsidTr="004F0B88">
        <w:trPr>
          <w:jc w:val="center"/>
        </w:trPr>
        <w:tc>
          <w:tcPr>
            <w:tcW w:w="4876" w:type="dxa"/>
          </w:tcPr>
          <w:p w14:paraId="1BE440DA" w14:textId="77777777" w:rsidR="006C08ED" w:rsidRPr="00B7760C" w:rsidRDefault="006C08ED" w:rsidP="004F0B88">
            <w:pPr>
              <w:pStyle w:val="AmColumnHeading"/>
              <w:keepNext/>
            </w:pPr>
            <w:r w:rsidRPr="00B7760C">
              <w:t>Besedilo, ki ga predlaga Komisija</w:t>
            </w:r>
          </w:p>
        </w:tc>
        <w:tc>
          <w:tcPr>
            <w:tcW w:w="4876" w:type="dxa"/>
          </w:tcPr>
          <w:p w14:paraId="1E98A08C" w14:textId="752361A4" w:rsidR="006C08ED" w:rsidRPr="00B7760C" w:rsidRDefault="00877691" w:rsidP="004F0B88">
            <w:pPr>
              <w:pStyle w:val="AmColumnHeading"/>
              <w:keepNext/>
            </w:pPr>
            <w:r w:rsidRPr="00B7760C">
              <w:t>Sprememba</w:t>
            </w:r>
          </w:p>
        </w:tc>
      </w:tr>
      <w:tr w:rsidR="006C08ED" w:rsidRPr="00B7760C" w14:paraId="73FA1557" w14:textId="77777777" w:rsidTr="004F0B88">
        <w:trPr>
          <w:jc w:val="center"/>
        </w:trPr>
        <w:tc>
          <w:tcPr>
            <w:tcW w:w="4876" w:type="dxa"/>
          </w:tcPr>
          <w:p w14:paraId="0C027531" w14:textId="77777777" w:rsidR="006C08ED" w:rsidRPr="00B7760C" w:rsidRDefault="006C08ED" w:rsidP="004F0B88">
            <w:pPr>
              <w:pStyle w:val="Normal6a"/>
              <w:jc w:val="center"/>
            </w:pPr>
            <w:r w:rsidRPr="00B7760C">
              <w:t>Člen 12</w:t>
            </w:r>
          </w:p>
        </w:tc>
        <w:tc>
          <w:tcPr>
            <w:tcW w:w="4876" w:type="dxa"/>
          </w:tcPr>
          <w:p w14:paraId="55568A07" w14:textId="77777777" w:rsidR="006C08ED" w:rsidRPr="00B7760C" w:rsidRDefault="006C08ED" w:rsidP="004F0B88">
            <w:pPr>
              <w:pStyle w:val="Normal6a"/>
              <w:jc w:val="center"/>
              <w:rPr>
                <w:szCs w:val="24"/>
              </w:rPr>
            </w:pPr>
            <w:r w:rsidRPr="00B7760C">
              <w:t>Člen 12</w:t>
            </w:r>
          </w:p>
        </w:tc>
      </w:tr>
      <w:tr w:rsidR="006C08ED" w:rsidRPr="00B7760C" w14:paraId="2BF70877" w14:textId="77777777" w:rsidTr="004F0B88">
        <w:trPr>
          <w:jc w:val="center"/>
        </w:trPr>
        <w:tc>
          <w:tcPr>
            <w:tcW w:w="4876" w:type="dxa"/>
          </w:tcPr>
          <w:p w14:paraId="5C11B2E6" w14:textId="77777777" w:rsidR="006C08ED" w:rsidRPr="00B7760C" w:rsidRDefault="006C08ED" w:rsidP="004F0B88">
            <w:pPr>
              <w:pStyle w:val="Normal6a"/>
              <w:jc w:val="center"/>
            </w:pPr>
            <w:r w:rsidRPr="00B7760C">
              <w:t>Obveznosti držav članic v zvezi z dobrimi kmetijskimi in okoljskimi pogoji</w:t>
            </w:r>
          </w:p>
        </w:tc>
        <w:tc>
          <w:tcPr>
            <w:tcW w:w="4876" w:type="dxa"/>
          </w:tcPr>
          <w:p w14:paraId="2E090AFB" w14:textId="77777777" w:rsidR="006C08ED" w:rsidRPr="00B7760C" w:rsidRDefault="006C08ED" w:rsidP="004F0B88">
            <w:pPr>
              <w:pStyle w:val="Normal6a"/>
              <w:jc w:val="center"/>
            </w:pPr>
            <w:r w:rsidRPr="00B7760C">
              <w:t>Obveznosti držav članic v zvezi z dobrimi kmetijskimi in okoljskimi pogoji</w:t>
            </w:r>
          </w:p>
        </w:tc>
      </w:tr>
      <w:tr w:rsidR="006C08ED" w:rsidRPr="00B7760C" w14:paraId="4C9E2BE8" w14:textId="77777777" w:rsidTr="004F0B88">
        <w:trPr>
          <w:jc w:val="center"/>
        </w:trPr>
        <w:tc>
          <w:tcPr>
            <w:tcW w:w="4876" w:type="dxa"/>
          </w:tcPr>
          <w:p w14:paraId="3F0C896F" w14:textId="77777777" w:rsidR="006C08ED" w:rsidRPr="00B7760C" w:rsidRDefault="006C08ED" w:rsidP="004F0B88">
            <w:pPr>
              <w:pStyle w:val="Normal6a"/>
            </w:pPr>
            <w:r w:rsidRPr="00B7760C">
              <w:t>1.</w:t>
            </w:r>
            <w:r w:rsidRPr="00B7760C">
              <w:tab/>
              <w:t>Države članice zagotovijo, da se vse kmetijske površine, vključno z zemljišči, ki se ne uporabljajo več za proizvodne namene, obdelujejo v skladu z dobrimi kmetijskimi in okoljskimi pogoji. Države članice v skladu z glavnim ciljem standardov iz Priloge III na nacionalni ali regionalni ravni določijo minimalne standarde za upravičence za ohranjanje dobrih kmetijskih in okoljskih pogojev zemljišč, pri čemer upoštevajo posebne značilnosti zadevnih površin, vključno s stanjem tal in podnebnimi razmerami, obstoječimi sistemi kmetovanja, rabo zemljišč, kolobarjenjem, načini kmetovanja ter strukturami kmetijskih gospodarstev.</w:t>
            </w:r>
          </w:p>
        </w:tc>
        <w:tc>
          <w:tcPr>
            <w:tcW w:w="4876" w:type="dxa"/>
          </w:tcPr>
          <w:p w14:paraId="5F0136BF" w14:textId="77777777" w:rsidR="006C08ED" w:rsidRPr="00B7760C" w:rsidRDefault="006C08ED" w:rsidP="004F0B88">
            <w:pPr>
              <w:pStyle w:val="Normal6a"/>
            </w:pPr>
            <w:r w:rsidRPr="00B7760C">
              <w:t>1.</w:t>
            </w:r>
            <w:r w:rsidRPr="00B7760C">
              <w:tab/>
              <w:t xml:space="preserve">Države članice zagotovijo, da se vse kmetijske površine, vključno z zemljišči, ki se ne uporabljajo več za proizvodne namene, obdelujejo v skladu z dobrimi kmetijskimi in okoljskimi pogoji. Države članice v skladu z glavnim ciljem standardov iz Priloge III </w:t>
            </w:r>
            <w:r w:rsidRPr="00B7760C">
              <w:rPr>
                <w:b/>
                <w:i/>
              </w:rPr>
              <w:t xml:space="preserve">po posvetovanju z ustreznimi deležniki </w:t>
            </w:r>
            <w:r w:rsidRPr="00B7760C">
              <w:t>na nacionalni ali</w:t>
            </w:r>
            <w:r w:rsidRPr="00B7760C">
              <w:rPr>
                <w:b/>
                <w:i/>
              </w:rPr>
              <w:t xml:space="preserve"> po potrebi</w:t>
            </w:r>
            <w:r w:rsidRPr="00B7760C">
              <w:t xml:space="preserve"> regionalni ravni določijo minimalne standarde za upravičence za ohranjanje dobrih kmetijskih in okoljskih pogojev zemljišč, pri čemer upoštevajo posebne značilnosti zadevnih površin, vključno s stanjem tal in podnebnimi razmerami, obstoječimi sistemi kmetovanja, rabo zemljišč, kolobarjenjem, načini kmetovanja ter strukturami kmetijskih gospodarstev</w:t>
            </w:r>
            <w:r w:rsidRPr="00B7760C">
              <w:rPr>
                <w:b/>
                <w:i/>
              </w:rPr>
              <w:t>, kar bo zagotavljalo, da zemljišče prispeva k specifičnim ciljem iz točk (d), (e) in (f) člena 6(1)</w:t>
            </w:r>
            <w:r w:rsidRPr="00B7760C">
              <w:t>.</w:t>
            </w:r>
          </w:p>
        </w:tc>
      </w:tr>
      <w:tr w:rsidR="006C08ED" w:rsidRPr="00B7760C" w14:paraId="427D77C6" w14:textId="77777777" w:rsidTr="004F0B88">
        <w:trPr>
          <w:jc w:val="center"/>
        </w:trPr>
        <w:tc>
          <w:tcPr>
            <w:tcW w:w="4876" w:type="dxa"/>
          </w:tcPr>
          <w:p w14:paraId="6B073A0C" w14:textId="77777777" w:rsidR="006C08ED" w:rsidRPr="00B7760C" w:rsidRDefault="006C08ED" w:rsidP="004F0B88">
            <w:pPr>
              <w:pStyle w:val="Normal6a"/>
            </w:pPr>
            <w:r w:rsidRPr="00B7760C">
              <w:t>2.</w:t>
            </w:r>
            <w:r w:rsidRPr="00B7760C">
              <w:tab/>
            </w:r>
            <w:r w:rsidRPr="00B7760C">
              <w:rPr>
                <w:b/>
                <w:i/>
              </w:rPr>
              <w:t>V</w:t>
            </w:r>
            <w:r w:rsidRPr="00B7760C">
              <w:t xml:space="preserve"> zvezi z glavnimi cilji iz Priloge III </w:t>
            </w:r>
            <w:r w:rsidRPr="00B7760C">
              <w:rPr>
                <w:b/>
                <w:i/>
              </w:rPr>
              <w:t xml:space="preserve">lahko države članice </w:t>
            </w:r>
            <w:r w:rsidRPr="00B7760C">
              <w:t>poleg standardov, ki so v navedeni prilogi določeni za navedene glavne cilje</w:t>
            </w:r>
            <w:r w:rsidRPr="00B7760C">
              <w:rPr>
                <w:b/>
                <w:i/>
              </w:rPr>
              <w:t>, predpišejo dodatne standarde</w:t>
            </w:r>
            <w:r w:rsidRPr="00B7760C">
              <w:t>.</w:t>
            </w:r>
            <w:r w:rsidRPr="00B7760C">
              <w:rPr>
                <w:b/>
                <w:i/>
              </w:rPr>
              <w:t xml:space="preserve"> Vendar </w:t>
            </w:r>
            <w:r w:rsidRPr="00B7760C">
              <w:t>države članice ne smejo opredeliti minimalnih standardov za glavne cilje, ki niso glavni cilji iz Priloge III.</w:t>
            </w:r>
          </w:p>
        </w:tc>
        <w:tc>
          <w:tcPr>
            <w:tcW w:w="4876" w:type="dxa"/>
          </w:tcPr>
          <w:p w14:paraId="0F4AC53D" w14:textId="77777777" w:rsidR="006C08ED" w:rsidRPr="00B7760C" w:rsidRDefault="006C08ED" w:rsidP="004F0B88">
            <w:pPr>
              <w:pStyle w:val="Normal6a"/>
            </w:pPr>
            <w:r w:rsidRPr="00B7760C">
              <w:t>2.</w:t>
            </w:r>
            <w:r w:rsidRPr="00B7760C">
              <w:tab/>
            </w:r>
            <w:r w:rsidRPr="00B7760C">
              <w:rPr>
                <w:b/>
                <w:i/>
              </w:rPr>
              <w:t>Da bi se zaščitila enotnost SKP in zagotovili enaki konkurenčni pogoji, države članice v okviru sistema pogojenosti ne smejo predpisati dodatnih standardov v</w:t>
            </w:r>
            <w:r w:rsidRPr="00B7760C">
              <w:t xml:space="preserve"> zvezi z glavnimi cilji iz Priloge III poleg standardov, ki so v navedeni prilogi določeni za navedene glavne cilje.</w:t>
            </w:r>
            <w:r w:rsidRPr="00B7760C">
              <w:rPr>
                <w:b/>
                <w:i/>
              </w:rPr>
              <w:t xml:space="preserve"> </w:t>
            </w:r>
            <w:r w:rsidRPr="00B7760C">
              <w:t>Države članice</w:t>
            </w:r>
            <w:r w:rsidRPr="00B7760C">
              <w:rPr>
                <w:b/>
                <w:i/>
              </w:rPr>
              <w:t xml:space="preserve"> prav tako</w:t>
            </w:r>
            <w:r w:rsidRPr="00B7760C">
              <w:t xml:space="preserve"> ne smejo opredeliti minimalnih standardov za glavne cilje, ki niso glavni cilji iz Priloge III.</w:t>
            </w:r>
          </w:p>
        </w:tc>
      </w:tr>
      <w:tr w:rsidR="006C08ED" w:rsidRPr="00B7760C" w14:paraId="18EFE7BF" w14:textId="77777777" w:rsidTr="004F0B88">
        <w:trPr>
          <w:jc w:val="center"/>
        </w:trPr>
        <w:tc>
          <w:tcPr>
            <w:tcW w:w="4876" w:type="dxa"/>
          </w:tcPr>
          <w:p w14:paraId="6268ACC3" w14:textId="77777777" w:rsidR="006C08ED" w:rsidRPr="00B7760C" w:rsidRDefault="006C08ED" w:rsidP="004F0B88">
            <w:pPr>
              <w:pStyle w:val="Normal6a"/>
            </w:pPr>
          </w:p>
        </w:tc>
        <w:tc>
          <w:tcPr>
            <w:tcW w:w="4876" w:type="dxa"/>
          </w:tcPr>
          <w:p w14:paraId="64B899C4" w14:textId="77777777" w:rsidR="006C08ED" w:rsidRPr="00B7760C" w:rsidRDefault="006C08ED" w:rsidP="004F0B88">
            <w:pPr>
              <w:pStyle w:val="Normal6a"/>
            </w:pPr>
            <w:r w:rsidRPr="00B7760C">
              <w:rPr>
                <w:b/>
                <w:i/>
              </w:rPr>
              <w:t>Države članice, po potrebi z uporabo elektronskih sredstev, zadevnim upravičencem predložijo seznam zahtev in standardov, ki se uporabljajo na ravni kmetijskih gospodarstev, ter jasne in natančne informacije v zvezi s temi zahtevami in standardi.</w:t>
            </w:r>
          </w:p>
        </w:tc>
      </w:tr>
      <w:tr w:rsidR="006C08ED" w:rsidRPr="00B7760C" w14:paraId="6E254F5D" w14:textId="77777777" w:rsidTr="004F0B88">
        <w:trPr>
          <w:jc w:val="center"/>
        </w:trPr>
        <w:tc>
          <w:tcPr>
            <w:tcW w:w="4876" w:type="dxa"/>
          </w:tcPr>
          <w:p w14:paraId="469A414F" w14:textId="77777777" w:rsidR="006C08ED" w:rsidRPr="00B7760C" w:rsidRDefault="006C08ED" w:rsidP="004F0B88">
            <w:pPr>
              <w:pStyle w:val="Normal6a"/>
            </w:pPr>
          </w:p>
        </w:tc>
        <w:tc>
          <w:tcPr>
            <w:tcW w:w="4876" w:type="dxa"/>
          </w:tcPr>
          <w:p w14:paraId="26C85303" w14:textId="77777777" w:rsidR="006C08ED" w:rsidRPr="00B7760C" w:rsidRDefault="006C08ED" w:rsidP="004F0B88">
            <w:pPr>
              <w:pStyle w:val="Normal6a"/>
            </w:pPr>
            <w:r w:rsidRPr="00B7760C">
              <w:rPr>
                <w:b/>
                <w:i/>
              </w:rPr>
              <w:t>2a.</w:t>
            </w:r>
            <w:r w:rsidRPr="00B7760C">
              <w:tab/>
            </w:r>
            <w:r w:rsidRPr="00B7760C">
              <w:rPr>
                <w:b/>
                <w:i/>
              </w:rPr>
              <w:t>Za kmete, ki izpolnjujejo zahteve iz Uredbe (EU) 2018/848 o ekološki pridelavi, se šteje, da s tem izpolnjujejo pravilo 8 glede dobrih kmetijskih in okoljskih pogojev zemljišč (DKOP) iz Priloge III k tej uredbi.</w:t>
            </w:r>
          </w:p>
        </w:tc>
      </w:tr>
      <w:tr w:rsidR="006C08ED" w:rsidRPr="00B7760C" w14:paraId="2B314C0B" w14:textId="77777777" w:rsidTr="004F0B88">
        <w:trPr>
          <w:jc w:val="center"/>
        </w:trPr>
        <w:tc>
          <w:tcPr>
            <w:tcW w:w="4876" w:type="dxa"/>
          </w:tcPr>
          <w:p w14:paraId="2862823F" w14:textId="77777777" w:rsidR="006C08ED" w:rsidRPr="00B7760C" w:rsidRDefault="006C08ED" w:rsidP="004F0B88">
            <w:pPr>
              <w:pStyle w:val="Normal6a"/>
            </w:pPr>
          </w:p>
        </w:tc>
        <w:tc>
          <w:tcPr>
            <w:tcW w:w="4876" w:type="dxa"/>
          </w:tcPr>
          <w:p w14:paraId="662B6E3F" w14:textId="77777777" w:rsidR="006C08ED" w:rsidRPr="00B7760C" w:rsidRDefault="006C08ED" w:rsidP="004F0B88">
            <w:pPr>
              <w:pStyle w:val="Normal6a"/>
            </w:pPr>
            <w:r w:rsidRPr="00B7760C">
              <w:rPr>
                <w:b/>
                <w:i/>
              </w:rPr>
              <w:t>2b.</w:t>
            </w:r>
            <w:r w:rsidRPr="00B7760C">
              <w:tab/>
            </w:r>
            <w:r w:rsidRPr="00B7760C">
              <w:rPr>
                <w:b/>
                <w:i/>
              </w:rPr>
              <w:t>Najbolj oddaljene regije, kot so opredeljene v skladu s členom 349 PDEU, in manjši Egejski otoki, kot so opredeljeni v členu 1(2) Uredbe (EU) št. 229/2013, so izvzeti iz standardov o dobrih kmetijskih in okoljskih pogojih 1, 2, 8 in 9, kot so določeni v Prilogi III k tej uredbi.</w:t>
            </w:r>
          </w:p>
        </w:tc>
      </w:tr>
      <w:tr w:rsidR="006C08ED" w:rsidRPr="00B7760C" w14:paraId="2C061DDA" w14:textId="77777777" w:rsidTr="004F0B88">
        <w:trPr>
          <w:jc w:val="center"/>
        </w:trPr>
        <w:tc>
          <w:tcPr>
            <w:tcW w:w="4876" w:type="dxa"/>
          </w:tcPr>
          <w:p w14:paraId="1D3EFDB7" w14:textId="77777777" w:rsidR="006C08ED" w:rsidRPr="00B7760C" w:rsidRDefault="006C08ED" w:rsidP="004F0B88">
            <w:pPr>
              <w:pStyle w:val="Normal6a"/>
            </w:pPr>
          </w:p>
        </w:tc>
        <w:tc>
          <w:tcPr>
            <w:tcW w:w="4876" w:type="dxa"/>
          </w:tcPr>
          <w:p w14:paraId="14982668" w14:textId="77777777" w:rsidR="006C08ED" w:rsidRPr="00B7760C" w:rsidRDefault="006C08ED" w:rsidP="004F0B88">
            <w:pPr>
              <w:pStyle w:val="Normal6a"/>
            </w:pPr>
            <w:r w:rsidRPr="00B7760C">
              <w:rPr>
                <w:b/>
                <w:i/>
              </w:rPr>
              <w:t>2c.</w:t>
            </w:r>
            <w:r w:rsidRPr="00B7760C">
              <w:tab/>
            </w:r>
            <w:r w:rsidRPr="00B7760C">
              <w:rPr>
                <w:b/>
                <w:i/>
              </w:rPr>
              <w:t>Za kmete, ki sodelujejo v prostovoljnih shemah za podnebje in okolje v skladu s členom 28 z enakovrednimi kmetijskimi praksami, kot so DKOP 1, 8, 9(a)(d) ali 10, se šteje, da izpolnjujejo ustrezne standarde za dobre kmetijske in okoljske pogoje zemljišč (DKOP), kot so določeni v Prilogi III k tej uredbi, če te sheme zagotavljajo višjo raven koristi za podnebje in okolje v primerjavi z DKOP 1, 8, 9(a)(d) ali 10. Takšne prakse se ocenijo v skladu z naslovom V te uredbe.</w:t>
            </w:r>
          </w:p>
        </w:tc>
      </w:tr>
      <w:tr w:rsidR="006C08ED" w:rsidRPr="00B7760C" w14:paraId="5A18D1BC" w14:textId="77777777" w:rsidTr="004F0B88">
        <w:trPr>
          <w:jc w:val="center"/>
        </w:trPr>
        <w:tc>
          <w:tcPr>
            <w:tcW w:w="4876" w:type="dxa"/>
          </w:tcPr>
          <w:p w14:paraId="01B40546" w14:textId="77777777" w:rsidR="006C08ED" w:rsidRPr="00B7760C" w:rsidRDefault="006C08ED" w:rsidP="004F0B88">
            <w:pPr>
              <w:pStyle w:val="Normal6a"/>
            </w:pPr>
            <w:r w:rsidRPr="00B7760C">
              <w:rPr>
                <w:b/>
                <w:i/>
              </w:rPr>
              <w:t>3.</w:t>
            </w:r>
            <w:r w:rsidRPr="00B7760C">
              <w:tab/>
            </w:r>
            <w:r w:rsidRPr="00B7760C">
              <w:rPr>
                <w:b/>
                <w:i/>
              </w:rPr>
              <w:t>Države članice vzpostavijo sistem, s katerim se zagotovi orodje za trajnostnost kmetij za hranila iz Priloge III z minimalno vsebino in funkcionalnostjo, kot sta določeni v navedeni prilogi, za upravičence, ki to orodje uporabljajo.</w:t>
            </w:r>
          </w:p>
        </w:tc>
        <w:tc>
          <w:tcPr>
            <w:tcW w:w="4876" w:type="dxa"/>
          </w:tcPr>
          <w:p w14:paraId="723AF012" w14:textId="77777777" w:rsidR="006C08ED" w:rsidRPr="00B7760C" w:rsidRDefault="006C08ED" w:rsidP="004F0B88">
            <w:pPr>
              <w:pStyle w:val="Normal6a"/>
            </w:pPr>
          </w:p>
        </w:tc>
      </w:tr>
      <w:tr w:rsidR="006C08ED" w:rsidRPr="00B7760C" w14:paraId="1474619C" w14:textId="77777777" w:rsidTr="004F0B88">
        <w:trPr>
          <w:jc w:val="center"/>
        </w:trPr>
        <w:tc>
          <w:tcPr>
            <w:tcW w:w="4876" w:type="dxa"/>
          </w:tcPr>
          <w:p w14:paraId="0532F922" w14:textId="77777777" w:rsidR="006C08ED" w:rsidRPr="00B7760C" w:rsidRDefault="006C08ED" w:rsidP="004F0B88">
            <w:pPr>
              <w:pStyle w:val="Normal6a"/>
            </w:pPr>
            <w:r w:rsidRPr="00B7760C">
              <w:rPr>
                <w:b/>
                <w:i/>
              </w:rPr>
              <w:t>Komisija lahko podpre države članice z oblikovanjem tega orodja ter potrebnih storitev hrambe in obdelave podatkov.</w:t>
            </w:r>
          </w:p>
        </w:tc>
        <w:tc>
          <w:tcPr>
            <w:tcW w:w="4876" w:type="dxa"/>
          </w:tcPr>
          <w:p w14:paraId="0F8C4D0B" w14:textId="77777777" w:rsidR="006C08ED" w:rsidRPr="00B7760C" w:rsidRDefault="006C08ED" w:rsidP="004F0B88">
            <w:pPr>
              <w:pStyle w:val="Normal6a"/>
            </w:pPr>
          </w:p>
        </w:tc>
      </w:tr>
      <w:tr w:rsidR="006C08ED" w:rsidRPr="00B7760C" w14:paraId="5CD3A8EC" w14:textId="77777777" w:rsidTr="004F0B88">
        <w:trPr>
          <w:jc w:val="center"/>
        </w:trPr>
        <w:tc>
          <w:tcPr>
            <w:tcW w:w="4876" w:type="dxa"/>
          </w:tcPr>
          <w:p w14:paraId="4FD16381" w14:textId="77777777" w:rsidR="006C08ED" w:rsidRPr="00B7760C" w:rsidRDefault="006C08ED" w:rsidP="004F0B88">
            <w:pPr>
              <w:pStyle w:val="Normal6a"/>
            </w:pPr>
            <w:r w:rsidRPr="00B7760C">
              <w:t>4.</w:t>
            </w:r>
            <w:r w:rsidRPr="00B7760C">
              <w:tab/>
              <w:t xml:space="preserve">Na Komisijo se prenese pooblastilo za sprejemanje delegiranih aktov v skladu s členom 138 za dopolnitev te uredbe s pravili o </w:t>
            </w:r>
            <w:r w:rsidRPr="00B7760C">
              <w:rPr>
                <w:b/>
                <w:i/>
              </w:rPr>
              <w:t>dobrih kmetijskih in okoljskih pogojih, vključno z določitvijo elementov</w:t>
            </w:r>
            <w:r w:rsidRPr="00B7760C">
              <w:t xml:space="preserve"> sistema razmerja trajnega travinja, referenčnega leta in menjalnega razmerja v okviru DKOP 1, kot je navedeno v Prilogi III</w:t>
            </w:r>
            <w:r w:rsidRPr="00B7760C">
              <w:rPr>
                <w:b/>
                <w:i/>
              </w:rPr>
              <w:t>, formata ter dodatnih minimalnih elementov in funkcionalnosti orodja za trajnostnost kmetij za hranila</w:t>
            </w:r>
            <w:r w:rsidRPr="00B7760C">
              <w:t>.</w:t>
            </w:r>
          </w:p>
        </w:tc>
        <w:tc>
          <w:tcPr>
            <w:tcW w:w="4876" w:type="dxa"/>
          </w:tcPr>
          <w:p w14:paraId="2EE330CB" w14:textId="77777777" w:rsidR="006C08ED" w:rsidRPr="00B7760C" w:rsidRDefault="006C08ED" w:rsidP="004F0B88">
            <w:pPr>
              <w:pStyle w:val="Normal6a"/>
            </w:pPr>
            <w:r w:rsidRPr="00B7760C">
              <w:t>4.</w:t>
            </w:r>
            <w:r w:rsidRPr="00B7760C">
              <w:tab/>
              <w:t xml:space="preserve">Na Komisijo se prenese pooblastilo za sprejemanje delegiranih aktov v skladu s členom 138 za dopolnitev te uredbe s pravili o </w:t>
            </w:r>
            <w:r w:rsidRPr="00B7760C">
              <w:rPr>
                <w:b/>
                <w:i/>
              </w:rPr>
              <w:t>nadaljnjih elementih</w:t>
            </w:r>
            <w:r w:rsidRPr="00B7760C">
              <w:t xml:space="preserve"> sistema razmerja trajnega travinja, referenčnega leta in menjalnega razmerja v okviru DKOP 1, kot je navedeno v Prilogi III.</w:t>
            </w:r>
          </w:p>
        </w:tc>
      </w:tr>
    </w:tbl>
    <w:p w14:paraId="01D453A8" w14:textId="77777777" w:rsidR="006C08ED" w:rsidRPr="00B7760C" w:rsidRDefault="006C08ED" w:rsidP="003663AF"/>
    <w:p w14:paraId="361760B9" w14:textId="1E0930B4" w:rsidR="006C08ED" w:rsidRPr="00B7760C" w:rsidRDefault="006C08ED" w:rsidP="003663AF"/>
    <w:p w14:paraId="0DAE9551" w14:textId="5A9F2B6D" w:rsidR="006C08ED" w:rsidRPr="00B7760C" w:rsidRDefault="00877691" w:rsidP="006C08ED">
      <w:pPr>
        <w:pStyle w:val="AmNumberTabs0"/>
      </w:pPr>
      <w:r w:rsidRPr="00B7760C">
        <w:t>Sprememba</w:t>
      </w:r>
      <w:r w:rsidR="006C08ED" w:rsidRPr="00B7760C">
        <w:tab/>
      </w:r>
      <w:r w:rsidR="006C08ED" w:rsidRPr="00B7760C">
        <w:tab/>
        <w:t>1129</w:t>
      </w:r>
    </w:p>
    <w:p w14:paraId="7DA30F20" w14:textId="77777777" w:rsidR="006C08ED" w:rsidRPr="00B7760C" w:rsidRDefault="006C08ED" w:rsidP="006C08ED">
      <w:pPr>
        <w:pStyle w:val="NormalBold12b"/>
      </w:pPr>
      <w:r w:rsidRPr="00B7760C">
        <w:t>Predlog uredbe</w:t>
      </w:r>
    </w:p>
    <w:p w14:paraId="7388427F" w14:textId="77777777" w:rsidR="006C08ED" w:rsidRPr="00B7760C" w:rsidRDefault="006C08ED" w:rsidP="006C08ED">
      <w:pPr>
        <w:pStyle w:val="NormalBold"/>
      </w:pPr>
      <w:r w:rsidRPr="00B7760C">
        <w:t>Člen 13</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6C08ED" w:rsidRPr="00B7760C" w14:paraId="41D6AA0B" w14:textId="77777777" w:rsidTr="004F0B88">
        <w:trPr>
          <w:jc w:val="center"/>
        </w:trPr>
        <w:tc>
          <w:tcPr>
            <w:tcW w:w="9752" w:type="dxa"/>
            <w:gridSpan w:val="2"/>
          </w:tcPr>
          <w:p w14:paraId="4D6BF65A" w14:textId="77777777" w:rsidR="006C08ED" w:rsidRPr="00B7760C" w:rsidRDefault="006C08ED" w:rsidP="004F0B88">
            <w:pPr>
              <w:keepNext/>
            </w:pPr>
          </w:p>
        </w:tc>
      </w:tr>
      <w:tr w:rsidR="006C08ED" w:rsidRPr="00B7760C" w14:paraId="4798EDE3" w14:textId="77777777" w:rsidTr="004F0B88">
        <w:trPr>
          <w:jc w:val="center"/>
        </w:trPr>
        <w:tc>
          <w:tcPr>
            <w:tcW w:w="4876" w:type="dxa"/>
          </w:tcPr>
          <w:p w14:paraId="63464F8C" w14:textId="77777777" w:rsidR="006C08ED" w:rsidRPr="00B7760C" w:rsidRDefault="006C08ED" w:rsidP="004F0B88">
            <w:pPr>
              <w:pStyle w:val="AmColumnHeading"/>
              <w:keepNext/>
            </w:pPr>
            <w:r w:rsidRPr="00B7760C">
              <w:t>Besedilo, ki ga predlaga Komisija</w:t>
            </w:r>
          </w:p>
        </w:tc>
        <w:tc>
          <w:tcPr>
            <w:tcW w:w="4876" w:type="dxa"/>
          </w:tcPr>
          <w:p w14:paraId="1B6688C0" w14:textId="099D0286" w:rsidR="006C08ED" w:rsidRPr="00B7760C" w:rsidRDefault="00877691" w:rsidP="004F0B88">
            <w:pPr>
              <w:pStyle w:val="AmColumnHeading"/>
              <w:keepNext/>
            </w:pPr>
            <w:r w:rsidRPr="00B7760C">
              <w:t>Sprememba</w:t>
            </w:r>
          </w:p>
        </w:tc>
      </w:tr>
      <w:tr w:rsidR="006C08ED" w:rsidRPr="00B7760C" w14:paraId="344DE400" w14:textId="77777777" w:rsidTr="004F0B88">
        <w:trPr>
          <w:jc w:val="center"/>
        </w:trPr>
        <w:tc>
          <w:tcPr>
            <w:tcW w:w="4876" w:type="dxa"/>
          </w:tcPr>
          <w:p w14:paraId="50EB09E3" w14:textId="77777777" w:rsidR="006C08ED" w:rsidRPr="00B7760C" w:rsidRDefault="006C08ED" w:rsidP="004F0B88">
            <w:pPr>
              <w:pStyle w:val="Normal6a"/>
              <w:jc w:val="center"/>
            </w:pPr>
            <w:r w:rsidRPr="00B7760C">
              <w:t>Člen 13</w:t>
            </w:r>
          </w:p>
        </w:tc>
        <w:tc>
          <w:tcPr>
            <w:tcW w:w="4876" w:type="dxa"/>
          </w:tcPr>
          <w:p w14:paraId="63E71CEF" w14:textId="77777777" w:rsidR="006C08ED" w:rsidRPr="00B7760C" w:rsidRDefault="006C08ED" w:rsidP="004F0B88">
            <w:pPr>
              <w:pStyle w:val="Normal6a"/>
              <w:jc w:val="center"/>
              <w:rPr>
                <w:szCs w:val="24"/>
              </w:rPr>
            </w:pPr>
            <w:r w:rsidRPr="00B7760C">
              <w:t>Člen 13</w:t>
            </w:r>
          </w:p>
        </w:tc>
      </w:tr>
      <w:tr w:rsidR="006C08ED" w:rsidRPr="00B7760C" w14:paraId="5C950103" w14:textId="77777777" w:rsidTr="004F0B88">
        <w:trPr>
          <w:jc w:val="center"/>
        </w:trPr>
        <w:tc>
          <w:tcPr>
            <w:tcW w:w="4876" w:type="dxa"/>
          </w:tcPr>
          <w:p w14:paraId="2B30B269" w14:textId="77777777" w:rsidR="006C08ED" w:rsidRPr="00B7760C" w:rsidRDefault="006C08ED" w:rsidP="004F0B88">
            <w:pPr>
              <w:pStyle w:val="Normal6a"/>
              <w:jc w:val="center"/>
            </w:pPr>
            <w:r w:rsidRPr="00B7760C">
              <w:t>Storitve kmetijskega svetovanja</w:t>
            </w:r>
          </w:p>
        </w:tc>
        <w:tc>
          <w:tcPr>
            <w:tcW w:w="4876" w:type="dxa"/>
          </w:tcPr>
          <w:p w14:paraId="06393AE4" w14:textId="77777777" w:rsidR="006C08ED" w:rsidRPr="00B7760C" w:rsidRDefault="006C08ED" w:rsidP="004F0B88">
            <w:pPr>
              <w:pStyle w:val="Normal6a"/>
              <w:jc w:val="center"/>
            </w:pPr>
            <w:r w:rsidRPr="00B7760C">
              <w:t>Storitve kmetijskega svetovanja</w:t>
            </w:r>
          </w:p>
        </w:tc>
      </w:tr>
      <w:tr w:rsidR="006C08ED" w:rsidRPr="00B7760C" w14:paraId="1896BA58" w14:textId="77777777" w:rsidTr="004F0B88">
        <w:trPr>
          <w:jc w:val="center"/>
        </w:trPr>
        <w:tc>
          <w:tcPr>
            <w:tcW w:w="4876" w:type="dxa"/>
          </w:tcPr>
          <w:p w14:paraId="5B54B52B" w14:textId="77777777" w:rsidR="006C08ED" w:rsidRPr="00B7760C" w:rsidRDefault="006C08ED" w:rsidP="004F0B88">
            <w:pPr>
              <w:pStyle w:val="Normal6a"/>
            </w:pPr>
            <w:r w:rsidRPr="00B7760C">
              <w:t>1.</w:t>
            </w:r>
            <w:r w:rsidRPr="00B7760C">
              <w:tab/>
              <w:t>Države članice v strateški načrt SKP vključijo sistem za zagotavljanje storitev svetovanja kmetom in drugim upravičencem do podpore SKP glede upravljanja z zemljišči in upravljanja s kmetijskimi gospodarstvi (v nadaljnjem besedilu: storitve kmetijskega svetovanja).</w:t>
            </w:r>
          </w:p>
        </w:tc>
        <w:tc>
          <w:tcPr>
            <w:tcW w:w="4876" w:type="dxa"/>
          </w:tcPr>
          <w:p w14:paraId="5BB70DBC" w14:textId="77777777" w:rsidR="006C08ED" w:rsidRPr="00B7760C" w:rsidRDefault="006C08ED" w:rsidP="004F0B88">
            <w:pPr>
              <w:pStyle w:val="Normal6a"/>
            </w:pPr>
            <w:r w:rsidRPr="00B7760C">
              <w:t>1.</w:t>
            </w:r>
            <w:r w:rsidRPr="00B7760C">
              <w:tab/>
              <w:t xml:space="preserve">Države članice v strateški načrt SKP vključijo sistem za zagotavljanje </w:t>
            </w:r>
            <w:r w:rsidRPr="00B7760C">
              <w:rPr>
                <w:b/>
                <w:i/>
              </w:rPr>
              <w:t xml:space="preserve">kakovostnih in neodvisnih </w:t>
            </w:r>
            <w:r w:rsidRPr="00B7760C">
              <w:t>storitev svetovanja kmetom in drugim upravičencem do podpore SKP glede upravljanja z zemljišči in upravljanja s kmetijskimi gospodarstvi (v nadaljnjem besedilu: storitve kmetijskega svetovanja)</w:t>
            </w:r>
            <w:r w:rsidRPr="00B7760C">
              <w:rPr>
                <w:b/>
                <w:i/>
              </w:rPr>
              <w:t>, ki po potrebi temelji na obstoječih sistemih na ravni držav članic.</w:t>
            </w:r>
            <w:r w:rsidRPr="00B7760C">
              <w:t xml:space="preserve"> </w:t>
            </w:r>
            <w:r w:rsidRPr="00B7760C">
              <w:rPr>
                <w:b/>
                <w:i/>
              </w:rPr>
              <w:t>Države članice dodelijo ustrezna proračunska sredstva za financiranje teh storitev, kratek opis teh storitev pa se vključi v nacionalne strateške načrte SKP.</w:t>
            </w:r>
          </w:p>
        </w:tc>
      </w:tr>
      <w:tr w:rsidR="006C08ED" w:rsidRPr="00B7760C" w14:paraId="7137424E" w14:textId="77777777" w:rsidTr="004F0B88">
        <w:trPr>
          <w:jc w:val="center"/>
        </w:trPr>
        <w:tc>
          <w:tcPr>
            <w:tcW w:w="4876" w:type="dxa"/>
          </w:tcPr>
          <w:p w14:paraId="69777BA9" w14:textId="77777777" w:rsidR="006C08ED" w:rsidRPr="00B7760C" w:rsidRDefault="006C08ED" w:rsidP="004F0B88">
            <w:pPr>
              <w:pStyle w:val="Normal6a"/>
            </w:pPr>
          </w:p>
        </w:tc>
        <w:tc>
          <w:tcPr>
            <w:tcW w:w="4876" w:type="dxa"/>
          </w:tcPr>
          <w:p w14:paraId="27CFFD5B" w14:textId="77777777" w:rsidR="006C08ED" w:rsidRPr="00B7760C" w:rsidRDefault="006C08ED" w:rsidP="004F0B88">
            <w:pPr>
              <w:pStyle w:val="Normal6a"/>
            </w:pPr>
            <w:r w:rsidRPr="00B7760C">
              <w:rPr>
                <w:b/>
                <w:i/>
              </w:rPr>
              <w:t>Države članice dodelijo vsaj minimalni delež 30 % sredstev iz tega člena za svetovalne storitve in tehnično pomoč, ki prispevajo k ciljem iz točk (d), (e) in (f) člena 6(1).</w:t>
            </w:r>
          </w:p>
        </w:tc>
      </w:tr>
      <w:tr w:rsidR="006C08ED" w:rsidRPr="00B7760C" w14:paraId="79D9F8B8" w14:textId="77777777" w:rsidTr="004F0B88">
        <w:trPr>
          <w:jc w:val="center"/>
        </w:trPr>
        <w:tc>
          <w:tcPr>
            <w:tcW w:w="4876" w:type="dxa"/>
          </w:tcPr>
          <w:p w14:paraId="6FF797A7" w14:textId="77777777" w:rsidR="006C08ED" w:rsidRPr="00B7760C" w:rsidRDefault="006C08ED" w:rsidP="004F0B88">
            <w:pPr>
              <w:pStyle w:val="Normal6a"/>
            </w:pPr>
            <w:r w:rsidRPr="00B7760C">
              <w:t>2.</w:t>
            </w:r>
            <w:r w:rsidRPr="00B7760C">
              <w:tab/>
              <w:t xml:space="preserve">Storitve kmetijskega svetovanja zajemajo gospodarsko, okoljsko in socialno razsežnost ter zagotavljajo najnovejše tehnične in znanstvene informacije, pridobljene s pomočjo raziskav in inovacij. Vključene so v povezane storitve </w:t>
            </w:r>
            <w:r w:rsidRPr="00B7760C">
              <w:rPr>
                <w:b/>
                <w:i/>
              </w:rPr>
              <w:t>kmetijskih</w:t>
            </w:r>
            <w:r w:rsidRPr="00B7760C">
              <w:t xml:space="preserve"> svetovalcev, raziskovalcev</w:t>
            </w:r>
            <w:r w:rsidRPr="00B7760C">
              <w:rPr>
                <w:b/>
                <w:i/>
              </w:rPr>
              <w:t xml:space="preserve"> ter</w:t>
            </w:r>
            <w:r w:rsidRPr="00B7760C">
              <w:t xml:space="preserve"> organizacij kmetov in </w:t>
            </w:r>
            <w:r w:rsidRPr="00B7760C">
              <w:rPr>
                <w:b/>
                <w:i/>
              </w:rPr>
              <w:t>drugih zainteresiranih strani</w:t>
            </w:r>
            <w:r w:rsidRPr="00B7760C">
              <w:t>, ki tvorijo sisteme znanja in inovacij v kmetijstvu (AKIS).</w:t>
            </w:r>
          </w:p>
        </w:tc>
        <w:tc>
          <w:tcPr>
            <w:tcW w:w="4876" w:type="dxa"/>
          </w:tcPr>
          <w:p w14:paraId="0881E279" w14:textId="77777777" w:rsidR="006C08ED" w:rsidRPr="00B7760C" w:rsidRDefault="006C08ED" w:rsidP="004F0B88">
            <w:pPr>
              <w:pStyle w:val="Normal6a"/>
            </w:pPr>
            <w:r w:rsidRPr="00B7760C">
              <w:t>2.</w:t>
            </w:r>
            <w:r w:rsidRPr="00B7760C">
              <w:tab/>
              <w:t>Storitve kmetijskega svetovanja zajemajo gospodarsko, okoljsko in socialno razsežnost ter zagotavljajo najnovejše tehnične in znanstvene informacije, pridobljene s pomočjo raziskav in inovacij</w:t>
            </w:r>
            <w:r w:rsidRPr="00B7760C">
              <w:rPr>
                <w:b/>
                <w:i/>
              </w:rPr>
              <w:t>, ob upoštevanju tradicionalne kmetijske prakse in tehnike</w:t>
            </w:r>
            <w:r w:rsidRPr="00B7760C">
              <w:t xml:space="preserve">. Vključene so v povezane storitve </w:t>
            </w:r>
            <w:r w:rsidRPr="00B7760C">
              <w:rPr>
                <w:b/>
                <w:i/>
              </w:rPr>
              <w:t>mrež za kmetijsko svetovanje,</w:t>
            </w:r>
            <w:r w:rsidRPr="00B7760C">
              <w:t xml:space="preserve"> svetovalcev, raziskovalcev</w:t>
            </w:r>
            <w:r w:rsidRPr="00B7760C">
              <w:rPr>
                <w:b/>
                <w:i/>
              </w:rPr>
              <w:t>,</w:t>
            </w:r>
            <w:r w:rsidRPr="00B7760C">
              <w:t xml:space="preserve"> organizacij kmetov in </w:t>
            </w:r>
            <w:r w:rsidRPr="00B7760C">
              <w:rPr>
                <w:b/>
                <w:i/>
              </w:rPr>
              <w:t>zadrug ter drugih deležnikov</w:t>
            </w:r>
            <w:r w:rsidRPr="00B7760C">
              <w:t>, ki tvorijo sisteme znanja in inovacij v kmetijstvu (AKIS).</w:t>
            </w:r>
          </w:p>
        </w:tc>
      </w:tr>
      <w:tr w:rsidR="006C08ED" w:rsidRPr="00B7760C" w14:paraId="1FF739A8" w14:textId="77777777" w:rsidTr="004F0B88">
        <w:trPr>
          <w:jc w:val="center"/>
        </w:trPr>
        <w:tc>
          <w:tcPr>
            <w:tcW w:w="4876" w:type="dxa"/>
          </w:tcPr>
          <w:p w14:paraId="3A27B6F6" w14:textId="77777777" w:rsidR="006C08ED" w:rsidRPr="00B7760C" w:rsidRDefault="006C08ED" w:rsidP="004F0B88">
            <w:pPr>
              <w:pStyle w:val="Normal6a"/>
            </w:pPr>
            <w:r w:rsidRPr="00B7760C">
              <w:t>3.</w:t>
            </w:r>
            <w:r w:rsidRPr="00B7760C">
              <w:tab/>
              <w:t>Države članice zagotovijo, da je kmetijsko svetovanje nepristransko in da svetovalci niso v navzkrižju interesov.</w:t>
            </w:r>
          </w:p>
        </w:tc>
        <w:tc>
          <w:tcPr>
            <w:tcW w:w="4876" w:type="dxa"/>
          </w:tcPr>
          <w:p w14:paraId="20A2C89F" w14:textId="77777777" w:rsidR="006C08ED" w:rsidRPr="00B7760C" w:rsidRDefault="006C08ED" w:rsidP="004F0B88">
            <w:pPr>
              <w:pStyle w:val="Normal6a"/>
            </w:pPr>
            <w:r w:rsidRPr="00B7760C">
              <w:t>3.</w:t>
            </w:r>
            <w:r w:rsidRPr="00B7760C">
              <w:tab/>
              <w:t>Države članice zagotovijo, da je kmetijsko svetovanje nepristransko</w:t>
            </w:r>
            <w:r w:rsidRPr="00B7760C">
              <w:rPr>
                <w:b/>
                <w:i/>
              </w:rPr>
              <w:t>, prilagojeno različnim načinom proizvodnje in vrstam kmetij,</w:t>
            </w:r>
            <w:r w:rsidRPr="00B7760C">
              <w:t xml:space="preserve"> in da svetovalci niso v navzkrižju interesov.</w:t>
            </w:r>
          </w:p>
        </w:tc>
      </w:tr>
      <w:tr w:rsidR="006C08ED" w:rsidRPr="00B7760C" w14:paraId="289F5BFA" w14:textId="77777777" w:rsidTr="004F0B88">
        <w:trPr>
          <w:jc w:val="center"/>
        </w:trPr>
        <w:tc>
          <w:tcPr>
            <w:tcW w:w="4876" w:type="dxa"/>
          </w:tcPr>
          <w:p w14:paraId="6A6B96DA" w14:textId="77777777" w:rsidR="006C08ED" w:rsidRPr="00B7760C" w:rsidRDefault="006C08ED" w:rsidP="004F0B88">
            <w:pPr>
              <w:pStyle w:val="Normal6a"/>
            </w:pPr>
          </w:p>
        </w:tc>
        <w:tc>
          <w:tcPr>
            <w:tcW w:w="4876" w:type="dxa"/>
          </w:tcPr>
          <w:p w14:paraId="3C872B92" w14:textId="77777777" w:rsidR="006C08ED" w:rsidRPr="00B7760C" w:rsidRDefault="006C08ED" w:rsidP="004F0B88">
            <w:pPr>
              <w:pStyle w:val="Normal6a"/>
            </w:pPr>
            <w:r w:rsidRPr="00B7760C">
              <w:rPr>
                <w:b/>
                <w:i/>
              </w:rPr>
              <w:t>3a.</w:t>
            </w:r>
            <w:r w:rsidRPr="00B7760C">
              <w:tab/>
            </w:r>
            <w:r w:rsidRPr="00B7760C">
              <w:rPr>
                <w:b/>
                <w:i/>
              </w:rPr>
              <w:t>Države članice zagotovijo, da so službe kmetijskega svetovanja usposobljene za svetovanje o proizvodnji in zagotavljanju javnih dobrin.</w:t>
            </w:r>
          </w:p>
        </w:tc>
      </w:tr>
      <w:tr w:rsidR="006C08ED" w:rsidRPr="00B7760C" w14:paraId="1C4D8AAD" w14:textId="77777777" w:rsidTr="004F0B88">
        <w:trPr>
          <w:jc w:val="center"/>
        </w:trPr>
        <w:tc>
          <w:tcPr>
            <w:tcW w:w="4876" w:type="dxa"/>
          </w:tcPr>
          <w:p w14:paraId="04985ACB" w14:textId="77777777" w:rsidR="006C08ED" w:rsidRPr="00B7760C" w:rsidRDefault="006C08ED" w:rsidP="004F0B88">
            <w:pPr>
              <w:pStyle w:val="Normal6a"/>
            </w:pPr>
            <w:r w:rsidRPr="00B7760C">
              <w:t>4.</w:t>
            </w:r>
            <w:r w:rsidRPr="00B7760C">
              <w:tab/>
              <w:t>Storitve kmetijskega svetovanja zajemajo najmanj:</w:t>
            </w:r>
          </w:p>
        </w:tc>
        <w:tc>
          <w:tcPr>
            <w:tcW w:w="4876" w:type="dxa"/>
          </w:tcPr>
          <w:p w14:paraId="63DFD078" w14:textId="77777777" w:rsidR="006C08ED" w:rsidRPr="00B7760C" w:rsidRDefault="006C08ED" w:rsidP="004F0B88">
            <w:pPr>
              <w:pStyle w:val="Normal6a"/>
            </w:pPr>
            <w:r w:rsidRPr="00B7760C">
              <w:t>4.</w:t>
            </w:r>
            <w:r w:rsidRPr="00B7760C">
              <w:tab/>
              <w:t>Storitve kmetijskega svetovanja</w:t>
            </w:r>
            <w:r w:rsidRPr="00B7760C">
              <w:rPr>
                <w:b/>
                <w:i/>
              </w:rPr>
              <w:t>, ki jih zagotovi država članica,</w:t>
            </w:r>
            <w:r w:rsidRPr="00B7760C">
              <w:t xml:space="preserve"> zajemajo najmanj:</w:t>
            </w:r>
          </w:p>
        </w:tc>
      </w:tr>
      <w:tr w:rsidR="006C08ED" w:rsidRPr="00B7760C" w14:paraId="1093A38C" w14:textId="77777777" w:rsidTr="004F0B88">
        <w:trPr>
          <w:jc w:val="center"/>
        </w:trPr>
        <w:tc>
          <w:tcPr>
            <w:tcW w:w="4876" w:type="dxa"/>
          </w:tcPr>
          <w:p w14:paraId="65CDC4B8" w14:textId="77777777" w:rsidR="006C08ED" w:rsidRPr="00B7760C" w:rsidRDefault="006C08ED" w:rsidP="004F0B88">
            <w:pPr>
              <w:pStyle w:val="Normal6a"/>
            </w:pPr>
            <w:r w:rsidRPr="00B7760C">
              <w:t>(a)</w:t>
            </w:r>
            <w:r w:rsidRPr="00B7760C">
              <w:tab/>
              <w:t>vse zahteve, pogoje in upravljavske obveznosti, ki se uporabljajo za kmete in druge upravičence v skladu s strateškim načrtom SKP, vključno z zahtevami in standardi v okviru pogojenosti in s pogoji za programe podpore, pa tudi informacije o finančnih instrumentih in poslovnih načrtih, vzpostavljenih v okviru strateškega načrta SKP;</w:t>
            </w:r>
          </w:p>
        </w:tc>
        <w:tc>
          <w:tcPr>
            <w:tcW w:w="4876" w:type="dxa"/>
          </w:tcPr>
          <w:p w14:paraId="2200B7B0" w14:textId="77777777" w:rsidR="006C08ED" w:rsidRPr="00B7760C" w:rsidRDefault="006C08ED" w:rsidP="004F0B88">
            <w:pPr>
              <w:pStyle w:val="Normal6a"/>
            </w:pPr>
            <w:r w:rsidRPr="00B7760C">
              <w:t>(a)</w:t>
            </w:r>
            <w:r w:rsidRPr="00B7760C">
              <w:tab/>
              <w:t>vse zahteve, pogoje in upravljavske obveznosti, ki se uporabljajo za kmete in druge upravičence v skladu s strateškim načrtom SKP, vključno z zahtevami in standardi v okviru pogojenosti</w:t>
            </w:r>
            <w:r w:rsidRPr="00B7760C">
              <w:rPr>
                <w:b/>
                <w:i/>
              </w:rPr>
              <w:t>, ekoshemami, okoljskimi, podnebnimi</w:t>
            </w:r>
            <w:r w:rsidRPr="00B7760C">
              <w:t xml:space="preserve"> in</w:t>
            </w:r>
            <w:r w:rsidRPr="00B7760C">
              <w:rPr>
                <w:b/>
                <w:i/>
              </w:rPr>
              <w:t xml:space="preserve"> drugimi upravljavskimi obveznostmi iz člena 65 ter</w:t>
            </w:r>
            <w:r w:rsidRPr="00B7760C">
              <w:t xml:space="preserve"> s pogoji za programe podpore, pa tudi informacije o finančnih instrumentih in poslovnih načrtih, vzpostavljenih v okviru strateškega načrta SKP;</w:t>
            </w:r>
          </w:p>
        </w:tc>
      </w:tr>
      <w:tr w:rsidR="006C08ED" w:rsidRPr="00B7760C" w14:paraId="6BC02CD9" w14:textId="77777777" w:rsidTr="004F0B88">
        <w:trPr>
          <w:jc w:val="center"/>
        </w:trPr>
        <w:tc>
          <w:tcPr>
            <w:tcW w:w="4876" w:type="dxa"/>
          </w:tcPr>
          <w:p w14:paraId="0AF5E5B7" w14:textId="77777777" w:rsidR="006C08ED" w:rsidRPr="00B7760C" w:rsidRDefault="006C08ED" w:rsidP="004F0B88">
            <w:pPr>
              <w:pStyle w:val="Normal6a"/>
            </w:pPr>
            <w:r w:rsidRPr="00B7760C">
              <w:t>(b)</w:t>
            </w:r>
            <w:r w:rsidRPr="00B7760C">
              <w:tab/>
              <w:t>zahteve, kot jih opredelijo države članice, za izvajanje Direktive 2000/60/ES, Direktive 92/43/EGS, Direktive 2009/147/ES, Direktive 2008/50/ES, Direktive (EU) 2016/2284, Uredbe (EU) 2016/2031, Uredbe (EU) 2016/429, člena 55 Uredbe (ES) št. 1107/2009 Evropskega parlamenta in Sveta</w:t>
            </w:r>
            <w:r w:rsidRPr="00B7760C">
              <w:rPr>
                <w:vertAlign w:val="superscript"/>
              </w:rPr>
              <w:t>30</w:t>
            </w:r>
            <w:r w:rsidRPr="00B7760C">
              <w:t xml:space="preserve"> ter Direktive 2009/128/ES;</w:t>
            </w:r>
          </w:p>
        </w:tc>
        <w:tc>
          <w:tcPr>
            <w:tcW w:w="4876" w:type="dxa"/>
          </w:tcPr>
          <w:p w14:paraId="167A4545" w14:textId="77777777" w:rsidR="006C08ED" w:rsidRPr="00B7760C" w:rsidRDefault="006C08ED" w:rsidP="004F0B88">
            <w:pPr>
              <w:pStyle w:val="Normal6a"/>
            </w:pPr>
            <w:r w:rsidRPr="00B7760C">
              <w:t>(b)</w:t>
            </w:r>
            <w:r w:rsidRPr="00B7760C">
              <w:tab/>
              <w:t>zahteve, kot jih opredelijo države članice, za izvajanje Direktive 2000/60/ES, Direktive 92/43/EGS, Direktive 2009/147/ES, Direktive 2008/50/ES, Direktive (EU) 2016/2284, Uredbe (EU) 2016/2031, Uredbe (EU) 2016/429, člena 55 Uredbe (ES) št. 1107/2009 Evropskega parlamenta in Sveta</w:t>
            </w:r>
            <w:r w:rsidRPr="00B7760C">
              <w:rPr>
                <w:vertAlign w:val="superscript"/>
              </w:rPr>
              <w:t>30</w:t>
            </w:r>
            <w:r w:rsidRPr="00B7760C">
              <w:t xml:space="preserve"> ter Direktive 2009/128/ES;</w:t>
            </w:r>
          </w:p>
        </w:tc>
      </w:tr>
      <w:tr w:rsidR="006C08ED" w:rsidRPr="00B7760C" w14:paraId="37E29C07" w14:textId="77777777" w:rsidTr="004F0B88">
        <w:trPr>
          <w:jc w:val="center"/>
        </w:trPr>
        <w:tc>
          <w:tcPr>
            <w:tcW w:w="4876" w:type="dxa"/>
          </w:tcPr>
          <w:p w14:paraId="4685774B" w14:textId="77777777" w:rsidR="006C08ED" w:rsidRPr="00B7760C" w:rsidRDefault="006C08ED" w:rsidP="004F0B88">
            <w:pPr>
              <w:pStyle w:val="Normal6a"/>
            </w:pPr>
            <w:r w:rsidRPr="00B7760C">
              <w:t>(c)</w:t>
            </w:r>
            <w:r w:rsidRPr="00B7760C">
              <w:tab/>
              <w:t>kmetijske prakse, ki preprečujejo razvoj odpornosti proti antimikrobikom, kot je določeno v sporočilu o evropskem akcijskem načrtu „eno zdravje“ zoper odpornost proti antimikrobikom</w:t>
            </w:r>
            <w:r w:rsidRPr="00B7760C">
              <w:rPr>
                <w:vertAlign w:val="superscript"/>
              </w:rPr>
              <w:t>31</w:t>
            </w:r>
            <w:r w:rsidRPr="00B7760C">
              <w:t>;</w:t>
            </w:r>
          </w:p>
        </w:tc>
        <w:tc>
          <w:tcPr>
            <w:tcW w:w="4876" w:type="dxa"/>
          </w:tcPr>
          <w:p w14:paraId="093E58D5" w14:textId="77777777" w:rsidR="006C08ED" w:rsidRPr="00B7760C" w:rsidRDefault="006C08ED" w:rsidP="004F0B88">
            <w:pPr>
              <w:pStyle w:val="Normal6a"/>
            </w:pPr>
            <w:r w:rsidRPr="00B7760C">
              <w:t>(c)</w:t>
            </w:r>
            <w:r w:rsidRPr="00B7760C">
              <w:tab/>
              <w:t>kmetijske prakse, ki preprečujejo razvoj odpornosti proti antimikrobikom, kot je določeno v sporočilu o evropskem akcijskem načrtu „eno zdravje“ zoper odpornost proti antimikrobikom</w:t>
            </w:r>
            <w:r w:rsidRPr="00B7760C">
              <w:rPr>
                <w:vertAlign w:val="superscript"/>
              </w:rPr>
              <w:t>31</w:t>
            </w:r>
            <w:r w:rsidRPr="00B7760C">
              <w:t>;</w:t>
            </w:r>
          </w:p>
        </w:tc>
      </w:tr>
      <w:tr w:rsidR="006C08ED" w:rsidRPr="00B7760C" w14:paraId="7187E3DE" w14:textId="77777777" w:rsidTr="004F0B88">
        <w:trPr>
          <w:jc w:val="center"/>
        </w:trPr>
        <w:tc>
          <w:tcPr>
            <w:tcW w:w="4876" w:type="dxa"/>
          </w:tcPr>
          <w:p w14:paraId="0B88784F" w14:textId="77777777" w:rsidR="006C08ED" w:rsidRPr="00B7760C" w:rsidRDefault="006C08ED" w:rsidP="004F0B88">
            <w:pPr>
              <w:pStyle w:val="Normal6a"/>
            </w:pPr>
            <w:r w:rsidRPr="00B7760C">
              <w:t>(d)</w:t>
            </w:r>
            <w:r w:rsidRPr="00B7760C">
              <w:tab/>
              <w:t>obvladovanje tveganj</w:t>
            </w:r>
            <w:r w:rsidRPr="00B7760C">
              <w:rPr>
                <w:b/>
                <w:i/>
              </w:rPr>
              <w:t xml:space="preserve"> iz člena 70</w:t>
            </w:r>
            <w:r w:rsidRPr="00B7760C">
              <w:t>;</w:t>
            </w:r>
          </w:p>
        </w:tc>
        <w:tc>
          <w:tcPr>
            <w:tcW w:w="4876" w:type="dxa"/>
          </w:tcPr>
          <w:p w14:paraId="0D7C3848" w14:textId="77777777" w:rsidR="006C08ED" w:rsidRPr="00B7760C" w:rsidRDefault="006C08ED" w:rsidP="004F0B88">
            <w:pPr>
              <w:pStyle w:val="Normal6a"/>
            </w:pPr>
            <w:r w:rsidRPr="00B7760C">
              <w:t>(d)</w:t>
            </w:r>
            <w:r w:rsidRPr="00B7760C">
              <w:tab/>
            </w:r>
            <w:r w:rsidRPr="00B7760C">
              <w:rPr>
                <w:b/>
                <w:i/>
              </w:rPr>
              <w:t xml:space="preserve">preprečevanje in </w:t>
            </w:r>
            <w:r w:rsidRPr="00B7760C">
              <w:t>obvladovanje tveganj;</w:t>
            </w:r>
          </w:p>
        </w:tc>
      </w:tr>
      <w:tr w:rsidR="006C08ED" w:rsidRPr="00B7760C" w14:paraId="4BE47E4A" w14:textId="77777777" w:rsidTr="004F0B88">
        <w:trPr>
          <w:jc w:val="center"/>
        </w:trPr>
        <w:tc>
          <w:tcPr>
            <w:tcW w:w="4876" w:type="dxa"/>
          </w:tcPr>
          <w:p w14:paraId="053DA0F5" w14:textId="77777777" w:rsidR="006C08ED" w:rsidRPr="00B7760C" w:rsidRDefault="006C08ED" w:rsidP="004F0B88">
            <w:pPr>
              <w:pStyle w:val="Normal6a"/>
            </w:pPr>
            <w:r w:rsidRPr="00B7760C">
              <w:t>(e)</w:t>
            </w:r>
            <w:r w:rsidRPr="00B7760C">
              <w:tab/>
              <w:t>podporo za inovacije, zlasti za pripravo in izvajanje projektov operativne skupine evropskega inovacijskega partnerstva za kmetijsko produktivnost in trajnostnost iz člena 114;</w:t>
            </w:r>
          </w:p>
        </w:tc>
        <w:tc>
          <w:tcPr>
            <w:tcW w:w="4876" w:type="dxa"/>
          </w:tcPr>
          <w:p w14:paraId="28547A4C" w14:textId="77777777" w:rsidR="006C08ED" w:rsidRPr="00B7760C" w:rsidRDefault="006C08ED" w:rsidP="004F0B88">
            <w:pPr>
              <w:pStyle w:val="Normal6a"/>
            </w:pPr>
            <w:r w:rsidRPr="00B7760C">
              <w:t>(e)</w:t>
            </w:r>
            <w:r w:rsidRPr="00B7760C">
              <w:tab/>
              <w:t>podporo za inovacije, zlasti za pripravo in izvajanje projektov operativne skupine evropskega inovacijskega partnerstva za kmetijsko produktivnost in trajnostnost iz člena 114;</w:t>
            </w:r>
          </w:p>
        </w:tc>
      </w:tr>
      <w:tr w:rsidR="006C08ED" w:rsidRPr="00B7760C" w14:paraId="0E3B226B" w14:textId="77777777" w:rsidTr="004F0B88">
        <w:trPr>
          <w:jc w:val="center"/>
        </w:trPr>
        <w:tc>
          <w:tcPr>
            <w:tcW w:w="4876" w:type="dxa"/>
          </w:tcPr>
          <w:p w14:paraId="17CDBE11" w14:textId="77777777" w:rsidR="006C08ED" w:rsidRPr="00B7760C" w:rsidRDefault="006C08ED" w:rsidP="004F0B88">
            <w:pPr>
              <w:pStyle w:val="Normal6a"/>
            </w:pPr>
            <w:r w:rsidRPr="00B7760C">
              <w:t>(f)</w:t>
            </w:r>
            <w:r w:rsidRPr="00B7760C">
              <w:tab/>
              <w:t>razvoj digitalnih tehnologij v kmetijstvu in na podeželskih območjih, kot je navedeno v členu 102(b)</w:t>
            </w:r>
            <w:r w:rsidRPr="00B7760C">
              <w:rPr>
                <w:b/>
                <w:i/>
              </w:rPr>
              <w:t>.</w:t>
            </w:r>
          </w:p>
        </w:tc>
        <w:tc>
          <w:tcPr>
            <w:tcW w:w="4876" w:type="dxa"/>
          </w:tcPr>
          <w:p w14:paraId="4B015C34" w14:textId="77777777" w:rsidR="006C08ED" w:rsidRPr="00B7760C" w:rsidRDefault="006C08ED" w:rsidP="004F0B88">
            <w:pPr>
              <w:pStyle w:val="Normal6a"/>
            </w:pPr>
            <w:r w:rsidRPr="00B7760C">
              <w:t>(f)</w:t>
            </w:r>
            <w:r w:rsidRPr="00B7760C">
              <w:tab/>
              <w:t>razvoj digitalnih tehnologij v kmetijstvu in na podeželskih območjih, kot je navedeno v členu 102(b)</w:t>
            </w:r>
            <w:r w:rsidRPr="00B7760C">
              <w:rPr>
                <w:b/>
                <w:i/>
              </w:rPr>
              <w:t>;</w:t>
            </w:r>
          </w:p>
        </w:tc>
      </w:tr>
      <w:tr w:rsidR="006C08ED" w:rsidRPr="00B7760C" w14:paraId="5AE1971B" w14:textId="77777777" w:rsidTr="004F0B88">
        <w:trPr>
          <w:jc w:val="center"/>
        </w:trPr>
        <w:tc>
          <w:tcPr>
            <w:tcW w:w="4876" w:type="dxa"/>
          </w:tcPr>
          <w:p w14:paraId="0DA40917" w14:textId="77777777" w:rsidR="006C08ED" w:rsidRPr="00B7760C" w:rsidRDefault="006C08ED" w:rsidP="004F0B88">
            <w:pPr>
              <w:pStyle w:val="Normal6a"/>
            </w:pPr>
          </w:p>
        </w:tc>
        <w:tc>
          <w:tcPr>
            <w:tcW w:w="4876" w:type="dxa"/>
          </w:tcPr>
          <w:p w14:paraId="68FD5CE4" w14:textId="77777777" w:rsidR="006C08ED" w:rsidRPr="00B7760C" w:rsidRDefault="006C08ED" w:rsidP="004F0B88">
            <w:pPr>
              <w:pStyle w:val="Normal6a"/>
            </w:pPr>
            <w:r w:rsidRPr="00B7760C">
              <w:rPr>
                <w:b/>
                <w:i/>
              </w:rPr>
              <w:t>(fa)</w:t>
            </w:r>
            <w:r w:rsidRPr="00B7760C">
              <w:tab/>
            </w:r>
            <w:r w:rsidRPr="00B7760C">
              <w:rPr>
                <w:b/>
                <w:i/>
              </w:rPr>
              <w:t>tehnike za optimizacijo gospodarske uspešnosti proizvodnih sistemov, izboljšanje konkurenčnosti, tržno usmerjenost, kratke dobavne verige in spodbujanje podjetništva;</w:t>
            </w:r>
          </w:p>
        </w:tc>
      </w:tr>
      <w:tr w:rsidR="006C08ED" w:rsidRPr="00B7760C" w14:paraId="3977BEF6" w14:textId="77777777" w:rsidTr="004F0B88">
        <w:trPr>
          <w:jc w:val="center"/>
        </w:trPr>
        <w:tc>
          <w:tcPr>
            <w:tcW w:w="4876" w:type="dxa"/>
          </w:tcPr>
          <w:p w14:paraId="1B6EBF74" w14:textId="77777777" w:rsidR="006C08ED" w:rsidRPr="00B7760C" w:rsidRDefault="006C08ED" w:rsidP="004F0B88">
            <w:pPr>
              <w:pStyle w:val="Normal6a"/>
            </w:pPr>
          </w:p>
        </w:tc>
        <w:tc>
          <w:tcPr>
            <w:tcW w:w="4876" w:type="dxa"/>
          </w:tcPr>
          <w:p w14:paraId="02B3740D" w14:textId="77777777" w:rsidR="006C08ED" w:rsidRPr="00B7760C" w:rsidRDefault="006C08ED" w:rsidP="004F0B88">
            <w:pPr>
              <w:pStyle w:val="Normal6a"/>
            </w:pPr>
            <w:r w:rsidRPr="00B7760C">
              <w:rPr>
                <w:b/>
                <w:i/>
              </w:rPr>
              <w:t>(fb)</w:t>
            </w:r>
            <w:r w:rsidRPr="00B7760C">
              <w:tab/>
            </w:r>
            <w:r w:rsidRPr="00B7760C">
              <w:rPr>
                <w:b/>
                <w:i/>
              </w:rPr>
              <w:t>posebno svetovanje kmetom, ki prvič prevzemajo kmetijsko gospodarstvo;</w:t>
            </w:r>
          </w:p>
        </w:tc>
      </w:tr>
      <w:tr w:rsidR="006C08ED" w:rsidRPr="00B7760C" w14:paraId="2C40807B" w14:textId="77777777" w:rsidTr="004F0B88">
        <w:trPr>
          <w:jc w:val="center"/>
        </w:trPr>
        <w:tc>
          <w:tcPr>
            <w:tcW w:w="4876" w:type="dxa"/>
          </w:tcPr>
          <w:p w14:paraId="41E5AB9A" w14:textId="77777777" w:rsidR="006C08ED" w:rsidRPr="00B7760C" w:rsidRDefault="006C08ED" w:rsidP="004F0B88">
            <w:pPr>
              <w:pStyle w:val="Normal6a"/>
            </w:pPr>
          </w:p>
        </w:tc>
        <w:tc>
          <w:tcPr>
            <w:tcW w:w="4876" w:type="dxa"/>
          </w:tcPr>
          <w:p w14:paraId="22F50153" w14:textId="77777777" w:rsidR="006C08ED" w:rsidRPr="00B7760C" w:rsidRDefault="006C08ED" w:rsidP="004F0B88">
            <w:pPr>
              <w:pStyle w:val="Normal6a"/>
            </w:pPr>
            <w:r w:rsidRPr="00B7760C">
              <w:rPr>
                <w:b/>
                <w:i/>
              </w:rPr>
              <w:t>(fc)</w:t>
            </w:r>
            <w:r w:rsidRPr="00B7760C">
              <w:tab/>
            </w:r>
            <w:r w:rsidRPr="00B7760C">
              <w:rPr>
                <w:b/>
                <w:i/>
              </w:rPr>
              <w:t>varnostne standarde in psihosocialno varstvo kmetijskih skupnosti;</w:t>
            </w:r>
          </w:p>
        </w:tc>
      </w:tr>
      <w:tr w:rsidR="006C08ED" w:rsidRPr="00B7760C" w14:paraId="2207E657" w14:textId="77777777" w:rsidTr="004F0B88">
        <w:trPr>
          <w:jc w:val="center"/>
        </w:trPr>
        <w:tc>
          <w:tcPr>
            <w:tcW w:w="4876" w:type="dxa"/>
          </w:tcPr>
          <w:p w14:paraId="418DB26B" w14:textId="77777777" w:rsidR="006C08ED" w:rsidRPr="00B7760C" w:rsidRDefault="006C08ED" w:rsidP="004F0B88">
            <w:pPr>
              <w:pStyle w:val="Normal6a"/>
            </w:pPr>
          </w:p>
        </w:tc>
        <w:tc>
          <w:tcPr>
            <w:tcW w:w="4876" w:type="dxa"/>
          </w:tcPr>
          <w:p w14:paraId="74029480" w14:textId="77777777" w:rsidR="006C08ED" w:rsidRPr="00B7760C" w:rsidRDefault="006C08ED" w:rsidP="004F0B88">
            <w:pPr>
              <w:pStyle w:val="Normal6a"/>
            </w:pPr>
            <w:r w:rsidRPr="00B7760C">
              <w:rPr>
                <w:b/>
                <w:i/>
              </w:rPr>
              <w:t>(fd)</w:t>
            </w:r>
            <w:r w:rsidRPr="00B7760C">
              <w:tab/>
            </w:r>
            <w:r w:rsidRPr="00B7760C">
              <w:rPr>
                <w:b/>
                <w:i/>
              </w:rPr>
              <w:t>trajno upravljanje hranil, tudi z uporabo trajnostnega instrumenta za hranila;</w:t>
            </w:r>
          </w:p>
        </w:tc>
      </w:tr>
      <w:tr w:rsidR="006C08ED" w:rsidRPr="00B7760C" w14:paraId="6CAABB70" w14:textId="77777777" w:rsidTr="004F0B88">
        <w:trPr>
          <w:jc w:val="center"/>
        </w:trPr>
        <w:tc>
          <w:tcPr>
            <w:tcW w:w="4876" w:type="dxa"/>
          </w:tcPr>
          <w:p w14:paraId="241C6A8E" w14:textId="77777777" w:rsidR="006C08ED" w:rsidRPr="00B7760C" w:rsidRDefault="006C08ED" w:rsidP="004F0B88">
            <w:pPr>
              <w:pStyle w:val="Normal6a"/>
            </w:pPr>
          </w:p>
        </w:tc>
        <w:tc>
          <w:tcPr>
            <w:tcW w:w="4876" w:type="dxa"/>
          </w:tcPr>
          <w:p w14:paraId="71307FFB" w14:textId="77777777" w:rsidR="006C08ED" w:rsidRPr="00B7760C" w:rsidRDefault="006C08ED" w:rsidP="004F0B88">
            <w:pPr>
              <w:pStyle w:val="Normal6a"/>
            </w:pPr>
            <w:r w:rsidRPr="00B7760C">
              <w:rPr>
                <w:b/>
                <w:i/>
              </w:rPr>
              <w:t>(fe)</w:t>
            </w:r>
            <w:r w:rsidRPr="00B7760C">
              <w:tab/>
            </w:r>
            <w:r w:rsidRPr="00B7760C">
              <w:rPr>
                <w:b/>
                <w:i/>
              </w:rPr>
              <w:t>izboljšanje kmetijsko-ekoloških in kmetijsko-gozdarskih praks in tehnik na kmetijskih in gozdnih površinah;</w:t>
            </w:r>
          </w:p>
        </w:tc>
      </w:tr>
      <w:tr w:rsidR="006C08ED" w:rsidRPr="00B7760C" w14:paraId="2605F1FD" w14:textId="77777777" w:rsidTr="004F0B88">
        <w:trPr>
          <w:jc w:val="center"/>
        </w:trPr>
        <w:tc>
          <w:tcPr>
            <w:tcW w:w="4876" w:type="dxa"/>
          </w:tcPr>
          <w:p w14:paraId="6CE5B03F" w14:textId="77777777" w:rsidR="006C08ED" w:rsidRPr="00B7760C" w:rsidRDefault="006C08ED" w:rsidP="004F0B88">
            <w:pPr>
              <w:pStyle w:val="Normal6a"/>
            </w:pPr>
          </w:p>
        </w:tc>
        <w:tc>
          <w:tcPr>
            <w:tcW w:w="4876" w:type="dxa"/>
          </w:tcPr>
          <w:p w14:paraId="42A744C4" w14:textId="77777777" w:rsidR="006C08ED" w:rsidRPr="00B7760C" w:rsidRDefault="006C08ED" w:rsidP="004F0B88">
            <w:pPr>
              <w:pStyle w:val="Normal6a"/>
            </w:pPr>
            <w:r w:rsidRPr="00B7760C">
              <w:rPr>
                <w:b/>
                <w:i/>
              </w:rPr>
              <w:t>(ff)</w:t>
            </w:r>
            <w:r w:rsidRPr="00B7760C">
              <w:tab/>
            </w:r>
            <w:r w:rsidRPr="00B7760C">
              <w:rPr>
                <w:b/>
                <w:i/>
              </w:rPr>
              <w:t>osredotočanje na organizacije proizvajalcev in druge skupine kmetov;</w:t>
            </w:r>
          </w:p>
        </w:tc>
      </w:tr>
      <w:tr w:rsidR="006C08ED" w:rsidRPr="00B7760C" w14:paraId="73392232" w14:textId="77777777" w:rsidTr="004F0B88">
        <w:trPr>
          <w:jc w:val="center"/>
        </w:trPr>
        <w:tc>
          <w:tcPr>
            <w:tcW w:w="4876" w:type="dxa"/>
          </w:tcPr>
          <w:p w14:paraId="4D214822" w14:textId="77777777" w:rsidR="006C08ED" w:rsidRPr="00B7760C" w:rsidRDefault="006C08ED" w:rsidP="004F0B88">
            <w:pPr>
              <w:pStyle w:val="Normal6a"/>
            </w:pPr>
          </w:p>
        </w:tc>
        <w:tc>
          <w:tcPr>
            <w:tcW w:w="4876" w:type="dxa"/>
          </w:tcPr>
          <w:p w14:paraId="10D9164C" w14:textId="77777777" w:rsidR="006C08ED" w:rsidRPr="00B7760C" w:rsidRDefault="006C08ED" w:rsidP="004F0B88">
            <w:pPr>
              <w:pStyle w:val="Normal6a"/>
            </w:pPr>
            <w:r w:rsidRPr="00B7760C">
              <w:rPr>
                <w:b/>
                <w:i/>
              </w:rPr>
              <w:t>(fg)</w:t>
            </w:r>
            <w:r w:rsidRPr="00B7760C">
              <w:tab/>
            </w:r>
            <w:r w:rsidRPr="00B7760C">
              <w:rPr>
                <w:b/>
                <w:i/>
              </w:rPr>
              <w:t>pomoč kmetom, ki želijo spremeniti proizvodnjo, zlasti zaradi sprememb v povpraševanju potrošnikov, s svetovanjem o potrebnih novih znanjih, spretnostih ter opremi;</w:t>
            </w:r>
          </w:p>
        </w:tc>
      </w:tr>
      <w:tr w:rsidR="006C08ED" w:rsidRPr="00B7760C" w14:paraId="59138875" w14:textId="77777777" w:rsidTr="004F0B88">
        <w:trPr>
          <w:jc w:val="center"/>
        </w:trPr>
        <w:tc>
          <w:tcPr>
            <w:tcW w:w="4876" w:type="dxa"/>
          </w:tcPr>
          <w:p w14:paraId="71E1C807" w14:textId="77777777" w:rsidR="006C08ED" w:rsidRPr="00B7760C" w:rsidRDefault="006C08ED" w:rsidP="004F0B88">
            <w:pPr>
              <w:pStyle w:val="Normal6a"/>
            </w:pPr>
          </w:p>
        </w:tc>
        <w:tc>
          <w:tcPr>
            <w:tcW w:w="4876" w:type="dxa"/>
          </w:tcPr>
          <w:p w14:paraId="7DC3BC16" w14:textId="77777777" w:rsidR="006C08ED" w:rsidRPr="00B7760C" w:rsidRDefault="006C08ED" w:rsidP="004F0B88">
            <w:pPr>
              <w:pStyle w:val="Normal6a"/>
            </w:pPr>
            <w:r w:rsidRPr="00B7760C">
              <w:rPr>
                <w:b/>
                <w:i/>
              </w:rPr>
              <w:t>(fh)</w:t>
            </w:r>
            <w:r w:rsidRPr="00B7760C">
              <w:tab/>
            </w:r>
            <w:r w:rsidRPr="00B7760C">
              <w:rPr>
                <w:b/>
                <w:i/>
              </w:rPr>
              <w:t>storitve načrtovanja mobilnosti lastništva zemljišč in dedovanja;</w:t>
            </w:r>
          </w:p>
        </w:tc>
      </w:tr>
      <w:tr w:rsidR="006C08ED" w:rsidRPr="00B7760C" w14:paraId="6558E3E2" w14:textId="77777777" w:rsidTr="004F0B88">
        <w:trPr>
          <w:jc w:val="center"/>
        </w:trPr>
        <w:tc>
          <w:tcPr>
            <w:tcW w:w="4876" w:type="dxa"/>
          </w:tcPr>
          <w:p w14:paraId="5D66E311" w14:textId="77777777" w:rsidR="006C08ED" w:rsidRPr="00B7760C" w:rsidRDefault="006C08ED" w:rsidP="004F0B88">
            <w:pPr>
              <w:pStyle w:val="Normal6a"/>
            </w:pPr>
          </w:p>
        </w:tc>
        <w:tc>
          <w:tcPr>
            <w:tcW w:w="4876" w:type="dxa"/>
          </w:tcPr>
          <w:p w14:paraId="4F21F8F6" w14:textId="77777777" w:rsidR="006C08ED" w:rsidRPr="00B7760C" w:rsidRDefault="006C08ED" w:rsidP="004F0B88">
            <w:pPr>
              <w:pStyle w:val="Normal6a"/>
            </w:pPr>
            <w:r w:rsidRPr="00B7760C">
              <w:rPr>
                <w:b/>
                <w:i/>
              </w:rPr>
              <w:t>(fi)</w:t>
            </w:r>
            <w:r w:rsidRPr="00B7760C">
              <w:tab/>
            </w:r>
            <w:r w:rsidRPr="00B7760C">
              <w:rPr>
                <w:b/>
                <w:i/>
              </w:rPr>
              <w:t>vse kmetijske prakse, ki omogočajo manjšo uporabo gnojil in fitofarmacevtskih sredstev s spodbujanjem naravnih metod za izboljšanje rodovitnosti tal in zatiranje škodljivcev;</w:t>
            </w:r>
          </w:p>
        </w:tc>
      </w:tr>
      <w:tr w:rsidR="006C08ED" w:rsidRPr="00B7760C" w14:paraId="05C0279A" w14:textId="77777777" w:rsidTr="004F0B88">
        <w:trPr>
          <w:jc w:val="center"/>
        </w:trPr>
        <w:tc>
          <w:tcPr>
            <w:tcW w:w="4876" w:type="dxa"/>
          </w:tcPr>
          <w:p w14:paraId="1E2B523C" w14:textId="77777777" w:rsidR="006C08ED" w:rsidRPr="00B7760C" w:rsidRDefault="006C08ED" w:rsidP="004F0B88">
            <w:pPr>
              <w:pStyle w:val="Normal6a"/>
            </w:pPr>
          </w:p>
        </w:tc>
        <w:tc>
          <w:tcPr>
            <w:tcW w:w="4876" w:type="dxa"/>
          </w:tcPr>
          <w:p w14:paraId="7EFE884E" w14:textId="77777777" w:rsidR="006C08ED" w:rsidRPr="00B7760C" w:rsidRDefault="006C08ED" w:rsidP="004F0B88">
            <w:pPr>
              <w:pStyle w:val="Normal6a"/>
              <w:rPr>
                <w:b/>
                <w:i/>
              </w:rPr>
            </w:pPr>
            <w:r w:rsidRPr="00B7760C">
              <w:rPr>
                <w:b/>
                <w:i/>
              </w:rPr>
              <w:t>(fj) izboljšanje odpornosti in prilagajanje na podnebne spremembe ter</w:t>
            </w:r>
          </w:p>
        </w:tc>
      </w:tr>
      <w:tr w:rsidR="006C08ED" w:rsidRPr="00B7760C" w14:paraId="4EC27F0D" w14:textId="77777777" w:rsidTr="004F0B88">
        <w:trPr>
          <w:jc w:val="center"/>
        </w:trPr>
        <w:tc>
          <w:tcPr>
            <w:tcW w:w="4876" w:type="dxa"/>
          </w:tcPr>
          <w:p w14:paraId="37BBFDD0" w14:textId="77777777" w:rsidR="006C08ED" w:rsidRPr="00B7760C" w:rsidRDefault="006C08ED" w:rsidP="004F0B88">
            <w:pPr>
              <w:pStyle w:val="Normal6a"/>
            </w:pPr>
          </w:p>
        </w:tc>
        <w:tc>
          <w:tcPr>
            <w:tcW w:w="4876" w:type="dxa"/>
          </w:tcPr>
          <w:p w14:paraId="4204D740" w14:textId="77777777" w:rsidR="006C08ED" w:rsidRPr="00B7760C" w:rsidRDefault="006C08ED" w:rsidP="004F0B88">
            <w:pPr>
              <w:pStyle w:val="Normal6a"/>
            </w:pPr>
            <w:r w:rsidRPr="00B7760C">
              <w:rPr>
                <w:b/>
                <w:i/>
              </w:rPr>
              <w:t>(fk)</w:t>
            </w:r>
            <w:r w:rsidRPr="00B7760C">
              <w:tab/>
            </w:r>
            <w:r w:rsidRPr="00B7760C">
              <w:rPr>
                <w:b/>
                <w:i/>
              </w:rPr>
              <w:t>izboljšanje dobrobiti živali.</w:t>
            </w:r>
          </w:p>
        </w:tc>
      </w:tr>
      <w:tr w:rsidR="006C08ED" w:rsidRPr="00B7760C" w14:paraId="2A826CC5" w14:textId="77777777" w:rsidTr="004F0B88">
        <w:trPr>
          <w:jc w:val="center"/>
        </w:trPr>
        <w:tc>
          <w:tcPr>
            <w:tcW w:w="4876" w:type="dxa"/>
          </w:tcPr>
          <w:p w14:paraId="1690F688" w14:textId="77777777" w:rsidR="006C08ED" w:rsidRPr="00B7760C" w:rsidRDefault="006C08ED" w:rsidP="004F0B88">
            <w:pPr>
              <w:pStyle w:val="Normal6a"/>
            </w:pPr>
          </w:p>
        </w:tc>
        <w:tc>
          <w:tcPr>
            <w:tcW w:w="4876" w:type="dxa"/>
          </w:tcPr>
          <w:p w14:paraId="524E8CF5" w14:textId="77777777" w:rsidR="006C08ED" w:rsidRPr="00B7760C" w:rsidRDefault="006C08ED" w:rsidP="004F0B88">
            <w:pPr>
              <w:pStyle w:val="Normal6a"/>
            </w:pPr>
            <w:r w:rsidRPr="00B7760C">
              <w:rPr>
                <w:b/>
                <w:i/>
              </w:rPr>
              <w:t>4a.</w:t>
            </w:r>
            <w:r w:rsidRPr="00B7760C">
              <w:tab/>
            </w:r>
            <w:r w:rsidRPr="00B7760C">
              <w:rPr>
                <w:b/>
                <w:i/>
              </w:rPr>
              <w:t>Brez poseganja v nacionalno zakonodajo in druge ustrezne določbe prava Unije osebe in subjekti, zadolženi za svetovalne storitve, osebnih ali poslovnih informacij ali podatkov v zvezi z zadevnim kmetom ali upravičencem, pridobljenih med nalogo svetovanja, ne razkrijejo nobeni drugi osebi kot kmetu ali upravičencu, ki mu svetujejo, razen kršitev, za katere v skladu z nacionalnim pravom ali pravom Unije velja obveznost poročanja javnim organom.</w:t>
            </w:r>
          </w:p>
        </w:tc>
      </w:tr>
      <w:tr w:rsidR="006C08ED" w:rsidRPr="00B7760C" w14:paraId="627DCB9D" w14:textId="77777777" w:rsidTr="004F0B88">
        <w:trPr>
          <w:jc w:val="center"/>
        </w:trPr>
        <w:tc>
          <w:tcPr>
            <w:tcW w:w="4876" w:type="dxa"/>
          </w:tcPr>
          <w:p w14:paraId="68938C45" w14:textId="77777777" w:rsidR="006C08ED" w:rsidRPr="00B7760C" w:rsidRDefault="006C08ED" w:rsidP="004F0B88">
            <w:pPr>
              <w:pStyle w:val="Normal6a"/>
            </w:pPr>
          </w:p>
        </w:tc>
        <w:tc>
          <w:tcPr>
            <w:tcW w:w="4876" w:type="dxa"/>
          </w:tcPr>
          <w:p w14:paraId="7F791093" w14:textId="77777777" w:rsidR="006C08ED" w:rsidRPr="00B7760C" w:rsidRDefault="006C08ED" w:rsidP="004F0B88">
            <w:pPr>
              <w:pStyle w:val="Normal6a"/>
            </w:pPr>
            <w:r w:rsidRPr="00B7760C">
              <w:rPr>
                <w:b/>
                <w:i/>
              </w:rPr>
              <w:t>4b.</w:t>
            </w:r>
            <w:r w:rsidRPr="00B7760C">
              <w:tab/>
            </w:r>
            <w:r w:rsidRPr="00B7760C">
              <w:rPr>
                <w:b/>
                <w:i/>
              </w:rPr>
              <w:t>Države članice z ustreznim javnim postopkom zagotovijo tudi, da so svetovalci, ki delajo v sistemu kmetijskega svetovanja, ustrezno kvalificirani in se redno usposabljajo.</w:t>
            </w:r>
          </w:p>
        </w:tc>
      </w:tr>
      <w:tr w:rsidR="006C08ED" w:rsidRPr="00B7760C" w14:paraId="6A68D313" w14:textId="77777777" w:rsidTr="004F0B88">
        <w:trPr>
          <w:jc w:val="center"/>
        </w:trPr>
        <w:tc>
          <w:tcPr>
            <w:tcW w:w="4876" w:type="dxa"/>
          </w:tcPr>
          <w:p w14:paraId="0EF93BC0" w14:textId="77777777" w:rsidR="006C08ED" w:rsidRPr="00B7760C" w:rsidRDefault="006C08ED" w:rsidP="004F0B88">
            <w:pPr>
              <w:pStyle w:val="Normal6a"/>
            </w:pPr>
            <w:r w:rsidRPr="00B7760C">
              <w:t>__________________</w:t>
            </w:r>
          </w:p>
        </w:tc>
        <w:tc>
          <w:tcPr>
            <w:tcW w:w="4876" w:type="dxa"/>
          </w:tcPr>
          <w:p w14:paraId="0A75F5F1" w14:textId="77777777" w:rsidR="006C08ED" w:rsidRPr="00B7760C" w:rsidRDefault="006C08ED" w:rsidP="004F0B88">
            <w:pPr>
              <w:pStyle w:val="Normal6a"/>
            </w:pPr>
            <w:r w:rsidRPr="00B7760C">
              <w:t>__________________</w:t>
            </w:r>
          </w:p>
        </w:tc>
      </w:tr>
      <w:tr w:rsidR="006C08ED" w:rsidRPr="00B7760C" w14:paraId="6C403093" w14:textId="77777777" w:rsidTr="004F0B88">
        <w:trPr>
          <w:jc w:val="center"/>
        </w:trPr>
        <w:tc>
          <w:tcPr>
            <w:tcW w:w="4876" w:type="dxa"/>
          </w:tcPr>
          <w:p w14:paraId="52766667" w14:textId="4D00B978" w:rsidR="006C08ED" w:rsidRPr="00B7760C" w:rsidRDefault="006C08ED" w:rsidP="004F0B88">
            <w:pPr>
              <w:pStyle w:val="Normal6a"/>
            </w:pPr>
            <w:r w:rsidRPr="00B7760C">
              <w:rPr>
                <w:vertAlign w:val="superscript"/>
              </w:rPr>
              <w:t>30.</w:t>
            </w:r>
            <w:r w:rsidR="00A10435" w:rsidRPr="00B7760C">
              <w:tab/>
            </w:r>
            <w:r w:rsidRPr="00B7760C">
              <w:t>Uredba (ES) št. 1107/2009 Evropskega parlamenta in Sveta z dne 21. oktobra 2009 o dajanju fitofarmacevtskih sredstev v promet in razveljavitvi direktiv Sveta 79/117/EGS in 91/414/EGS (UL L 309, 24.11.2009, str. 1).</w:t>
            </w:r>
          </w:p>
        </w:tc>
        <w:tc>
          <w:tcPr>
            <w:tcW w:w="4876" w:type="dxa"/>
          </w:tcPr>
          <w:p w14:paraId="234369D7" w14:textId="792C0145" w:rsidR="006C08ED" w:rsidRPr="00B7760C" w:rsidRDefault="006C08ED" w:rsidP="004F0B88">
            <w:pPr>
              <w:pStyle w:val="Normal6a"/>
            </w:pPr>
            <w:r w:rsidRPr="00B7760C">
              <w:rPr>
                <w:vertAlign w:val="superscript"/>
              </w:rPr>
              <w:t>30.</w:t>
            </w:r>
            <w:r w:rsidR="00A10435" w:rsidRPr="00B7760C">
              <w:tab/>
            </w:r>
            <w:r w:rsidRPr="00B7760C">
              <w:t>Uredba (ES) št. 1107/2009 Evropskega parlamenta in Sveta z dne 21. oktobra 2009 o dajanju fitofarmacevtskih sredstev v promet in razveljavitvi direktiv Sveta 79/117/EGS in 91/414/EGS (UL L 309, 24.11.2009, str. 1).</w:t>
            </w:r>
          </w:p>
        </w:tc>
      </w:tr>
      <w:tr w:rsidR="006C08ED" w:rsidRPr="00B7760C" w14:paraId="277D9D0A" w14:textId="77777777" w:rsidTr="004F0B88">
        <w:trPr>
          <w:jc w:val="center"/>
        </w:trPr>
        <w:tc>
          <w:tcPr>
            <w:tcW w:w="4876" w:type="dxa"/>
          </w:tcPr>
          <w:p w14:paraId="75945E93" w14:textId="75550387" w:rsidR="006C08ED" w:rsidRPr="00B7760C" w:rsidRDefault="006C08ED" w:rsidP="00B7760C">
            <w:pPr>
              <w:pStyle w:val="Normal6a"/>
            </w:pPr>
            <w:r w:rsidRPr="00B7760C">
              <w:rPr>
                <w:vertAlign w:val="superscript"/>
              </w:rPr>
              <w:t>31.</w:t>
            </w:r>
            <w:r w:rsidR="00A10435" w:rsidRPr="00B7760C">
              <w:tab/>
            </w:r>
            <w:r w:rsidRPr="00B7760C">
              <w:t>Evropski akcijski načrt „eno zdravje“ zoper odpornost proti antimikrobikom (COM(2017)</w:t>
            </w:r>
            <w:r w:rsidR="00B7760C" w:rsidRPr="00B7760C">
              <w:rPr>
                <w:bCs/>
                <w:iCs/>
              </w:rPr>
              <w:t>0</w:t>
            </w:r>
            <w:r w:rsidRPr="00B7760C">
              <w:rPr>
                <w:bCs/>
                <w:iCs/>
              </w:rPr>
              <w:t>33</w:t>
            </w:r>
            <w:r w:rsidR="00B7760C" w:rsidRPr="00B7760C">
              <w:rPr>
                <w:bCs/>
                <w:iCs/>
              </w:rPr>
              <w:t>9</w:t>
            </w:r>
            <w:r w:rsidRPr="00B7760C">
              <w:t>).</w:t>
            </w:r>
          </w:p>
        </w:tc>
        <w:tc>
          <w:tcPr>
            <w:tcW w:w="4876" w:type="dxa"/>
          </w:tcPr>
          <w:p w14:paraId="57FD3240" w14:textId="2B29D86E" w:rsidR="006C08ED" w:rsidRPr="00B7760C" w:rsidRDefault="006C08ED" w:rsidP="004F0B88">
            <w:pPr>
              <w:pStyle w:val="Normal6a"/>
            </w:pPr>
            <w:r w:rsidRPr="00B7760C">
              <w:rPr>
                <w:vertAlign w:val="superscript"/>
              </w:rPr>
              <w:t>31.</w:t>
            </w:r>
            <w:r w:rsidR="00A10435" w:rsidRPr="00B7760C">
              <w:tab/>
            </w:r>
            <w:r w:rsidRPr="00B7760C">
              <w:t>Evropski akcijski načrt „eno zdravje“ zoper odpornost proti antimikrobikom (COM(2017)</w:t>
            </w:r>
            <w:r w:rsidRPr="00B7760C">
              <w:rPr>
                <w:bCs/>
                <w:iCs/>
              </w:rPr>
              <w:t>0339</w:t>
            </w:r>
            <w:r w:rsidRPr="00B7760C">
              <w:t>).</w:t>
            </w:r>
          </w:p>
        </w:tc>
      </w:tr>
    </w:tbl>
    <w:p w14:paraId="619E36F1" w14:textId="77777777" w:rsidR="006C08ED" w:rsidRPr="00B7760C" w:rsidRDefault="006C08ED" w:rsidP="003663AF"/>
    <w:p w14:paraId="6EEA32BF" w14:textId="594FCFC6" w:rsidR="007C10C0" w:rsidRPr="00B7760C" w:rsidRDefault="007C10C0" w:rsidP="007C10C0">
      <w:pPr>
        <w:pStyle w:val="AmNumberTabs0"/>
      </w:pPr>
      <w:r w:rsidRPr="00B7760C">
        <w:t>Sprememba</w:t>
      </w:r>
      <w:r w:rsidRPr="00B7760C">
        <w:tab/>
        <w:t>811</w:t>
      </w:r>
    </w:p>
    <w:p w14:paraId="29A9BCC7" w14:textId="77777777" w:rsidR="007C10C0" w:rsidRPr="00B7760C" w:rsidRDefault="007C10C0" w:rsidP="007C10C0">
      <w:pPr>
        <w:pStyle w:val="NormalBold12b"/>
      </w:pPr>
      <w:r w:rsidRPr="00B7760C">
        <w:t>Predlog uredbe</w:t>
      </w:r>
    </w:p>
    <w:p w14:paraId="6FBBEDA4" w14:textId="26D790DF" w:rsidR="007C10C0" w:rsidRPr="00B7760C" w:rsidRDefault="00FA4356" w:rsidP="00FA4356">
      <w:pPr>
        <w:pStyle w:val="NormalBold"/>
      </w:pPr>
      <w:r w:rsidRPr="00B7760C">
        <w:t>Naslov III – poglavje 1 – oddelek 3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C10C0" w:rsidRPr="00B7760C" w14:paraId="53779106" w14:textId="77777777" w:rsidTr="002E2EB0">
        <w:trPr>
          <w:trHeight w:hRule="exact" w:val="240"/>
          <w:jc w:val="center"/>
        </w:trPr>
        <w:tc>
          <w:tcPr>
            <w:tcW w:w="9752" w:type="dxa"/>
            <w:gridSpan w:val="2"/>
          </w:tcPr>
          <w:p w14:paraId="17989422" w14:textId="77777777" w:rsidR="007C10C0" w:rsidRPr="00B7760C" w:rsidRDefault="007C10C0" w:rsidP="002E2EB0"/>
        </w:tc>
      </w:tr>
      <w:tr w:rsidR="007C10C0" w:rsidRPr="00B7760C" w14:paraId="1061ADFD" w14:textId="77777777" w:rsidTr="002E2EB0">
        <w:trPr>
          <w:trHeight w:val="240"/>
          <w:jc w:val="center"/>
        </w:trPr>
        <w:tc>
          <w:tcPr>
            <w:tcW w:w="4876" w:type="dxa"/>
          </w:tcPr>
          <w:p w14:paraId="2D03879F" w14:textId="77777777" w:rsidR="007C10C0" w:rsidRPr="00B7760C" w:rsidRDefault="007C10C0" w:rsidP="002E2EB0">
            <w:pPr>
              <w:pStyle w:val="AmColumnHeading"/>
            </w:pPr>
            <w:r w:rsidRPr="00B7760C">
              <w:t>Besedilo, ki ga predlaga Komisija</w:t>
            </w:r>
          </w:p>
        </w:tc>
        <w:tc>
          <w:tcPr>
            <w:tcW w:w="4876" w:type="dxa"/>
          </w:tcPr>
          <w:p w14:paraId="7B769C93" w14:textId="2E2D83B3" w:rsidR="007C10C0" w:rsidRPr="00B7760C" w:rsidRDefault="007C10C0" w:rsidP="002E2EB0">
            <w:pPr>
              <w:pStyle w:val="AmColumnHeading"/>
            </w:pPr>
            <w:r w:rsidRPr="00B7760C">
              <w:t>Sprememba</w:t>
            </w:r>
          </w:p>
        </w:tc>
      </w:tr>
      <w:tr w:rsidR="007C10C0" w:rsidRPr="00B7760C" w14:paraId="0DC78360" w14:textId="77777777" w:rsidTr="002E2EB0">
        <w:trPr>
          <w:trHeight w:val="240"/>
          <w:jc w:val="center"/>
        </w:trPr>
        <w:tc>
          <w:tcPr>
            <w:tcW w:w="4876" w:type="dxa"/>
          </w:tcPr>
          <w:p w14:paraId="2A956454" w14:textId="77777777" w:rsidR="007C10C0" w:rsidRPr="00B7760C" w:rsidRDefault="007C10C0" w:rsidP="002E2EB0">
            <w:pPr>
              <w:pStyle w:val="AmColumnHeading"/>
            </w:pPr>
          </w:p>
        </w:tc>
        <w:tc>
          <w:tcPr>
            <w:tcW w:w="4876" w:type="dxa"/>
          </w:tcPr>
          <w:p w14:paraId="4036B4EB" w14:textId="0EF7E410" w:rsidR="007C10C0" w:rsidRPr="00B7760C" w:rsidRDefault="007C10C0" w:rsidP="0066535D">
            <w:pPr>
              <w:pStyle w:val="AmColumnHeading"/>
              <w:jc w:val="left"/>
              <w:rPr>
                <w:b/>
                <w:bCs/>
              </w:rPr>
            </w:pPr>
            <w:r w:rsidRPr="00B7760C">
              <w:rPr>
                <w:b/>
                <w:bCs/>
              </w:rPr>
              <w:t>O</w:t>
            </w:r>
            <w:r w:rsidR="0066535D" w:rsidRPr="00B7760C">
              <w:rPr>
                <w:b/>
                <w:bCs/>
              </w:rPr>
              <w:t>DDELEK</w:t>
            </w:r>
            <w:r w:rsidRPr="00B7760C">
              <w:rPr>
                <w:b/>
                <w:bCs/>
              </w:rPr>
              <w:t xml:space="preserve"> 3a</w:t>
            </w:r>
          </w:p>
        </w:tc>
      </w:tr>
      <w:tr w:rsidR="007C10C0" w:rsidRPr="00B7760C" w14:paraId="51CC566B" w14:textId="77777777" w:rsidTr="002E2EB0">
        <w:trPr>
          <w:jc w:val="center"/>
        </w:trPr>
        <w:tc>
          <w:tcPr>
            <w:tcW w:w="4876" w:type="dxa"/>
          </w:tcPr>
          <w:p w14:paraId="0E5C7CAF" w14:textId="77777777" w:rsidR="007C10C0" w:rsidRPr="00B7760C" w:rsidRDefault="007C10C0" w:rsidP="002E2EB0">
            <w:pPr>
              <w:pStyle w:val="Normal6a"/>
            </w:pPr>
          </w:p>
        </w:tc>
        <w:tc>
          <w:tcPr>
            <w:tcW w:w="4876" w:type="dxa"/>
          </w:tcPr>
          <w:p w14:paraId="0D27FAC7" w14:textId="73282900" w:rsidR="007C10C0" w:rsidRPr="00B7760C" w:rsidRDefault="0066535D" w:rsidP="002E2EB0">
            <w:pPr>
              <w:pStyle w:val="Normal6a"/>
            </w:pPr>
            <w:r w:rsidRPr="00B7760C">
              <w:rPr>
                <w:b/>
                <w:i/>
              </w:rPr>
              <w:t>EKOLOŠKO KMETOVANJE</w:t>
            </w:r>
          </w:p>
        </w:tc>
      </w:tr>
      <w:tr w:rsidR="007C10C0" w:rsidRPr="00B7760C" w14:paraId="6BBE36CC" w14:textId="77777777" w:rsidTr="002E2EB0">
        <w:trPr>
          <w:jc w:val="center"/>
        </w:trPr>
        <w:tc>
          <w:tcPr>
            <w:tcW w:w="4876" w:type="dxa"/>
          </w:tcPr>
          <w:p w14:paraId="271C3491" w14:textId="77777777" w:rsidR="007C10C0" w:rsidRPr="00B7760C" w:rsidRDefault="007C10C0" w:rsidP="002E2EB0">
            <w:pPr>
              <w:pStyle w:val="Normal6a"/>
            </w:pPr>
          </w:p>
        </w:tc>
        <w:tc>
          <w:tcPr>
            <w:tcW w:w="4876" w:type="dxa"/>
          </w:tcPr>
          <w:p w14:paraId="00197586" w14:textId="77777777" w:rsidR="007C10C0" w:rsidRPr="00B7760C" w:rsidRDefault="007C10C0" w:rsidP="002E2EB0">
            <w:pPr>
              <w:pStyle w:val="Normal6a"/>
            </w:pPr>
            <w:r w:rsidRPr="00B7760C">
              <w:rPr>
                <w:b/>
                <w:i/>
              </w:rPr>
              <w:t>Člen 13a</w:t>
            </w:r>
          </w:p>
        </w:tc>
      </w:tr>
      <w:tr w:rsidR="007C10C0" w:rsidRPr="00B7760C" w14:paraId="2009301D" w14:textId="77777777" w:rsidTr="002E2EB0">
        <w:trPr>
          <w:jc w:val="center"/>
        </w:trPr>
        <w:tc>
          <w:tcPr>
            <w:tcW w:w="4876" w:type="dxa"/>
          </w:tcPr>
          <w:p w14:paraId="7B4914E3" w14:textId="77777777" w:rsidR="007C10C0" w:rsidRPr="00B7760C" w:rsidRDefault="007C10C0" w:rsidP="002E2EB0">
            <w:pPr>
              <w:pStyle w:val="Normal6a"/>
            </w:pPr>
          </w:p>
        </w:tc>
        <w:tc>
          <w:tcPr>
            <w:tcW w:w="4876" w:type="dxa"/>
          </w:tcPr>
          <w:p w14:paraId="3DB33BC8" w14:textId="77777777" w:rsidR="007C10C0" w:rsidRPr="00B7760C" w:rsidRDefault="007C10C0" w:rsidP="002E2EB0">
            <w:pPr>
              <w:pStyle w:val="Normal6a"/>
            </w:pPr>
            <w:r w:rsidRPr="00B7760C">
              <w:rPr>
                <w:b/>
                <w:i/>
              </w:rPr>
              <w:t>Ekološko kmetovanje</w:t>
            </w:r>
          </w:p>
        </w:tc>
      </w:tr>
      <w:tr w:rsidR="007C10C0" w:rsidRPr="00B7760C" w14:paraId="240B0C0A" w14:textId="77777777" w:rsidTr="002E2EB0">
        <w:trPr>
          <w:jc w:val="center"/>
        </w:trPr>
        <w:tc>
          <w:tcPr>
            <w:tcW w:w="4876" w:type="dxa"/>
          </w:tcPr>
          <w:p w14:paraId="1B8794D1" w14:textId="77777777" w:rsidR="007C10C0" w:rsidRPr="00B7760C" w:rsidRDefault="007C10C0" w:rsidP="002E2EB0">
            <w:pPr>
              <w:pStyle w:val="Normal6a"/>
            </w:pPr>
          </w:p>
        </w:tc>
        <w:tc>
          <w:tcPr>
            <w:tcW w:w="4876" w:type="dxa"/>
          </w:tcPr>
          <w:p w14:paraId="3B64C5F5" w14:textId="0B1EEEEC" w:rsidR="007C10C0" w:rsidRPr="00B7760C" w:rsidRDefault="007C10C0" w:rsidP="00FA4356">
            <w:pPr>
              <w:pStyle w:val="Normal6a"/>
            </w:pPr>
            <w:r w:rsidRPr="00B7760C">
              <w:rPr>
                <w:b/>
                <w:i/>
              </w:rPr>
              <w:t>Ekološko kmetijstvo je v skladu z opredelitvijo iz Uredbe (EU) št. 2018/848 Evropskega parlamenta in Sveta</w:t>
            </w:r>
            <w:r w:rsidRPr="00B7760C">
              <w:rPr>
                <w:rStyle w:val="SupBoldItalic"/>
              </w:rPr>
              <w:t>1a</w:t>
            </w:r>
            <w:r w:rsidRPr="00B7760C">
              <w:rPr>
                <w:b/>
                <w:i/>
              </w:rPr>
              <w:t xml:space="preserve"> certificiran sistem kmetovanja, ki lahko prispeva k številnim specifičnim ciljem SKP, določenim v členu 6(1) te uredbe. Glede na koristi ekološkega kmetovanja in naraščajoče povpraševanje, ki se še vedno povečuje hitreje od pridelave, države članice ocenijo raven podpore, potrebne za kmetijska zemljišča, ki se obdelujejo v skladu z ekološkim certifikatom. Države članice v svoje strateške načrte SKP vključijo analizo proizvodnje ekološkega sektorja, pričakovanega povpraševanja in njegovega potenciala za uresničitev ciljev SKP ter določijo cilje za povečanje deleža kmetijskih zemljišč, ki se obdelujejo ekološko, in za razvoj celotne ekološke dobavne verige. Države članice na podlagi te ocene določijo ustrezno raven podpore za preusmeritev v ekološko kmetovanje in njegovo ohranitev, in sicer na podlagi ukrepov za razvoj podeželja iz člena 65, </w:t>
            </w:r>
            <w:r w:rsidR="00FA4356" w:rsidRPr="00B7760C">
              <w:rPr>
                <w:b/>
                <w:i/>
              </w:rPr>
              <w:t>ter</w:t>
            </w:r>
            <w:r w:rsidRPr="00B7760C">
              <w:rPr>
                <w:b/>
                <w:i/>
              </w:rPr>
              <w:t xml:space="preserve"> zagotovijo, da so dodeljena sredstva primerna glede na pričakovano rast ekološke pridelave.</w:t>
            </w:r>
          </w:p>
        </w:tc>
      </w:tr>
      <w:tr w:rsidR="007C10C0" w:rsidRPr="00B7760C" w14:paraId="021E79D1" w14:textId="77777777" w:rsidTr="002E2EB0">
        <w:trPr>
          <w:jc w:val="center"/>
        </w:trPr>
        <w:tc>
          <w:tcPr>
            <w:tcW w:w="4876" w:type="dxa"/>
          </w:tcPr>
          <w:p w14:paraId="56D9B2C6" w14:textId="77777777" w:rsidR="007C10C0" w:rsidRPr="00B7760C" w:rsidRDefault="007C10C0" w:rsidP="002E2EB0">
            <w:pPr>
              <w:pStyle w:val="Normal6a"/>
            </w:pPr>
          </w:p>
        </w:tc>
        <w:tc>
          <w:tcPr>
            <w:tcW w:w="4876" w:type="dxa"/>
          </w:tcPr>
          <w:p w14:paraId="78AC3948" w14:textId="77777777" w:rsidR="007C10C0" w:rsidRPr="00B7760C" w:rsidRDefault="007C10C0" w:rsidP="002E2EB0">
            <w:pPr>
              <w:pStyle w:val="Normal6a"/>
            </w:pPr>
            <w:r w:rsidRPr="00B7760C">
              <w:t>_________________</w:t>
            </w:r>
          </w:p>
        </w:tc>
      </w:tr>
      <w:tr w:rsidR="007C10C0" w:rsidRPr="00B7760C" w14:paraId="7750EA48" w14:textId="77777777" w:rsidTr="002E2EB0">
        <w:trPr>
          <w:jc w:val="center"/>
        </w:trPr>
        <w:tc>
          <w:tcPr>
            <w:tcW w:w="4876" w:type="dxa"/>
          </w:tcPr>
          <w:p w14:paraId="663407BD" w14:textId="77777777" w:rsidR="007C10C0" w:rsidRPr="00B7760C" w:rsidRDefault="007C10C0" w:rsidP="002E2EB0">
            <w:pPr>
              <w:pStyle w:val="Normal6a"/>
            </w:pPr>
          </w:p>
        </w:tc>
        <w:tc>
          <w:tcPr>
            <w:tcW w:w="4876" w:type="dxa"/>
          </w:tcPr>
          <w:p w14:paraId="7519BC12" w14:textId="779963CF" w:rsidR="007C10C0" w:rsidRPr="00B7760C" w:rsidRDefault="007C10C0" w:rsidP="002E2EB0">
            <w:pPr>
              <w:pStyle w:val="Normal6a"/>
            </w:pPr>
            <w:r w:rsidRPr="00B7760C">
              <w:rPr>
                <w:rStyle w:val="SupBoldItalic"/>
              </w:rPr>
              <w:t>1a</w:t>
            </w:r>
            <w:r w:rsidRPr="00B7760C">
              <w:t xml:space="preserve"> </w:t>
            </w:r>
            <w:r w:rsidR="00412461" w:rsidRPr="00B7760C">
              <w:tab/>
            </w:r>
            <w:r w:rsidRPr="00B7760C">
              <w:rPr>
                <w:b/>
                <w:i/>
              </w:rPr>
              <w:t>Uredba (EU) 2018/848 Evropskega parlamenta in Sveta z dne 30. maja 2018 o ekološki pridelavi in označevanju ekoloških proizvodov in razveljavitvi Uredbe Sveta (ES) št. 834/2007 (UL L 150, 14.6.2018, str. 1).</w:t>
            </w:r>
          </w:p>
        </w:tc>
      </w:tr>
    </w:tbl>
    <w:p w14:paraId="0437E21D" w14:textId="77777777" w:rsidR="007C10C0" w:rsidRPr="00B7760C" w:rsidRDefault="007C10C0" w:rsidP="003663AF">
      <w:pPr>
        <w:pStyle w:val="AMNumberTabs"/>
      </w:pPr>
    </w:p>
    <w:p w14:paraId="64D7CDC0" w14:textId="55D4962C" w:rsidR="003663AF" w:rsidRPr="00B7760C" w:rsidRDefault="00877691" w:rsidP="003663AF">
      <w:pPr>
        <w:pStyle w:val="AMNumberTabs"/>
      </w:pPr>
      <w:r w:rsidRPr="00B7760C">
        <w:t>Sprememba</w:t>
      </w:r>
      <w:r w:rsidR="003663AF" w:rsidRPr="00B7760C">
        <w:tab/>
      </w:r>
      <w:r w:rsidR="003663AF" w:rsidRPr="00B7760C">
        <w:tab/>
        <w:t>160</w:t>
      </w:r>
    </w:p>
    <w:p w14:paraId="45FD3B95" w14:textId="77777777" w:rsidR="003663AF" w:rsidRPr="00B7760C" w:rsidRDefault="003663AF" w:rsidP="003663AF">
      <w:pPr>
        <w:pStyle w:val="NormalBold12b"/>
      </w:pPr>
      <w:r w:rsidRPr="00B7760C">
        <w:t>Predlog uredbe</w:t>
      </w:r>
    </w:p>
    <w:p w14:paraId="1EE38E22" w14:textId="77777777" w:rsidR="003663AF" w:rsidRPr="00B7760C" w:rsidRDefault="003663AF" w:rsidP="003663AF">
      <w:pPr>
        <w:pStyle w:val="NormalBold"/>
      </w:pPr>
      <w:r w:rsidRPr="00B7760C">
        <w:t>Člen 14 – odstavek 2 – točka d</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BFFFD3E" w14:textId="77777777" w:rsidTr="00E804B7">
        <w:trPr>
          <w:trHeight w:hRule="exact" w:val="240"/>
          <w:jc w:val="center"/>
        </w:trPr>
        <w:tc>
          <w:tcPr>
            <w:tcW w:w="9752" w:type="dxa"/>
            <w:gridSpan w:val="2"/>
          </w:tcPr>
          <w:p w14:paraId="1AD08160" w14:textId="77777777" w:rsidR="003663AF" w:rsidRPr="00B7760C" w:rsidRDefault="003663AF" w:rsidP="00E804B7"/>
        </w:tc>
      </w:tr>
      <w:tr w:rsidR="003663AF" w:rsidRPr="00B7760C" w14:paraId="46D2A71F" w14:textId="77777777" w:rsidTr="00E804B7">
        <w:trPr>
          <w:trHeight w:val="240"/>
          <w:jc w:val="center"/>
        </w:trPr>
        <w:tc>
          <w:tcPr>
            <w:tcW w:w="4876" w:type="dxa"/>
          </w:tcPr>
          <w:p w14:paraId="36A3044C" w14:textId="77777777" w:rsidR="003663AF" w:rsidRPr="00B7760C" w:rsidRDefault="003663AF" w:rsidP="00E804B7">
            <w:pPr>
              <w:pStyle w:val="ColumnHeading"/>
            </w:pPr>
            <w:r w:rsidRPr="00B7760C">
              <w:t>Besedilo, ki ga predlaga Komisija</w:t>
            </w:r>
          </w:p>
        </w:tc>
        <w:tc>
          <w:tcPr>
            <w:tcW w:w="4876" w:type="dxa"/>
          </w:tcPr>
          <w:p w14:paraId="26E8AA1B" w14:textId="0A0D48C9" w:rsidR="003663AF" w:rsidRPr="00B7760C" w:rsidRDefault="00877691" w:rsidP="00E804B7">
            <w:pPr>
              <w:pStyle w:val="ColumnHeading"/>
            </w:pPr>
            <w:r w:rsidRPr="00B7760C">
              <w:t>Sprememba</w:t>
            </w:r>
          </w:p>
        </w:tc>
      </w:tr>
      <w:tr w:rsidR="003663AF" w:rsidRPr="00B7760C" w14:paraId="2A00006D" w14:textId="77777777" w:rsidTr="00E804B7">
        <w:trPr>
          <w:jc w:val="center"/>
        </w:trPr>
        <w:tc>
          <w:tcPr>
            <w:tcW w:w="4876" w:type="dxa"/>
          </w:tcPr>
          <w:p w14:paraId="1A623DE2" w14:textId="77777777" w:rsidR="003663AF" w:rsidRPr="00B7760C" w:rsidRDefault="003663AF" w:rsidP="00E804B7">
            <w:pPr>
              <w:pStyle w:val="Normal6"/>
            </w:pPr>
            <w:r w:rsidRPr="00B7760C">
              <w:t>(d)</w:t>
            </w:r>
            <w:r w:rsidRPr="00B7760C">
              <w:tab/>
              <w:t xml:space="preserve">sheme za podnebje in </w:t>
            </w:r>
            <w:r w:rsidRPr="00B7760C">
              <w:rPr>
                <w:b/>
                <w:i/>
              </w:rPr>
              <w:t>okolje.</w:t>
            </w:r>
            <w:r w:rsidRPr="00B7760C">
              <w:t xml:space="preserve"> </w:t>
            </w:r>
          </w:p>
        </w:tc>
        <w:tc>
          <w:tcPr>
            <w:tcW w:w="4876" w:type="dxa"/>
          </w:tcPr>
          <w:p w14:paraId="45ECD6FA" w14:textId="77777777" w:rsidR="003663AF" w:rsidRPr="00B7760C" w:rsidRDefault="003663AF" w:rsidP="00E804B7">
            <w:pPr>
              <w:pStyle w:val="Normal6"/>
            </w:pPr>
            <w:r w:rsidRPr="00B7760C">
              <w:t>(d)</w:t>
            </w:r>
            <w:r w:rsidRPr="00B7760C">
              <w:tab/>
              <w:t>sheme za podnebje</w:t>
            </w:r>
            <w:r w:rsidRPr="00B7760C">
              <w:rPr>
                <w:b/>
                <w:i/>
              </w:rPr>
              <w:t>, okolje</w:t>
            </w:r>
            <w:r w:rsidRPr="00B7760C">
              <w:t xml:space="preserve"> in </w:t>
            </w:r>
            <w:r w:rsidRPr="00B7760C">
              <w:rPr>
                <w:b/>
                <w:i/>
              </w:rPr>
              <w:t>dobrobit živali</w:t>
            </w:r>
            <w:r w:rsidRPr="00B7760C">
              <w:rPr>
                <w:rFonts w:ascii="Times New Roman Bold" w:hAnsi="Times New Roman Bold"/>
                <w:b/>
                <w:i/>
              </w:rPr>
              <w:t xml:space="preserve"> ter</w:t>
            </w:r>
          </w:p>
        </w:tc>
      </w:tr>
    </w:tbl>
    <w:p w14:paraId="5D1D13A3" w14:textId="77777777" w:rsidR="003663AF" w:rsidRPr="00B7760C" w:rsidRDefault="003663AF" w:rsidP="003663AF"/>
    <w:p w14:paraId="3F873D57" w14:textId="3AADF780" w:rsidR="003663AF" w:rsidRPr="00B7760C" w:rsidRDefault="00877691" w:rsidP="003663AF">
      <w:pPr>
        <w:pStyle w:val="AMNumberTabs"/>
      </w:pPr>
      <w:r w:rsidRPr="00B7760C">
        <w:t>Sprememba</w:t>
      </w:r>
      <w:r w:rsidR="003663AF" w:rsidRPr="00B7760C">
        <w:tab/>
      </w:r>
      <w:r w:rsidR="003663AF" w:rsidRPr="00B7760C">
        <w:tab/>
        <w:t>161</w:t>
      </w:r>
    </w:p>
    <w:p w14:paraId="42490660" w14:textId="77777777" w:rsidR="003663AF" w:rsidRPr="00B7760C" w:rsidRDefault="003663AF" w:rsidP="003663AF">
      <w:pPr>
        <w:pStyle w:val="NormalBold12b"/>
      </w:pPr>
      <w:r w:rsidRPr="00B7760C">
        <w:t>Predlog uredbe</w:t>
      </w:r>
    </w:p>
    <w:p w14:paraId="06866D91" w14:textId="77777777" w:rsidR="003663AF" w:rsidRPr="00B7760C" w:rsidRDefault="003663AF" w:rsidP="003663AF">
      <w:pPr>
        <w:pStyle w:val="NormalBold"/>
      </w:pPr>
      <w:r w:rsidRPr="00B7760C">
        <w:t>Člen 14 – odstavek 2 – točka d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2242967" w14:textId="77777777" w:rsidTr="00E804B7">
        <w:trPr>
          <w:trHeight w:hRule="exact" w:val="240"/>
          <w:jc w:val="center"/>
        </w:trPr>
        <w:tc>
          <w:tcPr>
            <w:tcW w:w="9752" w:type="dxa"/>
            <w:gridSpan w:val="2"/>
          </w:tcPr>
          <w:p w14:paraId="6E25FB3C" w14:textId="77777777" w:rsidR="003663AF" w:rsidRPr="00B7760C" w:rsidRDefault="003663AF" w:rsidP="00E804B7"/>
        </w:tc>
      </w:tr>
      <w:tr w:rsidR="003663AF" w:rsidRPr="00B7760C" w14:paraId="4B017CC2" w14:textId="77777777" w:rsidTr="00E804B7">
        <w:trPr>
          <w:trHeight w:val="240"/>
          <w:jc w:val="center"/>
        </w:trPr>
        <w:tc>
          <w:tcPr>
            <w:tcW w:w="4876" w:type="dxa"/>
          </w:tcPr>
          <w:p w14:paraId="005530F5" w14:textId="77777777" w:rsidR="003663AF" w:rsidRPr="00B7760C" w:rsidRDefault="003663AF" w:rsidP="00E804B7">
            <w:pPr>
              <w:pStyle w:val="ColumnHeading"/>
            </w:pPr>
            <w:r w:rsidRPr="00B7760C">
              <w:t>Besedilo, ki ga predlaga Komisija</w:t>
            </w:r>
          </w:p>
        </w:tc>
        <w:tc>
          <w:tcPr>
            <w:tcW w:w="4876" w:type="dxa"/>
          </w:tcPr>
          <w:p w14:paraId="5F43E6FE" w14:textId="3EFCB0FB" w:rsidR="003663AF" w:rsidRPr="00B7760C" w:rsidRDefault="00877691" w:rsidP="00E804B7">
            <w:pPr>
              <w:pStyle w:val="ColumnHeading"/>
            </w:pPr>
            <w:r w:rsidRPr="00B7760C">
              <w:t>Sprememba</w:t>
            </w:r>
          </w:p>
        </w:tc>
      </w:tr>
      <w:tr w:rsidR="003663AF" w:rsidRPr="00B7760C" w14:paraId="503D13BF" w14:textId="77777777" w:rsidTr="00E804B7">
        <w:trPr>
          <w:jc w:val="center"/>
        </w:trPr>
        <w:tc>
          <w:tcPr>
            <w:tcW w:w="4876" w:type="dxa"/>
          </w:tcPr>
          <w:p w14:paraId="131C0894" w14:textId="77777777" w:rsidR="003663AF" w:rsidRPr="00B7760C" w:rsidRDefault="003663AF" w:rsidP="00E804B7">
            <w:pPr>
              <w:pStyle w:val="Normal6"/>
            </w:pPr>
          </w:p>
        </w:tc>
        <w:tc>
          <w:tcPr>
            <w:tcW w:w="4876" w:type="dxa"/>
          </w:tcPr>
          <w:p w14:paraId="3581D109" w14:textId="77777777" w:rsidR="003663AF" w:rsidRPr="00B7760C" w:rsidRDefault="003663AF" w:rsidP="00E804B7">
            <w:pPr>
              <w:pStyle w:val="Normal6"/>
            </w:pPr>
            <w:r w:rsidRPr="00B7760C">
              <w:rPr>
                <w:b/>
                <w:i/>
              </w:rPr>
              <w:t>(da)</w:t>
            </w:r>
            <w:r w:rsidRPr="00B7760C">
              <w:tab/>
            </w:r>
            <w:r w:rsidRPr="00B7760C">
              <w:rPr>
                <w:b/>
                <w:i/>
              </w:rPr>
              <w:t>sheme za spodbujanje konkurenčnosti;</w:t>
            </w:r>
          </w:p>
        </w:tc>
      </w:tr>
    </w:tbl>
    <w:p w14:paraId="522B592F" w14:textId="77777777" w:rsidR="003663AF" w:rsidRPr="00B7760C" w:rsidRDefault="003663AF" w:rsidP="003663AF"/>
    <w:p w14:paraId="377828BC" w14:textId="77777777" w:rsidR="003663AF" w:rsidRPr="00B7760C" w:rsidRDefault="003663AF" w:rsidP="003663AF"/>
    <w:p w14:paraId="17BF7A82" w14:textId="0E60F81A" w:rsidR="003663AF" w:rsidRPr="00B7760C" w:rsidRDefault="00877691" w:rsidP="0088275F">
      <w:pPr>
        <w:pStyle w:val="AMNumberTabs"/>
        <w:keepNext/>
      </w:pPr>
      <w:r w:rsidRPr="00B7760C">
        <w:t>Sprememb</w:t>
      </w:r>
      <w:r w:rsidR="0088275F" w:rsidRPr="00B7760C">
        <w:t>e</w:t>
      </w:r>
      <w:r w:rsidR="003663AF" w:rsidRPr="00B7760C">
        <w:tab/>
        <w:t>163</w:t>
      </w:r>
      <w:r w:rsidR="0088275F" w:rsidRPr="00B7760C">
        <w:t>, 733 cp2, 765, 897, 1118 cp2, 1126 cp2 in 1207 cp2</w:t>
      </w:r>
    </w:p>
    <w:p w14:paraId="27CB8846" w14:textId="77777777" w:rsidR="003663AF" w:rsidRPr="00B7760C" w:rsidRDefault="003663AF" w:rsidP="003663AF">
      <w:pPr>
        <w:pStyle w:val="NormalBold12b"/>
      </w:pPr>
      <w:r w:rsidRPr="00B7760C">
        <w:t>Predlog uredbe</w:t>
      </w:r>
    </w:p>
    <w:p w14:paraId="46379E00" w14:textId="77777777" w:rsidR="003663AF" w:rsidRPr="00B7760C" w:rsidRDefault="003663AF" w:rsidP="003663AF">
      <w:pPr>
        <w:pStyle w:val="NormalBold"/>
      </w:pPr>
      <w:r w:rsidRPr="00B7760C">
        <w:t>Člen 15 – odstavek 2 – pododstavek 1 – uvodni del</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B2B0398" w14:textId="77777777" w:rsidTr="00E804B7">
        <w:trPr>
          <w:jc w:val="center"/>
        </w:trPr>
        <w:tc>
          <w:tcPr>
            <w:tcW w:w="9752" w:type="dxa"/>
            <w:gridSpan w:val="2"/>
          </w:tcPr>
          <w:p w14:paraId="5EB54528" w14:textId="77777777" w:rsidR="003663AF" w:rsidRPr="00B7760C" w:rsidRDefault="003663AF" w:rsidP="00E804B7">
            <w:pPr>
              <w:keepNext/>
            </w:pPr>
          </w:p>
        </w:tc>
      </w:tr>
      <w:tr w:rsidR="003663AF" w:rsidRPr="00B7760C" w14:paraId="43F8A980" w14:textId="77777777" w:rsidTr="00E804B7">
        <w:trPr>
          <w:jc w:val="center"/>
        </w:trPr>
        <w:tc>
          <w:tcPr>
            <w:tcW w:w="4876" w:type="dxa"/>
            <w:hideMark/>
          </w:tcPr>
          <w:p w14:paraId="6C35C5EB" w14:textId="77777777" w:rsidR="003663AF" w:rsidRPr="00B7760C" w:rsidRDefault="003663AF" w:rsidP="00E804B7">
            <w:pPr>
              <w:pStyle w:val="ColumnHeading"/>
              <w:keepNext/>
            </w:pPr>
            <w:r w:rsidRPr="00B7760C">
              <w:t>Besedilo, ki ga predlaga Komisija</w:t>
            </w:r>
          </w:p>
        </w:tc>
        <w:tc>
          <w:tcPr>
            <w:tcW w:w="4876" w:type="dxa"/>
            <w:hideMark/>
          </w:tcPr>
          <w:p w14:paraId="65F6B132" w14:textId="5F14A89E" w:rsidR="003663AF" w:rsidRPr="00B7760C" w:rsidRDefault="00877691" w:rsidP="00E804B7">
            <w:pPr>
              <w:pStyle w:val="ColumnHeading"/>
              <w:keepNext/>
            </w:pPr>
            <w:r w:rsidRPr="00B7760C">
              <w:t>Sprememba</w:t>
            </w:r>
          </w:p>
        </w:tc>
      </w:tr>
      <w:tr w:rsidR="003663AF" w:rsidRPr="00B7760C" w14:paraId="3CA708C9" w14:textId="77777777" w:rsidTr="00E804B7">
        <w:trPr>
          <w:jc w:val="center"/>
        </w:trPr>
        <w:tc>
          <w:tcPr>
            <w:tcW w:w="4876" w:type="dxa"/>
            <w:hideMark/>
          </w:tcPr>
          <w:p w14:paraId="358B6147" w14:textId="77777777" w:rsidR="003663AF" w:rsidRPr="00B7760C" w:rsidRDefault="003663AF" w:rsidP="00E804B7">
            <w:pPr>
              <w:pStyle w:val="Normal6"/>
            </w:pPr>
            <w:r w:rsidRPr="00B7760C">
              <w:t>Države članice pred uporabo odstavka 1 od zneska neposrednih plačil, ki se v skladu s tem poglavjem odobrijo kmetu za določeno koledarsko leto, odštejejo:</w:t>
            </w:r>
          </w:p>
        </w:tc>
        <w:tc>
          <w:tcPr>
            <w:tcW w:w="4876" w:type="dxa"/>
            <w:hideMark/>
          </w:tcPr>
          <w:p w14:paraId="3F1FA919" w14:textId="77777777" w:rsidR="003663AF" w:rsidRPr="00B7760C" w:rsidRDefault="003663AF" w:rsidP="00E804B7">
            <w:pPr>
              <w:pStyle w:val="Normal6"/>
              <w:rPr>
                <w:szCs w:val="24"/>
              </w:rPr>
            </w:pPr>
            <w:r w:rsidRPr="00B7760C">
              <w:t xml:space="preserve">Države članice </w:t>
            </w:r>
            <w:r w:rsidRPr="00B7760C">
              <w:rPr>
                <w:b/>
                <w:i/>
              </w:rPr>
              <w:t xml:space="preserve">lahko </w:t>
            </w:r>
            <w:r w:rsidRPr="00B7760C">
              <w:t>pred uporabo odstavka 1 od zneska neposrednih plačil, ki se v skladu s tem poglavjem odobrijo kmetu za določeno koledarsko leto, odštejejo:</w:t>
            </w:r>
          </w:p>
        </w:tc>
      </w:tr>
    </w:tbl>
    <w:p w14:paraId="6F08E5A7" w14:textId="77777777" w:rsidR="003663AF" w:rsidRPr="00B7760C" w:rsidRDefault="003663AF" w:rsidP="003663AF"/>
    <w:p w14:paraId="435F2151" w14:textId="391AC1C8" w:rsidR="003663AF" w:rsidRPr="00B7760C" w:rsidRDefault="00877691" w:rsidP="0088275F">
      <w:pPr>
        <w:pStyle w:val="AMNumberTabs"/>
        <w:keepNext/>
      </w:pPr>
      <w:r w:rsidRPr="00B7760C">
        <w:t>Sprememb</w:t>
      </w:r>
      <w:r w:rsidR="0088275F" w:rsidRPr="00B7760C">
        <w:t>e</w:t>
      </w:r>
      <w:r w:rsidR="003663AF" w:rsidRPr="00B7760C">
        <w:tab/>
      </w:r>
      <w:r w:rsidR="003663AF" w:rsidRPr="00B7760C">
        <w:tab/>
        <w:t>164</w:t>
      </w:r>
      <w:r w:rsidR="0088275F" w:rsidRPr="00B7760C">
        <w:t>, 733 cp3, 766, 1118 cp3, 1126 cp3 in 1207 cp3</w:t>
      </w:r>
    </w:p>
    <w:p w14:paraId="338DFEC3" w14:textId="77777777" w:rsidR="003663AF" w:rsidRPr="00B7760C" w:rsidRDefault="003663AF" w:rsidP="003663AF">
      <w:pPr>
        <w:pStyle w:val="NormalBold12b"/>
      </w:pPr>
      <w:r w:rsidRPr="00B7760C">
        <w:t>Predlog uredbe</w:t>
      </w:r>
    </w:p>
    <w:p w14:paraId="69734C9D" w14:textId="77777777" w:rsidR="003663AF" w:rsidRPr="00B7760C" w:rsidRDefault="003663AF" w:rsidP="003663AF">
      <w:pPr>
        <w:pStyle w:val="NormalBold"/>
      </w:pPr>
      <w:r w:rsidRPr="00B7760C">
        <w:t>Člen 15 – odstavek 2 – pododstavek 1 – točka 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F670B17" w14:textId="77777777" w:rsidTr="00E804B7">
        <w:trPr>
          <w:jc w:val="center"/>
        </w:trPr>
        <w:tc>
          <w:tcPr>
            <w:tcW w:w="9752" w:type="dxa"/>
            <w:gridSpan w:val="2"/>
          </w:tcPr>
          <w:p w14:paraId="074F11B5" w14:textId="77777777" w:rsidR="003663AF" w:rsidRPr="00B7760C" w:rsidRDefault="003663AF" w:rsidP="00E804B7">
            <w:pPr>
              <w:keepNext/>
            </w:pPr>
          </w:p>
        </w:tc>
      </w:tr>
      <w:tr w:rsidR="003663AF" w:rsidRPr="00B7760C" w14:paraId="1E3BA207" w14:textId="77777777" w:rsidTr="00E804B7">
        <w:trPr>
          <w:jc w:val="center"/>
        </w:trPr>
        <w:tc>
          <w:tcPr>
            <w:tcW w:w="4876" w:type="dxa"/>
            <w:hideMark/>
          </w:tcPr>
          <w:p w14:paraId="2F21765B" w14:textId="77777777" w:rsidR="003663AF" w:rsidRPr="00B7760C" w:rsidRDefault="003663AF" w:rsidP="00E804B7">
            <w:pPr>
              <w:pStyle w:val="ColumnHeading"/>
              <w:keepNext/>
            </w:pPr>
            <w:r w:rsidRPr="00B7760C">
              <w:t>Besedilo, ki ga predlaga Komisija</w:t>
            </w:r>
          </w:p>
        </w:tc>
        <w:tc>
          <w:tcPr>
            <w:tcW w:w="4876" w:type="dxa"/>
            <w:hideMark/>
          </w:tcPr>
          <w:p w14:paraId="31C6446C" w14:textId="2600622A" w:rsidR="003663AF" w:rsidRPr="00B7760C" w:rsidRDefault="00877691" w:rsidP="00E804B7">
            <w:pPr>
              <w:pStyle w:val="ColumnHeading"/>
              <w:keepNext/>
            </w:pPr>
            <w:r w:rsidRPr="00B7760C">
              <w:t>Sprememba</w:t>
            </w:r>
          </w:p>
        </w:tc>
      </w:tr>
      <w:tr w:rsidR="003663AF" w:rsidRPr="00B7760C" w14:paraId="2D1AABC6" w14:textId="77777777" w:rsidTr="00E804B7">
        <w:trPr>
          <w:jc w:val="center"/>
        </w:trPr>
        <w:tc>
          <w:tcPr>
            <w:tcW w:w="4876" w:type="dxa"/>
            <w:hideMark/>
          </w:tcPr>
          <w:p w14:paraId="70C3A242" w14:textId="77777777" w:rsidR="003663AF" w:rsidRPr="00B7760C" w:rsidRDefault="003663AF" w:rsidP="00E804B7">
            <w:pPr>
              <w:pStyle w:val="Normal6"/>
            </w:pPr>
            <w:r w:rsidRPr="00B7760C">
              <w:t>(a)</w:t>
            </w:r>
            <w:r w:rsidRPr="00B7760C">
              <w:tab/>
              <w:t xml:space="preserve">plače, povezane s kmetijsko dejavnostjo, ki jo je prijavil kmet, vključno z davki in socialnimi prispevki, vezanimi na zaposlitev, </w:t>
            </w:r>
            <w:r w:rsidRPr="00B7760C">
              <w:rPr>
                <w:bCs/>
                <w:iCs/>
              </w:rPr>
              <w:t>ter</w:t>
            </w:r>
          </w:p>
        </w:tc>
        <w:tc>
          <w:tcPr>
            <w:tcW w:w="4876" w:type="dxa"/>
            <w:hideMark/>
          </w:tcPr>
          <w:p w14:paraId="1C34B544" w14:textId="6D6E06AC" w:rsidR="003663AF" w:rsidRPr="00B7760C" w:rsidRDefault="003663AF" w:rsidP="00E804B7">
            <w:pPr>
              <w:pStyle w:val="Normal6"/>
              <w:rPr>
                <w:szCs w:val="24"/>
              </w:rPr>
            </w:pPr>
            <w:r w:rsidRPr="00B7760C">
              <w:t>(a)</w:t>
            </w:r>
            <w:r w:rsidRPr="00B7760C">
              <w:tab/>
            </w:r>
            <w:r w:rsidRPr="00B7760C">
              <w:rPr>
                <w:b/>
                <w:i/>
              </w:rPr>
              <w:t>50 %</w:t>
            </w:r>
            <w:r w:rsidRPr="00B7760C">
              <w:t xml:space="preserve"> plač, povezanih s kmetijsko dejavnostjo, ki jo je prijavil kmet, vključno z davki in socialnimi prispevki, vezanimi na zaposlitev,</w:t>
            </w:r>
            <w:r w:rsidR="00412461" w:rsidRPr="00B7760C">
              <w:t xml:space="preserve"> ter</w:t>
            </w:r>
          </w:p>
        </w:tc>
      </w:tr>
    </w:tbl>
    <w:p w14:paraId="733C9C00" w14:textId="77777777" w:rsidR="003663AF" w:rsidRPr="00B7760C" w:rsidRDefault="003663AF" w:rsidP="003663AF"/>
    <w:p w14:paraId="77399A5E" w14:textId="5288E24F" w:rsidR="003663AF" w:rsidRPr="00B7760C" w:rsidRDefault="00877691" w:rsidP="0088275F">
      <w:pPr>
        <w:pStyle w:val="AMNumberTabs"/>
        <w:keepNext/>
      </w:pPr>
      <w:r w:rsidRPr="00B7760C">
        <w:t>Sprememb</w:t>
      </w:r>
      <w:r w:rsidR="0088275F" w:rsidRPr="00B7760C">
        <w:t>e</w:t>
      </w:r>
      <w:r w:rsidR="003663AF" w:rsidRPr="00B7760C">
        <w:tab/>
      </w:r>
      <w:r w:rsidR="003663AF" w:rsidRPr="00B7760C">
        <w:tab/>
        <w:t>165</w:t>
      </w:r>
      <w:r w:rsidR="0088275F" w:rsidRPr="00B7760C">
        <w:t>, 733 cp4, 899, 1118 cp4, 1126 cp4 in 1207 cp4</w:t>
      </w:r>
    </w:p>
    <w:p w14:paraId="77E3F76A" w14:textId="77777777" w:rsidR="003663AF" w:rsidRPr="00B7760C" w:rsidRDefault="003663AF" w:rsidP="003663AF">
      <w:pPr>
        <w:pStyle w:val="NormalBold12b"/>
      </w:pPr>
      <w:r w:rsidRPr="00B7760C">
        <w:t>Predlog uredbe</w:t>
      </w:r>
    </w:p>
    <w:p w14:paraId="7F9793AB" w14:textId="77777777" w:rsidR="003663AF" w:rsidRPr="00B7760C" w:rsidRDefault="003663AF" w:rsidP="003663AF">
      <w:pPr>
        <w:pStyle w:val="NormalBold"/>
      </w:pPr>
      <w:r w:rsidRPr="00B7760C">
        <w:t>Člen 15 – odstavek 2 – pododstavek 1 – točka b</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340315E" w14:textId="77777777" w:rsidTr="00E804B7">
        <w:trPr>
          <w:jc w:val="center"/>
        </w:trPr>
        <w:tc>
          <w:tcPr>
            <w:tcW w:w="9752" w:type="dxa"/>
            <w:gridSpan w:val="2"/>
          </w:tcPr>
          <w:p w14:paraId="7508F231" w14:textId="77777777" w:rsidR="003663AF" w:rsidRPr="00B7760C" w:rsidRDefault="003663AF" w:rsidP="00E804B7">
            <w:pPr>
              <w:keepNext/>
            </w:pPr>
          </w:p>
        </w:tc>
      </w:tr>
      <w:tr w:rsidR="003663AF" w:rsidRPr="00B7760C" w14:paraId="4EEE0A5E" w14:textId="77777777" w:rsidTr="00E804B7">
        <w:trPr>
          <w:jc w:val="center"/>
        </w:trPr>
        <w:tc>
          <w:tcPr>
            <w:tcW w:w="4876" w:type="dxa"/>
            <w:hideMark/>
          </w:tcPr>
          <w:p w14:paraId="00B2CED3" w14:textId="77777777" w:rsidR="003663AF" w:rsidRPr="00B7760C" w:rsidRDefault="003663AF" w:rsidP="00E804B7">
            <w:pPr>
              <w:pStyle w:val="ColumnHeading"/>
              <w:keepNext/>
            </w:pPr>
            <w:r w:rsidRPr="00B7760C">
              <w:t>Besedilo, ki ga predlaga Komisija</w:t>
            </w:r>
          </w:p>
        </w:tc>
        <w:tc>
          <w:tcPr>
            <w:tcW w:w="4876" w:type="dxa"/>
            <w:hideMark/>
          </w:tcPr>
          <w:p w14:paraId="66B528E0" w14:textId="04695C6C" w:rsidR="003663AF" w:rsidRPr="00B7760C" w:rsidRDefault="00877691" w:rsidP="00E804B7">
            <w:pPr>
              <w:pStyle w:val="ColumnHeading"/>
              <w:keepNext/>
            </w:pPr>
            <w:r w:rsidRPr="00B7760C">
              <w:t>Sprememba</w:t>
            </w:r>
          </w:p>
        </w:tc>
      </w:tr>
      <w:tr w:rsidR="003663AF" w:rsidRPr="00B7760C" w14:paraId="345D0B9A" w14:textId="77777777" w:rsidTr="00E804B7">
        <w:trPr>
          <w:jc w:val="center"/>
        </w:trPr>
        <w:tc>
          <w:tcPr>
            <w:tcW w:w="4876" w:type="dxa"/>
            <w:hideMark/>
          </w:tcPr>
          <w:p w14:paraId="1D109A28" w14:textId="77777777" w:rsidR="003663AF" w:rsidRPr="00B7760C" w:rsidRDefault="003663AF" w:rsidP="00E804B7">
            <w:pPr>
              <w:pStyle w:val="Normal6"/>
            </w:pPr>
            <w:r w:rsidRPr="00B7760C">
              <w:rPr>
                <w:b/>
                <w:i/>
              </w:rPr>
              <w:t>(b)</w:t>
            </w:r>
            <w:r w:rsidRPr="00B7760C">
              <w:rPr>
                <w:b/>
                <w:i/>
              </w:rPr>
              <w:tab/>
              <w:t>enakovredne stroške rednega in neplačanega dela, povezanega s kmetijsko dejavnostjo, ki jo izvajajo osebe, ki delajo na zadevni kmetiji, vendar ne prejemajo plače ali so plačane manj, kot se običajno plača za opravljene storitve, vendar so nagrajene s poslovnim izidom kmetijskega poslovanja.</w:t>
            </w:r>
          </w:p>
        </w:tc>
        <w:tc>
          <w:tcPr>
            <w:tcW w:w="4876" w:type="dxa"/>
            <w:hideMark/>
          </w:tcPr>
          <w:p w14:paraId="20F6BA7D" w14:textId="77777777" w:rsidR="003663AF" w:rsidRPr="00B7760C" w:rsidRDefault="003663AF" w:rsidP="00E804B7">
            <w:pPr>
              <w:pStyle w:val="Normal6"/>
              <w:rPr>
                <w:szCs w:val="24"/>
              </w:rPr>
            </w:pPr>
            <w:r w:rsidRPr="00B7760C">
              <w:rPr>
                <w:b/>
                <w:i/>
              </w:rPr>
              <w:t>črtano</w:t>
            </w:r>
          </w:p>
        </w:tc>
      </w:tr>
    </w:tbl>
    <w:p w14:paraId="7092E3A4" w14:textId="77777777" w:rsidR="003663AF" w:rsidRPr="00B7760C" w:rsidRDefault="003663AF" w:rsidP="003663AF"/>
    <w:p w14:paraId="4E33FC78" w14:textId="685EC391" w:rsidR="003663AF" w:rsidRPr="00B7760C" w:rsidRDefault="00877691" w:rsidP="00E22643">
      <w:pPr>
        <w:pStyle w:val="AMNumberTabs"/>
        <w:keepNext/>
      </w:pPr>
      <w:r w:rsidRPr="00B7760C">
        <w:t>Sprememb</w:t>
      </w:r>
      <w:r w:rsidR="00E22643" w:rsidRPr="00B7760C">
        <w:t>e</w:t>
      </w:r>
      <w:r w:rsidR="003663AF" w:rsidRPr="00B7760C">
        <w:tab/>
      </w:r>
      <w:r w:rsidR="003663AF" w:rsidRPr="00B7760C">
        <w:tab/>
        <w:t>166</w:t>
      </w:r>
      <w:r w:rsidR="00E22643" w:rsidRPr="00B7760C">
        <w:t>, 767, 900, 1118</w:t>
      </w:r>
      <w:r w:rsidR="008C44C1" w:rsidRPr="00B7760C">
        <w:t xml:space="preserve"> </w:t>
      </w:r>
      <w:r w:rsidR="00E22643" w:rsidRPr="00B7760C">
        <w:t>cp5 in 1126</w:t>
      </w:r>
      <w:r w:rsidR="008C44C1" w:rsidRPr="00B7760C">
        <w:t xml:space="preserve"> </w:t>
      </w:r>
      <w:r w:rsidR="00E22643" w:rsidRPr="00B7760C">
        <w:t>cp5</w:t>
      </w:r>
    </w:p>
    <w:p w14:paraId="3B696508" w14:textId="77777777" w:rsidR="003663AF" w:rsidRPr="00B7760C" w:rsidRDefault="003663AF" w:rsidP="003663AF">
      <w:pPr>
        <w:pStyle w:val="NormalBold12b"/>
      </w:pPr>
      <w:r w:rsidRPr="00B7760C">
        <w:t>Predlog uredbe</w:t>
      </w:r>
    </w:p>
    <w:p w14:paraId="5555AACA" w14:textId="77777777" w:rsidR="003663AF" w:rsidRPr="00B7760C" w:rsidRDefault="003663AF" w:rsidP="003663AF">
      <w:pPr>
        <w:pStyle w:val="NormalBold"/>
      </w:pPr>
      <w:r w:rsidRPr="00B7760C">
        <w:t>Člen 15 – odstavek 2 – pododstavek 1 – točka b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426E47F" w14:textId="77777777" w:rsidTr="00E804B7">
        <w:trPr>
          <w:jc w:val="center"/>
        </w:trPr>
        <w:tc>
          <w:tcPr>
            <w:tcW w:w="9752" w:type="dxa"/>
            <w:gridSpan w:val="2"/>
          </w:tcPr>
          <w:p w14:paraId="5285DAC7" w14:textId="77777777" w:rsidR="003663AF" w:rsidRPr="00B7760C" w:rsidRDefault="003663AF" w:rsidP="00E804B7">
            <w:pPr>
              <w:keepNext/>
            </w:pPr>
          </w:p>
        </w:tc>
      </w:tr>
      <w:tr w:rsidR="003663AF" w:rsidRPr="00B7760C" w14:paraId="3ED9A35F" w14:textId="77777777" w:rsidTr="00E804B7">
        <w:trPr>
          <w:jc w:val="center"/>
        </w:trPr>
        <w:tc>
          <w:tcPr>
            <w:tcW w:w="4876" w:type="dxa"/>
            <w:hideMark/>
          </w:tcPr>
          <w:p w14:paraId="1318E509" w14:textId="77777777" w:rsidR="003663AF" w:rsidRPr="00B7760C" w:rsidRDefault="003663AF" w:rsidP="00E804B7">
            <w:pPr>
              <w:pStyle w:val="ColumnHeading"/>
              <w:keepNext/>
            </w:pPr>
            <w:r w:rsidRPr="00B7760C">
              <w:t>Besedilo, ki ga predlaga Komisija</w:t>
            </w:r>
          </w:p>
        </w:tc>
        <w:tc>
          <w:tcPr>
            <w:tcW w:w="4876" w:type="dxa"/>
            <w:hideMark/>
          </w:tcPr>
          <w:p w14:paraId="3D17385A" w14:textId="22EB6160" w:rsidR="003663AF" w:rsidRPr="00B7760C" w:rsidRDefault="00877691" w:rsidP="00E804B7">
            <w:pPr>
              <w:pStyle w:val="ColumnHeading"/>
              <w:keepNext/>
            </w:pPr>
            <w:r w:rsidRPr="00B7760C">
              <w:t>Sprememba</w:t>
            </w:r>
          </w:p>
        </w:tc>
      </w:tr>
      <w:tr w:rsidR="003663AF" w:rsidRPr="00B7760C" w14:paraId="7C48FE0F" w14:textId="77777777" w:rsidTr="00E804B7">
        <w:trPr>
          <w:jc w:val="center"/>
        </w:trPr>
        <w:tc>
          <w:tcPr>
            <w:tcW w:w="4876" w:type="dxa"/>
          </w:tcPr>
          <w:p w14:paraId="3E5D42B6" w14:textId="77777777" w:rsidR="003663AF" w:rsidRPr="00B7760C" w:rsidRDefault="003663AF" w:rsidP="00E804B7">
            <w:pPr>
              <w:pStyle w:val="Normal6"/>
            </w:pPr>
          </w:p>
        </w:tc>
        <w:tc>
          <w:tcPr>
            <w:tcW w:w="4876" w:type="dxa"/>
            <w:hideMark/>
          </w:tcPr>
          <w:p w14:paraId="1AD519BC" w14:textId="77777777" w:rsidR="003663AF" w:rsidRPr="00B7760C" w:rsidRDefault="003663AF" w:rsidP="00E804B7">
            <w:pPr>
              <w:pStyle w:val="Normal6"/>
              <w:rPr>
                <w:szCs w:val="24"/>
              </w:rPr>
            </w:pPr>
            <w:r w:rsidRPr="00B7760C">
              <w:rPr>
                <w:b/>
                <w:i/>
              </w:rPr>
              <w:t>(ba)</w:t>
            </w:r>
            <w:r w:rsidRPr="00B7760C">
              <w:rPr>
                <w:b/>
                <w:i/>
              </w:rPr>
              <w:tab/>
              <w:t>neposredno podporo iz členov 27 in 28;</w:t>
            </w:r>
          </w:p>
        </w:tc>
      </w:tr>
    </w:tbl>
    <w:p w14:paraId="17479191" w14:textId="77777777" w:rsidR="003663AF" w:rsidRPr="00B7760C" w:rsidRDefault="003663AF" w:rsidP="003663AF"/>
    <w:p w14:paraId="2FA834EE" w14:textId="16818DD6" w:rsidR="003663AF" w:rsidRPr="00B7760C" w:rsidRDefault="00877691" w:rsidP="00E22643">
      <w:pPr>
        <w:pStyle w:val="AMNumberTabs"/>
        <w:keepNext/>
      </w:pPr>
      <w:r w:rsidRPr="00B7760C">
        <w:t>Sprememb</w:t>
      </w:r>
      <w:r w:rsidR="00E22643" w:rsidRPr="00B7760C">
        <w:t>e</w:t>
      </w:r>
      <w:r w:rsidR="003663AF" w:rsidRPr="00B7760C">
        <w:tab/>
      </w:r>
      <w:r w:rsidR="003663AF" w:rsidRPr="00B7760C">
        <w:tab/>
        <w:t>167</w:t>
      </w:r>
      <w:r w:rsidR="00E22643" w:rsidRPr="00B7760C">
        <w:t>, 768, 1118 cp6 in 1126 cp6</w:t>
      </w:r>
    </w:p>
    <w:p w14:paraId="63034C5A" w14:textId="77777777" w:rsidR="003663AF" w:rsidRPr="00B7760C" w:rsidRDefault="003663AF" w:rsidP="003663AF">
      <w:pPr>
        <w:pStyle w:val="NormalBold12b"/>
      </w:pPr>
      <w:r w:rsidRPr="00B7760C">
        <w:t>Predlog uredbe</w:t>
      </w:r>
    </w:p>
    <w:p w14:paraId="1094F3E3" w14:textId="77777777" w:rsidR="003663AF" w:rsidRPr="00B7760C" w:rsidRDefault="003663AF" w:rsidP="003663AF">
      <w:pPr>
        <w:pStyle w:val="NormalBold"/>
      </w:pPr>
      <w:r w:rsidRPr="00B7760C">
        <w:t>Člen 15 – odstavek 2 – pododstavek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4009179" w14:textId="77777777" w:rsidTr="00E804B7">
        <w:trPr>
          <w:jc w:val="center"/>
        </w:trPr>
        <w:tc>
          <w:tcPr>
            <w:tcW w:w="9752" w:type="dxa"/>
            <w:gridSpan w:val="2"/>
          </w:tcPr>
          <w:p w14:paraId="3D5D011D" w14:textId="77777777" w:rsidR="003663AF" w:rsidRPr="00B7760C" w:rsidRDefault="003663AF" w:rsidP="00E804B7">
            <w:pPr>
              <w:keepNext/>
            </w:pPr>
          </w:p>
        </w:tc>
      </w:tr>
      <w:tr w:rsidR="003663AF" w:rsidRPr="00B7760C" w14:paraId="52ABCE27" w14:textId="77777777" w:rsidTr="00E804B7">
        <w:trPr>
          <w:jc w:val="center"/>
        </w:trPr>
        <w:tc>
          <w:tcPr>
            <w:tcW w:w="4876" w:type="dxa"/>
            <w:hideMark/>
          </w:tcPr>
          <w:p w14:paraId="14D9A3EE" w14:textId="77777777" w:rsidR="003663AF" w:rsidRPr="00B7760C" w:rsidRDefault="003663AF" w:rsidP="00E804B7">
            <w:pPr>
              <w:pStyle w:val="ColumnHeading"/>
              <w:keepNext/>
            </w:pPr>
            <w:r w:rsidRPr="00B7760C">
              <w:t>Besedilo, ki ga predlaga Komisija</w:t>
            </w:r>
          </w:p>
        </w:tc>
        <w:tc>
          <w:tcPr>
            <w:tcW w:w="4876" w:type="dxa"/>
            <w:hideMark/>
          </w:tcPr>
          <w:p w14:paraId="7C72942F" w14:textId="0D8408A0" w:rsidR="003663AF" w:rsidRPr="00B7760C" w:rsidRDefault="00877691" w:rsidP="00E804B7">
            <w:pPr>
              <w:pStyle w:val="ColumnHeading"/>
              <w:keepNext/>
            </w:pPr>
            <w:r w:rsidRPr="00B7760C">
              <w:t>Sprememba</w:t>
            </w:r>
          </w:p>
        </w:tc>
      </w:tr>
      <w:tr w:rsidR="003663AF" w:rsidRPr="00B7760C" w14:paraId="27840CF2" w14:textId="77777777" w:rsidTr="00E804B7">
        <w:trPr>
          <w:jc w:val="center"/>
        </w:trPr>
        <w:tc>
          <w:tcPr>
            <w:tcW w:w="4876" w:type="dxa"/>
            <w:hideMark/>
          </w:tcPr>
          <w:p w14:paraId="24108A68" w14:textId="77777777" w:rsidR="003663AF" w:rsidRPr="00B7760C" w:rsidRDefault="003663AF" w:rsidP="00E804B7">
            <w:pPr>
              <w:pStyle w:val="Normal6"/>
            </w:pPr>
            <w:r w:rsidRPr="00B7760C">
              <w:t xml:space="preserve">Države članice za izračun zneskov iz </w:t>
            </w:r>
            <w:r w:rsidRPr="00B7760C">
              <w:rPr>
                <w:b/>
                <w:i/>
              </w:rPr>
              <w:t xml:space="preserve">točk </w:t>
            </w:r>
            <w:r w:rsidRPr="00B7760C">
              <w:t xml:space="preserve">(a) </w:t>
            </w:r>
            <w:r w:rsidRPr="00B7760C">
              <w:rPr>
                <w:b/>
                <w:i/>
              </w:rPr>
              <w:t>in (b) uporabijo</w:t>
            </w:r>
            <w:r w:rsidRPr="00B7760C">
              <w:t xml:space="preserve"> povprečne standardne plače, povezane s kmetijsko dejavnostjo na nacionalni ali regionalni ravni, pomnožene s številom letnih delovnih enot, ki jih prijavi zadevni kmet.</w:t>
            </w:r>
          </w:p>
        </w:tc>
        <w:tc>
          <w:tcPr>
            <w:tcW w:w="4876" w:type="dxa"/>
            <w:hideMark/>
          </w:tcPr>
          <w:p w14:paraId="299A8243" w14:textId="77777777" w:rsidR="003663AF" w:rsidRPr="00B7760C" w:rsidRDefault="003663AF" w:rsidP="00E804B7">
            <w:pPr>
              <w:pStyle w:val="Normal6"/>
              <w:rPr>
                <w:szCs w:val="24"/>
              </w:rPr>
            </w:pPr>
            <w:r w:rsidRPr="00B7760C">
              <w:t xml:space="preserve">Države članice za izračun zneskov iz </w:t>
            </w:r>
            <w:r w:rsidRPr="00B7760C">
              <w:rPr>
                <w:b/>
                <w:i/>
              </w:rPr>
              <w:t>točke </w:t>
            </w:r>
            <w:r w:rsidRPr="00B7760C">
              <w:t xml:space="preserve">(a) </w:t>
            </w:r>
            <w:r w:rsidRPr="00B7760C">
              <w:rPr>
                <w:b/>
                <w:i/>
              </w:rPr>
              <w:t>uporabijo dejanske stroške plač ali</w:t>
            </w:r>
            <w:r w:rsidRPr="00B7760C">
              <w:t xml:space="preserve"> povprečne standardne plače, povezane s kmetijsko dejavnostjo na nacionalni ali regionalni ravni, pomnožene s številom letnih delovnih enot, ki jih prijavi zadevni kmet. </w:t>
            </w:r>
            <w:r w:rsidRPr="00B7760C">
              <w:rPr>
                <w:b/>
                <w:i/>
              </w:rPr>
              <w:t>Države članice lahko uporabijo standardne kazalnike stroškov plač, povezanih z različnimi vrstami kmetij, in referenčna merila o ustvarjanju delovnih mest po vrstah kmetij.</w:t>
            </w:r>
          </w:p>
        </w:tc>
      </w:tr>
    </w:tbl>
    <w:p w14:paraId="0FF17A22" w14:textId="2C145F24" w:rsidR="003663AF" w:rsidRPr="00B7760C" w:rsidRDefault="003663AF" w:rsidP="003663AF"/>
    <w:p w14:paraId="05DD3561" w14:textId="2B9B2CDD" w:rsidR="00E22643" w:rsidRPr="00B7760C" w:rsidRDefault="00E22643" w:rsidP="00E22643">
      <w:pPr>
        <w:pStyle w:val="AmNumberTabs0"/>
      </w:pPr>
      <w:r w:rsidRPr="00B7760C">
        <w:t>Spremembi</w:t>
      </w:r>
      <w:r w:rsidRPr="00B7760C">
        <w:tab/>
      </w:r>
      <w:r w:rsidRPr="00B7760C">
        <w:tab/>
        <w:t>1096 in 1126 cp7</w:t>
      </w:r>
    </w:p>
    <w:p w14:paraId="12558C54" w14:textId="77777777" w:rsidR="00E22643" w:rsidRPr="00B7760C" w:rsidRDefault="00E22643" w:rsidP="00E22643">
      <w:pPr>
        <w:pStyle w:val="NormalBold12b"/>
      </w:pPr>
      <w:r w:rsidRPr="00B7760C">
        <w:t>Predlog uredbe</w:t>
      </w:r>
    </w:p>
    <w:p w14:paraId="76F52DEE" w14:textId="77777777" w:rsidR="00E22643" w:rsidRPr="00B7760C" w:rsidRDefault="00E22643" w:rsidP="00E22643">
      <w:pPr>
        <w:pStyle w:val="NormalBold"/>
      </w:pPr>
      <w:r w:rsidRPr="00B7760C">
        <w:t>Člen 15 – odstavek 2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22643" w:rsidRPr="00B7760C" w14:paraId="3105BFB7" w14:textId="77777777" w:rsidTr="002E2EB0">
        <w:trPr>
          <w:trHeight w:hRule="exact" w:val="240"/>
          <w:jc w:val="center"/>
        </w:trPr>
        <w:tc>
          <w:tcPr>
            <w:tcW w:w="9752" w:type="dxa"/>
            <w:gridSpan w:val="2"/>
          </w:tcPr>
          <w:p w14:paraId="36F0053D" w14:textId="77777777" w:rsidR="00E22643" w:rsidRPr="00B7760C" w:rsidRDefault="00E22643" w:rsidP="002E2EB0"/>
        </w:tc>
      </w:tr>
      <w:tr w:rsidR="00E22643" w:rsidRPr="00B7760C" w14:paraId="51325D3C" w14:textId="77777777" w:rsidTr="002E2EB0">
        <w:trPr>
          <w:trHeight w:val="240"/>
          <w:jc w:val="center"/>
        </w:trPr>
        <w:tc>
          <w:tcPr>
            <w:tcW w:w="4876" w:type="dxa"/>
          </w:tcPr>
          <w:p w14:paraId="44989F0E" w14:textId="77777777" w:rsidR="00E22643" w:rsidRPr="00B7760C" w:rsidRDefault="00E22643" w:rsidP="002E2EB0">
            <w:pPr>
              <w:pStyle w:val="AmColumnHeading"/>
            </w:pPr>
            <w:r w:rsidRPr="00B7760C">
              <w:t>Besedilo, ki ga predlaga Komisija</w:t>
            </w:r>
          </w:p>
        </w:tc>
        <w:tc>
          <w:tcPr>
            <w:tcW w:w="4876" w:type="dxa"/>
          </w:tcPr>
          <w:p w14:paraId="2E1AB22E" w14:textId="13E58219" w:rsidR="00E22643" w:rsidRPr="00B7760C" w:rsidRDefault="00E22643" w:rsidP="002E2EB0">
            <w:pPr>
              <w:pStyle w:val="AmColumnHeading"/>
            </w:pPr>
            <w:r w:rsidRPr="00B7760C">
              <w:t>Sprememba</w:t>
            </w:r>
          </w:p>
        </w:tc>
      </w:tr>
      <w:tr w:rsidR="00E22643" w:rsidRPr="00B7760C" w14:paraId="240B1FBD" w14:textId="77777777" w:rsidTr="002E2EB0">
        <w:trPr>
          <w:jc w:val="center"/>
        </w:trPr>
        <w:tc>
          <w:tcPr>
            <w:tcW w:w="4876" w:type="dxa"/>
          </w:tcPr>
          <w:p w14:paraId="142FAE6D" w14:textId="77777777" w:rsidR="00E22643" w:rsidRPr="00B7760C" w:rsidRDefault="00E22643" w:rsidP="002E2EB0">
            <w:pPr>
              <w:pStyle w:val="Normal6a"/>
            </w:pPr>
          </w:p>
        </w:tc>
        <w:tc>
          <w:tcPr>
            <w:tcW w:w="4876" w:type="dxa"/>
          </w:tcPr>
          <w:p w14:paraId="04434718" w14:textId="77777777" w:rsidR="00E22643" w:rsidRPr="00B7760C" w:rsidRDefault="00E22643" w:rsidP="002E2EB0">
            <w:pPr>
              <w:pStyle w:val="Normal6a"/>
            </w:pPr>
            <w:r w:rsidRPr="00B7760C">
              <w:rPr>
                <w:b/>
                <w:i/>
              </w:rPr>
              <w:t>2a.</w:t>
            </w:r>
            <w:r w:rsidRPr="00B7760C">
              <w:tab/>
            </w:r>
            <w:r w:rsidRPr="00B7760C">
              <w:rPr>
                <w:b/>
                <w:i/>
              </w:rPr>
              <w:t>Komisija zbere informacije o vseh subvencijah, prejetih iz prvega in drugega stebra SKP, in združi skupni znesek, ki ga fizična oseba prejme bodisi neposredno prek neposrednih plačil ali posredno kot upravičeni lastnik pravnih oseb, ki so upravičene do plačil iz SKP (neposredna plačila in plačila iz naslova razvoja podeželja). Komisija v realnem času spremlja plačila in jih ustavi, kadar presegajo skupno vsoto:</w:t>
            </w:r>
          </w:p>
        </w:tc>
      </w:tr>
      <w:tr w:rsidR="00E22643" w:rsidRPr="00B7760C" w14:paraId="22B576B2" w14:textId="77777777" w:rsidTr="002E2EB0">
        <w:trPr>
          <w:jc w:val="center"/>
        </w:trPr>
        <w:tc>
          <w:tcPr>
            <w:tcW w:w="4876" w:type="dxa"/>
          </w:tcPr>
          <w:p w14:paraId="59CD5C17" w14:textId="77777777" w:rsidR="00E22643" w:rsidRPr="00B7760C" w:rsidRDefault="00E22643" w:rsidP="002E2EB0">
            <w:pPr>
              <w:pStyle w:val="Normal6a"/>
            </w:pPr>
          </w:p>
        </w:tc>
        <w:tc>
          <w:tcPr>
            <w:tcW w:w="4876" w:type="dxa"/>
          </w:tcPr>
          <w:p w14:paraId="3652D4AB" w14:textId="066D965B" w:rsidR="00E22643" w:rsidRPr="00B7760C" w:rsidRDefault="00E22643" w:rsidP="002E2EB0">
            <w:pPr>
              <w:pStyle w:val="Normal6a"/>
            </w:pPr>
            <w:r w:rsidRPr="00B7760C">
              <w:rPr>
                <w:b/>
                <w:i/>
              </w:rPr>
              <w:t>(a)</w:t>
            </w:r>
            <w:r w:rsidRPr="00B7760C">
              <w:rPr>
                <w:b/>
                <w:i/>
              </w:rPr>
              <w:tab/>
              <w:t>500 000 EUR v prvem stebru za neposredna plačila;</w:t>
            </w:r>
          </w:p>
        </w:tc>
      </w:tr>
      <w:tr w:rsidR="00E22643" w:rsidRPr="00B7760C" w14:paraId="67F87DBC" w14:textId="77777777" w:rsidTr="002E2EB0">
        <w:trPr>
          <w:jc w:val="center"/>
        </w:trPr>
        <w:tc>
          <w:tcPr>
            <w:tcW w:w="4876" w:type="dxa"/>
          </w:tcPr>
          <w:p w14:paraId="26974496" w14:textId="77777777" w:rsidR="00E22643" w:rsidRPr="00B7760C" w:rsidRDefault="00E22643" w:rsidP="002E2EB0">
            <w:pPr>
              <w:pStyle w:val="Normal6a"/>
            </w:pPr>
          </w:p>
        </w:tc>
        <w:tc>
          <w:tcPr>
            <w:tcW w:w="4876" w:type="dxa"/>
          </w:tcPr>
          <w:p w14:paraId="142EF1A2" w14:textId="4789F331" w:rsidR="00E22643" w:rsidRPr="00B7760C" w:rsidRDefault="00E22643" w:rsidP="002E2EB0">
            <w:pPr>
              <w:pStyle w:val="Normal6a"/>
            </w:pPr>
            <w:r w:rsidRPr="00B7760C">
              <w:rPr>
                <w:b/>
                <w:i/>
              </w:rPr>
              <w:t>(b)</w:t>
            </w:r>
            <w:r w:rsidRPr="00B7760C">
              <w:rPr>
                <w:b/>
                <w:i/>
              </w:rPr>
              <w:tab/>
              <w:t>1 000 000 EUR za naložbe v okviru drugega stebra; Komisijo je treba obvestiti o prekoračitvi zgornje meje. Komisija za vsak primer posebej oceni, ali se v ustrezno utemeljenih primerih lahko odobri izjema. Komisija oblikuje jasno opredeljena objektivna merila, ki se brez nepotrebnega odlašanja objavijo v obliki smernic za organe držav članic.</w:t>
            </w:r>
          </w:p>
        </w:tc>
      </w:tr>
      <w:tr w:rsidR="00E22643" w:rsidRPr="00B7760C" w14:paraId="5BD56649" w14:textId="77777777" w:rsidTr="002E2EB0">
        <w:trPr>
          <w:jc w:val="center"/>
        </w:trPr>
        <w:tc>
          <w:tcPr>
            <w:tcW w:w="4876" w:type="dxa"/>
          </w:tcPr>
          <w:p w14:paraId="42FC83BE" w14:textId="77777777" w:rsidR="00E22643" w:rsidRPr="00B7760C" w:rsidRDefault="00E22643" w:rsidP="002E2EB0">
            <w:pPr>
              <w:pStyle w:val="Normal6a"/>
            </w:pPr>
          </w:p>
        </w:tc>
        <w:tc>
          <w:tcPr>
            <w:tcW w:w="4876" w:type="dxa"/>
          </w:tcPr>
          <w:p w14:paraId="6C56DFD2" w14:textId="77777777" w:rsidR="00E22643" w:rsidRPr="00B7760C" w:rsidRDefault="00E22643" w:rsidP="002E2EB0">
            <w:pPr>
              <w:pStyle w:val="Normal6a"/>
            </w:pPr>
            <w:r w:rsidRPr="00B7760C">
              <w:rPr>
                <w:b/>
                <w:i/>
              </w:rPr>
              <w:t>Te omejitve ne bi smele veljati za plačila za projekte, ki koristijo širšemu krogu prebivalcev in jih izvajajo regionalni in lokalni organi, občine ali mesta.</w:t>
            </w:r>
          </w:p>
        </w:tc>
      </w:tr>
      <w:tr w:rsidR="00E22643" w:rsidRPr="00B7760C" w14:paraId="75506BAD" w14:textId="77777777" w:rsidTr="002E2EB0">
        <w:trPr>
          <w:jc w:val="center"/>
        </w:trPr>
        <w:tc>
          <w:tcPr>
            <w:tcW w:w="4876" w:type="dxa"/>
          </w:tcPr>
          <w:p w14:paraId="24C1E70C" w14:textId="77777777" w:rsidR="00E22643" w:rsidRPr="00B7760C" w:rsidRDefault="00E22643" w:rsidP="002E2EB0">
            <w:pPr>
              <w:pStyle w:val="Normal6a"/>
            </w:pPr>
          </w:p>
        </w:tc>
        <w:tc>
          <w:tcPr>
            <w:tcW w:w="4876" w:type="dxa"/>
          </w:tcPr>
          <w:p w14:paraId="3DC979BF" w14:textId="77777777" w:rsidR="00E22643" w:rsidRPr="00B7760C" w:rsidRDefault="00E22643" w:rsidP="002E2EB0">
            <w:pPr>
              <w:pStyle w:val="Normal6a"/>
            </w:pPr>
            <w:r w:rsidRPr="00B7760C">
              <w:rPr>
                <w:b/>
                <w:i/>
              </w:rPr>
              <w:t>Komisija s prilagoditvijo in razširitvijo sistema ARACHNE ali drugih ustreznih orodij IT vzpostavi sistem obveščanja in spremljanja v realnem času. Države članice v ta sistem v realnem času vnašajo vse ustrezne podatke (projekt, plačila, pravna oseba, fizična oseba, dejanski lastniki ipd.), kar je pogoj za prejemanje sredstev na podlagi te uredbe. Komisija s tem sistemom obveščanja in spremljanja v realnem času omogoči natančen pregled nad razdelitvijo in pravično dodelitvijo sredstev EU ter sledenje in združevanje porazdeljenih finančnih sredstev.</w:t>
            </w:r>
          </w:p>
        </w:tc>
      </w:tr>
    </w:tbl>
    <w:p w14:paraId="38A3FAE7" w14:textId="77777777" w:rsidR="00E22643" w:rsidRPr="00B7760C" w:rsidRDefault="00E22643" w:rsidP="003663AF"/>
    <w:p w14:paraId="3DE71224" w14:textId="77777777" w:rsidR="003663AF" w:rsidRPr="00B7760C" w:rsidRDefault="003663AF" w:rsidP="003663AF"/>
    <w:p w14:paraId="64AFB3DC" w14:textId="032AFD66" w:rsidR="003663AF" w:rsidRPr="00B7760C" w:rsidRDefault="00877691" w:rsidP="00E22643">
      <w:pPr>
        <w:pStyle w:val="AMNumberTabs"/>
        <w:keepNext/>
      </w:pPr>
      <w:r w:rsidRPr="00B7760C">
        <w:t>Sprememb</w:t>
      </w:r>
      <w:r w:rsidR="00E22643" w:rsidRPr="00B7760C">
        <w:t>e</w:t>
      </w:r>
      <w:r w:rsidR="003663AF" w:rsidRPr="00B7760C">
        <w:tab/>
      </w:r>
      <w:r w:rsidR="003663AF" w:rsidRPr="00B7760C">
        <w:tab/>
        <w:t>168</w:t>
      </w:r>
      <w:r w:rsidR="00E22643" w:rsidRPr="00B7760C">
        <w:t>, 733 cp7, 769, 1118 cp7, 1126 cp8 in 1207 cp7</w:t>
      </w:r>
    </w:p>
    <w:p w14:paraId="4393F562" w14:textId="77777777" w:rsidR="003663AF" w:rsidRPr="00B7760C" w:rsidRDefault="003663AF" w:rsidP="003663AF">
      <w:pPr>
        <w:pStyle w:val="NormalBold12b"/>
      </w:pPr>
      <w:r w:rsidRPr="00B7760C">
        <w:t>Predlog uredbe</w:t>
      </w:r>
    </w:p>
    <w:p w14:paraId="1E39911D" w14:textId="77777777" w:rsidR="003663AF" w:rsidRPr="00B7760C" w:rsidRDefault="003663AF" w:rsidP="003663AF">
      <w:pPr>
        <w:pStyle w:val="NormalBold"/>
      </w:pPr>
      <w:r w:rsidRPr="00B7760C">
        <w:t>Člen 15 – odstavek 3 – pododstavek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2017CDD" w14:textId="77777777" w:rsidTr="00E804B7">
        <w:trPr>
          <w:jc w:val="center"/>
        </w:trPr>
        <w:tc>
          <w:tcPr>
            <w:tcW w:w="9752" w:type="dxa"/>
            <w:gridSpan w:val="2"/>
          </w:tcPr>
          <w:p w14:paraId="2180B737" w14:textId="77777777" w:rsidR="003663AF" w:rsidRPr="00B7760C" w:rsidRDefault="003663AF" w:rsidP="00E804B7">
            <w:pPr>
              <w:keepNext/>
            </w:pPr>
          </w:p>
        </w:tc>
      </w:tr>
      <w:tr w:rsidR="003663AF" w:rsidRPr="00B7760C" w14:paraId="0FA75E4B" w14:textId="77777777" w:rsidTr="00E804B7">
        <w:trPr>
          <w:jc w:val="center"/>
        </w:trPr>
        <w:tc>
          <w:tcPr>
            <w:tcW w:w="4876" w:type="dxa"/>
            <w:hideMark/>
          </w:tcPr>
          <w:p w14:paraId="6E2019DA" w14:textId="77777777" w:rsidR="003663AF" w:rsidRPr="00B7760C" w:rsidRDefault="003663AF" w:rsidP="00E804B7">
            <w:pPr>
              <w:pStyle w:val="ColumnHeading"/>
              <w:keepNext/>
            </w:pPr>
            <w:r w:rsidRPr="00B7760C">
              <w:t>Besedilo, ki ga predlaga Komisija</w:t>
            </w:r>
          </w:p>
        </w:tc>
        <w:tc>
          <w:tcPr>
            <w:tcW w:w="4876" w:type="dxa"/>
            <w:hideMark/>
          </w:tcPr>
          <w:p w14:paraId="608CABCA" w14:textId="76AE9283" w:rsidR="003663AF" w:rsidRPr="00B7760C" w:rsidRDefault="00877691" w:rsidP="00E804B7">
            <w:pPr>
              <w:pStyle w:val="ColumnHeading"/>
              <w:keepNext/>
            </w:pPr>
            <w:r w:rsidRPr="00B7760C">
              <w:t>Sprememba</w:t>
            </w:r>
          </w:p>
        </w:tc>
      </w:tr>
      <w:tr w:rsidR="003663AF" w:rsidRPr="00B7760C" w14:paraId="459F117F" w14:textId="77777777" w:rsidTr="00E804B7">
        <w:trPr>
          <w:jc w:val="center"/>
        </w:trPr>
        <w:tc>
          <w:tcPr>
            <w:tcW w:w="4876" w:type="dxa"/>
            <w:hideMark/>
          </w:tcPr>
          <w:p w14:paraId="22D92B08" w14:textId="77777777" w:rsidR="003663AF" w:rsidRPr="00B7760C" w:rsidRDefault="003663AF" w:rsidP="00E804B7">
            <w:pPr>
              <w:pStyle w:val="Normal6"/>
            </w:pPr>
            <w:r w:rsidRPr="00B7760C">
              <w:t xml:space="preserve">Ocenjeni rezultat zmanjšanja plačil se </w:t>
            </w:r>
            <w:r w:rsidRPr="00B7760C">
              <w:rPr>
                <w:b/>
                <w:i/>
              </w:rPr>
              <w:t>uporabi predvsem</w:t>
            </w:r>
            <w:r w:rsidRPr="00B7760C">
              <w:t xml:space="preserve"> za financiranje dopolnilne prerazporeditvene dohodkovne podpore za trajnostnost in šele nato za financiranje drugih intervencij v obliki nevezanih neposrednih plačil.</w:t>
            </w:r>
          </w:p>
        </w:tc>
        <w:tc>
          <w:tcPr>
            <w:tcW w:w="4876" w:type="dxa"/>
            <w:hideMark/>
          </w:tcPr>
          <w:p w14:paraId="005485D6" w14:textId="77777777" w:rsidR="003663AF" w:rsidRPr="00B7760C" w:rsidRDefault="003663AF" w:rsidP="00E804B7">
            <w:pPr>
              <w:pStyle w:val="Normal6"/>
              <w:rPr>
                <w:szCs w:val="24"/>
              </w:rPr>
            </w:pPr>
            <w:r w:rsidRPr="00B7760C">
              <w:t xml:space="preserve">Ocenjeni rezultat zmanjšanja plačil se </w:t>
            </w:r>
            <w:r w:rsidRPr="00B7760C">
              <w:rPr>
                <w:b/>
                <w:i/>
              </w:rPr>
              <w:t>prednostno uporabi</w:t>
            </w:r>
            <w:r w:rsidRPr="00B7760C">
              <w:t xml:space="preserve"> za financiranje dopolnilne prerazporeditvene dohodkovne podpore za trajnostnost in šele nato za financiranje drugih intervencij v obliki nevezanih neposrednih plačil.</w:t>
            </w:r>
          </w:p>
        </w:tc>
      </w:tr>
    </w:tbl>
    <w:p w14:paraId="026F1C2B" w14:textId="77777777" w:rsidR="003663AF" w:rsidRPr="00B7760C" w:rsidRDefault="003663AF" w:rsidP="003663AF"/>
    <w:p w14:paraId="7B98561D" w14:textId="2347DD71" w:rsidR="003663AF" w:rsidRPr="00B7760C" w:rsidRDefault="00877691" w:rsidP="00E22643">
      <w:pPr>
        <w:pStyle w:val="AMNumberTabs"/>
        <w:keepNext/>
      </w:pPr>
      <w:r w:rsidRPr="00B7760C">
        <w:t>Sprememb</w:t>
      </w:r>
      <w:r w:rsidR="00E22643" w:rsidRPr="00B7760C">
        <w:t>e</w:t>
      </w:r>
      <w:r w:rsidR="003663AF" w:rsidRPr="00B7760C">
        <w:tab/>
      </w:r>
      <w:r w:rsidR="003663AF" w:rsidRPr="00B7760C">
        <w:tab/>
        <w:t>169</w:t>
      </w:r>
      <w:r w:rsidR="00E22643" w:rsidRPr="00B7760C">
        <w:t>, 733 cp8, 770, 1118 cp8, 1126 cp9 in 1207 cp8</w:t>
      </w:r>
    </w:p>
    <w:p w14:paraId="1E2C9518" w14:textId="77777777" w:rsidR="003663AF" w:rsidRPr="00B7760C" w:rsidRDefault="003663AF" w:rsidP="003663AF">
      <w:pPr>
        <w:pStyle w:val="NormalBold12b"/>
      </w:pPr>
      <w:r w:rsidRPr="00B7760C">
        <w:t>Predlog uredbe</w:t>
      </w:r>
    </w:p>
    <w:p w14:paraId="2F607C2E" w14:textId="77777777" w:rsidR="003663AF" w:rsidRPr="00B7760C" w:rsidRDefault="003663AF" w:rsidP="003663AF">
      <w:pPr>
        <w:pStyle w:val="NormalBold"/>
      </w:pPr>
      <w:r w:rsidRPr="00B7760C">
        <w:t>Člen 15 – odstavek 3 – pododstavek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278ED43" w14:textId="77777777" w:rsidTr="00E804B7">
        <w:trPr>
          <w:jc w:val="center"/>
        </w:trPr>
        <w:tc>
          <w:tcPr>
            <w:tcW w:w="9752" w:type="dxa"/>
            <w:gridSpan w:val="2"/>
          </w:tcPr>
          <w:p w14:paraId="2388CEF9" w14:textId="77777777" w:rsidR="003663AF" w:rsidRPr="00B7760C" w:rsidRDefault="003663AF" w:rsidP="00E804B7">
            <w:pPr>
              <w:keepNext/>
            </w:pPr>
          </w:p>
        </w:tc>
      </w:tr>
      <w:tr w:rsidR="003663AF" w:rsidRPr="00B7760C" w14:paraId="03B20996" w14:textId="77777777" w:rsidTr="00E804B7">
        <w:trPr>
          <w:jc w:val="center"/>
        </w:trPr>
        <w:tc>
          <w:tcPr>
            <w:tcW w:w="4876" w:type="dxa"/>
            <w:hideMark/>
          </w:tcPr>
          <w:p w14:paraId="04331622" w14:textId="77777777" w:rsidR="003663AF" w:rsidRPr="00B7760C" w:rsidRDefault="003663AF" w:rsidP="00E804B7">
            <w:pPr>
              <w:pStyle w:val="ColumnHeading"/>
              <w:keepNext/>
            </w:pPr>
            <w:r w:rsidRPr="00B7760C">
              <w:t>Besedilo, ki ga predlaga Komisija</w:t>
            </w:r>
          </w:p>
        </w:tc>
        <w:tc>
          <w:tcPr>
            <w:tcW w:w="4876" w:type="dxa"/>
            <w:hideMark/>
          </w:tcPr>
          <w:p w14:paraId="36E4D451" w14:textId="02AFE15A" w:rsidR="003663AF" w:rsidRPr="00B7760C" w:rsidRDefault="00877691" w:rsidP="00E804B7">
            <w:pPr>
              <w:pStyle w:val="ColumnHeading"/>
              <w:keepNext/>
            </w:pPr>
            <w:r w:rsidRPr="00B7760C">
              <w:t>Sprememba</w:t>
            </w:r>
          </w:p>
        </w:tc>
      </w:tr>
      <w:tr w:rsidR="003663AF" w:rsidRPr="00B7760C" w14:paraId="22C72870" w14:textId="77777777" w:rsidTr="00E804B7">
        <w:trPr>
          <w:jc w:val="center"/>
        </w:trPr>
        <w:tc>
          <w:tcPr>
            <w:tcW w:w="4876" w:type="dxa"/>
            <w:hideMark/>
          </w:tcPr>
          <w:p w14:paraId="60267105" w14:textId="77777777" w:rsidR="003663AF" w:rsidRPr="00B7760C" w:rsidRDefault="003663AF" w:rsidP="00E804B7">
            <w:pPr>
              <w:pStyle w:val="Normal6"/>
            </w:pPr>
            <w:r w:rsidRPr="00B7760C">
              <w:t>Poleg tega lahko države članice celotni rezultat ali njegov del s pomočjo prerazporeditve uporabijo za financiranje vrst intervencij v okviru EKSRP, kot je določeno v poglavju IV. Taka prerazporeditev v EKSRP je del finančnih preglednic strateškega načrta SKP in se v skladu s členom 90 lahko ponovno pregleda leta</w:t>
            </w:r>
            <w:r w:rsidRPr="00B7760C">
              <w:rPr>
                <w:b/>
                <w:i/>
              </w:rPr>
              <w:t xml:space="preserve"> 2023.</w:t>
            </w:r>
            <w:r w:rsidRPr="00B7760C">
              <w:t xml:space="preserve"> </w:t>
            </w:r>
            <w:r w:rsidRPr="00B7760C">
              <w:rPr>
                <w:b/>
                <w:i/>
              </w:rPr>
              <w:t>Zanjo ne veljajo najviše mejne vrednosti za prerazporeditev sredstev iz EKJS v EKSRP, določene v skladu s členom 90.</w:t>
            </w:r>
          </w:p>
        </w:tc>
        <w:tc>
          <w:tcPr>
            <w:tcW w:w="4876" w:type="dxa"/>
            <w:hideMark/>
          </w:tcPr>
          <w:p w14:paraId="3DCAA921" w14:textId="77777777" w:rsidR="003663AF" w:rsidRPr="00B7760C" w:rsidRDefault="003663AF" w:rsidP="00E804B7">
            <w:pPr>
              <w:pStyle w:val="Normal6"/>
              <w:rPr>
                <w:szCs w:val="24"/>
              </w:rPr>
            </w:pPr>
            <w:r w:rsidRPr="00B7760C">
              <w:t>Poleg tega lahko države članice celotni rezultat ali njegov del s pomočjo prerazporeditve uporabijo za financiranje vrst intervencij v okviru EKSRP, kot je določeno v poglavju IV. Taka prerazporeditev v EKSRP je del finančnih preglednic strateškega načrta SKP in se v skladu s členom 90 lahko ponovno pregleda leta </w:t>
            </w:r>
            <w:r w:rsidRPr="00B7760C">
              <w:rPr>
                <w:b/>
                <w:i/>
              </w:rPr>
              <w:t>2024</w:t>
            </w:r>
            <w:r w:rsidRPr="00B7760C">
              <w:t>.</w:t>
            </w:r>
          </w:p>
        </w:tc>
      </w:tr>
    </w:tbl>
    <w:p w14:paraId="4D67152C" w14:textId="77777777" w:rsidR="003663AF" w:rsidRPr="00B7760C" w:rsidRDefault="003663AF" w:rsidP="003663AF"/>
    <w:p w14:paraId="06A41394" w14:textId="1706F20D" w:rsidR="003663AF" w:rsidRPr="00B7760C" w:rsidRDefault="00877691" w:rsidP="00E22643">
      <w:pPr>
        <w:pStyle w:val="AMNumberTabs"/>
        <w:keepNext/>
      </w:pPr>
      <w:r w:rsidRPr="00B7760C">
        <w:t>Sprememb</w:t>
      </w:r>
      <w:r w:rsidR="00E22643" w:rsidRPr="00B7760C">
        <w:t>e</w:t>
      </w:r>
      <w:r w:rsidR="003663AF" w:rsidRPr="00B7760C">
        <w:tab/>
      </w:r>
      <w:r w:rsidR="003663AF" w:rsidRPr="00B7760C">
        <w:tab/>
        <w:t>170</w:t>
      </w:r>
      <w:r w:rsidR="00E22643" w:rsidRPr="00B7760C">
        <w:t>, 733 cp9, 771, 1118 cp9, 1126 cp10 in 1207 cp9</w:t>
      </w:r>
    </w:p>
    <w:p w14:paraId="5F8FB908" w14:textId="77777777" w:rsidR="003663AF" w:rsidRPr="00B7760C" w:rsidRDefault="003663AF" w:rsidP="003663AF">
      <w:pPr>
        <w:pStyle w:val="NormalBold12b"/>
      </w:pPr>
      <w:r w:rsidRPr="00B7760C">
        <w:t>Predlog uredbe</w:t>
      </w:r>
    </w:p>
    <w:p w14:paraId="27BA3E73" w14:textId="77777777" w:rsidR="003663AF" w:rsidRPr="00B7760C" w:rsidRDefault="003663AF" w:rsidP="003663AF">
      <w:pPr>
        <w:pStyle w:val="NormalBold"/>
      </w:pPr>
      <w:r w:rsidRPr="00B7760C">
        <w:t>Člen 15 – odstavek 3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E02FBA6" w14:textId="77777777" w:rsidTr="00E804B7">
        <w:trPr>
          <w:jc w:val="center"/>
        </w:trPr>
        <w:tc>
          <w:tcPr>
            <w:tcW w:w="9752" w:type="dxa"/>
            <w:gridSpan w:val="2"/>
          </w:tcPr>
          <w:p w14:paraId="2EFA93C0" w14:textId="77777777" w:rsidR="003663AF" w:rsidRPr="00B7760C" w:rsidRDefault="003663AF" w:rsidP="00E804B7">
            <w:pPr>
              <w:keepNext/>
            </w:pPr>
          </w:p>
        </w:tc>
      </w:tr>
      <w:tr w:rsidR="003663AF" w:rsidRPr="00B7760C" w14:paraId="2A5196F2" w14:textId="77777777" w:rsidTr="00E804B7">
        <w:trPr>
          <w:jc w:val="center"/>
        </w:trPr>
        <w:tc>
          <w:tcPr>
            <w:tcW w:w="4876" w:type="dxa"/>
            <w:hideMark/>
          </w:tcPr>
          <w:p w14:paraId="337CF369" w14:textId="77777777" w:rsidR="003663AF" w:rsidRPr="00B7760C" w:rsidRDefault="003663AF" w:rsidP="00E804B7">
            <w:pPr>
              <w:pStyle w:val="ColumnHeading"/>
              <w:keepNext/>
            </w:pPr>
            <w:r w:rsidRPr="00B7760C">
              <w:t>Besedilo, ki ga predlaga Komisija</w:t>
            </w:r>
          </w:p>
        </w:tc>
        <w:tc>
          <w:tcPr>
            <w:tcW w:w="4876" w:type="dxa"/>
            <w:hideMark/>
          </w:tcPr>
          <w:p w14:paraId="5B92D065" w14:textId="2A9B0648" w:rsidR="003663AF" w:rsidRPr="00B7760C" w:rsidRDefault="00877691" w:rsidP="00E804B7">
            <w:pPr>
              <w:pStyle w:val="ColumnHeading"/>
              <w:keepNext/>
            </w:pPr>
            <w:r w:rsidRPr="00B7760C">
              <w:t>Sprememba</w:t>
            </w:r>
          </w:p>
        </w:tc>
      </w:tr>
      <w:tr w:rsidR="003663AF" w:rsidRPr="00B7760C" w14:paraId="5E16C670" w14:textId="77777777" w:rsidTr="00E804B7">
        <w:trPr>
          <w:jc w:val="center"/>
        </w:trPr>
        <w:tc>
          <w:tcPr>
            <w:tcW w:w="4876" w:type="dxa"/>
          </w:tcPr>
          <w:p w14:paraId="17189D1B" w14:textId="77777777" w:rsidR="003663AF" w:rsidRPr="00B7760C" w:rsidRDefault="003663AF" w:rsidP="00E804B7">
            <w:pPr>
              <w:pStyle w:val="Normal6"/>
            </w:pPr>
          </w:p>
        </w:tc>
        <w:tc>
          <w:tcPr>
            <w:tcW w:w="4876" w:type="dxa"/>
            <w:hideMark/>
          </w:tcPr>
          <w:p w14:paraId="264FCA76" w14:textId="77777777" w:rsidR="003663AF" w:rsidRPr="00B7760C" w:rsidRDefault="003663AF" w:rsidP="00E804B7">
            <w:pPr>
              <w:pStyle w:val="Normal6"/>
              <w:rPr>
                <w:szCs w:val="24"/>
              </w:rPr>
            </w:pPr>
            <w:r w:rsidRPr="00B7760C">
              <w:rPr>
                <w:b/>
                <w:i/>
              </w:rPr>
              <w:t>3a.</w:t>
            </w:r>
            <w:r w:rsidRPr="00B7760C">
              <w:rPr>
                <w:b/>
                <w:i/>
              </w:rPr>
              <w:tab/>
              <w:t>Države članice lahko primeru pravne osebe ali skupine fizičnih ali pravnih oseb uporabljajo znižanje iz odstavka 1 na ravni članov teh pravnih oseb ali skupin, kadar nacionalno pravo predvideva, da posamezni člani prevzamejo pravice in obveznosti, primerljive s tistimi posameznih kmetov, ki imajo status vodje kmetijskega gospodarstva, zlasti kar zadeva njihov gospodarski, socialni in davčni status, pod pogojem, da so prispevali h krepitvi kmetijskih struktur zadevnih pravnih oseb ali skupin.</w:t>
            </w:r>
          </w:p>
        </w:tc>
      </w:tr>
    </w:tbl>
    <w:p w14:paraId="2AC7B205" w14:textId="77777777" w:rsidR="003663AF" w:rsidRPr="00B7760C" w:rsidRDefault="003663AF" w:rsidP="003663AF"/>
    <w:p w14:paraId="4A0542E8" w14:textId="603F99A7" w:rsidR="003663AF" w:rsidRPr="00B7760C" w:rsidRDefault="00877691" w:rsidP="00E22643">
      <w:pPr>
        <w:pStyle w:val="AMNumberTabs"/>
        <w:keepNext/>
      </w:pPr>
      <w:r w:rsidRPr="00B7760C">
        <w:t>Sprememb</w:t>
      </w:r>
      <w:r w:rsidR="00E22643" w:rsidRPr="00B7760C">
        <w:t>e</w:t>
      </w:r>
      <w:r w:rsidR="003663AF" w:rsidRPr="00B7760C">
        <w:tab/>
      </w:r>
      <w:r w:rsidR="003663AF" w:rsidRPr="00B7760C">
        <w:tab/>
      </w:r>
      <w:r w:rsidR="00E22643" w:rsidRPr="00B7760C">
        <w:t>, 733 cp10, 772, 1118 cp10 in 1126 cp11</w:t>
      </w:r>
    </w:p>
    <w:p w14:paraId="46E496FF" w14:textId="77777777" w:rsidR="003663AF" w:rsidRPr="00B7760C" w:rsidRDefault="003663AF" w:rsidP="003663AF">
      <w:pPr>
        <w:pStyle w:val="NormalBold12b"/>
      </w:pPr>
      <w:r w:rsidRPr="00B7760C">
        <w:t>Predlog uredbe</w:t>
      </w:r>
    </w:p>
    <w:p w14:paraId="4A8190E0" w14:textId="77777777" w:rsidR="003663AF" w:rsidRPr="00B7760C" w:rsidRDefault="003663AF" w:rsidP="003663AF">
      <w:pPr>
        <w:pStyle w:val="NormalBold"/>
      </w:pPr>
      <w:r w:rsidRPr="00B7760C">
        <w:t>Člen 15 – odstavek 3 b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390B929" w14:textId="77777777" w:rsidTr="00E804B7">
        <w:trPr>
          <w:jc w:val="center"/>
        </w:trPr>
        <w:tc>
          <w:tcPr>
            <w:tcW w:w="9752" w:type="dxa"/>
            <w:gridSpan w:val="2"/>
          </w:tcPr>
          <w:p w14:paraId="679FABDA" w14:textId="77777777" w:rsidR="003663AF" w:rsidRPr="00B7760C" w:rsidRDefault="003663AF" w:rsidP="00E804B7">
            <w:pPr>
              <w:keepNext/>
            </w:pPr>
          </w:p>
        </w:tc>
      </w:tr>
      <w:tr w:rsidR="003663AF" w:rsidRPr="00B7760C" w14:paraId="59A2D0F4" w14:textId="77777777" w:rsidTr="00E804B7">
        <w:trPr>
          <w:jc w:val="center"/>
        </w:trPr>
        <w:tc>
          <w:tcPr>
            <w:tcW w:w="4876" w:type="dxa"/>
            <w:hideMark/>
          </w:tcPr>
          <w:p w14:paraId="121C5A79" w14:textId="77777777" w:rsidR="003663AF" w:rsidRPr="00B7760C" w:rsidRDefault="003663AF" w:rsidP="00E804B7">
            <w:pPr>
              <w:pStyle w:val="ColumnHeading"/>
              <w:keepNext/>
            </w:pPr>
            <w:r w:rsidRPr="00B7760C">
              <w:t>Besedilo, ki ga predlaga Komisija</w:t>
            </w:r>
          </w:p>
        </w:tc>
        <w:tc>
          <w:tcPr>
            <w:tcW w:w="4876" w:type="dxa"/>
            <w:hideMark/>
          </w:tcPr>
          <w:p w14:paraId="64C7A21B" w14:textId="53CDF014" w:rsidR="003663AF" w:rsidRPr="00B7760C" w:rsidRDefault="00877691" w:rsidP="00E804B7">
            <w:pPr>
              <w:pStyle w:val="ColumnHeading"/>
              <w:keepNext/>
            </w:pPr>
            <w:r w:rsidRPr="00B7760C">
              <w:t>Sprememba</w:t>
            </w:r>
          </w:p>
        </w:tc>
      </w:tr>
      <w:tr w:rsidR="003663AF" w:rsidRPr="00B7760C" w14:paraId="73C308AE" w14:textId="77777777" w:rsidTr="00E804B7">
        <w:trPr>
          <w:jc w:val="center"/>
        </w:trPr>
        <w:tc>
          <w:tcPr>
            <w:tcW w:w="4876" w:type="dxa"/>
          </w:tcPr>
          <w:p w14:paraId="5637171A" w14:textId="77777777" w:rsidR="003663AF" w:rsidRPr="00B7760C" w:rsidRDefault="003663AF" w:rsidP="00E804B7">
            <w:pPr>
              <w:pStyle w:val="Normal6"/>
            </w:pPr>
          </w:p>
        </w:tc>
        <w:tc>
          <w:tcPr>
            <w:tcW w:w="4876" w:type="dxa"/>
            <w:hideMark/>
          </w:tcPr>
          <w:p w14:paraId="1A7E20F5" w14:textId="02F68B51" w:rsidR="003663AF" w:rsidRPr="00B7760C" w:rsidRDefault="003663AF" w:rsidP="00E22643">
            <w:pPr>
              <w:pStyle w:val="Normal6"/>
              <w:rPr>
                <w:szCs w:val="24"/>
              </w:rPr>
            </w:pPr>
            <w:r w:rsidRPr="00B7760C">
              <w:rPr>
                <w:b/>
                <w:i/>
              </w:rPr>
              <w:t>3b.</w:t>
            </w:r>
            <w:r w:rsidRPr="00B7760C">
              <w:rPr>
                <w:b/>
                <w:i/>
              </w:rPr>
              <w:tab/>
              <w:t xml:space="preserve">Kadar država članica dodeli dopolnilno prerazporeditveno dohodkovno podporo kmetom na podlagi člena 26 in za to porabi najmanj </w:t>
            </w:r>
            <w:r w:rsidR="00E22643" w:rsidRPr="00B7760C">
              <w:rPr>
                <w:b/>
                <w:i/>
              </w:rPr>
              <w:t>12 </w:t>
            </w:r>
            <w:r w:rsidRPr="00B7760C">
              <w:rPr>
                <w:b/>
                <w:i/>
              </w:rPr>
              <w:t>% svojih finančnih sredstev za neposredna plačila iz Priloge IV, se lahko odloči, da ne bo izvajala določb tega člena.</w:t>
            </w:r>
          </w:p>
        </w:tc>
      </w:tr>
    </w:tbl>
    <w:p w14:paraId="190B41B4" w14:textId="77777777" w:rsidR="00E22643" w:rsidRPr="00B7760C" w:rsidRDefault="00E22643" w:rsidP="003663AF"/>
    <w:p w14:paraId="1ADFA939" w14:textId="2FD7F458" w:rsidR="003663AF" w:rsidRPr="00B7760C" w:rsidRDefault="00877691" w:rsidP="0044746B">
      <w:pPr>
        <w:pStyle w:val="AMNumberTabs"/>
        <w:keepNext/>
      </w:pPr>
      <w:r w:rsidRPr="00B7760C">
        <w:t>Sprememb</w:t>
      </w:r>
      <w:r w:rsidR="0044746B" w:rsidRPr="00B7760C">
        <w:t>e</w:t>
      </w:r>
      <w:r w:rsidR="003663AF" w:rsidRPr="00B7760C">
        <w:tab/>
        <w:t>172</w:t>
      </w:r>
      <w:r w:rsidR="0044746B" w:rsidRPr="00B7760C">
        <w:t>, 773, 903, 1118 cp11 in 1126 cp12</w:t>
      </w:r>
    </w:p>
    <w:p w14:paraId="116BC2E1" w14:textId="77777777" w:rsidR="003663AF" w:rsidRPr="00B7760C" w:rsidRDefault="003663AF" w:rsidP="003663AF">
      <w:pPr>
        <w:pStyle w:val="NormalBold12b"/>
      </w:pPr>
      <w:r w:rsidRPr="00B7760C">
        <w:t>Predlog uredbe</w:t>
      </w:r>
    </w:p>
    <w:p w14:paraId="6E1FFD0A" w14:textId="77777777" w:rsidR="003663AF" w:rsidRPr="00B7760C" w:rsidRDefault="003663AF" w:rsidP="003663AF">
      <w:pPr>
        <w:pStyle w:val="NormalBold"/>
      </w:pPr>
      <w:r w:rsidRPr="00B7760C">
        <w:t>Člen 15 – odstavek 3 c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B99A949" w14:textId="77777777" w:rsidTr="00E804B7">
        <w:trPr>
          <w:jc w:val="center"/>
        </w:trPr>
        <w:tc>
          <w:tcPr>
            <w:tcW w:w="9752" w:type="dxa"/>
            <w:gridSpan w:val="2"/>
          </w:tcPr>
          <w:p w14:paraId="5C3B5786" w14:textId="77777777" w:rsidR="003663AF" w:rsidRPr="00B7760C" w:rsidRDefault="003663AF" w:rsidP="00E804B7">
            <w:pPr>
              <w:keepNext/>
            </w:pPr>
          </w:p>
        </w:tc>
      </w:tr>
      <w:tr w:rsidR="003663AF" w:rsidRPr="00B7760C" w14:paraId="6EA668E9" w14:textId="77777777" w:rsidTr="00E804B7">
        <w:trPr>
          <w:jc w:val="center"/>
        </w:trPr>
        <w:tc>
          <w:tcPr>
            <w:tcW w:w="4876" w:type="dxa"/>
            <w:hideMark/>
          </w:tcPr>
          <w:p w14:paraId="01004E29" w14:textId="77777777" w:rsidR="003663AF" w:rsidRPr="00B7760C" w:rsidRDefault="003663AF" w:rsidP="00E804B7">
            <w:pPr>
              <w:pStyle w:val="ColumnHeading"/>
              <w:keepNext/>
            </w:pPr>
            <w:r w:rsidRPr="00B7760C">
              <w:t>Besedilo, ki ga predlaga Komisija</w:t>
            </w:r>
          </w:p>
        </w:tc>
        <w:tc>
          <w:tcPr>
            <w:tcW w:w="4876" w:type="dxa"/>
            <w:hideMark/>
          </w:tcPr>
          <w:p w14:paraId="03C31918" w14:textId="3234B39C" w:rsidR="003663AF" w:rsidRPr="00B7760C" w:rsidRDefault="00877691" w:rsidP="00E804B7">
            <w:pPr>
              <w:pStyle w:val="ColumnHeading"/>
              <w:keepNext/>
            </w:pPr>
            <w:r w:rsidRPr="00B7760C">
              <w:t>Sprememba</w:t>
            </w:r>
          </w:p>
        </w:tc>
      </w:tr>
      <w:tr w:rsidR="003663AF" w:rsidRPr="00B7760C" w14:paraId="5B9E53E4" w14:textId="77777777" w:rsidTr="00E804B7">
        <w:trPr>
          <w:jc w:val="center"/>
        </w:trPr>
        <w:tc>
          <w:tcPr>
            <w:tcW w:w="4876" w:type="dxa"/>
          </w:tcPr>
          <w:p w14:paraId="0113AB04" w14:textId="77777777" w:rsidR="003663AF" w:rsidRPr="00B7760C" w:rsidRDefault="003663AF" w:rsidP="00E804B7">
            <w:pPr>
              <w:pStyle w:val="Normal6"/>
            </w:pPr>
          </w:p>
        </w:tc>
        <w:tc>
          <w:tcPr>
            <w:tcW w:w="4876" w:type="dxa"/>
            <w:hideMark/>
          </w:tcPr>
          <w:p w14:paraId="6A94701F" w14:textId="77777777" w:rsidR="003663AF" w:rsidRPr="00B7760C" w:rsidRDefault="003663AF" w:rsidP="00E804B7">
            <w:pPr>
              <w:pStyle w:val="Normal6"/>
              <w:rPr>
                <w:szCs w:val="24"/>
              </w:rPr>
            </w:pPr>
            <w:r w:rsidRPr="00B7760C">
              <w:rPr>
                <w:b/>
                <w:i/>
              </w:rPr>
              <w:t>3c.</w:t>
            </w:r>
            <w:r w:rsidRPr="00B7760C">
              <w:rPr>
                <w:b/>
                <w:i/>
              </w:rPr>
              <w:tab/>
              <w:t>Nobena ugodnost izogibanja zmanjšanju plačila se ne odobri kmetom, za katere je ugotovljeno, da so umetno ustvarili pogoje, da bi se izognili učinkom tega člena.</w:t>
            </w:r>
          </w:p>
        </w:tc>
      </w:tr>
    </w:tbl>
    <w:p w14:paraId="64053615" w14:textId="77777777" w:rsidR="003663AF" w:rsidRPr="00B7760C" w:rsidRDefault="003663AF" w:rsidP="003663AF"/>
    <w:p w14:paraId="36F89ED1" w14:textId="0AC5A26C" w:rsidR="003663AF" w:rsidRPr="00B7760C" w:rsidRDefault="00877691" w:rsidP="0044746B">
      <w:pPr>
        <w:pStyle w:val="AMNumberTabs"/>
        <w:keepNext/>
      </w:pPr>
      <w:r w:rsidRPr="00B7760C">
        <w:t>Sprememb</w:t>
      </w:r>
      <w:r w:rsidR="0044746B" w:rsidRPr="00B7760C">
        <w:t>e</w:t>
      </w:r>
      <w:r w:rsidR="003663AF" w:rsidRPr="00B7760C">
        <w:tab/>
      </w:r>
      <w:r w:rsidR="003663AF" w:rsidRPr="00B7760C">
        <w:tab/>
        <w:t>173</w:t>
      </w:r>
      <w:r w:rsidR="0044746B" w:rsidRPr="00B7760C">
        <w:t>, 775, 1118 cp1 in 1126 cp1</w:t>
      </w:r>
      <w:r w:rsidR="0008604B" w:rsidRPr="00B7760C">
        <w:t>3</w:t>
      </w:r>
    </w:p>
    <w:p w14:paraId="7AF193EF" w14:textId="77777777" w:rsidR="003663AF" w:rsidRPr="00B7760C" w:rsidRDefault="003663AF" w:rsidP="003663AF">
      <w:pPr>
        <w:pStyle w:val="NormalBold12b"/>
      </w:pPr>
      <w:r w:rsidRPr="00B7760C">
        <w:t>Predlog uredbe</w:t>
      </w:r>
    </w:p>
    <w:p w14:paraId="20C53A20" w14:textId="77777777" w:rsidR="003663AF" w:rsidRPr="00B7760C" w:rsidRDefault="003663AF" w:rsidP="003663AF">
      <w:pPr>
        <w:pStyle w:val="NormalBold"/>
      </w:pPr>
      <w:r w:rsidRPr="00B7760C">
        <w:t>Člen 15 – odstavek 4</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AFA2A2E" w14:textId="77777777" w:rsidTr="00E804B7">
        <w:trPr>
          <w:jc w:val="center"/>
        </w:trPr>
        <w:tc>
          <w:tcPr>
            <w:tcW w:w="9752" w:type="dxa"/>
            <w:gridSpan w:val="2"/>
          </w:tcPr>
          <w:p w14:paraId="4953B2AB" w14:textId="77777777" w:rsidR="003663AF" w:rsidRPr="00B7760C" w:rsidRDefault="003663AF" w:rsidP="00E804B7">
            <w:pPr>
              <w:keepNext/>
            </w:pPr>
          </w:p>
        </w:tc>
      </w:tr>
      <w:tr w:rsidR="003663AF" w:rsidRPr="00B7760C" w14:paraId="56A8203C" w14:textId="77777777" w:rsidTr="00E804B7">
        <w:trPr>
          <w:jc w:val="center"/>
        </w:trPr>
        <w:tc>
          <w:tcPr>
            <w:tcW w:w="4876" w:type="dxa"/>
            <w:hideMark/>
          </w:tcPr>
          <w:p w14:paraId="5A30FB4E" w14:textId="77777777" w:rsidR="003663AF" w:rsidRPr="00B7760C" w:rsidRDefault="003663AF" w:rsidP="00E804B7">
            <w:pPr>
              <w:pStyle w:val="ColumnHeading"/>
              <w:keepNext/>
            </w:pPr>
            <w:r w:rsidRPr="00B7760C">
              <w:t>Besedilo, ki ga predlaga Komisija</w:t>
            </w:r>
          </w:p>
        </w:tc>
        <w:tc>
          <w:tcPr>
            <w:tcW w:w="4876" w:type="dxa"/>
            <w:hideMark/>
          </w:tcPr>
          <w:p w14:paraId="2425BBF3" w14:textId="3DA65A2D" w:rsidR="003663AF" w:rsidRPr="00B7760C" w:rsidRDefault="00877691" w:rsidP="00E804B7">
            <w:pPr>
              <w:pStyle w:val="ColumnHeading"/>
              <w:keepNext/>
            </w:pPr>
            <w:r w:rsidRPr="00B7760C">
              <w:t>Sprememba</w:t>
            </w:r>
          </w:p>
        </w:tc>
      </w:tr>
      <w:tr w:rsidR="003663AF" w:rsidRPr="00B7760C" w14:paraId="3A00B817" w14:textId="77777777" w:rsidTr="00E804B7">
        <w:trPr>
          <w:jc w:val="center"/>
        </w:trPr>
        <w:tc>
          <w:tcPr>
            <w:tcW w:w="4876" w:type="dxa"/>
            <w:hideMark/>
          </w:tcPr>
          <w:p w14:paraId="0AE9782A" w14:textId="77777777" w:rsidR="003663AF" w:rsidRPr="00B7760C" w:rsidRDefault="003663AF" w:rsidP="00E804B7">
            <w:pPr>
              <w:pStyle w:val="Normal6"/>
            </w:pPr>
            <w:r w:rsidRPr="00B7760C">
              <w:rPr>
                <w:b/>
                <w:i/>
              </w:rPr>
              <w:t>4.</w:t>
            </w:r>
            <w:r w:rsidRPr="00B7760C">
              <w:rPr>
                <w:b/>
                <w:i/>
              </w:rPr>
              <w:tab/>
              <w:t>Na Komisijo se prenese pooblastilo za sprejemanje delegiranih aktov v skladu s členom 138 za dopolnitev te uredbe s pravili o določitvi usklajene podlage za izračun za zmanjšanje plačil iz odstavka 1, da se zagotovi pravilna razdelitev sredstev upravičencem.</w:t>
            </w:r>
          </w:p>
        </w:tc>
        <w:tc>
          <w:tcPr>
            <w:tcW w:w="4876" w:type="dxa"/>
            <w:hideMark/>
          </w:tcPr>
          <w:p w14:paraId="39B398FB" w14:textId="77777777" w:rsidR="003663AF" w:rsidRPr="00B7760C" w:rsidRDefault="003663AF" w:rsidP="00E804B7">
            <w:pPr>
              <w:pStyle w:val="Normal6"/>
              <w:rPr>
                <w:szCs w:val="24"/>
              </w:rPr>
            </w:pPr>
            <w:r w:rsidRPr="00B7760C">
              <w:rPr>
                <w:b/>
                <w:i/>
              </w:rPr>
              <w:t>črtano</w:t>
            </w:r>
          </w:p>
        </w:tc>
      </w:tr>
    </w:tbl>
    <w:p w14:paraId="48A31B34" w14:textId="77777777" w:rsidR="003663AF" w:rsidRPr="00B7760C" w:rsidRDefault="003663AF" w:rsidP="003663AF"/>
    <w:p w14:paraId="3457735B" w14:textId="5AF4C387" w:rsidR="003663AF" w:rsidRPr="00B7760C" w:rsidRDefault="00877691" w:rsidP="0044746B">
      <w:pPr>
        <w:pStyle w:val="AMNumberTabs"/>
      </w:pPr>
      <w:r w:rsidRPr="00B7760C">
        <w:t>Sprememb</w:t>
      </w:r>
      <w:r w:rsidR="0044746B" w:rsidRPr="00B7760C">
        <w:t>e</w:t>
      </w:r>
      <w:r w:rsidR="003663AF" w:rsidRPr="00B7760C">
        <w:tab/>
      </w:r>
      <w:r w:rsidR="003663AF" w:rsidRPr="00B7760C">
        <w:tab/>
        <w:t>174</w:t>
      </w:r>
      <w:r w:rsidR="0044746B" w:rsidRPr="00B7760C">
        <w:t>, 1208 in 1213 cp1</w:t>
      </w:r>
    </w:p>
    <w:p w14:paraId="19F13F41" w14:textId="77777777" w:rsidR="003663AF" w:rsidRPr="00B7760C" w:rsidRDefault="003663AF" w:rsidP="003663AF">
      <w:pPr>
        <w:pStyle w:val="NormalBold12b"/>
      </w:pPr>
      <w:r w:rsidRPr="00B7760C">
        <w:t>Predlog uredbe</w:t>
      </w:r>
    </w:p>
    <w:p w14:paraId="5714683E" w14:textId="77777777" w:rsidR="003663AF" w:rsidRPr="00B7760C" w:rsidRDefault="003663AF" w:rsidP="003663AF">
      <w:pPr>
        <w:pStyle w:val="NormalBold"/>
      </w:pPr>
      <w:r w:rsidRPr="00B7760C">
        <w:t>Člen 16 – 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705D285" w14:textId="77777777" w:rsidTr="00E804B7">
        <w:trPr>
          <w:trHeight w:hRule="exact" w:val="240"/>
          <w:jc w:val="center"/>
        </w:trPr>
        <w:tc>
          <w:tcPr>
            <w:tcW w:w="9752" w:type="dxa"/>
            <w:gridSpan w:val="2"/>
          </w:tcPr>
          <w:p w14:paraId="44F0053D" w14:textId="77777777" w:rsidR="003663AF" w:rsidRPr="00B7760C" w:rsidRDefault="003663AF" w:rsidP="00E804B7"/>
        </w:tc>
      </w:tr>
      <w:tr w:rsidR="003663AF" w:rsidRPr="00B7760C" w14:paraId="7B050020" w14:textId="77777777" w:rsidTr="00E804B7">
        <w:trPr>
          <w:trHeight w:val="240"/>
          <w:jc w:val="center"/>
        </w:trPr>
        <w:tc>
          <w:tcPr>
            <w:tcW w:w="4876" w:type="dxa"/>
          </w:tcPr>
          <w:p w14:paraId="456A1E98" w14:textId="77777777" w:rsidR="003663AF" w:rsidRPr="00B7760C" w:rsidRDefault="003663AF" w:rsidP="00E804B7">
            <w:pPr>
              <w:pStyle w:val="ColumnHeading"/>
            </w:pPr>
            <w:r w:rsidRPr="00B7760C">
              <w:t>Besedilo, ki ga predlaga Komisija</w:t>
            </w:r>
          </w:p>
        </w:tc>
        <w:tc>
          <w:tcPr>
            <w:tcW w:w="4876" w:type="dxa"/>
          </w:tcPr>
          <w:p w14:paraId="132484BD" w14:textId="37132DA5" w:rsidR="003663AF" w:rsidRPr="00B7760C" w:rsidRDefault="00877691" w:rsidP="00E804B7">
            <w:pPr>
              <w:pStyle w:val="ColumnHeading"/>
            </w:pPr>
            <w:r w:rsidRPr="00B7760C">
              <w:t>Sprememba</w:t>
            </w:r>
          </w:p>
        </w:tc>
      </w:tr>
      <w:tr w:rsidR="003663AF" w:rsidRPr="00B7760C" w14:paraId="7769463E" w14:textId="77777777" w:rsidTr="00E804B7">
        <w:trPr>
          <w:jc w:val="center"/>
        </w:trPr>
        <w:tc>
          <w:tcPr>
            <w:tcW w:w="4876" w:type="dxa"/>
          </w:tcPr>
          <w:p w14:paraId="09E2D80B" w14:textId="77777777" w:rsidR="003663AF" w:rsidRPr="00B7760C" w:rsidRDefault="003663AF" w:rsidP="00E804B7">
            <w:pPr>
              <w:pStyle w:val="Normal6"/>
            </w:pPr>
            <w:r w:rsidRPr="00B7760C">
              <w:t>1.</w:t>
            </w:r>
            <w:r w:rsidRPr="00B7760C">
              <w:tab/>
              <w:t>Države članice odobrijo nevezana neposredna plačila v skladu s pogoji</w:t>
            </w:r>
            <w:r w:rsidRPr="00B7760C">
              <w:rPr>
                <w:b/>
                <w:i/>
              </w:rPr>
              <w:t>, ki so določeni v tem oddelku in</w:t>
            </w:r>
            <w:r w:rsidRPr="00B7760C">
              <w:t xml:space="preserve"> podrobneje </w:t>
            </w:r>
            <w:r w:rsidRPr="00B7760C">
              <w:rPr>
                <w:b/>
                <w:i/>
              </w:rPr>
              <w:t>opredeljeni</w:t>
            </w:r>
            <w:r w:rsidRPr="00B7760C">
              <w:t xml:space="preserve"> v njihovih strateških načrtih SKP.</w:t>
            </w:r>
          </w:p>
        </w:tc>
        <w:tc>
          <w:tcPr>
            <w:tcW w:w="4876" w:type="dxa"/>
          </w:tcPr>
          <w:p w14:paraId="5E86E0C1" w14:textId="77777777" w:rsidR="003663AF" w:rsidRPr="00B7760C" w:rsidRDefault="003663AF" w:rsidP="00E804B7">
            <w:pPr>
              <w:pStyle w:val="Normal6"/>
            </w:pPr>
            <w:r w:rsidRPr="00B7760C">
              <w:t>1.</w:t>
            </w:r>
            <w:r w:rsidRPr="00B7760C">
              <w:tab/>
              <w:t xml:space="preserve">Države članice odobrijo nevezana neposredna plačila </w:t>
            </w:r>
            <w:r w:rsidRPr="00B7760C">
              <w:rPr>
                <w:b/>
                <w:i/>
              </w:rPr>
              <w:t xml:space="preserve">dejavnim kmetom </w:t>
            </w:r>
            <w:r w:rsidRPr="00B7760C">
              <w:t>v skladu s pogoji</w:t>
            </w:r>
            <w:r w:rsidRPr="00B7760C">
              <w:rPr>
                <w:b/>
                <w:i/>
              </w:rPr>
              <w:t xml:space="preserve"> iz tega oddelka in kot je</w:t>
            </w:r>
            <w:r w:rsidRPr="00B7760C">
              <w:t xml:space="preserve"> podrobneje </w:t>
            </w:r>
            <w:r w:rsidRPr="00B7760C">
              <w:rPr>
                <w:b/>
                <w:i/>
              </w:rPr>
              <w:t>opredeljeno</w:t>
            </w:r>
            <w:r w:rsidRPr="00B7760C">
              <w:t xml:space="preserve"> v njihovih strateških načrtih SKP.</w:t>
            </w:r>
          </w:p>
        </w:tc>
      </w:tr>
    </w:tbl>
    <w:p w14:paraId="1CB8BB93" w14:textId="77777777" w:rsidR="003663AF" w:rsidRPr="00B7760C" w:rsidRDefault="003663AF" w:rsidP="003663AF"/>
    <w:p w14:paraId="7600C466" w14:textId="75CAEFC6" w:rsidR="003663AF" w:rsidRPr="00B7760C" w:rsidRDefault="00877691" w:rsidP="003663AF">
      <w:pPr>
        <w:pStyle w:val="AMNumberTabs"/>
      </w:pPr>
      <w:r w:rsidRPr="00B7760C">
        <w:t>Sprememba</w:t>
      </w:r>
      <w:r w:rsidR="003663AF" w:rsidRPr="00B7760C">
        <w:tab/>
      </w:r>
      <w:r w:rsidR="003663AF" w:rsidRPr="00B7760C">
        <w:tab/>
        <w:t>175</w:t>
      </w:r>
    </w:p>
    <w:p w14:paraId="167B80A2" w14:textId="77777777" w:rsidR="003663AF" w:rsidRPr="00B7760C" w:rsidRDefault="003663AF" w:rsidP="003663AF">
      <w:pPr>
        <w:pStyle w:val="NormalBold12b"/>
      </w:pPr>
      <w:r w:rsidRPr="00B7760C">
        <w:t>Predlog uredbe</w:t>
      </w:r>
    </w:p>
    <w:p w14:paraId="1B0278D5" w14:textId="77777777" w:rsidR="003663AF" w:rsidRPr="00B7760C" w:rsidRDefault="003663AF" w:rsidP="003663AF">
      <w:pPr>
        <w:pStyle w:val="NormalBold"/>
      </w:pPr>
      <w:r w:rsidRPr="00B7760C">
        <w:t>Člen 16 – odstavek 2 – pododstavek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A425704" w14:textId="77777777" w:rsidTr="00E804B7">
        <w:trPr>
          <w:trHeight w:val="240"/>
          <w:jc w:val="center"/>
        </w:trPr>
        <w:tc>
          <w:tcPr>
            <w:tcW w:w="9752" w:type="dxa"/>
            <w:gridSpan w:val="2"/>
          </w:tcPr>
          <w:p w14:paraId="48E23CC6" w14:textId="77777777" w:rsidR="003663AF" w:rsidRPr="00B7760C" w:rsidRDefault="003663AF" w:rsidP="00E804B7"/>
        </w:tc>
      </w:tr>
      <w:tr w:rsidR="003663AF" w:rsidRPr="00B7760C" w14:paraId="0197AAA5" w14:textId="77777777" w:rsidTr="00E804B7">
        <w:trPr>
          <w:trHeight w:val="240"/>
          <w:jc w:val="center"/>
        </w:trPr>
        <w:tc>
          <w:tcPr>
            <w:tcW w:w="4876" w:type="dxa"/>
            <w:hideMark/>
          </w:tcPr>
          <w:p w14:paraId="4E10FB2F" w14:textId="77777777" w:rsidR="003663AF" w:rsidRPr="00B7760C" w:rsidRDefault="003663AF" w:rsidP="00E804B7">
            <w:pPr>
              <w:pStyle w:val="ColumnHeading"/>
            </w:pPr>
            <w:r w:rsidRPr="00B7760C">
              <w:t>Besedilo, ki ga predlaga Komisija</w:t>
            </w:r>
          </w:p>
        </w:tc>
        <w:tc>
          <w:tcPr>
            <w:tcW w:w="4876" w:type="dxa"/>
            <w:hideMark/>
          </w:tcPr>
          <w:p w14:paraId="7C8125E5" w14:textId="055D8129" w:rsidR="003663AF" w:rsidRPr="00B7760C" w:rsidRDefault="00877691" w:rsidP="00E804B7">
            <w:pPr>
              <w:pStyle w:val="ColumnHeading"/>
            </w:pPr>
            <w:r w:rsidRPr="00B7760C">
              <w:t>Sprememba</w:t>
            </w:r>
          </w:p>
        </w:tc>
      </w:tr>
      <w:tr w:rsidR="003663AF" w:rsidRPr="00B7760C" w14:paraId="2A4F7E95" w14:textId="77777777" w:rsidTr="00E804B7">
        <w:trPr>
          <w:jc w:val="center"/>
        </w:trPr>
        <w:tc>
          <w:tcPr>
            <w:tcW w:w="4876" w:type="dxa"/>
            <w:hideMark/>
          </w:tcPr>
          <w:p w14:paraId="327A3783" w14:textId="77777777" w:rsidR="003663AF" w:rsidRPr="00B7760C" w:rsidRDefault="003663AF" w:rsidP="00E804B7">
            <w:pPr>
              <w:pStyle w:val="Normal6"/>
            </w:pPr>
            <w:r w:rsidRPr="00B7760C">
              <w:t xml:space="preserve">Države članice določijo prag za površino </w:t>
            </w:r>
            <w:r w:rsidRPr="00B7760C">
              <w:rPr>
                <w:b/>
                <w:i/>
              </w:rPr>
              <w:t>in nevezana</w:t>
            </w:r>
            <w:r w:rsidRPr="00B7760C">
              <w:t xml:space="preserve"> neposredna plačila odobrijo samo </w:t>
            </w:r>
            <w:r w:rsidRPr="00B7760C">
              <w:rPr>
                <w:b/>
                <w:i/>
              </w:rPr>
              <w:t>pravim</w:t>
            </w:r>
            <w:r w:rsidRPr="00B7760C">
              <w:t xml:space="preserve"> kmetom, katerih </w:t>
            </w:r>
            <w:r w:rsidRPr="00B7760C">
              <w:rPr>
                <w:b/>
                <w:i/>
              </w:rPr>
              <w:t xml:space="preserve">upravičena </w:t>
            </w:r>
            <w:r w:rsidRPr="00B7760C">
              <w:t xml:space="preserve">površina </w:t>
            </w:r>
            <w:r w:rsidRPr="00B7760C">
              <w:rPr>
                <w:b/>
                <w:i/>
              </w:rPr>
              <w:t>kmetijskega gospodarstva, za katero se nevezana neposredna plačila uveljavljajo, presega ta prag za površino</w:t>
            </w:r>
            <w:r w:rsidRPr="00B7760C">
              <w:t>.</w:t>
            </w:r>
          </w:p>
        </w:tc>
        <w:tc>
          <w:tcPr>
            <w:tcW w:w="4876" w:type="dxa"/>
            <w:hideMark/>
          </w:tcPr>
          <w:p w14:paraId="15B05F94" w14:textId="77777777" w:rsidR="003663AF" w:rsidRPr="00B7760C" w:rsidRDefault="003663AF" w:rsidP="00E804B7">
            <w:pPr>
              <w:pStyle w:val="Normal6"/>
            </w:pPr>
            <w:r w:rsidRPr="00B7760C">
              <w:t xml:space="preserve">Države članice določijo prag za površino </w:t>
            </w:r>
            <w:r w:rsidRPr="00B7760C">
              <w:rPr>
                <w:b/>
                <w:i/>
              </w:rPr>
              <w:t>ali najnižjo mejo neposrednih plačil in</w:t>
            </w:r>
            <w:r w:rsidRPr="00B7760C">
              <w:t xml:space="preserve"> neposredna plačila odobrijo samo </w:t>
            </w:r>
            <w:r w:rsidRPr="00B7760C">
              <w:rPr>
                <w:b/>
                <w:i/>
              </w:rPr>
              <w:t>dejavnim</w:t>
            </w:r>
            <w:r w:rsidRPr="00B7760C">
              <w:t xml:space="preserve"> kmetom, katerih površina </w:t>
            </w:r>
            <w:r w:rsidRPr="00B7760C">
              <w:rPr>
                <w:b/>
                <w:i/>
              </w:rPr>
              <w:t>ali obseg neposrednih plačil sta enaka tema pragovoma ali ju presegata</w:t>
            </w:r>
            <w:r w:rsidRPr="00B7760C">
              <w:t>.</w:t>
            </w:r>
          </w:p>
        </w:tc>
      </w:tr>
    </w:tbl>
    <w:p w14:paraId="46B7D2BD" w14:textId="77777777" w:rsidR="003663AF" w:rsidRPr="00B7760C" w:rsidRDefault="003663AF" w:rsidP="003663AF"/>
    <w:p w14:paraId="151C6C20" w14:textId="6F30A9AE" w:rsidR="003663AF" w:rsidRPr="00B7760C" w:rsidRDefault="00877691" w:rsidP="003663AF">
      <w:pPr>
        <w:pStyle w:val="AMNumberTabs"/>
      </w:pPr>
      <w:r w:rsidRPr="00B7760C">
        <w:t>Sprememba</w:t>
      </w:r>
      <w:r w:rsidR="003663AF" w:rsidRPr="00B7760C">
        <w:tab/>
      </w:r>
      <w:r w:rsidR="003663AF" w:rsidRPr="00B7760C">
        <w:tab/>
        <w:t>176</w:t>
      </w:r>
    </w:p>
    <w:p w14:paraId="7E6CC01E" w14:textId="77777777" w:rsidR="003663AF" w:rsidRPr="00B7760C" w:rsidRDefault="003663AF" w:rsidP="003663AF">
      <w:pPr>
        <w:pStyle w:val="NormalBold12b"/>
      </w:pPr>
      <w:r w:rsidRPr="00B7760C">
        <w:t>Predlog uredbe</w:t>
      </w:r>
    </w:p>
    <w:p w14:paraId="2D133D74" w14:textId="77777777" w:rsidR="003663AF" w:rsidRPr="00B7760C" w:rsidRDefault="003663AF" w:rsidP="003663AF">
      <w:pPr>
        <w:pStyle w:val="NormalBold"/>
      </w:pPr>
      <w:r w:rsidRPr="00B7760C">
        <w:t>Člen 16 – odstavek 2 – pododstavek 2 – uvodni del</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BE31091" w14:textId="77777777" w:rsidTr="00E804B7">
        <w:trPr>
          <w:trHeight w:val="240"/>
          <w:jc w:val="center"/>
        </w:trPr>
        <w:tc>
          <w:tcPr>
            <w:tcW w:w="9752" w:type="dxa"/>
            <w:gridSpan w:val="2"/>
          </w:tcPr>
          <w:p w14:paraId="56295D09" w14:textId="77777777" w:rsidR="003663AF" w:rsidRPr="00B7760C" w:rsidRDefault="003663AF" w:rsidP="00E804B7"/>
        </w:tc>
      </w:tr>
      <w:tr w:rsidR="003663AF" w:rsidRPr="00B7760C" w14:paraId="06078F82" w14:textId="77777777" w:rsidTr="00E804B7">
        <w:trPr>
          <w:trHeight w:val="240"/>
          <w:jc w:val="center"/>
        </w:trPr>
        <w:tc>
          <w:tcPr>
            <w:tcW w:w="4876" w:type="dxa"/>
            <w:hideMark/>
          </w:tcPr>
          <w:p w14:paraId="20FF4C8A" w14:textId="77777777" w:rsidR="003663AF" w:rsidRPr="00B7760C" w:rsidRDefault="003663AF" w:rsidP="00E804B7">
            <w:pPr>
              <w:pStyle w:val="ColumnHeading"/>
            </w:pPr>
            <w:r w:rsidRPr="00B7760C">
              <w:t>Besedilo, ki ga predlaga Komisija</w:t>
            </w:r>
          </w:p>
        </w:tc>
        <w:tc>
          <w:tcPr>
            <w:tcW w:w="4876" w:type="dxa"/>
            <w:hideMark/>
          </w:tcPr>
          <w:p w14:paraId="7D281701" w14:textId="38EA635C" w:rsidR="003663AF" w:rsidRPr="00B7760C" w:rsidRDefault="00877691" w:rsidP="00E804B7">
            <w:pPr>
              <w:pStyle w:val="ColumnHeading"/>
            </w:pPr>
            <w:r w:rsidRPr="00B7760C">
              <w:t>Sprememba</w:t>
            </w:r>
          </w:p>
        </w:tc>
      </w:tr>
      <w:tr w:rsidR="003663AF" w:rsidRPr="00B7760C" w14:paraId="3BC7BB0A" w14:textId="77777777" w:rsidTr="00E804B7">
        <w:trPr>
          <w:jc w:val="center"/>
        </w:trPr>
        <w:tc>
          <w:tcPr>
            <w:tcW w:w="4876" w:type="dxa"/>
            <w:hideMark/>
          </w:tcPr>
          <w:p w14:paraId="6B19115E" w14:textId="77777777" w:rsidR="003663AF" w:rsidRPr="00B7760C" w:rsidRDefault="003663AF" w:rsidP="00E804B7">
            <w:pPr>
              <w:pStyle w:val="Normal6"/>
            </w:pPr>
            <w:r w:rsidRPr="00B7760C">
              <w:t xml:space="preserve">Pri določitvi praga za površino si države članice prizadevajo zagotoviti, da se lahko </w:t>
            </w:r>
            <w:r w:rsidRPr="00B7760C">
              <w:rPr>
                <w:b/>
                <w:i/>
              </w:rPr>
              <w:t xml:space="preserve">nevezana </w:t>
            </w:r>
            <w:r w:rsidRPr="00B7760C">
              <w:t xml:space="preserve">neposredna plačila odobrijo samo </w:t>
            </w:r>
            <w:r w:rsidRPr="00B7760C">
              <w:rPr>
                <w:b/>
                <w:i/>
              </w:rPr>
              <w:t>pravim</w:t>
            </w:r>
            <w:r w:rsidRPr="00B7760C">
              <w:t xml:space="preserve"> kmetom, če:</w:t>
            </w:r>
          </w:p>
        </w:tc>
        <w:tc>
          <w:tcPr>
            <w:tcW w:w="4876" w:type="dxa"/>
            <w:hideMark/>
          </w:tcPr>
          <w:p w14:paraId="3BBC2442" w14:textId="77777777" w:rsidR="003663AF" w:rsidRPr="00B7760C" w:rsidRDefault="003663AF" w:rsidP="00E804B7">
            <w:pPr>
              <w:pStyle w:val="Normal6"/>
            </w:pPr>
            <w:r w:rsidRPr="00B7760C">
              <w:t xml:space="preserve">Pri določitvi praga za površino </w:t>
            </w:r>
            <w:r w:rsidRPr="00B7760C">
              <w:rPr>
                <w:b/>
                <w:i/>
              </w:rPr>
              <w:t xml:space="preserve">ali najnižje meje plačil </w:t>
            </w:r>
            <w:r w:rsidRPr="00B7760C">
              <w:t xml:space="preserve">si države članice prizadevajo zagotoviti, da se lahko neposredna plačila odobrijo samo </w:t>
            </w:r>
            <w:r w:rsidRPr="00B7760C">
              <w:rPr>
                <w:b/>
                <w:i/>
              </w:rPr>
              <w:t>dejavnim</w:t>
            </w:r>
            <w:r w:rsidRPr="00B7760C">
              <w:t xml:space="preserve"> kmetom, če:</w:t>
            </w:r>
          </w:p>
        </w:tc>
      </w:tr>
    </w:tbl>
    <w:p w14:paraId="785F37E9" w14:textId="77777777" w:rsidR="003663AF" w:rsidRPr="00B7760C" w:rsidRDefault="003663AF" w:rsidP="003663AF"/>
    <w:p w14:paraId="77F0D835" w14:textId="12F290AC" w:rsidR="003663AF" w:rsidRPr="00B7760C" w:rsidRDefault="00877691" w:rsidP="003663AF">
      <w:pPr>
        <w:pStyle w:val="AMNumberTabs"/>
      </w:pPr>
      <w:r w:rsidRPr="00B7760C">
        <w:t>Sprememba</w:t>
      </w:r>
      <w:r w:rsidR="003663AF" w:rsidRPr="00B7760C">
        <w:tab/>
      </w:r>
      <w:r w:rsidR="003663AF" w:rsidRPr="00B7760C">
        <w:tab/>
        <w:t>177</w:t>
      </w:r>
    </w:p>
    <w:p w14:paraId="6DA35F1D" w14:textId="77777777" w:rsidR="003663AF" w:rsidRPr="00B7760C" w:rsidRDefault="003663AF" w:rsidP="003663AF">
      <w:pPr>
        <w:pStyle w:val="NormalBold12b"/>
      </w:pPr>
      <w:r w:rsidRPr="00B7760C">
        <w:t>Predlog uredbe</w:t>
      </w:r>
    </w:p>
    <w:p w14:paraId="2F84D119" w14:textId="77777777" w:rsidR="003663AF" w:rsidRPr="00B7760C" w:rsidRDefault="003663AF" w:rsidP="003663AF">
      <w:pPr>
        <w:pStyle w:val="NormalBold"/>
      </w:pPr>
      <w:r w:rsidRPr="00B7760C">
        <w:t>Člen 16 – odstavek 2 – pododstavek 2 – točka 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356C0AA" w14:textId="77777777" w:rsidTr="00E804B7">
        <w:trPr>
          <w:trHeight w:val="240"/>
          <w:jc w:val="center"/>
        </w:trPr>
        <w:tc>
          <w:tcPr>
            <w:tcW w:w="9752" w:type="dxa"/>
            <w:gridSpan w:val="2"/>
          </w:tcPr>
          <w:p w14:paraId="155685C6" w14:textId="77777777" w:rsidR="003663AF" w:rsidRPr="00B7760C" w:rsidRDefault="003663AF" w:rsidP="00E804B7"/>
        </w:tc>
      </w:tr>
      <w:tr w:rsidR="003663AF" w:rsidRPr="00B7760C" w14:paraId="2217E9A2" w14:textId="77777777" w:rsidTr="00E804B7">
        <w:trPr>
          <w:trHeight w:val="240"/>
          <w:jc w:val="center"/>
        </w:trPr>
        <w:tc>
          <w:tcPr>
            <w:tcW w:w="4876" w:type="dxa"/>
            <w:hideMark/>
          </w:tcPr>
          <w:p w14:paraId="222A1B64" w14:textId="77777777" w:rsidR="003663AF" w:rsidRPr="00B7760C" w:rsidRDefault="003663AF" w:rsidP="00E804B7">
            <w:pPr>
              <w:pStyle w:val="ColumnHeading"/>
            </w:pPr>
            <w:r w:rsidRPr="00B7760C">
              <w:t>Besedilo, ki ga predlaga Komisija</w:t>
            </w:r>
          </w:p>
        </w:tc>
        <w:tc>
          <w:tcPr>
            <w:tcW w:w="4876" w:type="dxa"/>
            <w:hideMark/>
          </w:tcPr>
          <w:p w14:paraId="446998CE" w14:textId="7EA4DE90" w:rsidR="003663AF" w:rsidRPr="00B7760C" w:rsidRDefault="00877691" w:rsidP="00E804B7">
            <w:pPr>
              <w:pStyle w:val="ColumnHeading"/>
            </w:pPr>
            <w:r w:rsidRPr="00B7760C">
              <w:t>Sprememba</w:t>
            </w:r>
          </w:p>
        </w:tc>
      </w:tr>
      <w:tr w:rsidR="003663AF" w:rsidRPr="00B7760C" w14:paraId="793DA3EA" w14:textId="77777777" w:rsidTr="00E804B7">
        <w:trPr>
          <w:jc w:val="center"/>
        </w:trPr>
        <w:tc>
          <w:tcPr>
            <w:tcW w:w="4876" w:type="dxa"/>
            <w:hideMark/>
          </w:tcPr>
          <w:p w14:paraId="0A6ABAAE" w14:textId="77777777" w:rsidR="003663AF" w:rsidRPr="00B7760C" w:rsidRDefault="003663AF" w:rsidP="00E804B7">
            <w:pPr>
              <w:pStyle w:val="Normal6"/>
            </w:pPr>
            <w:r w:rsidRPr="00B7760C">
              <w:t>(a)</w:t>
            </w:r>
            <w:r w:rsidRPr="00B7760C">
              <w:tab/>
              <w:t>upravljanje ustreznih plačil ne povzroča prevelikega upravnega bremena in</w:t>
            </w:r>
          </w:p>
        </w:tc>
        <w:tc>
          <w:tcPr>
            <w:tcW w:w="4876" w:type="dxa"/>
            <w:hideMark/>
          </w:tcPr>
          <w:p w14:paraId="3B885BFC" w14:textId="77777777" w:rsidR="003663AF" w:rsidRPr="00B7760C" w:rsidRDefault="003663AF" w:rsidP="00E804B7">
            <w:pPr>
              <w:pStyle w:val="Normal6"/>
            </w:pPr>
            <w:r w:rsidRPr="00B7760C">
              <w:t>(a)</w:t>
            </w:r>
            <w:r w:rsidRPr="00B7760C">
              <w:tab/>
              <w:t>upravljanje ustreznih plačil</w:t>
            </w:r>
            <w:r w:rsidRPr="00B7760C">
              <w:rPr>
                <w:b/>
                <w:i/>
              </w:rPr>
              <w:t>, ki so enaka navedenima pragoma ali ju presegajo,</w:t>
            </w:r>
            <w:r w:rsidRPr="00B7760C">
              <w:t xml:space="preserve"> ne povzroča prevelikega upravnega bremena in</w:t>
            </w:r>
          </w:p>
        </w:tc>
      </w:tr>
    </w:tbl>
    <w:p w14:paraId="4CC65240" w14:textId="77777777" w:rsidR="003663AF" w:rsidRPr="00B7760C" w:rsidRDefault="003663AF" w:rsidP="003663AF"/>
    <w:p w14:paraId="6F4E4008" w14:textId="77777777" w:rsidR="003663AF" w:rsidRPr="00B7760C" w:rsidRDefault="003663AF" w:rsidP="003663AF">
      <w:pPr>
        <w:pStyle w:val="Normal6"/>
      </w:pPr>
    </w:p>
    <w:p w14:paraId="27FB6A7E" w14:textId="15FB307A" w:rsidR="003663AF" w:rsidRPr="00B7760C" w:rsidRDefault="00877691" w:rsidP="003663AF">
      <w:pPr>
        <w:pStyle w:val="AMNumberTabs"/>
      </w:pPr>
      <w:r w:rsidRPr="00B7760C">
        <w:t>Sprememba</w:t>
      </w:r>
      <w:r w:rsidR="003663AF" w:rsidRPr="00B7760C">
        <w:tab/>
      </w:r>
      <w:r w:rsidR="003663AF" w:rsidRPr="00B7760C">
        <w:tab/>
        <w:t>178</w:t>
      </w:r>
    </w:p>
    <w:p w14:paraId="733139B7" w14:textId="77777777" w:rsidR="003663AF" w:rsidRPr="00B7760C" w:rsidRDefault="003663AF" w:rsidP="003663AF">
      <w:pPr>
        <w:pStyle w:val="NormalBold12b"/>
      </w:pPr>
      <w:r w:rsidRPr="00B7760C">
        <w:t>Predlog uredbe</w:t>
      </w:r>
    </w:p>
    <w:p w14:paraId="4280086F" w14:textId="77777777" w:rsidR="003663AF" w:rsidRPr="00B7760C" w:rsidRDefault="003663AF" w:rsidP="003663AF">
      <w:pPr>
        <w:pStyle w:val="NormalBold"/>
      </w:pPr>
      <w:r w:rsidRPr="00B7760C">
        <w:t>Člen 16 – odstavek 2 – pododstavek 2 – točka b</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7328CDE" w14:textId="77777777" w:rsidTr="00E804B7">
        <w:trPr>
          <w:trHeight w:hRule="exact" w:val="240"/>
          <w:jc w:val="center"/>
        </w:trPr>
        <w:tc>
          <w:tcPr>
            <w:tcW w:w="9752" w:type="dxa"/>
            <w:gridSpan w:val="2"/>
          </w:tcPr>
          <w:p w14:paraId="44D053FB" w14:textId="77777777" w:rsidR="003663AF" w:rsidRPr="00B7760C" w:rsidRDefault="003663AF" w:rsidP="00E804B7"/>
        </w:tc>
      </w:tr>
      <w:tr w:rsidR="003663AF" w:rsidRPr="00B7760C" w14:paraId="194D4349" w14:textId="77777777" w:rsidTr="00E804B7">
        <w:trPr>
          <w:trHeight w:val="240"/>
          <w:jc w:val="center"/>
        </w:trPr>
        <w:tc>
          <w:tcPr>
            <w:tcW w:w="4876" w:type="dxa"/>
          </w:tcPr>
          <w:p w14:paraId="3952DB78" w14:textId="77777777" w:rsidR="003663AF" w:rsidRPr="00B7760C" w:rsidRDefault="003663AF" w:rsidP="00E804B7">
            <w:pPr>
              <w:pStyle w:val="ColumnHeading"/>
            </w:pPr>
            <w:r w:rsidRPr="00B7760C">
              <w:t>Besedilo, ki ga predlaga Komisija</w:t>
            </w:r>
          </w:p>
        </w:tc>
        <w:tc>
          <w:tcPr>
            <w:tcW w:w="4876" w:type="dxa"/>
          </w:tcPr>
          <w:p w14:paraId="3ABA54A0" w14:textId="607F7D07" w:rsidR="003663AF" w:rsidRPr="00B7760C" w:rsidRDefault="00877691" w:rsidP="00E804B7">
            <w:pPr>
              <w:pStyle w:val="ColumnHeading"/>
            </w:pPr>
            <w:r w:rsidRPr="00B7760C">
              <w:t>Sprememba</w:t>
            </w:r>
          </w:p>
        </w:tc>
      </w:tr>
      <w:tr w:rsidR="003663AF" w:rsidRPr="00B7760C" w14:paraId="47B77376" w14:textId="77777777" w:rsidTr="00E804B7">
        <w:trPr>
          <w:jc w:val="center"/>
        </w:trPr>
        <w:tc>
          <w:tcPr>
            <w:tcW w:w="4876" w:type="dxa"/>
          </w:tcPr>
          <w:p w14:paraId="441B1419" w14:textId="77777777" w:rsidR="003663AF" w:rsidRPr="00B7760C" w:rsidRDefault="003663AF" w:rsidP="00E804B7">
            <w:pPr>
              <w:pStyle w:val="Normal6"/>
            </w:pPr>
            <w:r w:rsidRPr="00B7760C">
              <w:t>(b)</w:t>
            </w:r>
            <w:r w:rsidRPr="00B7760C">
              <w:tab/>
            </w:r>
            <w:r w:rsidRPr="00B7760C">
              <w:rPr>
                <w:b/>
                <w:i/>
              </w:rPr>
              <w:t>ustrezni</w:t>
            </w:r>
            <w:r w:rsidRPr="00B7760C">
              <w:t xml:space="preserve"> zneski dejansko prispevajo k ciljem iz člena</w:t>
            </w:r>
            <w:r w:rsidRPr="00B7760C">
              <w:rPr>
                <w:b/>
                <w:i/>
              </w:rPr>
              <w:t> </w:t>
            </w:r>
            <w:r w:rsidRPr="00B7760C">
              <w:t>6(1), h katerim prispevajo</w:t>
            </w:r>
            <w:r w:rsidRPr="00B7760C">
              <w:rPr>
                <w:b/>
                <w:i/>
              </w:rPr>
              <w:t xml:space="preserve"> nevezana</w:t>
            </w:r>
            <w:r w:rsidRPr="00B7760C">
              <w:t xml:space="preserve"> neposredna plačila.</w:t>
            </w:r>
          </w:p>
        </w:tc>
        <w:tc>
          <w:tcPr>
            <w:tcW w:w="4876" w:type="dxa"/>
          </w:tcPr>
          <w:p w14:paraId="5DDECEFC" w14:textId="77777777" w:rsidR="003663AF" w:rsidRPr="00B7760C" w:rsidRDefault="003663AF" w:rsidP="00E804B7">
            <w:pPr>
              <w:pStyle w:val="Normal6"/>
            </w:pPr>
            <w:r w:rsidRPr="00B7760C">
              <w:t>(b)</w:t>
            </w:r>
            <w:r w:rsidRPr="00B7760C">
              <w:tab/>
            </w:r>
            <w:r w:rsidRPr="00B7760C">
              <w:rPr>
                <w:b/>
                <w:i/>
              </w:rPr>
              <w:t>prejeti</w:t>
            </w:r>
            <w:r w:rsidRPr="00B7760C">
              <w:t xml:space="preserve"> zneski</w:t>
            </w:r>
            <w:r w:rsidRPr="00B7760C">
              <w:rPr>
                <w:b/>
                <w:i/>
              </w:rPr>
              <w:t>, ki presegajo določeni prag</w:t>
            </w:r>
            <w:r w:rsidRPr="00B7760C">
              <w:t xml:space="preserve"> dejansko prispevajo k ciljem iz člena</w:t>
            </w:r>
            <w:r w:rsidRPr="00B7760C">
              <w:rPr>
                <w:b/>
                <w:i/>
              </w:rPr>
              <w:t xml:space="preserve"> </w:t>
            </w:r>
            <w:r w:rsidRPr="00B7760C">
              <w:t>6(1), h katerim prispevajo neposredna plačila.</w:t>
            </w:r>
          </w:p>
        </w:tc>
      </w:tr>
    </w:tbl>
    <w:p w14:paraId="63D54E81" w14:textId="77777777" w:rsidR="003663AF" w:rsidRPr="00B7760C" w:rsidRDefault="003663AF" w:rsidP="003663AF"/>
    <w:p w14:paraId="0931A680" w14:textId="15EC650A" w:rsidR="003663AF" w:rsidRPr="00B7760C" w:rsidRDefault="00877691" w:rsidP="003663AF">
      <w:pPr>
        <w:pStyle w:val="AMNumberTabs"/>
      </w:pPr>
      <w:r w:rsidRPr="00B7760C">
        <w:t>Sprememba</w:t>
      </w:r>
      <w:r w:rsidR="003663AF" w:rsidRPr="00B7760C">
        <w:tab/>
      </w:r>
      <w:r w:rsidR="003663AF" w:rsidRPr="00B7760C">
        <w:tab/>
        <w:t>179</w:t>
      </w:r>
    </w:p>
    <w:p w14:paraId="50CD24BC" w14:textId="77777777" w:rsidR="003663AF" w:rsidRPr="00B7760C" w:rsidRDefault="003663AF" w:rsidP="003663AF">
      <w:pPr>
        <w:pStyle w:val="NormalBold12b"/>
      </w:pPr>
      <w:r w:rsidRPr="00B7760C">
        <w:t>Predlog uredbe</w:t>
      </w:r>
    </w:p>
    <w:p w14:paraId="69072EE4" w14:textId="77777777" w:rsidR="003663AF" w:rsidRPr="00B7760C" w:rsidRDefault="003663AF" w:rsidP="003663AF">
      <w:pPr>
        <w:pStyle w:val="NormalBold"/>
      </w:pPr>
      <w:r w:rsidRPr="00B7760C">
        <w:t>Člen 16 – odstavek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C017D12" w14:textId="77777777" w:rsidTr="00E804B7">
        <w:trPr>
          <w:trHeight w:hRule="exact" w:val="240"/>
          <w:jc w:val="center"/>
        </w:trPr>
        <w:tc>
          <w:tcPr>
            <w:tcW w:w="9752" w:type="dxa"/>
            <w:gridSpan w:val="2"/>
          </w:tcPr>
          <w:p w14:paraId="539EBE90" w14:textId="77777777" w:rsidR="003663AF" w:rsidRPr="00B7760C" w:rsidRDefault="003663AF" w:rsidP="00E804B7"/>
        </w:tc>
      </w:tr>
      <w:tr w:rsidR="003663AF" w:rsidRPr="00B7760C" w14:paraId="4D91407E" w14:textId="77777777" w:rsidTr="00E804B7">
        <w:trPr>
          <w:trHeight w:val="240"/>
          <w:jc w:val="center"/>
        </w:trPr>
        <w:tc>
          <w:tcPr>
            <w:tcW w:w="4876" w:type="dxa"/>
          </w:tcPr>
          <w:p w14:paraId="3027DE74" w14:textId="77777777" w:rsidR="003663AF" w:rsidRPr="00B7760C" w:rsidRDefault="003663AF" w:rsidP="00E804B7">
            <w:pPr>
              <w:pStyle w:val="ColumnHeading"/>
            </w:pPr>
            <w:r w:rsidRPr="00B7760C">
              <w:t>Besedilo, ki ga predlaga Komisija</w:t>
            </w:r>
          </w:p>
        </w:tc>
        <w:tc>
          <w:tcPr>
            <w:tcW w:w="4876" w:type="dxa"/>
          </w:tcPr>
          <w:p w14:paraId="048DC37D" w14:textId="28ECEEE6" w:rsidR="003663AF" w:rsidRPr="00B7760C" w:rsidRDefault="00877691" w:rsidP="00E804B7">
            <w:pPr>
              <w:pStyle w:val="ColumnHeading"/>
            </w:pPr>
            <w:r w:rsidRPr="00B7760C">
              <w:t>Sprememba</w:t>
            </w:r>
          </w:p>
        </w:tc>
      </w:tr>
      <w:tr w:rsidR="003663AF" w:rsidRPr="00B7760C" w14:paraId="293F6270" w14:textId="77777777" w:rsidTr="00E804B7">
        <w:trPr>
          <w:jc w:val="center"/>
        </w:trPr>
        <w:tc>
          <w:tcPr>
            <w:tcW w:w="4876" w:type="dxa"/>
          </w:tcPr>
          <w:p w14:paraId="5863F072" w14:textId="77777777" w:rsidR="003663AF" w:rsidRPr="00B7760C" w:rsidRDefault="003663AF" w:rsidP="00E804B7">
            <w:pPr>
              <w:pStyle w:val="Normal6"/>
            </w:pPr>
            <w:r w:rsidRPr="00B7760C">
              <w:t>3.</w:t>
            </w:r>
            <w:r w:rsidRPr="00B7760C">
              <w:tab/>
              <w:t xml:space="preserve">Zadevne države članice se lahko odločijo, da </w:t>
            </w:r>
            <w:r w:rsidRPr="00B7760C">
              <w:rPr>
                <w:b/>
                <w:i/>
              </w:rPr>
              <w:t>odstavka 1</w:t>
            </w:r>
            <w:r w:rsidRPr="00B7760C">
              <w:t xml:space="preserve"> ne bodo uporabile v najbolj oddaljenih regijah in na manjših egejskih otokih.</w:t>
            </w:r>
          </w:p>
        </w:tc>
        <w:tc>
          <w:tcPr>
            <w:tcW w:w="4876" w:type="dxa"/>
          </w:tcPr>
          <w:p w14:paraId="0D0C3AFB" w14:textId="77777777" w:rsidR="003663AF" w:rsidRPr="00B7760C" w:rsidRDefault="003663AF" w:rsidP="00E804B7">
            <w:pPr>
              <w:pStyle w:val="Normal6"/>
            </w:pPr>
            <w:r w:rsidRPr="00B7760C">
              <w:t>3.</w:t>
            </w:r>
            <w:r w:rsidRPr="00B7760C">
              <w:tab/>
              <w:t xml:space="preserve">Zadevne države članice se lahko odločijo, da </w:t>
            </w:r>
            <w:r w:rsidRPr="00B7760C">
              <w:rPr>
                <w:b/>
                <w:i/>
              </w:rPr>
              <w:t>tega člena</w:t>
            </w:r>
            <w:r w:rsidRPr="00B7760C">
              <w:t xml:space="preserve"> ne bodo uporabile v najbolj oddaljenih regijah in na manjših egejskih otokih</w:t>
            </w:r>
            <w:r w:rsidRPr="00B7760C">
              <w:rPr>
                <w:b/>
                <w:i/>
              </w:rPr>
              <w:t xml:space="preserve"> in v arhipelagu Balearskih otokov</w:t>
            </w:r>
            <w:r w:rsidRPr="00B7760C">
              <w:t>.</w:t>
            </w:r>
          </w:p>
        </w:tc>
      </w:tr>
    </w:tbl>
    <w:p w14:paraId="7FB01F73" w14:textId="77777777" w:rsidR="003663AF" w:rsidRPr="00B7760C" w:rsidRDefault="003663AF" w:rsidP="003663AF"/>
    <w:p w14:paraId="22B38AE5" w14:textId="20BBE31E" w:rsidR="003663AF" w:rsidRPr="00B7760C" w:rsidRDefault="00877691" w:rsidP="003663AF">
      <w:pPr>
        <w:pStyle w:val="AMNumberTabs"/>
      </w:pPr>
      <w:r w:rsidRPr="00B7760C">
        <w:t>Sprememba</w:t>
      </w:r>
      <w:r w:rsidR="003663AF" w:rsidRPr="00B7760C">
        <w:tab/>
      </w:r>
      <w:r w:rsidR="003663AF" w:rsidRPr="00B7760C">
        <w:tab/>
        <w:t>180</w:t>
      </w:r>
    </w:p>
    <w:p w14:paraId="5CE44071" w14:textId="77777777" w:rsidR="003663AF" w:rsidRPr="00B7760C" w:rsidRDefault="003663AF" w:rsidP="003663AF">
      <w:pPr>
        <w:pStyle w:val="NormalBold12b"/>
      </w:pPr>
      <w:r w:rsidRPr="00B7760C">
        <w:t>Predlog uredbe</w:t>
      </w:r>
    </w:p>
    <w:p w14:paraId="3B89134E" w14:textId="77777777" w:rsidR="003663AF" w:rsidRPr="00B7760C" w:rsidRDefault="003663AF" w:rsidP="003663AF">
      <w:pPr>
        <w:pStyle w:val="NormalBold"/>
      </w:pPr>
      <w:r w:rsidRPr="00B7760C">
        <w:t>Člen 17 – odstavek 2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6545AB1" w14:textId="77777777" w:rsidTr="00E804B7">
        <w:trPr>
          <w:trHeight w:hRule="exact" w:val="240"/>
          <w:jc w:val="center"/>
        </w:trPr>
        <w:tc>
          <w:tcPr>
            <w:tcW w:w="9752" w:type="dxa"/>
            <w:gridSpan w:val="2"/>
          </w:tcPr>
          <w:p w14:paraId="14B67287" w14:textId="77777777" w:rsidR="003663AF" w:rsidRPr="00B7760C" w:rsidRDefault="003663AF" w:rsidP="00E804B7"/>
        </w:tc>
      </w:tr>
      <w:tr w:rsidR="003663AF" w:rsidRPr="00B7760C" w14:paraId="5C3EF414" w14:textId="77777777" w:rsidTr="00E804B7">
        <w:trPr>
          <w:trHeight w:val="240"/>
          <w:jc w:val="center"/>
        </w:trPr>
        <w:tc>
          <w:tcPr>
            <w:tcW w:w="4876" w:type="dxa"/>
          </w:tcPr>
          <w:p w14:paraId="5D28143D" w14:textId="77777777" w:rsidR="003663AF" w:rsidRPr="00B7760C" w:rsidRDefault="003663AF" w:rsidP="00E804B7">
            <w:pPr>
              <w:pStyle w:val="ColumnHeading"/>
            </w:pPr>
            <w:r w:rsidRPr="00B7760C">
              <w:t>Besedilo, ki ga predlaga Komisija</w:t>
            </w:r>
          </w:p>
        </w:tc>
        <w:tc>
          <w:tcPr>
            <w:tcW w:w="4876" w:type="dxa"/>
          </w:tcPr>
          <w:p w14:paraId="659D3D20" w14:textId="6304AD58" w:rsidR="003663AF" w:rsidRPr="00B7760C" w:rsidRDefault="00877691" w:rsidP="00E804B7">
            <w:pPr>
              <w:pStyle w:val="ColumnHeading"/>
            </w:pPr>
            <w:r w:rsidRPr="00B7760C">
              <w:t>Sprememba</w:t>
            </w:r>
          </w:p>
        </w:tc>
      </w:tr>
      <w:tr w:rsidR="003663AF" w:rsidRPr="00B7760C" w14:paraId="6C6E81C9" w14:textId="77777777" w:rsidTr="00E804B7">
        <w:trPr>
          <w:jc w:val="center"/>
        </w:trPr>
        <w:tc>
          <w:tcPr>
            <w:tcW w:w="4876" w:type="dxa"/>
          </w:tcPr>
          <w:p w14:paraId="76267BFA" w14:textId="77777777" w:rsidR="003663AF" w:rsidRPr="00B7760C" w:rsidRDefault="003663AF" w:rsidP="00E804B7">
            <w:pPr>
              <w:pStyle w:val="Normal6"/>
            </w:pPr>
          </w:p>
        </w:tc>
        <w:tc>
          <w:tcPr>
            <w:tcW w:w="4876" w:type="dxa"/>
          </w:tcPr>
          <w:p w14:paraId="3D6F286C" w14:textId="77777777" w:rsidR="003663AF" w:rsidRPr="00B7760C" w:rsidRDefault="003663AF" w:rsidP="00E804B7">
            <w:pPr>
              <w:pStyle w:val="Normal6"/>
            </w:pPr>
            <w:r w:rsidRPr="00B7760C">
              <w:rPr>
                <w:b/>
                <w:i/>
              </w:rPr>
              <w:t>2a.</w:t>
            </w:r>
            <w:r w:rsidRPr="00B7760C">
              <w:tab/>
            </w:r>
            <w:r w:rsidRPr="00B7760C">
              <w:rPr>
                <w:b/>
                <w:i/>
              </w:rPr>
              <w:t>V posebnih razmerah, ko kmetje zaradi lastnosti sistema kmetovanja nimajo zemljišč, pa jim je bila odobrena pomoč v obliki osnovnega plačila ob začetku veljavnosti te uredbe, je osnovna dohodkovna podpora znesek na kmetijsko gospodarstvo.</w:t>
            </w:r>
          </w:p>
        </w:tc>
      </w:tr>
    </w:tbl>
    <w:p w14:paraId="6675F1F4" w14:textId="77777777" w:rsidR="003663AF" w:rsidRPr="00B7760C" w:rsidRDefault="003663AF" w:rsidP="003663AF"/>
    <w:p w14:paraId="55D01A3F" w14:textId="457AF2B1" w:rsidR="003663AF" w:rsidRPr="00B7760C" w:rsidRDefault="00877691" w:rsidP="003663AF">
      <w:pPr>
        <w:pStyle w:val="AMNumberTabs"/>
      </w:pPr>
      <w:r w:rsidRPr="00B7760C">
        <w:t>Sprememba</w:t>
      </w:r>
      <w:r w:rsidR="003663AF" w:rsidRPr="00B7760C">
        <w:tab/>
      </w:r>
      <w:r w:rsidR="003663AF" w:rsidRPr="00B7760C">
        <w:tab/>
        <w:t>181</w:t>
      </w:r>
    </w:p>
    <w:p w14:paraId="2B8BBF5A" w14:textId="77777777" w:rsidR="003663AF" w:rsidRPr="00B7760C" w:rsidRDefault="003663AF" w:rsidP="003663AF">
      <w:pPr>
        <w:pStyle w:val="NormalBold12b"/>
      </w:pPr>
      <w:r w:rsidRPr="00B7760C">
        <w:t>Predlog uredbe</w:t>
      </w:r>
    </w:p>
    <w:p w14:paraId="2B3898B8" w14:textId="77777777" w:rsidR="003663AF" w:rsidRPr="00B7760C" w:rsidRDefault="003663AF" w:rsidP="003663AF">
      <w:pPr>
        <w:pStyle w:val="NormalBold"/>
      </w:pPr>
      <w:r w:rsidRPr="00B7760C">
        <w:t>Člen 17 – odstavek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4163255" w14:textId="77777777" w:rsidTr="00E804B7">
        <w:trPr>
          <w:trHeight w:hRule="exact" w:val="240"/>
          <w:jc w:val="center"/>
        </w:trPr>
        <w:tc>
          <w:tcPr>
            <w:tcW w:w="9752" w:type="dxa"/>
            <w:gridSpan w:val="2"/>
          </w:tcPr>
          <w:p w14:paraId="35478716" w14:textId="77777777" w:rsidR="003663AF" w:rsidRPr="00B7760C" w:rsidRDefault="003663AF" w:rsidP="00E804B7"/>
        </w:tc>
      </w:tr>
      <w:tr w:rsidR="003663AF" w:rsidRPr="00B7760C" w14:paraId="0E47DBD2" w14:textId="77777777" w:rsidTr="00E804B7">
        <w:trPr>
          <w:trHeight w:val="240"/>
          <w:jc w:val="center"/>
        </w:trPr>
        <w:tc>
          <w:tcPr>
            <w:tcW w:w="4876" w:type="dxa"/>
          </w:tcPr>
          <w:p w14:paraId="3295AA77" w14:textId="77777777" w:rsidR="003663AF" w:rsidRPr="00B7760C" w:rsidRDefault="003663AF" w:rsidP="00E804B7">
            <w:pPr>
              <w:pStyle w:val="ColumnHeading"/>
            </w:pPr>
            <w:r w:rsidRPr="00B7760C">
              <w:t>Besedilo, ki ga predlaga Komisija</w:t>
            </w:r>
          </w:p>
        </w:tc>
        <w:tc>
          <w:tcPr>
            <w:tcW w:w="4876" w:type="dxa"/>
          </w:tcPr>
          <w:p w14:paraId="32B96AED" w14:textId="18BD5575" w:rsidR="003663AF" w:rsidRPr="00B7760C" w:rsidRDefault="00877691" w:rsidP="00E804B7">
            <w:pPr>
              <w:pStyle w:val="ColumnHeading"/>
            </w:pPr>
            <w:r w:rsidRPr="00B7760C">
              <w:t>Sprememba</w:t>
            </w:r>
          </w:p>
        </w:tc>
      </w:tr>
      <w:tr w:rsidR="003663AF" w:rsidRPr="00B7760C" w14:paraId="61F2E049" w14:textId="77777777" w:rsidTr="00E804B7">
        <w:trPr>
          <w:jc w:val="center"/>
        </w:trPr>
        <w:tc>
          <w:tcPr>
            <w:tcW w:w="4876" w:type="dxa"/>
          </w:tcPr>
          <w:p w14:paraId="75C8B2F8" w14:textId="77777777" w:rsidR="003663AF" w:rsidRPr="00B7760C" w:rsidRDefault="003663AF" w:rsidP="00E804B7">
            <w:pPr>
              <w:pStyle w:val="Normal6"/>
            </w:pPr>
            <w:r w:rsidRPr="00B7760C">
              <w:t>3.</w:t>
            </w:r>
            <w:r w:rsidRPr="00B7760C">
              <w:tab/>
              <w:t xml:space="preserve">Brez poseganja v člene od 19 do 24 se osnovna dohodkovna podpora dodeli za vsak upravičeni hektar, ki ga prijavi </w:t>
            </w:r>
            <w:r w:rsidRPr="00B7760C">
              <w:rPr>
                <w:b/>
                <w:i/>
              </w:rPr>
              <w:t>pravi</w:t>
            </w:r>
            <w:r w:rsidRPr="00B7760C">
              <w:t xml:space="preserve"> kmet.</w:t>
            </w:r>
          </w:p>
        </w:tc>
        <w:tc>
          <w:tcPr>
            <w:tcW w:w="4876" w:type="dxa"/>
          </w:tcPr>
          <w:p w14:paraId="2F86D054" w14:textId="77777777" w:rsidR="003663AF" w:rsidRPr="00B7760C" w:rsidRDefault="003663AF" w:rsidP="00E804B7">
            <w:pPr>
              <w:pStyle w:val="Normal6"/>
            </w:pPr>
            <w:r w:rsidRPr="00B7760C">
              <w:t>3.</w:t>
            </w:r>
            <w:r w:rsidRPr="00B7760C">
              <w:tab/>
              <w:t xml:space="preserve">Brez poseganja v člene od 19 do 24 se osnovna dohodkovna podpora dodeli za vsak upravičeni hektar, ki ga prijavi </w:t>
            </w:r>
            <w:r w:rsidRPr="00B7760C">
              <w:rPr>
                <w:b/>
                <w:i/>
              </w:rPr>
              <w:t>dejavni</w:t>
            </w:r>
            <w:r w:rsidRPr="00B7760C">
              <w:t xml:space="preserve"> kmet.</w:t>
            </w:r>
          </w:p>
        </w:tc>
      </w:tr>
    </w:tbl>
    <w:p w14:paraId="3D932C15" w14:textId="77777777" w:rsidR="003663AF" w:rsidRPr="00B7760C" w:rsidRDefault="003663AF" w:rsidP="003663AF"/>
    <w:p w14:paraId="43496785" w14:textId="28CB59F8" w:rsidR="003663AF" w:rsidRPr="00B7760C" w:rsidRDefault="003663AF" w:rsidP="003663AF"/>
    <w:p w14:paraId="77820220" w14:textId="453FAB55" w:rsidR="0044746B" w:rsidRPr="00B7760C" w:rsidRDefault="0044746B" w:rsidP="0044746B">
      <w:pPr>
        <w:pStyle w:val="AMNumberTabs"/>
        <w:keepNext/>
      </w:pPr>
      <w:r w:rsidRPr="00B7760C">
        <w:t>Sprememba</w:t>
      </w:r>
      <w:r w:rsidRPr="00B7760C">
        <w:tab/>
      </w:r>
      <w:r w:rsidRPr="00B7760C">
        <w:tab/>
        <w:t>1119</w:t>
      </w:r>
    </w:p>
    <w:p w14:paraId="51986BFA" w14:textId="77777777" w:rsidR="0044746B" w:rsidRPr="00B7760C" w:rsidRDefault="0044746B" w:rsidP="0044746B">
      <w:pPr>
        <w:pStyle w:val="NormalBold12b"/>
      </w:pPr>
      <w:r w:rsidRPr="00B7760C">
        <w:t>Predlog uredbe</w:t>
      </w:r>
    </w:p>
    <w:p w14:paraId="5F733474" w14:textId="596647CC" w:rsidR="0044746B" w:rsidRPr="00B7760C" w:rsidRDefault="0044746B" w:rsidP="00412461">
      <w:pPr>
        <w:pStyle w:val="NormalBold"/>
      </w:pPr>
      <w:r w:rsidRPr="00B7760C">
        <w:t>Člen 18</w:t>
      </w:r>
      <w:r w:rsidR="00412461" w:rsidRPr="00B7760C">
        <w:t xml:space="preserve"> – odstavka 2 in 2 a</w:t>
      </w:r>
      <w:r w:rsidR="002A6F8D" w:rsidRPr="00B7760C">
        <w:t xml:space="preserve"> (novo)</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44746B" w:rsidRPr="00B7760C" w14:paraId="3F263691" w14:textId="77777777" w:rsidTr="008C44C1">
        <w:trPr>
          <w:jc w:val="center"/>
        </w:trPr>
        <w:tc>
          <w:tcPr>
            <w:tcW w:w="9752" w:type="dxa"/>
            <w:gridSpan w:val="2"/>
          </w:tcPr>
          <w:p w14:paraId="61B02FCA" w14:textId="77777777" w:rsidR="0044746B" w:rsidRPr="00B7760C" w:rsidRDefault="0044746B" w:rsidP="002E2EB0">
            <w:pPr>
              <w:keepNext/>
            </w:pPr>
          </w:p>
        </w:tc>
      </w:tr>
      <w:tr w:rsidR="0044746B" w:rsidRPr="00B7760C" w14:paraId="396DEA79" w14:textId="77777777" w:rsidTr="008C44C1">
        <w:trPr>
          <w:jc w:val="center"/>
        </w:trPr>
        <w:tc>
          <w:tcPr>
            <w:tcW w:w="4876" w:type="dxa"/>
          </w:tcPr>
          <w:p w14:paraId="38083EE1" w14:textId="77777777" w:rsidR="0044746B" w:rsidRPr="00B7760C" w:rsidRDefault="0044746B" w:rsidP="002E2EB0">
            <w:pPr>
              <w:pStyle w:val="ColumnHeading"/>
              <w:keepNext/>
            </w:pPr>
            <w:r w:rsidRPr="00B7760C">
              <w:t>Besedilo, ki ga predlaga Komisija</w:t>
            </w:r>
          </w:p>
        </w:tc>
        <w:tc>
          <w:tcPr>
            <w:tcW w:w="4876" w:type="dxa"/>
          </w:tcPr>
          <w:p w14:paraId="2F610E4A" w14:textId="4FEF91B9" w:rsidR="0044746B" w:rsidRPr="00B7760C" w:rsidRDefault="0044746B" w:rsidP="0044746B">
            <w:pPr>
              <w:pStyle w:val="ColumnHeading"/>
              <w:keepNext/>
            </w:pPr>
            <w:r w:rsidRPr="00B7760C">
              <w:t>Sprememba</w:t>
            </w:r>
          </w:p>
        </w:tc>
      </w:tr>
      <w:tr w:rsidR="0044746B" w:rsidRPr="00B7760C" w14:paraId="76B1365E" w14:textId="77777777" w:rsidTr="008C44C1">
        <w:trPr>
          <w:jc w:val="center"/>
        </w:trPr>
        <w:tc>
          <w:tcPr>
            <w:tcW w:w="4876" w:type="dxa"/>
          </w:tcPr>
          <w:p w14:paraId="5D655424" w14:textId="77777777" w:rsidR="0044746B" w:rsidRPr="00B7760C" w:rsidRDefault="0044746B" w:rsidP="002E2EB0">
            <w:pPr>
              <w:pStyle w:val="Normal6"/>
            </w:pPr>
            <w:r w:rsidRPr="00B7760C">
              <w:t>2.</w:t>
            </w:r>
            <w:r w:rsidRPr="00B7760C">
              <w:tab/>
              <w:t xml:space="preserve">Države članice se lahko odločijo razlikovati znesek osnovne dohodkovne podpore na hektar </w:t>
            </w:r>
            <w:r w:rsidRPr="00B7760C">
              <w:rPr>
                <w:b/>
                <w:bCs/>
                <w:i/>
                <w:iCs/>
              </w:rPr>
              <w:t>med različnimi skupinami ozemelj, ki se soočajo s podobnimi</w:t>
            </w:r>
            <w:r w:rsidRPr="00B7760C">
              <w:t xml:space="preserve"> družbenogospodarskimi ali agronomskimi razmerami.</w:t>
            </w:r>
          </w:p>
        </w:tc>
        <w:tc>
          <w:tcPr>
            <w:tcW w:w="4876" w:type="dxa"/>
          </w:tcPr>
          <w:p w14:paraId="1359CA43" w14:textId="7DD1F9E4" w:rsidR="0044746B" w:rsidRPr="00B7760C" w:rsidRDefault="0044746B" w:rsidP="002E2EB0">
            <w:pPr>
              <w:pStyle w:val="Normal6"/>
              <w:rPr>
                <w:szCs w:val="24"/>
              </w:rPr>
            </w:pPr>
            <w:r w:rsidRPr="00B7760C">
              <w:t>2.</w:t>
            </w:r>
            <w:r w:rsidRPr="00B7760C">
              <w:tab/>
              <w:t xml:space="preserve">Države članice se lahko odločijo razlikovati znesek osnovne dohodkovne podpore na hektar </w:t>
            </w:r>
            <w:r w:rsidRPr="00B7760C">
              <w:rPr>
                <w:b/>
                <w:bCs/>
                <w:i/>
                <w:iCs/>
              </w:rPr>
              <w:t>glede na različne skupine območij v skladu z</w:t>
            </w:r>
            <w:r w:rsidRPr="00B7760C">
              <w:t xml:space="preserve"> družbenogospodarskimi</w:t>
            </w:r>
            <w:r w:rsidRPr="00B7760C">
              <w:rPr>
                <w:b/>
                <w:bCs/>
                <w:i/>
                <w:iCs/>
              </w:rPr>
              <w:t>, okoljskimi</w:t>
            </w:r>
            <w:r w:rsidRPr="00B7760C">
              <w:t xml:space="preserve"> ali agronomskimi razmerami.</w:t>
            </w:r>
            <w:r w:rsidRPr="00B7760C">
              <w:rPr>
                <w:b/>
                <w:i/>
              </w:rPr>
              <w:t xml:space="preserve"> Države članice se lahko odločijo, da bodo povečale zneske za regije z naravnimi ovirami ali posebnimi omejitvami, ki so značilne za posamezno območje, in za manj poseljena območja, pa tudi za podporo za trajno travinje. </w:t>
            </w:r>
            <w:r w:rsidR="0008604B" w:rsidRPr="00B7760C">
              <w:rPr>
                <w:b/>
                <w:i/>
              </w:rPr>
              <w:t>Kar zadeva tradicionalne ekstenzivne planinske pašnike, kot so jih opredelile države članice, se lahko znesek osnovne dohodkovne podpore na hektar zmanjša, ne glede na stanje dohodka kmetij.</w:t>
            </w:r>
          </w:p>
        </w:tc>
      </w:tr>
      <w:tr w:rsidR="0044746B" w:rsidRPr="00B7760C" w14:paraId="6E7E4F95" w14:textId="77777777" w:rsidTr="008C44C1">
        <w:trPr>
          <w:jc w:val="center"/>
        </w:trPr>
        <w:tc>
          <w:tcPr>
            <w:tcW w:w="4876" w:type="dxa"/>
          </w:tcPr>
          <w:p w14:paraId="077F9FAD" w14:textId="77777777" w:rsidR="0044746B" w:rsidRPr="00B7760C" w:rsidRDefault="0044746B" w:rsidP="002E2EB0">
            <w:pPr>
              <w:pStyle w:val="Normal6"/>
            </w:pPr>
          </w:p>
        </w:tc>
        <w:tc>
          <w:tcPr>
            <w:tcW w:w="4876" w:type="dxa"/>
          </w:tcPr>
          <w:p w14:paraId="461D5623" w14:textId="77777777" w:rsidR="0044746B" w:rsidRPr="00B7760C" w:rsidRDefault="0044746B" w:rsidP="002E2EB0">
            <w:pPr>
              <w:pStyle w:val="Normal6"/>
              <w:rPr>
                <w:szCs w:val="24"/>
              </w:rPr>
            </w:pPr>
            <w:r w:rsidRPr="00B7760C">
              <w:rPr>
                <w:b/>
                <w:i/>
              </w:rPr>
              <w:t>2a.</w:t>
            </w:r>
            <w:r w:rsidRPr="00B7760C">
              <w:rPr>
                <w:b/>
                <w:i/>
              </w:rPr>
              <w:tab/>
              <w:t>Države članice lahko določijo mehanizme, ki omejujejo število upravičenih nacionalnih hektarjev, ki lahko prejmejo pomoč, na podlagi referenčnega obdobja, ki ga določi država članica.</w:t>
            </w:r>
          </w:p>
        </w:tc>
      </w:tr>
    </w:tbl>
    <w:p w14:paraId="1C475484" w14:textId="77777777" w:rsidR="0044746B" w:rsidRPr="00B7760C" w:rsidRDefault="0044746B" w:rsidP="003663AF"/>
    <w:p w14:paraId="72152D62" w14:textId="30839CD4" w:rsidR="003663AF" w:rsidRPr="00B7760C" w:rsidRDefault="00877691" w:rsidP="003663AF">
      <w:pPr>
        <w:pStyle w:val="AMNumberTabs"/>
        <w:keepNext/>
      </w:pPr>
      <w:r w:rsidRPr="00B7760C">
        <w:t>Sprememba</w:t>
      </w:r>
      <w:r w:rsidR="003663AF" w:rsidRPr="00B7760C">
        <w:tab/>
      </w:r>
      <w:r w:rsidR="003663AF" w:rsidRPr="00B7760C">
        <w:tab/>
        <w:t>184</w:t>
      </w:r>
    </w:p>
    <w:p w14:paraId="317B012A" w14:textId="77777777" w:rsidR="003663AF" w:rsidRPr="00B7760C" w:rsidRDefault="003663AF" w:rsidP="003663AF">
      <w:pPr>
        <w:pStyle w:val="NormalBold12b"/>
      </w:pPr>
      <w:r w:rsidRPr="00B7760C">
        <w:t>Predlog uredbe</w:t>
      </w:r>
    </w:p>
    <w:p w14:paraId="56E865C6" w14:textId="77777777" w:rsidR="003663AF" w:rsidRPr="00B7760C" w:rsidRDefault="003663AF" w:rsidP="003663AF">
      <w:pPr>
        <w:pStyle w:val="NormalBold"/>
      </w:pPr>
      <w:r w:rsidRPr="00B7760C">
        <w:t>Člen 19 – odstavek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41DCCD4" w14:textId="77777777" w:rsidTr="00E804B7">
        <w:trPr>
          <w:jc w:val="center"/>
        </w:trPr>
        <w:tc>
          <w:tcPr>
            <w:tcW w:w="9752" w:type="dxa"/>
            <w:gridSpan w:val="2"/>
          </w:tcPr>
          <w:p w14:paraId="2C953BA4" w14:textId="77777777" w:rsidR="003663AF" w:rsidRPr="00B7760C" w:rsidRDefault="003663AF" w:rsidP="00E804B7">
            <w:pPr>
              <w:keepNext/>
            </w:pPr>
          </w:p>
        </w:tc>
      </w:tr>
      <w:tr w:rsidR="003663AF" w:rsidRPr="00B7760C" w14:paraId="712BB741" w14:textId="77777777" w:rsidTr="00E804B7">
        <w:trPr>
          <w:jc w:val="center"/>
        </w:trPr>
        <w:tc>
          <w:tcPr>
            <w:tcW w:w="4876" w:type="dxa"/>
            <w:hideMark/>
          </w:tcPr>
          <w:p w14:paraId="3647E172" w14:textId="77777777" w:rsidR="003663AF" w:rsidRPr="00B7760C" w:rsidRDefault="003663AF" w:rsidP="00E804B7">
            <w:pPr>
              <w:pStyle w:val="ColumnHeading"/>
              <w:keepNext/>
            </w:pPr>
            <w:r w:rsidRPr="00B7760C">
              <w:t>Besedilo, ki ga predlaga Komisija</w:t>
            </w:r>
          </w:p>
        </w:tc>
        <w:tc>
          <w:tcPr>
            <w:tcW w:w="4876" w:type="dxa"/>
            <w:hideMark/>
          </w:tcPr>
          <w:p w14:paraId="7EA092C6" w14:textId="44243187" w:rsidR="003663AF" w:rsidRPr="00B7760C" w:rsidRDefault="00877691" w:rsidP="00E804B7">
            <w:pPr>
              <w:pStyle w:val="ColumnHeading"/>
              <w:keepNext/>
            </w:pPr>
            <w:r w:rsidRPr="00B7760C">
              <w:t>Sprememba</w:t>
            </w:r>
          </w:p>
        </w:tc>
      </w:tr>
      <w:tr w:rsidR="003663AF" w:rsidRPr="00B7760C" w14:paraId="7660C0F4" w14:textId="77777777" w:rsidTr="00E804B7">
        <w:trPr>
          <w:jc w:val="center"/>
        </w:trPr>
        <w:tc>
          <w:tcPr>
            <w:tcW w:w="4876" w:type="dxa"/>
            <w:hideMark/>
          </w:tcPr>
          <w:p w14:paraId="3522263C" w14:textId="77777777" w:rsidR="003663AF" w:rsidRPr="00B7760C" w:rsidRDefault="003663AF" w:rsidP="00E804B7">
            <w:pPr>
              <w:pStyle w:val="Normal6"/>
            </w:pPr>
            <w:r w:rsidRPr="00B7760C">
              <w:t>2.</w:t>
            </w:r>
            <w:r w:rsidRPr="00B7760C">
              <w:tab/>
              <w:t xml:space="preserve">Kadar se države članice, ki uporabljajo shemo osnovnega plačila iz oddelka 1 poglavja I naslova III Uredbe (EU) št. 1307/2013, odločijo, da osnovne dohodkovne podpore ne bodo odobrile na podlagi plačilnih pravic, plačilne pravice, ki so bile dodeljene na podlagi Uredbe (EU) št. 1307/2013, prenehajo veljati 31. decembra </w:t>
            </w:r>
            <w:r w:rsidRPr="00B7760C">
              <w:rPr>
                <w:b/>
                <w:i/>
              </w:rPr>
              <w:t>2020</w:t>
            </w:r>
            <w:r w:rsidRPr="00B7760C">
              <w:t>.</w:t>
            </w:r>
          </w:p>
        </w:tc>
        <w:tc>
          <w:tcPr>
            <w:tcW w:w="4876" w:type="dxa"/>
            <w:hideMark/>
          </w:tcPr>
          <w:p w14:paraId="7A219BBE" w14:textId="77777777" w:rsidR="003663AF" w:rsidRPr="00B7760C" w:rsidRDefault="003663AF" w:rsidP="00E804B7">
            <w:pPr>
              <w:pStyle w:val="Normal6"/>
              <w:rPr>
                <w:szCs w:val="24"/>
              </w:rPr>
            </w:pPr>
            <w:r w:rsidRPr="00B7760C">
              <w:t>2.</w:t>
            </w:r>
            <w:r w:rsidRPr="00B7760C">
              <w:tab/>
              <w:t xml:space="preserve">Kadar se države članice, ki uporabljajo shemo osnovnega plačila iz oddelka 1 poglavja I naslova III Uredbe (EU) št. 1307/2013, odločijo, da osnovne dohodkovne podpore ne bodo odobrile na podlagi plačilnih pravic, plačilne pravice, ki so bile dodeljene na podlagi Uredbe (EU) št. 1307/2013, prenehajo veljati 31. decembra </w:t>
            </w:r>
            <w:r w:rsidRPr="00B7760C">
              <w:rPr>
                <w:b/>
                <w:i/>
              </w:rPr>
              <w:t>2022.</w:t>
            </w:r>
            <w:r w:rsidRPr="00B7760C">
              <w:t xml:space="preserve"> </w:t>
            </w:r>
            <w:r w:rsidRPr="00B7760C">
              <w:rPr>
                <w:b/>
                <w:i/>
              </w:rPr>
              <w:t>Države članice, ki so že končale notranje prilagoditve plačilnih pravic, se lahko odločijo, da se bodo tem pravicam prej odpovedale.</w:t>
            </w:r>
          </w:p>
        </w:tc>
      </w:tr>
    </w:tbl>
    <w:p w14:paraId="78D7576F" w14:textId="77777777" w:rsidR="003663AF" w:rsidRPr="00B7760C" w:rsidRDefault="003663AF" w:rsidP="003663AF"/>
    <w:p w14:paraId="3D429295" w14:textId="5CBD41AA" w:rsidR="003663AF" w:rsidRPr="00B7760C" w:rsidRDefault="003663AF" w:rsidP="003663AF"/>
    <w:p w14:paraId="33F94C98" w14:textId="4371008F" w:rsidR="0044746B" w:rsidRPr="00B7760C" w:rsidRDefault="0044746B" w:rsidP="0044746B">
      <w:pPr>
        <w:pStyle w:val="AMNumberTabs"/>
        <w:keepNext/>
      </w:pPr>
      <w:r w:rsidRPr="00B7760C">
        <w:t>Sprememba</w:t>
      </w:r>
      <w:r w:rsidRPr="00B7760C">
        <w:tab/>
      </w:r>
      <w:r w:rsidRPr="00B7760C">
        <w:tab/>
        <w:t>1120</w:t>
      </w:r>
    </w:p>
    <w:p w14:paraId="7DFC44B2" w14:textId="77777777" w:rsidR="0044746B" w:rsidRPr="00B7760C" w:rsidRDefault="0044746B" w:rsidP="0044746B">
      <w:pPr>
        <w:pStyle w:val="NormalBold12b"/>
      </w:pPr>
      <w:r w:rsidRPr="00B7760C">
        <w:t>Predlog uredbe</w:t>
      </w:r>
    </w:p>
    <w:p w14:paraId="51E46CEE" w14:textId="77777777" w:rsidR="0044746B" w:rsidRPr="00B7760C" w:rsidRDefault="0044746B" w:rsidP="0044746B">
      <w:pPr>
        <w:pStyle w:val="NormalBold"/>
      </w:pPr>
      <w:r w:rsidRPr="00B7760C">
        <w:t>Člen 20</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44746B" w:rsidRPr="00B7760C" w14:paraId="33931994" w14:textId="77777777" w:rsidTr="002E2EB0">
        <w:trPr>
          <w:jc w:val="center"/>
        </w:trPr>
        <w:tc>
          <w:tcPr>
            <w:tcW w:w="9752" w:type="dxa"/>
            <w:gridSpan w:val="2"/>
          </w:tcPr>
          <w:p w14:paraId="4333C180" w14:textId="77777777" w:rsidR="0044746B" w:rsidRPr="00B7760C" w:rsidRDefault="0044746B" w:rsidP="002E2EB0">
            <w:pPr>
              <w:keepNext/>
            </w:pPr>
          </w:p>
        </w:tc>
      </w:tr>
      <w:tr w:rsidR="0044746B" w:rsidRPr="00B7760C" w14:paraId="2220BE78" w14:textId="77777777" w:rsidTr="002E2EB0">
        <w:trPr>
          <w:jc w:val="center"/>
        </w:trPr>
        <w:tc>
          <w:tcPr>
            <w:tcW w:w="4876" w:type="dxa"/>
          </w:tcPr>
          <w:p w14:paraId="2D490095" w14:textId="77777777" w:rsidR="0044746B" w:rsidRPr="00B7760C" w:rsidRDefault="0044746B" w:rsidP="002E2EB0">
            <w:pPr>
              <w:pStyle w:val="ColumnHeading"/>
              <w:keepNext/>
            </w:pPr>
            <w:r w:rsidRPr="00B7760C">
              <w:t>Besedilo, ki ga predlaga Komisija</w:t>
            </w:r>
          </w:p>
        </w:tc>
        <w:tc>
          <w:tcPr>
            <w:tcW w:w="4876" w:type="dxa"/>
          </w:tcPr>
          <w:p w14:paraId="64A82859" w14:textId="77DEF687" w:rsidR="0044746B" w:rsidRPr="00B7760C" w:rsidRDefault="0044746B" w:rsidP="002E2EB0">
            <w:pPr>
              <w:pStyle w:val="ColumnHeading"/>
              <w:keepNext/>
            </w:pPr>
            <w:r w:rsidRPr="00B7760C">
              <w:t>Sprememba</w:t>
            </w:r>
          </w:p>
        </w:tc>
      </w:tr>
      <w:tr w:rsidR="0044746B" w:rsidRPr="00B7760C" w14:paraId="0201857F" w14:textId="77777777" w:rsidTr="002E2EB0">
        <w:trPr>
          <w:jc w:val="center"/>
        </w:trPr>
        <w:tc>
          <w:tcPr>
            <w:tcW w:w="4876" w:type="dxa"/>
          </w:tcPr>
          <w:p w14:paraId="5D37B6CB" w14:textId="77777777" w:rsidR="0044746B" w:rsidRPr="00B7760C" w:rsidRDefault="0044746B" w:rsidP="002E2EB0">
            <w:pPr>
              <w:pStyle w:val="Normal6"/>
              <w:jc w:val="center"/>
            </w:pPr>
            <w:r w:rsidRPr="00B7760C">
              <w:t>Člen 20</w:t>
            </w:r>
          </w:p>
        </w:tc>
        <w:tc>
          <w:tcPr>
            <w:tcW w:w="4876" w:type="dxa"/>
          </w:tcPr>
          <w:p w14:paraId="3D6C623D" w14:textId="77777777" w:rsidR="0044746B" w:rsidRPr="00B7760C" w:rsidRDefault="0044746B" w:rsidP="002E2EB0">
            <w:pPr>
              <w:pStyle w:val="Normal6"/>
              <w:jc w:val="center"/>
              <w:rPr>
                <w:szCs w:val="24"/>
              </w:rPr>
            </w:pPr>
            <w:r w:rsidRPr="00B7760C">
              <w:t>Člen 20</w:t>
            </w:r>
          </w:p>
        </w:tc>
      </w:tr>
      <w:tr w:rsidR="0044746B" w:rsidRPr="00B7760C" w14:paraId="3853E885" w14:textId="77777777" w:rsidTr="002E2EB0">
        <w:trPr>
          <w:jc w:val="center"/>
        </w:trPr>
        <w:tc>
          <w:tcPr>
            <w:tcW w:w="4876" w:type="dxa"/>
          </w:tcPr>
          <w:p w14:paraId="0F6B099E" w14:textId="77777777" w:rsidR="0044746B" w:rsidRPr="00B7760C" w:rsidRDefault="0044746B" w:rsidP="002E2EB0">
            <w:pPr>
              <w:pStyle w:val="Normal6"/>
              <w:jc w:val="center"/>
            </w:pPr>
            <w:r w:rsidRPr="00B7760C">
              <w:t>Vrednost plačilnih pravic in konvergenca</w:t>
            </w:r>
          </w:p>
        </w:tc>
        <w:tc>
          <w:tcPr>
            <w:tcW w:w="4876" w:type="dxa"/>
          </w:tcPr>
          <w:p w14:paraId="185CB9E3" w14:textId="77777777" w:rsidR="0044746B" w:rsidRPr="00B7760C" w:rsidRDefault="0044746B" w:rsidP="002E2EB0">
            <w:pPr>
              <w:pStyle w:val="Normal6"/>
              <w:jc w:val="center"/>
            </w:pPr>
            <w:r w:rsidRPr="00B7760C">
              <w:t>Vrednost plačilnih pravic in konvergenca</w:t>
            </w:r>
          </w:p>
        </w:tc>
      </w:tr>
      <w:tr w:rsidR="00130CC4" w:rsidRPr="00B7760C" w14:paraId="54F9A858" w14:textId="77777777" w:rsidTr="002E2EB0">
        <w:trPr>
          <w:jc w:val="center"/>
        </w:trPr>
        <w:tc>
          <w:tcPr>
            <w:tcW w:w="4876" w:type="dxa"/>
          </w:tcPr>
          <w:p w14:paraId="060C12DB" w14:textId="7E63F069" w:rsidR="00130CC4" w:rsidRPr="00B7760C" w:rsidRDefault="00130CC4" w:rsidP="00130CC4">
            <w:pPr>
              <w:pStyle w:val="Normal6"/>
            </w:pPr>
            <w:r w:rsidRPr="00B7760C">
              <w:t>1.</w:t>
            </w:r>
            <w:r w:rsidRPr="00B7760C">
              <w:tab/>
              <w:t xml:space="preserve">Države članice določijo vrednost na enoto plačilnih pravic pred konvergenco v skladu s tem členom, tako da vrednost plačilnih pravic sorazmerno prilagodijo glede na njihovo vrednost, kot je določena v skladu z Uredbo (EU) št. 1307/2013 za leto zahtevka </w:t>
            </w:r>
            <w:r w:rsidRPr="00B7760C">
              <w:rPr>
                <w:b/>
                <w:i/>
              </w:rPr>
              <w:t>2020</w:t>
            </w:r>
            <w:r w:rsidRPr="00B7760C">
              <w:t xml:space="preserve">, in s tem povezana plačila za kmetijske prakse, ki ugodno vplivajo na podnebje in okolje, kot je določeno v poglavju III naslova III navedene uredbe za leto zahtevka </w:t>
            </w:r>
            <w:r w:rsidRPr="00B7760C">
              <w:rPr>
                <w:b/>
                <w:i/>
              </w:rPr>
              <w:t>2020</w:t>
            </w:r>
            <w:r w:rsidRPr="00B7760C">
              <w:t>.</w:t>
            </w:r>
          </w:p>
        </w:tc>
        <w:tc>
          <w:tcPr>
            <w:tcW w:w="4876" w:type="dxa"/>
          </w:tcPr>
          <w:p w14:paraId="183C1B8D" w14:textId="4AF7BCA6" w:rsidR="00130CC4" w:rsidRPr="00B7760C" w:rsidRDefault="00130CC4" w:rsidP="00130CC4">
            <w:pPr>
              <w:pStyle w:val="Normal6"/>
              <w:rPr>
                <w:szCs w:val="24"/>
              </w:rPr>
            </w:pPr>
            <w:r w:rsidRPr="00B7760C">
              <w:t>1.</w:t>
            </w:r>
            <w:r w:rsidRPr="00B7760C">
              <w:tab/>
              <w:t xml:space="preserve">Države članice določijo vrednost na enoto plačilnih pravic pred konvergenco v skladu s tem členom, tako da vrednost plačilnih pravic sorazmerno prilagodijo glede na njihovo vrednost, kot je določena v skladu z Uredbo (EU) št. 1307/2013 za leto zahtevka </w:t>
            </w:r>
            <w:r w:rsidRPr="00B7760C">
              <w:rPr>
                <w:b/>
                <w:i/>
              </w:rPr>
              <w:t>2023</w:t>
            </w:r>
            <w:r w:rsidRPr="00B7760C">
              <w:t xml:space="preserve">, in s tem povezana plačila za kmetijske prakse, ki ugodno vplivajo na podnebje in okolje, kot je določeno v poglavju III naslova III navedene uredbe za leto zahtevka </w:t>
            </w:r>
            <w:r w:rsidRPr="00B7760C">
              <w:rPr>
                <w:b/>
                <w:i/>
              </w:rPr>
              <w:t>2023</w:t>
            </w:r>
            <w:r w:rsidRPr="00B7760C">
              <w:t>.</w:t>
            </w:r>
          </w:p>
        </w:tc>
      </w:tr>
      <w:tr w:rsidR="00130CC4" w:rsidRPr="00B7760C" w14:paraId="23F5B2AB" w14:textId="77777777" w:rsidTr="002E2EB0">
        <w:trPr>
          <w:jc w:val="center"/>
        </w:trPr>
        <w:tc>
          <w:tcPr>
            <w:tcW w:w="4876" w:type="dxa"/>
          </w:tcPr>
          <w:p w14:paraId="08BC13AF" w14:textId="1B0744B5" w:rsidR="00130CC4" w:rsidRPr="00B7760C" w:rsidRDefault="00130CC4" w:rsidP="00130CC4">
            <w:pPr>
              <w:pStyle w:val="Normal6"/>
            </w:pPr>
            <w:r w:rsidRPr="00B7760C">
              <w:t>2.</w:t>
            </w:r>
            <w:r w:rsidRPr="00B7760C">
              <w:tab/>
              <w:t>Države članice se lahko odločijo razlikovati vrednost plačilnih pravic v skladu s členom 18(2).</w:t>
            </w:r>
          </w:p>
        </w:tc>
        <w:tc>
          <w:tcPr>
            <w:tcW w:w="4876" w:type="dxa"/>
          </w:tcPr>
          <w:p w14:paraId="324BE0A4" w14:textId="34434E8C" w:rsidR="00130CC4" w:rsidRPr="00B7760C" w:rsidRDefault="00130CC4" w:rsidP="00130CC4">
            <w:pPr>
              <w:pStyle w:val="Normal6"/>
              <w:rPr>
                <w:szCs w:val="24"/>
              </w:rPr>
            </w:pPr>
            <w:r w:rsidRPr="00B7760C">
              <w:t>2.</w:t>
            </w:r>
            <w:r w:rsidRPr="00B7760C">
              <w:tab/>
              <w:t>Države članice se lahko odločijo razlikovati vrednost plačilnih pravic v skladu s členom 18(2).</w:t>
            </w:r>
          </w:p>
        </w:tc>
      </w:tr>
      <w:tr w:rsidR="00130CC4" w:rsidRPr="00B7760C" w14:paraId="4C3AFE4D" w14:textId="77777777" w:rsidTr="002E2EB0">
        <w:trPr>
          <w:jc w:val="center"/>
        </w:trPr>
        <w:tc>
          <w:tcPr>
            <w:tcW w:w="4876" w:type="dxa"/>
          </w:tcPr>
          <w:p w14:paraId="23D421B7" w14:textId="63B77BF9" w:rsidR="00130CC4" w:rsidRPr="00B7760C" w:rsidRDefault="00130CC4" w:rsidP="00130CC4">
            <w:pPr>
              <w:pStyle w:val="Normal6"/>
            </w:pPr>
            <w:r w:rsidRPr="00B7760C">
              <w:t>3.</w:t>
            </w:r>
            <w:r w:rsidRPr="00B7760C">
              <w:tab/>
              <w:t>Države članice najpozneje do leta zahtevka 2026 določijo najvišjo vrednost plačilnih pravic za vsako državo članico ali skupino ozemelj, opredeljenih v skladu s členom 18(2).</w:t>
            </w:r>
          </w:p>
        </w:tc>
        <w:tc>
          <w:tcPr>
            <w:tcW w:w="4876" w:type="dxa"/>
          </w:tcPr>
          <w:p w14:paraId="1C1E29EC" w14:textId="74CF35C7" w:rsidR="00130CC4" w:rsidRPr="00B7760C" w:rsidRDefault="00130CC4" w:rsidP="00130CC4">
            <w:pPr>
              <w:pStyle w:val="Normal6"/>
              <w:rPr>
                <w:szCs w:val="24"/>
              </w:rPr>
            </w:pPr>
            <w:r w:rsidRPr="00B7760C">
              <w:t>3.</w:t>
            </w:r>
            <w:r w:rsidRPr="00B7760C">
              <w:tab/>
              <w:t>Države članice najpozneje do leta zahtevka 2026 določijo najvišjo vrednost plačilnih pravic za vsako državo članico ali skupino ozemelj, opredeljenih v skladu s členom 18(2).</w:t>
            </w:r>
          </w:p>
        </w:tc>
      </w:tr>
      <w:tr w:rsidR="00130CC4" w:rsidRPr="00B7760C" w14:paraId="3E62108E" w14:textId="77777777" w:rsidTr="002E2EB0">
        <w:trPr>
          <w:jc w:val="center"/>
        </w:trPr>
        <w:tc>
          <w:tcPr>
            <w:tcW w:w="4876" w:type="dxa"/>
          </w:tcPr>
          <w:p w14:paraId="0E3AB953" w14:textId="11C57436" w:rsidR="00130CC4" w:rsidRPr="00B7760C" w:rsidRDefault="00130CC4" w:rsidP="00130CC4">
            <w:pPr>
              <w:pStyle w:val="Normal6"/>
            </w:pPr>
            <w:r w:rsidRPr="00B7760C">
              <w:t>4.</w:t>
            </w:r>
            <w:r w:rsidRPr="00B7760C">
              <w:tab/>
              <w:t>Kadar vrednost plačilnih pravic, kakor je določena v skladu z odstavkom 1, znotraj države članice ali skupine ozemelj, opredeljenih v skladu s členom 18(2), ni enotna, države članice konvergenco vrednosti plačilnih pravic v smeri enotne vrednosti na enoto zagotovijo najpozneje do leta zahtevka 2026.</w:t>
            </w:r>
          </w:p>
        </w:tc>
        <w:tc>
          <w:tcPr>
            <w:tcW w:w="4876" w:type="dxa"/>
          </w:tcPr>
          <w:p w14:paraId="7DE46776" w14:textId="521DF2D7" w:rsidR="00130CC4" w:rsidRPr="00B7760C" w:rsidRDefault="00130CC4" w:rsidP="00130CC4">
            <w:pPr>
              <w:pStyle w:val="Normal6"/>
              <w:rPr>
                <w:szCs w:val="24"/>
              </w:rPr>
            </w:pPr>
            <w:r w:rsidRPr="00B7760C">
              <w:t>4.</w:t>
            </w:r>
            <w:r w:rsidRPr="00B7760C">
              <w:tab/>
              <w:t xml:space="preserve">Kadar vrednost plačilnih pravic, kakor je določena v skladu z odstavkom 1, znotraj države članice ali skupine ozemelj, opredeljenih v skladu s členom 18(2), ni enotna, države članice </w:t>
            </w:r>
            <w:r w:rsidRPr="00B7760C">
              <w:rPr>
                <w:b/>
                <w:i/>
              </w:rPr>
              <w:t>popolno</w:t>
            </w:r>
            <w:r w:rsidRPr="00B7760C">
              <w:t xml:space="preserve"> konvergenco vrednosti plačilnih pravic v smeri enotne vrednosti na enoto zagotovijo najpozneje do leta zahtevka 2026.</w:t>
            </w:r>
          </w:p>
        </w:tc>
      </w:tr>
      <w:tr w:rsidR="00130CC4" w:rsidRPr="00B7760C" w14:paraId="64700433" w14:textId="77777777" w:rsidTr="002E2EB0">
        <w:trPr>
          <w:jc w:val="center"/>
        </w:trPr>
        <w:tc>
          <w:tcPr>
            <w:tcW w:w="4876" w:type="dxa"/>
          </w:tcPr>
          <w:p w14:paraId="5321E6A2" w14:textId="51FAB9C7" w:rsidR="00130CC4" w:rsidRPr="00B7760C" w:rsidRDefault="00130CC4" w:rsidP="00130CC4">
            <w:pPr>
              <w:pStyle w:val="Normal6"/>
            </w:pPr>
            <w:r w:rsidRPr="00B7760C">
              <w:t>5.</w:t>
            </w:r>
            <w:r w:rsidRPr="00B7760C">
              <w:tab/>
              <w:t xml:space="preserve">Države članice za namene odstavka 4 zagotovijo, da najpozneje za leto zahtevka </w:t>
            </w:r>
            <w:r w:rsidRPr="00B7760C">
              <w:rPr>
                <w:b/>
                <w:i/>
              </w:rPr>
              <w:t>2026</w:t>
            </w:r>
            <w:r w:rsidRPr="00B7760C">
              <w:t xml:space="preserve"> vrednost vseh plačilnih pravic znaša najmanj 75 % povprečnega načrtovanega zneska na enoto za osnovno dohodkovno podporo za leto zahtevka </w:t>
            </w:r>
            <w:r w:rsidRPr="00B7760C">
              <w:rPr>
                <w:b/>
                <w:i/>
              </w:rPr>
              <w:t>2026</w:t>
            </w:r>
            <w:r w:rsidRPr="00B7760C">
              <w:t>, kot je določeno v strateškem načrtu SKP, ki je bil za državo članico ali ozemlja, opredeljena v skladu s členom 18(2), predložen v skladu s členom 106(1).</w:t>
            </w:r>
          </w:p>
        </w:tc>
        <w:tc>
          <w:tcPr>
            <w:tcW w:w="4876" w:type="dxa"/>
          </w:tcPr>
          <w:p w14:paraId="5699C6E4" w14:textId="5105EA71" w:rsidR="00130CC4" w:rsidRPr="00B7760C" w:rsidRDefault="00130CC4" w:rsidP="00130CC4">
            <w:pPr>
              <w:pStyle w:val="Normal6"/>
              <w:rPr>
                <w:szCs w:val="24"/>
              </w:rPr>
            </w:pPr>
            <w:r w:rsidRPr="00B7760C">
              <w:t>5.</w:t>
            </w:r>
            <w:r w:rsidRPr="00B7760C">
              <w:tab/>
              <w:t xml:space="preserve">Države članice za namene odstavka 4 zagotovijo, da najpozneje za leto zahtevka </w:t>
            </w:r>
            <w:r w:rsidRPr="00B7760C">
              <w:rPr>
                <w:b/>
                <w:i/>
              </w:rPr>
              <w:t>2024</w:t>
            </w:r>
            <w:r w:rsidRPr="00B7760C">
              <w:t xml:space="preserve"> vrednost vseh plačilnih pravic znaša najmanj 75 % povprečnega načrtovanega zneska na enoto za osnovno dohodkovno podporo za leto zahtevka </w:t>
            </w:r>
            <w:r w:rsidRPr="00B7760C">
              <w:rPr>
                <w:b/>
                <w:i/>
              </w:rPr>
              <w:t>2024</w:t>
            </w:r>
            <w:r w:rsidRPr="00B7760C">
              <w:t>, kot je določeno v strateškem načrtu SKP, ki je bil za državo članico ali ozemlja, opredeljena v skladu s členom 18(2), predložen v skladu s členom 106(1).</w:t>
            </w:r>
          </w:p>
        </w:tc>
      </w:tr>
      <w:tr w:rsidR="00130CC4" w:rsidRPr="00B7760C" w14:paraId="4CA4E063" w14:textId="77777777" w:rsidTr="002E2EB0">
        <w:trPr>
          <w:jc w:val="center"/>
        </w:trPr>
        <w:tc>
          <w:tcPr>
            <w:tcW w:w="4876" w:type="dxa"/>
          </w:tcPr>
          <w:p w14:paraId="385DFD88" w14:textId="77777777" w:rsidR="00130CC4" w:rsidRPr="00B7760C" w:rsidRDefault="00130CC4" w:rsidP="00130CC4">
            <w:pPr>
              <w:pStyle w:val="Normal6"/>
            </w:pPr>
          </w:p>
        </w:tc>
        <w:tc>
          <w:tcPr>
            <w:tcW w:w="4876" w:type="dxa"/>
          </w:tcPr>
          <w:p w14:paraId="08D41E8E" w14:textId="73846E13" w:rsidR="00130CC4" w:rsidRPr="00B7760C" w:rsidRDefault="00130CC4" w:rsidP="00130CC4">
            <w:pPr>
              <w:pStyle w:val="Normal6"/>
              <w:rPr>
                <w:szCs w:val="24"/>
              </w:rPr>
            </w:pPr>
            <w:r w:rsidRPr="00B7760C">
              <w:rPr>
                <w:b/>
                <w:i/>
              </w:rPr>
              <w:t>5a.</w:t>
            </w:r>
            <w:r w:rsidRPr="00B7760C">
              <w:rPr>
                <w:b/>
                <w:i/>
              </w:rPr>
              <w:tab/>
              <w:t>Države članice za namene odstavka 4 zagotovijo, da najpozneje za leto zahtevka 2026 vrednost vseh plačilnih pravic znaša 100 % povprečnega načrtovanega zneska na enoto za osnovno dohodkovno podporo za leto zahtevka 2024, kot je določeno v strateškem načrtu SKP, ki je bil za državo članico ali ozemlja, opredeljena v skladu s členom 18(2), predložen v skladu s členom 106(1).</w:t>
            </w:r>
          </w:p>
        </w:tc>
      </w:tr>
      <w:tr w:rsidR="00130CC4" w:rsidRPr="00B7760C" w14:paraId="47BB4F16" w14:textId="77777777" w:rsidTr="002E2EB0">
        <w:trPr>
          <w:jc w:val="center"/>
        </w:trPr>
        <w:tc>
          <w:tcPr>
            <w:tcW w:w="4876" w:type="dxa"/>
          </w:tcPr>
          <w:p w14:paraId="6C4115A5" w14:textId="5078FBC0" w:rsidR="00130CC4" w:rsidRPr="00B7760C" w:rsidRDefault="00130CC4" w:rsidP="00130CC4">
            <w:pPr>
              <w:pStyle w:val="Normal6"/>
            </w:pPr>
            <w:r w:rsidRPr="00B7760C">
              <w:t>6.</w:t>
            </w:r>
            <w:r w:rsidRPr="00B7760C">
              <w:tab/>
              <w:t>Države članice povečanje vrednosti plačilnih pravic, ki je potrebno za skladnost z odstavkoma 4 in 5, financirajo z uporabo morebitnega rezultata, ki izhaja iz uporabe odstavka 3, ter po potrebi z zmanjšanjem razlike med vrednostjo na enoto plačilnih pravic, določeno v skladu z odstavkom 1, in povprečnim načrtovanim zneskom na enoto za osnovno dohodkovno podporo za leto zahtevka 2026, kot je določeno v strateškem načrtu SKP, ki je bil za državo članico ali ozemlja, opredeljena v skladu s členom 18(2), predložen v skladu s členom 106(1).</w:t>
            </w:r>
          </w:p>
        </w:tc>
        <w:tc>
          <w:tcPr>
            <w:tcW w:w="4876" w:type="dxa"/>
          </w:tcPr>
          <w:p w14:paraId="17E8596C" w14:textId="6C70254B" w:rsidR="00130CC4" w:rsidRPr="00B7760C" w:rsidRDefault="00130CC4" w:rsidP="00130CC4">
            <w:pPr>
              <w:pStyle w:val="Normal6"/>
              <w:rPr>
                <w:szCs w:val="24"/>
              </w:rPr>
            </w:pPr>
            <w:r w:rsidRPr="00B7760C">
              <w:t>6.</w:t>
            </w:r>
            <w:r w:rsidRPr="00B7760C">
              <w:tab/>
              <w:t>Države članice povečanje vrednosti plačilnih pravic, ki je potrebno za skladnost z odstavkoma 4 in 5, financirajo z uporabo morebitnega rezultata, ki izhaja iz uporabe odstavka 3, ter po potrebi z zmanjšanjem razlike med vrednostjo na enoto plačilnih pravic, določeno v skladu z odstavkom 1, in povprečnim načrtovanim zneskom na enoto za osnovno dohodkovno podporo za leto zahtevka 2026, kot je določeno v strateškem načrtu SKP, ki je bil za državo članico ali ozemlja, opredeljena v skladu s členom 18(2), predložen v skladu s členom 106(1).</w:t>
            </w:r>
          </w:p>
        </w:tc>
      </w:tr>
      <w:tr w:rsidR="00130CC4" w:rsidRPr="00B7760C" w14:paraId="785F417D" w14:textId="77777777" w:rsidTr="002E2EB0">
        <w:trPr>
          <w:jc w:val="center"/>
        </w:trPr>
        <w:tc>
          <w:tcPr>
            <w:tcW w:w="4876" w:type="dxa"/>
          </w:tcPr>
          <w:p w14:paraId="77D5EA70" w14:textId="125611C6" w:rsidR="00130CC4" w:rsidRPr="00B7760C" w:rsidRDefault="00130CC4" w:rsidP="00130CC4">
            <w:pPr>
              <w:pStyle w:val="Normal6"/>
            </w:pPr>
            <w:r w:rsidRPr="00B7760C">
              <w:t>Države članice se lahko odločijo, da zmanjšanje uporabijo za vse ali del plačilnih pravic z vrednostjo, določeno v skladu z odstavkom 1, ki presega povprečni načrtovani znesek na enoto za osnovno dohodkovno podporo za leto zahtevka 2026, kot je določeno v strateškem načrtu SKP, ki je bil za državo članico ali ozemlja, opredeljena v skladu s členom 18(2), predložen v skladu s členom 106(1).</w:t>
            </w:r>
          </w:p>
        </w:tc>
        <w:tc>
          <w:tcPr>
            <w:tcW w:w="4876" w:type="dxa"/>
          </w:tcPr>
          <w:p w14:paraId="648FB6A8" w14:textId="6103773D" w:rsidR="00130CC4" w:rsidRPr="00B7760C" w:rsidRDefault="00130CC4" w:rsidP="00130CC4">
            <w:pPr>
              <w:pStyle w:val="Normal6"/>
              <w:rPr>
                <w:szCs w:val="24"/>
              </w:rPr>
            </w:pPr>
            <w:r w:rsidRPr="00B7760C">
              <w:t>Države članice se lahko odločijo, da zmanjšanje uporabijo za vse ali del plačilnih pravic z vrednostjo, določeno v skladu z odstavkom 1, ki presega povprečni načrtovani znesek na enoto za osnovno dohodkovno podporo za leto zahtevka 2026, kot je določeno v strateškem načrtu SKP, ki je bil za državo članico ali ozemlja, opredeljena v skladu s členom 18(2), predložen v skladu s členom 106(1).</w:t>
            </w:r>
          </w:p>
        </w:tc>
      </w:tr>
      <w:tr w:rsidR="00130CC4" w:rsidRPr="00B7760C" w14:paraId="4883D97D" w14:textId="77777777" w:rsidTr="002E2EB0">
        <w:trPr>
          <w:jc w:val="center"/>
        </w:trPr>
        <w:tc>
          <w:tcPr>
            <w:tcW w:w="4876" w:type="dxa"/>
          </w:tcPr>
          <w:p w14:paraId="79605F47" w14:textId="3BC14A9C" w:rsidR="00130CC4" w:rsidRPr="00B7760C" w:rsidRDefault="00130CC4" w:rsidP="00130CC4">
            <w:pPr>
              <w:pStyle w:val="Normal6"/>
            </w:pPr>
            <w:r w:rsidRPr="00B7760C">
              <w:t>7.</w:t>
            </w:r>
            <w:r w:rsidRPr="00B7760C">
              <w:tab/>
              <w:t>Zmanjšanja iz odstavka 6 temeljijo na objektivnih in nediskriminatornih merilih. Brez poseganja v minimalni odstotek, določen v skladu z odstavkom 5, lahko ta merila vključujejo določitev največjega zmanjšanja, ki ne sme biti manjše od 30 %.</w:t>
            </w:r>
          </w:p>
        </w:tc>
        <w:tc>
          <w:tcPr>
            <w:tcW w:w="4876" w:type="dxa"/>
          </w:tcPr>
          <w:p w14:paraId="01342533" w14:textId="2A70549A" w:rsidR="00130CC4" w:rsidRPr="00B7760C" w:rsidRDefault="00130CC4" w:rsidP="00130CC4">
            <w:pPr>
              <w:pStyle w:val="Normal6"/>
              <w:rPr>
                <w:szCs w:val="24"/>
              </w:rPr>
            </w:pPr>
            <w:r w:rsidRPr="00B7760C">
              <w:t>7.</w:t>
            </w:r>
            <w:r w:rsidRPr="00B7760C">
              <w:tab/>
              <w:t xml:space="preserve">Zmanjšanja iz odstavka 6 temeljijo na objektivnih in nediskriminatornih merilih. Brez poseganja v minimalni odstotek, določen v skladu z odstavkom 5, lahko ta merila vključujejo določitev največjega zmanjšanja, ki ne sme biti manjše od 30 % </w:t>
            </w:r>
            <w:r w:rsidRPr="00B7760C">
              <w:rPr>
                <w:b/>
                <w:i/>
              </w:rPr>
              <w:t>letno</w:t>
            </w:r>
            <w:r w:rsidRPr="00B7760C">
              <w:t>.</w:t>
            </w:r>
          </w:p>
        </w:tc>
      </w:tr>
    </w:tbl>
    <w:p w14:paraId="638D04AD" w14:textId="77777777" w:rsidR="0044746B" w:rsidRPr="00B7760C" w:rsidRDefault="0044746B" w:rsidP="003663AF"/>
    <w:p w14:paraId="3DFE42C2" w14:textId="7DF73022" w:rsidR="003663AF" w:rsidRPr="00B7760C" w:rsidRDefault="00877691" w:rsidP="003663AF">
      <w:pPr>
        <w:pStyle w:val="AMNumberTabs"/>
      </w:pPr>
      <w:r w:rsidRPr="00B7760C">
        <w:t>Sprememba</w:t>
      </w:r>
      <w:r w:rsidR="003663AF" w:rsidRPr="00B7760C">
        <w:tab/>
      </w:r>
      <w:r w:rsidR="003663AF" w:rsidRPr="00B7760C">
        <w:tab/>
        <w:t>190</w:t>
      </w:r>
    </w:p>
    <w:p w14:paraId="5E53E424" w14:textId="77777777" w:rsidR="003663AF" w:rsidRPr="00B7760C" w:rsidRDefault="003663AF" w:rsidP="003663AF">
      <w:pPr>
        <w:pStyle w:val="NormalBold12b"/>
      </w:pPr>
      <w:r w:rsidRPr="00B7760C">
        <w:t>Predlog uredbe</w:t>
      </w:r>
    </w:p>
    <w:p w14:paraId="536426D9" w14:textId="77777777" w:rsidR="003663AF" w:rsidRPr="00B7760C" w:rsidRDefault="003663AF" w:rsidP="003663AF">
      <w:pPr>
        <w:pStyle w:val="NormalBold"/>
      </w:pPr>
      <w:r w:rsidRPr="00B7760C">
        <w:t>Člen 21 – 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ADDED4C" w14:textId="77777777" w:rsidTr="00E804B7">
        <w:trPr>
          <w:trHeight w:hRule="exact" w:val="240"/>
          <w:jc w:val="center"/>
        </w:trPr>
        <w:tc>
          <w:tcPr>
            <w:tcW w:w="9752" w:type="dxa"/>
            <w:gridSpan w:val="2"/>
          </w:tcPr>
          <w:p w14:paraId="443330A4" w14:textId="77777777" w:rsidR="003663AF" w:rsidRPr="00B7760C" w:rsidRDefault="003663AF" w:rsidP="00E804B7"/>
        </w:tc>
      </w:tr>
      <w:tr w:rsidR="003663AF" w:rsidRPr="00B7760C" w14:paraId="4FE7516B" w14:textId="77777777" w:rsidTr="00E804B7">
        <w:trPr>
          <w:trHeight w:val="240"/>
          <w:jc w:val="center"/>
        </w:trPr>
        <w:tc>
          <w:tcPr>
            <w:tcW w:w="4876" w:type="dxa"/>
          </w:tcPr>
          <w:p w14:paraId="2EE58821" w14:textId="77777777" w:rsidR="003663AF" w:rsidRPr="00B7760C" w:rsidRDefault="003663AF" w:rsidP="00E804B7">
            <w:pPr>
              <w:pStyle w:val="ColumnHeading"/>
            </w:pPr>
            <w:r w:rsidRPr="00B7760C">
              <w:t>Besedilo, ki ga predlaga Komisija</w:t>
            </w:r>
          </w:p>
        </w:tc>
        <w:tc>
          <w:tcPr>
            <w:tcW w:w="4876" w:type="dxa"/>
          </w:tcPr>
          <w:p w14:paraId="36A415DB" w14:textId="0EFE7AB3" w:rsidR="003663AF" w:rsidRPr="00B7760C" w:rsidRDefault="00877691" w:rsidP="00E804B7">
            <w:pPr>
              <w:pStyle w:val="ColumnHeading"/>
            </w:pPr>
            <w:r w:rsidRPr="00B7760C">
              <w:t>Sprememba</w:t>
            </w:r>
          </w:p>
        </w:tc>
      </w:tr>
      <w:tr w:rsidR="003663AF" w:rsidRPr="00B7760C" w14:paraId="366C672E" w14:textId="77777777" w:rsidTr="00E804B7">
        <w:trPr>
          <w:jc w:val="center"/>
        </w:trPr>
        <w:tc>
          <w:tcPr>
            <w:tcW w:w="4876" w:type="dxa"/>
          </w:tcPr>
          <w:p w14:paraId="782B4E0F" w14:textId="77777777" w:rsidR="003663AF" w:rsidRPr="00B7760C" w:rsidRDefault="003663AF" w:rsidP="00E804B7">
            <w:pPr>
              <w:pStyle w:val="Normal6"/>
            </w:pPr>
            <w:r w:rsidRPr="00B7760C">
              <w:t>1.</w:t>
            </w:r>
            <w:r w:rsidRPr="00B7760C">
              <w:tab/>
              <w:t xml:space="preserve">Države članice </w:t>
            </w:r>
            <w:r w:rsidRPr="00B7760C">
              <w:rPr>
                <w:b/>
                <w:i/>
              </w:rPr>
              <w:t xml:space="preserve">pravim </w:t>
            </w:r>
            <w:r w:rsidRPr="00B7760C">
              <w:t xml:space="preserve">kmetom, ki imajo lastniške ali zakupljene plačilne pravice, ob uveljavljanju navedenih plačilnih pravic odobrijo osnovno dohodkovno podporo. Države članice zagotovijo, da za namene aktiviranja plačilnih pravic </w:t>
            </w:r>
            <w:r w:rsidRPr="00B7760C">
              <w:rPr>
                <w:b/>
                <w:i/>
              </w:rPr>
              <w:t>pravi</w:t>
            </w:r>
            <w:r w:rsidRPr="00B7760C">
              <w:t xml:space="preserve"> kmetje prijavijo upravičene hektare za vsako plačilno pravico.</w:t>
            </w:r>
          </w:p>
        </w:tc>
        <w:tc>
          <w:tcPr>
            <w:tcW w:w="4876" w:type="dxa"/>
          </w:tcPr>
          <w:p w14:paraId="305E8DA3" w14:textId="77777777" w:rsidR="003663AF" w:rsidRPr="00B7760C" w:rsidRDefault="003663AF" w:rsidP="00E804B7">
            <w:pPr>
              <w:pStyle w:val="Normal6"/>
            </w:pPr>
            <w:r w:rsidRPr="00B7760C">
              <w:t>1.</w:t>
            </w:r>
            <w:r w:rsidRPr="00B7760C">
              <w:tab/>
              <w:t xml:space="preserve">Države članice kmetom, ki imajo lastniške ali zakupljene plačilne pravice, ob uveljavljanju navedenih plačilnih pravic odobrijo osnovno dohodkovno podporo. Države članice zagotovijo, da za namene aktiviranja plačilnih pravic </w:t>
            </w:r>
            <w:r w:rsidRPr="00B7760C">
              <w:rPr>
                <w:b/>
                <w:i/>
              </w:rPr>
              <w:t>dejavni</w:t>
            </w:r>
            <w:r w:rsidRPr="00B7760C">
              <w:t xml:space="preserve"> kmetje prijavijo upravičene hektare za vsako plačilno pravico.</w:t>
            </w:r>
          </w:p>
        </w:tc>
      </w:tr>
    </w:tbl>
    <w:p w14:paraId="77BF15B1" w14:textId="77777777" w:rsidR="003663AF" w:rsidRPr="00B7760C" w:rsidRDefault="003663AF" w:rsidP="003663AF"/>
    <w:p w14:paraId="78B01A2A" w14:textId="53B5D043" w:rsidR="003663AF" w:rsidRPr="00B7760C" w:rsidRDefault="00877691" w:rsidP="003663AF">
      <w:pPr>
        <w:pStyle w:val="AMNumberTabs"/>
        <w:keepNext/>
      </w:pPr>
      <w:r w:rsidRPr="00B7760C">
        <w:t>Sprememba</w:t>
      </w:r>
      <w:r w:rsidR="003663AF" w:rsidRPr="00B7760C">
        <w:tab/>
      </w:r>
      <w:r w:rsidR="003663AF" w:rsidRPr="00B7760C">
        <w:tab/>
        <w:t>191</w:t>
      </w:r>
    </w:p>
    <w:p w14:paraId="16E8A8A2" w14:textId="77777777" w:rsidR="003663AF" w:rsidRPr="00B7760C" w:rsidRDefault="003663AF" w:rsidP="003663AF">
      <w:pPr>
        <w:pStyle w:val="NormalBold12b"/>
      </w:pPr>
      <w:r w:rsidRPr="00B7760C">
        <w:t>Predlog uredbe</w:t>
      </w:r>
    </w:p>
    <w:p w14:paraId="769A0D90" w14:textId="77777777" w:rsidR="003663AF" w:rsidRPr="00B7760C" w:rsidRDefault="003663AF" w:rsidP="003663AF">
      <w:pPr>
        <w:pStyle w:val="NormalBold"/>
      </w:pPr>
      <w:r w:rsidRPr="00B7760C">
        <w:t>Člen 22 – 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666706E" w14:textId="77777777" w:rsidTr="00E804B7">
        <w:trPr>
          <w:jc w:val="center"/>
        </w:trPr>
        <w:tc>
          <w:tcPr>
            <w:tcW w:w="9752" w:type="dxa"/>
            <w:gridSpan w:val="2"/>
          </w:tcPr>
          <w:p w14:paraId="0F074ECB" w14:textId="77777777" w:rsidR="003663AF" w:rsidRPr="00B7760C" w:rsidRDefault="003663AF" w:rsidP="00E804B7">
            <w:pPr>
              <w:keepNext/>
            </w:pPr>
          </w:p>
        </w:tc>
      </w:tr>
      <w:tr w:rsidR="003663AF" w:rsidRPr="00B7760C" w14:paraId="18A900BD" w14:textId="77777777" w:rsidTr="00E804B7">
        <w:trPr>
          <w:jc w:val="center"/>
        </w:trPr>
        <w:tc>
          <w:tcPr>
            <w:tcW w:w="4876" w:type="dxa"/>
            <w:hideMark/>
          </w:tcPr>
          <w:p w14:paraId="42F3E5A8" w14:textId="77777777" w:rsidR="003663AF" w:rsidRPr="00B7760C" w:rsidRDefault="003663AF" w:rsidP="00E804B7">
            <w:pPr>
              <w:pStyle w:val="ColumnHeading"/>
              <w:keepNext/>
            </w:pPr>
            <w:r w:rsidRPr="00B7760C">
              <w:t>Besedilo, ki ga predlaga Komisija</w:t>
            </w:r>
          </w:p>
        </w:tc>
        <w:tc>
          <w:tcPr>
            <w:tcW w:w="4876" w:type="dxa"/>
            <w:hideMark/>
          </w:tcPr>
          <w:p w14:paraId="21BE32A1" w14:textId="01036CC4" w:rsidR="003663AF" w:rsidRPr="00B7760C" w:rsidRDefault="00877691" w:rsidP="00E804B7">
            <w:pPr>
              <w:pStyle w:val="ColumnHeading"/>
              <w:keepNext/>
            </w:pPr>
            <w:r w:rsidRPr="00B7760C">
              <w:t>Sprememba</w:t>
            </w:r>
          </w:p>
        </w:tc>
      </w:tr>
      <w:tr w:rsidR="003663AF" w:rsidRPr="00B7760C" w14:paraId="387FC0ED" w14:textId="77777777" w:rsidTr="00E804B7">
        <w:trPr>
          <w:jc w:val="center"/>
        </w:trPr>
        <w:tc>
          <w:tcPr>
            <w:tcW w:w="4876" w:type="dxa"/>
            <w:hideMark/>
          </w:tcPr>
          <w:p w14:paraId="268E199E" w14:textId="77777777" w:rsidR="003663AF" w:rsidRPr="00B7760C" w:rsidRDefault="003663AF" w:rsidP="00E804B7">
            <w:pPr>
              <w:pStyle w:val="Normal6"/>
            </w:pPr>
            <w:r w:rsidRPr="00B7760C">
              <w:t>1.</w:t>
            </w:r>
            <w:r w:rsidRPr="00B7760C">
              <w:tab/>
              <w:t xml:space="preserve">Vsaka država članica, ki se odloči odobriti osnovno dohodkovno podporo na podlagi plačilnih pravic, </w:t>
            </w:r>
            <w:r w:rsidRPr="00B7760C">
              <w:rPr>
                <w:b/>
                <w:i/>
              </w:rPr>
              <w:t>upravlja nacionalno rezervo</w:t>
            </w:r>
            <w:r w:rsidRPr="00B7760C">
              <w:t>.</w:t>
            </w:r>
          </w:p>
        </w:tc>
        <w:tc>
          <w:tcPr>
            <w:tcW w:w="4876" w:type="dxa"/>
            <w:hideMark/>
          </w:tcPr>
          <w:p w14:paraId="34799CC3" w14:textId="77777777" w:rsidR="003663AF" w:rsidRPr="00B7760C" w:rsidRDefault="003663AF" w:rsidP="00E804B7">
            <w:pPr>
              <w:pStyle w:val="Normal6"/>
              <w:rPr>
                <w:szCs w:val="24"/>
              </w:rPr>
            </w:pPr>
            <w:r w:rsidRPr="00B7760C">
              <w:t>1.</w:t>
            </w:r>
            <w:r w:rsidRPr="00B7760C">
              <w:tab/>
              <w:t xml:space="preserve">Vsaka država članica, ki se odloči odobriti osnovno dohodkovno podporo na podlagi plačilnih pravic, </w:t>
            </w:r>
            <w:r w:rsidRPr="00B7760C">
              <w:rPr>
                <w:b/>
                <w:i/>
              </w:rPr>
              <w:t>vzpostavi nacionalno rezervo, ki ustreza največ 3 % dodeljenih sredstev iz Priloge VII</w:t>
            </w:r>
            <w:r w:rsidRPr="00B7760C">
              <w:t>.</w:t>
            </w:r>
          </w:p>
        </w:tc>
      </w:tr>
    </w:tbl>
    <w:p w14:paraId="18192701" w14:textId="77777777" w:rsidR="003663AF" w:rsidRPr="00B7760C" w:rsidRDefault="003663AF" w:rsidP="003663AF"/>
    <w:p w14:paraId="17FA2237" w14:textId="7B70472F" w:rsidR="003663AF" w:rsidRPr="00B7760C" w:rsidRDefault="00877691" w:rsidP="003663AF">
      <w:pPr>
        <w:pStyle w:val="AMNumberTabs"/>
        <w:keepNext/>
      </w:pPr>
      <w:r w:rsidRPr="00B7760C">
        <w:t>Sprememba</w:t>
      </w:r>
      <w:r w:rsidR="003663AF" w:rsidRPr="00B7760C">
        <w:tab/>
      </w:r>
      <w:r w:rsidR="003663AF" w:rsidRPr="00B7760C">
        <w:tab/>
        <w:t>192</w:t>
      </w:r>
    </w:p>
    <w:p w14:paraId="71FF4B14" w14:textId="77777777" w:rsidR="003663AF" w:rsidRPr="00B7760C" w:rsidRDefault="003663AF" w:rsidP="003663AF">
      <w:pPr>
        <w:pStyle w:val="NormalBold12b"/>
      </w:pPr>
      <w:r w:rsidRPr="00B7760C">
        <w:t>Predlog uredbe</w:t>
      </w:r>
    </w:p>
    <w:p w14:paraId="69F039D2" w14:textId="77777777" w:rsidR="003663AF" w:rsidRPr="00B7760C" w:rsidRDefault="003663AF" w:rsidP="003663AF">
      <w:pPr>
        <w:pStyle w:val="NormalBold"/>
      </w:pPr>
      <w:r w:rsidRPr="00B7760C">
        <w:t>Člen 22 – odstavek 2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0116BBF" w14:textId="77777777" w:rsidTr="00E804B7">
        <w:trPr>
          <w:jc w:val="center"/>
        </w:trPr>
        <w:tc>
          <w:tcPr>
            <w:tcW w:w="9752" w:type="dxa"/>
            <w:gridSpan w:val="2"/>
          </w:tcPr>
          <w:p w14:paraId="3FE71B5C" w14:textId="77777777" w:rsidR="003663AF" w:rsidRPr="00B7760C" w:rsidRDefault="003663AF" w:rsidP="00E804B7">
            <w:pPr>
              <w:keepNext/>
            </w:pPr>
          </w:p>
        </w:tc>
      </w:tr>
      <w:tr w:rsidR="003663AF" w:rsidRPr="00B7760C" w14:paraId="4A128D45" w14:textId="77777777" w:rsidTr="00E804B7">
        <w:trPr>
          <w:jc w:val="center"/>
        </w:trPr>
        <w:tc>
          <w:tcPr>
            <w:tcW w:w="4876" w:type="dxa"/>
            <w:hideMark/>
          </w:tcPr>
          <w:p w14:paraId="575F3143" w14:textId="77777777" w:rsidR="003663AF" w:rsidRPr="00B7760C" w:rsidRDefault="003663AF" w:rsidP="00E804B7">
            <w:pPr>
              <w:pStyle w:val="ColumnHeading"/>
              <w:keepNext/>
            </w:pPr>
            <w:r w:rsidRPr="00B7760C">
              <w:t>Besedilo, ki ga predlaga Komisija</w:t>
            </w:r>
          </w:p>
        </w:tc>
        <w:tc>
          <w:tcPr>
            <w:tcW w:w="4876" w:type="dxa"/>
            <w:hideMark/>
          </w:tcPr>
          <w:p w14:paraId="79F1BDFD" w14:textId="1D67C7D2" w:rsidR="003663AF" w:rsidRPr="00B7760C" w:rsidRDefault="00877691" w:rsidP="00E804B7">
            <w:pPr>
              <w:pStyle w:val="ColumnHeading"/>
              <w:keepNext/>
            </w:pPr>
            <w:r w:rsidRPr="00B7760C">
              <w:t>Sprememba</w:t>
            </w:r>
          </w:p>
        </w:tc>
      </w:tr>
      <w:tr w:rsidR="003663AF" w:rsidRPr="00B7760C" w14:paraId="5565BD3E" w14:textId="77777777" w:rsidTr="00E804B7">
        <w:trPr>
          <w:jc w:val="center"/>
        </w:trPr>
        <w:tc>
          <w:tcPr>
            <w:tcW w:w="4876" w:type="dxa"/>
          </w:tcPr>
          <w:p w14:paraId="44C25B5F" w14:textId="77777777" w:rsidR="003663AF" w:rsidRPr="00B7760C" w:rsidRDefault="003663AF" w:rsidP="00E804B7">
            <w:pPr>
              <w:pStyle w:val="Normal6"/>
            </w:pPr>
          </w:p>
        </w:tc>
        <w:tc>
          <w:tcPr>
            <w:tcW w:w="4876" w:type="dxa"/>
            <w:hideMark/>
          </w:tcPr>
          <w:p w14:paraId="6F38140A" w14:textId="77777777" w:rsidR="003663AF" w:rsidRPr="00B7760C" w:rsidRDefault="003663AF" w:rsidP="00E804B7">
            <w:pPr>
              <w:pStyle w:val="Normal6"/>
              <w:rPr>
                <w:szCs w:val="24"/>
              </w:rPr>
            </w:pPr>
            <w:r w:rsidRPr="00B7760C">
              <w:rPr>
                <w:b/>
                <w:i/>
              </w:rPr>
              <w:t>2a.</w:t>
            </w:r>
            <w:r w:rsidRPr="00B7760C">
              <w:rPr>
                <w:b/>
                <w:i/>
              </w:rPr>
              <w:tab/>
              <w:t>Države članice lahko presežejo odstotek iz odstavka 1, kadar je to potrebno za kritje potreb po dodelitvah v skladu s točkama (a) in (b) odstavka 4 ter odstavkom 5 tega člena.</w:t>
            </w:r>
          </w:p>
        </w:tc>
      </w:tr>
    </w:tbl>
    <w:p w14:paraId="3B19C5DF" w14:textId="77777777" w:rsidR="003663AF" w:rsidRPr="00B7760C" w:rsidRDefault="003663AF" w:rsidP="003663AF"/>
    <w:p w14:paraId="66C8C763" w14:textId="316977F7" w:rsidR="003663AF" w:rsidRPr="00B7760C" w:rsidRDefault="00877691" w:rsidP="003663AF">
      <w:pPr>
        <w:pStyle w:val="AMNumberTabs"/>
        <w:keepNext/>
      </w:pPr>
      <w:r w:rsidRPr="00B7760C">
        <w:t>Sprememba</w:t>
      </w:r>
      <w:r w:rsidR="003663AF" w:rsidRPr="00B7760C">
        <w:tab/>
      </w:r>
      <w:r w:rsidR="003663AF" w:rsidRPr="00B7760C">
        <w:tab/>
        <w:t>193</w:t>
      </w:r>
    </w:p>
    <w:p w14:paraId="3F9616D4" w14:textId="77777777" w:rsidR="003663AF" w:rsidRPr="00B7760C" w:rsidRDefault="003663AF" w:rsidP="003663AF">
      <w:pPr>
        <w:pStyle w:val="NormalBold12b"/>
      </w:pPr>
      <w:r w:rsidRPr="00B7760C">
        <w:t>Predlog uredbe</w:t>
      </w:r>
    </w:p>
    <w:p w14:paraId="7BF69223" w14:textId="77777777" w:rsidR="003663AF" w:rsidRPr="00B7760C" w:rsidRDefault="003663AF" w:rsidP="003663AF">
      <w:pPr>
        <w:pStyle w:val="NormalBold"/>
      </w:pPr>
      <w:r w:rsidRPr="00B7760C">
        <w:t>Člen 22 – odstavek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1533D88" w14:textId="77777777" w:rsidTr="00E804B7">
        <w:trPr>
          <w:jc w:val="center"/>
        </w:trPr>
        <w:tc>
          <w:tcPr>
            <w:tcW w:w="9752" w:type="dxa"/>
            <w:gridSpan w:val="2"/>
          </w:tcPr>
          <w:p w14:paraId="3D5141B9" w14:textId="77777777" w:rsidR="003663AF" w:rsidRPr="00B7760C" w:rsidRDefault="003663AF" w:rsidP="00E804B7">
            <w:pPr>
              <w:keepNext/>
            </w:pPr>
          </w:p>
        </w:tc>
      </w:tr>
      <w:tr w:rsidR="003663AF" w:rsidRPr="00B7760C" w14:paraId="05E8B014" w14:textId="77777777" w:rsidTr="00E804B7">
        <w:trPr>
          <w:jc w:val="center"/>
        </w:trPr>
        <w:tc>
          <w:tcPr>
            <w:tcW w:w="4876" w:type="dxa"/>
            <w:hideMark/>
          </w:tcPr>
          <w:p w14:paraId="216C76C1" w14:textId="77777777" w:rsidR="003663AF" w:rsidRPr="00B7760C" w:rsidRDefault="003663AF" w:rsidP="00E804B7">
            <w:pPr>
              <w:pStyle w:val="ColumnHeading"/>
              <w:keepNext/>
            </w:pPr>
            <w:r w:rsidRPr="00B7760C">
              <w:t>Besedilo, ki ga predlaga Komisija</w:t>
            </w:r>
          </w:p>
        </w:tc>
        <w:tc>
          <w:tcPr>
            <w:tcW w:w="4876" w:type="dxa"/>
            <w:hideMark/>
          </w:tcPr>
          <w:p w14:paraId="591496C4" w14:textId="362C0CCF" w:rsidR="003663AF" w:rsidRPr="00B7760C" w:rsidRDefault="00877691" w:rsidP="00E804B7">
            <w:pPr>
              <w:pStyle w:val="ColumnHeading"/>
              <w:keepNext/>
            </w:pPr>
            <w:r w:rsidRPr="00B7760C">
              <w:t>Sprememba</w:t>
            </w:r>
          </w:p>
        </w:tc>
      </w:tr>
      <w:tr w:rsidR="003663AF" w:rsidRPr="00B7760C" w14:paraId="721143F4" w14:textId="77777777" w:rsidTr="00E804B7">
        <w:trPr>
          <w:jc w:val="center"/>
        </w:trPr>
        <w:tc>
          <w:tcPr>
            <w:tcW w:w="4876" w:type="dxa"/>
            <w:hideMark/>
          </w:tcPr>
          <w:p w14:paraId="4AB79EB2" w14:textId="77777777" w:rsidR="003663AF" w:rsidRPr="00B7760C" w:rsidRDefault="003663AF" w:rsidP="00E804B7">
            <w:pPr>
              <w:pStyle w:val="Normal6"/>
            </w:pPr>
            <w:r w:rsidRPr="00B7760C">
              <w:t>3.</w:t>
            </w:r>
            <w:r w:rsidRPr="00B7760C">
              <w:tab/>
              <w:t xml:space="preserve">Države članice zagotovijo, da se plačilne pravice iz rezerve dodelijo le </w:t>
            </w:r>
            <w:r w:rsidRPr="00B7760C">
              <w:rPr>
                <w:b/>
                <w:i/>
              </w:rPr>
              <w:t>pravim</w:t>
            </w:r>
            <w:r w:rsidRPr="00B7760C">
              <w:t xml:space="preserve"> kmetom.</w:t>
            </w:r>
          </w:p>
        </w:tc>
        <w:tc>
          <w:tcPr>
            <w:tcW w:w="4876" w:type="dxa"/>
            <w:hideMark/>
          </w:tcPr>
          <w:p w14:paraId="014FEBAF" w14:textId="77777777" w:rsidR="003663AF" w:rsidRPr="00B7760C" w:rsidRDefault="003663AF" w:rsidP="00E804B7">
            <w:pPr>
              <w:pStyle w:val="Normal6"/>
              <w:rPr>
                <w:szCs w:val="24"/>
              </w:rPr>
            </w:pPr>
            <w:r w:rsidRPr="00B7760C">
              <w:t>3.</w:t>
            </w:r>
            <w:r w:rsidRPr="00B7760C">
              <w:tab/>
              <w:t xml:space="preserve">Države članice zagotovijo, da se plačilne pravice iz rezerve dodelijo le </w:t>
            </w:r>
            <w:r w:rsidRPr="00B7760C">
              <w:rPr>
                <w:b/>
                <w:i/>
              </w:rPr>
              <w:t>dejavnim</w:t>
            </w:r>
            <w:r w:rsidRPr="00B7760C">
              <w:t xml:space="preserve"> kmetom.</w:t>
            </w:r>
          </w:p>
        </w:tc>
      </w:tr>
    </w:tbl>
    <w:p w14:paraId="1B68EE5E" w14:textId="77777777" w:rsidR="003663AF" w:rsidRPr="00B7760C" w:rsidRDefault="003663AF" w:rsidP="003663AF"/>
    <w:p w14:paraId="238D3B6E" w14:textId="52F41F04" w:rsidR="003663AF" w:rsidRPr="00B7760C" w:rsidRDefault="00877691" w:rsidP="003663AF">
      <w:pPr>
        <w:pStyle w:val="AMNumberTabs"/>
        <w:keepNext/>
      </w:pPr>
      <w:r w:rsidRPr="00B7760C">
        <w:t>Sprememba</w:t>
      </w:r>
      <w:r w:rsidR="003663AF" w:rsidRPr="00B7760C">
        <w:tab/>
      </w:r>
      <w:r w:rsidR="003663AF" w:rsidRPr="00B7760C">
        <w:tab/>
        <w:t>194</w:t>
      </w:r>
    </w:p>
    <w:p w14:paraId="7C2DB609" w14:textId="77777777" w:rsidR="003663AF" w:rsidRPr="00B7760C" w:rsidRDefault="003663AF" w:rsidP="003663AF">
      <w:pPr>
        <w:pStyle w:val="NormalBold12b"/>
      </w:pPr>
      <w:r w:rsidRPr="00B7760C">
        <w:t>Predlog uredbe</w:t>
      </w:r>
    </w:p>
    <w:p w14:paraId="00AD77A0" w14:textId="77777777" w:rsidR="003663AF" w:rsidRPr="00B7760C" w:rsidRDefault="003663AF" w:rsidP="003663AF">
      <w:pPr>
        <w:pStyle w:val="NormalBold"/>
      </w:pPr>
      <w:r w:rsidRPr="00B7760C">
        <w:t>Člen 22 – odstavek 4 – točka 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C126388" w14:textId="77777777" w:rsidTr="00E804B7">
        <w:trPr>
          <w:jc w:val="center"/>
        </w:trPr>
        <w:tc>
          <w:tcPr>
            <w:tcW w:w="9752" w:type="dxa"/>
            <w:gridSpan w:val="2"/>
          </w:tcPr>
          <w:p w14:paraId="19D2EE73" w14:textId="77777777" w:rsidR="003663AF" w:rsidRPr="00B7760C" w:rsidRDefault="003663AF" w:rsidP="00E804B7">
            <w:pPr>
              <w:keepNext/>
            </w:pPr>
          </w:p>
        </w:tc>
      </w:tr>
      <w:tr w:rsidR="003663AF" w:rsidRPr="00B7760C" w14:paraId="0595B783" w14:textId="77777777" w:rsidTr="00E804B7">
        <w:trPr>
          <w:jc w:val="center"/>
        </w:trPr>
        <w:tc>
          <w:tcPr>
            <w:tcW w:w="4876" w:type="dxa"/>
            <w:hideMark/>
          </w:tcPr>
          <w:p w14:paraId="78812EC2" w14:textId="77777777" w:rsidR="003663AF" w:rsidRPr="00B7760C" w:rsidRDefault="003663AF" w:rsidP="00E804B7">
            <w:pPr>
              <w:pStyle w:val="ColumnHeading"/>
              <w:keepNext/>
            </w:pPr>
            <w:r w:rsidRPr="00B7760C">
              <w:t>Besedilo, ki ga predlaga Komisija</w:t>
            </w:r>
          </w:p>
        </w:tc>
        <w:tc>
          <w:tcPr>
            <w:tcW w:w="4876" w:type="dxa"/>
            <w:hideMark/>
          </w:tcPr>
          <w:p w14:paraId="0EEBC29D" w14:textId="7A56B0AB" w:rsidR="003663AF" w:rsidRPr="00B7760C" w:rsidRDefault="00877691" w:rsidP="00E804B7">
            <w:pPr>
              <w:pStyle w:val="ColumnHeading"/>
              <w:keepNext/>
            </w:pPr>
            <w:r w:rsidRPr="00B7760C">
              <w:t>Sprememba</w:t>
            </w:r>
          </w:p>
        </w:tc>
      </w:tr>
      <w:tr w:rsidR="003663AF" w:rsidRPr="00B7760C" w14:paraId="5705A245" w14:textId="77777777" w:rsidTr="00E804B7">
        <w:trPr>
          <w:jc w:val="center"/>
        </w:trPr>
        <w:tc>
          <w:tcPr>
            <w:tcW w:w="4876" w:type="dxa"/>
            <w:hideMark/>
          </w:tcPr>
          <w:p w14:paraId="5BADD216" w14:textId="77777777" w:rsidR="003663AF" w:rsidRPr="00B7760C" w:rsidRDefault="003663AF" w:rsidP="00E804B7">
            <w:pPr>
              <w:pStyle w:val="Normal6"/>
            </w:pPr>
            <w:r w:rsidRPr="00B7760C">
              <w:t>(a)</w:t>
            </w:r>
            <w:r w:rsidRPr="00B7760C">
              <w:tab/>
              <w:t>mladim kmetom, ki so prvič na novo ustanovili kmetijsko gospodarstvo;</w:t>
            </w:r>
          </w:p>
        </w:tc>
        <w:tc>
          <w:tcPr>
            <w:tcW w:w="4876" w:type="dxa"/>
            <w:hideMark/>
          </w:tcPr>
          <w:p w14:paraId="36618A5B" w14:textId="77777777" w:rsidR="003663AF" w:rsidRPr="00B7760C" w:rsidRDefault="003663AF" w:rsidP="00E804B7">
            <w:pPr>
              <w:pStyle w:val="Normal6"/>
              <w:rPr>
                <w:szCs w:val="24"/>
              </w:rPr>
            </w:pPr>
            <w:r w:rsidRPr="00B7760C">
              <w:t>(a)</w:t>
            </w:r>
            <w:r w:rsidRPr="00B7760C">
              <w:tab/>
              <w:t xml:space="preserve">mladim kmetom, ki so prvič na novo ustanovili kmetijsko gospodarstvo; </w:t>
            </w:r>
            <w:r w:rsidRPr="00B7760C">
              <w:rPr>
                <w:b/>
                <w:i/>
              </w:rPr>
              <w:t>ali</w:t>
            </w:r>
          </w:p>
        </w:tc>
      </w:tr>
    </w:tbl>
    <w:p w14:paraId="0E2F0969" w14:textId="77777777" w:rsidR="003663AF" w:rsidRPr="00B7760C" w:rsidRDefault="003663AF" w:rsidP="003663AF"/>
    <w:p w14:paraId="3D88BA8A" w14:textId="77777777" w:rsidR="003663AF" w:rsidRPr="00B7760C" w:rsidRDefault="003663AF" w:rsidP="003663AF">
      <w:pPr>
        <w:pStyle w:val="Normal6"/>
        <w:tabs>
          <w:tab w:val="left" w:pos="2410"/>
        </w:tabs>
      </w:pPr>
    </w:p>
    <w:p w14:paraId="41691F38" w14:textId="6AC4969D" w:rsidR="003663AF" w:rsidRPr="00B7760C" w:rsidRDefault="00877691" w:rsidP="003663AF">
      <w:pPr>
        <w:pStyle w:val="AMNumberTabs"/>
        <w:keepNext/>
      </w:pPr>
      <w:r w:rsidRPr="00B7760C">
        <w:t>Sprememba</w:t>
      </w:r>
      <w:r w:rsidR="003663AF" w:rsidRPr="00B7760C">
        <w:tab/>
      </w:r>
      <w:r w:rsidR="003663AF" w:rsidRPr="00B7760C">
        <w:tab/>
        <w:t>195</w:t>
      </w:r>
    </w:p>
    <w:p w14:paraId="78DF6E13" w14:textId="77777777" w:rsidR="003663AF" w:rsidRPr="00B7760C" w:rsidRDefault="003663AF" w:rsidP="003663AF">
      <w:pPr>
        <w:pStyle w:val="NormalBold12b"/>
      </w:pPr>
      <w:r w:rsidRPr="00B7760C">
        <w:t>Predlog uredbe</w:t>
      </w:r>
    </w:p>
    <w:p w14:paraId="2E8EBABA" w14:textId="77777777" w:rsidR="003663AF" w:rsidRPr="00B7760C" w:rsidRDefault="003663AF" w:rsidP="003663AF">
      <w:pPr>
        <w:pStyle w:val="NormalBold"/>
      </w:pPr>
      <w:r w:rsidRPr="00B7760C">
        <w:t>Člen 22 – odstavek 4 – točka b</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43375AF" w14:textId="77777777" w:rsidTr="00E804B7">
        <w:trPr>
          <w:jc w:val="center"/>
        </w:trPr>
        <w:tc>
          <w:tcPr>
            <w:tcW w:w="9752" w:type="dxa"/>
            <w:gridSpan w:val="2"/>
          </w:tcPr>
          <w:p w14:paraId="349E33BC" w14:textId="77777777" w:rsidR="003663AF" w:rsidRPr="00B7760C" w:rsidRDefault="003663AF" w:rsidP="00E804B7">
            <w:pPr>
              <w:keepNext/>
            </w:pPr>
          </w:p>
        </w:tc>
      </w:tr>
      <w:tr w:rsidR="003663AF" w:rsidRPr="00B7760C" w14:paraId="10FD45D2" w14:textId="77777777" w:rsidTr="00E804B7">
        <w:trPr>
          <w:jc w:val="center"/>
        </w:trPr>
        <w:tc>
          <w:tcPr>
            <w:tcW w:w="4876" w:type="dxa"/>
            <w:hideMark/>
          </w:tcPr>
          <w:p w14:paraId="353691DE" w14:textId="77777777" w:rsidR="003663AF" w:rsidRPr="00B7760C" w:rsidRDefault="003663AF" w:rsidP="00E804B7">
            <w:pPr>
              <w:pStyle w:val="ColumnHeading"/>
              <w:keepNext/>
            </w:pPr>
            <w:r w:rsidRPr="00B7760C">
              <w:t>Besedilo, ki ga predlaga Komisija</w:t>
            </w:r>
          </w:p>
        </w:tc>
        <w:tc>
          <w:tcPr>
            <w:tcW w:w="4876" w:type="dxa"/>
            <w:hideMark/>
          </w:tcPr>
          <w:p w14:paraId="0986BC95" w14:textId="12D3070A" w:rsidR="003663AF" w:rsidRPr="00B7760C" w:rsidRDefault="00877691" w:rsidP="00E804B7">
            <w:pPr>
              <w:pStyle w:val="ColumnHeading"/>
              <w:keepNext/>
            </w:pPr>
            <w:r w:rsidRPr="00B7760C">
              <w:t>Sprememba</w:t>
            </w:r>
          </w:p>
        </w:tc>
      </w:tr>
      <w:tr w:rsidR="003663AF" w:rsidRPr="00B7760C" w14:paraId="62585051" w14:textId="77777777" w:rsidTr="00E804B7">
        <w:trPr>
          <w:jc w:val="center"/>
        </w:trPr>
        <w:tc>
          <w:tcPr>
            <w:tcW w:w="4876" w:type="dxa"/>
            <w:hideMark/>
          </w:tcPr>
          <w:p w14:paraId="5F6C4AC6" w14:textId="77777777" w:rsidR="003663AF" w:rsidRPr="00B7760C" w:rsidRDefault="003663AF" w:rsidP="00E804B7">
            <w:pPr>
              <w:pStyle w:val="Normal6"/>
            </w:pPr>
            <w:r w:rsidRPr="00B7760C">
              <w:t>(b)</w:t>
            </w:r>
            <w:r w:rsidRPr="00B7760C">
              <w:tab/>
              <w:t>kmetom, ki so prvič na novo ustanovili kmetijsko gospodarstvo kot vodje kmetijskega gospodarstva ter ki imajo ustrezno usposabljanje ali pridobljena potrebna znanja in spretnosti</w:t>
            </w:r>
            <w:r w:rsidRPr="00B7760C">
              <w:rPr>
                <w:b/>
                <w:i/>
              </w:rPr>
              <w:t>, kot jih opredelijo države članice za mlade kmete</w:t>
            </w:r>
            <w:r w:rsidRPr="00B7760C">
              <w:t>.</w:t>
            </w:r>
          </w:p>
        </w:tc>
        <w:tc>
          <w:tcPr>
            <w:tcW w:w="4876" w:type="dxa"/>
            <w:hideMark/>
          </w:tcPr>
          <w:p w14:paraId="587D84B1" w14:textId="77777777" w:rsidR="003663AF" w:rsidRPr="00B7760C" w:rsidRDefault="003663AF" w:rsidP="00E804B7">
            <w:pPr>
              <w:pStyle w:val="Normal6"/>
              <w:rPr>
                <w:szCs w:val="24"/>
              </w:rPr>
            </w:pPr>
            <w:r w:rsidRPr="00B7760C">
              <w:t>(b)</w:t>
            </w:r>
            <w:r w:rsidRPr="00B7760C">
              <w:tab/>
              <w:t>kmetom, ki so prvič na novo ustanovili kmetijsko gospodarstvo kot vodje kmetijskega gospodarstva ter ki imajo ustrezno usposabljanje ali pridobljena potrebna znanja in spretnosti.</w:t>
            </w:r>
          </w:p>
        </w:tc>
      </w:tr>
    </w:tbl>
    <w:p w14:paraId="710E2158" w14:textId="77777777" w:rsidR="003663AF" w:rsidRPr="00B7760C" w:rsidRDefault="003663AF" w:rsidP="003663AF"/>
    <w:p w14:paraId="462218B7" w14:textId="58818004" w:rsidR="003663AF" w:rsidRPr="00B7760C" w:rsidRDefault="00877691" w:rsidP="003663AF">
      <w:pPr>
        <w:pStyle w:val="AMNumberTabs"/>
        <w:keepNext/>
      </w:pPr>
      <w:r w:rsidRPr="00B7760C">
        <w:t>Sprememba</w:t>
      </w:r>
      <w:r w:rsidR="003663AF" w:rsidRPr="00B7760C">
        <w:tab/>
      </w:r>
      <w:r w:rsidR="003663AF" w:rsidRPr="00B7760C">
        <w:tab/>
        <w:t>196</w:t>
      </w:r>
    </w:p>
    <w:p w14:paraId="251B061D" w14:textId="77777777" w:rsidR="003663AF" w:rsidRPr="00B7760C" w:rsidRDefault="003663AF" w:rsidP="003663AF">
      <w:pPr>
        <w:pStyle w:val="NormalBold12b"/>
      </w:pPr>
      <w:r w:rsidRPr="00B7760C">
        <w:t>Predlog uredbe</w:t>
      </w:r>
    </w:p>
    <w:p w14:paraId="18C65404" w14:textId="77777777" w:rsidR="003663AF" w:rsidRPr="00B7760C" w:rsidRDefault="003663AF" w:rsidP="003663AF">
      <w:pPr>
        <w:pStyle w:val="NormalBold"/>
      </w:pPr>
      <w:r w:rsidRPr="00B7760C">
        <w:t>Člen 22 – odstavek 4 – točka b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2FAD849" w14:textId="77777777" w:rsidTr="00E804B7">
        <w:trPr>
          <w:jc w:val="center"/>
        </w:trPr>
        <w:tc>
          <w:tcPr>
            <w:tcW w:w="9752" w:type="dxa"/>
            <w:gridSpan w:val="2"/>
          </w:tcPr>
          <w:p w14:paraId="0B91C9E4" w14:textId="77777777" w:rsidR="003663AF" w:rsidRPr="00B7760C" w:rsidRDefault="003663AF" w:rsidP="00E804B7">
            <w:pPr>
              <w:keepNext/>
            </w:pPr>
          </w:p>
        </w:tc>
      </w:tr>
      <w:tr w:rsidR="003663AF" w:rsidRPr="00B7760C" w14:paraId="33236E30" w14:textId="77777777" w:rsidTr="00E804B7">
        <w:trPr>
          <w:jc w:val="center"/>
        </w:trPr>
        <w:tc>
          <w:tcPr>
            <w:tcW w:w="4876" w:type="dxa"/>
            <w:hideMark/>
          </w:tcPr>
          <w:p w14:paraId="1C486C05" w14:textId="77777777" w:rsidR="003663AF" w:rsidRPr="00B7760C" w:rsidRDefault="003663AF" w:rsidP="00E804B7">
            <w:pPr>
              <w:pStyle w:val="ColumnHeading"/>
              <w:keepNext/>
            </w:pPr>
            <w:r w:rsidRPr="00B7760C">
              <w:t>Besedilo, ki ga predlaga Komisija</w:t>
            </w:r>
          </w:p>
        </w:tc>
        <w:tc>
          <w:tcPr>
            <w:tcW w:w="4876" w:type="dxa"/>
            <w:hideMark/>
          </w:tcPr>
          <w:p w14:paraId="2164CD44" w14:textId="7B18EC8C" w:rsidR="003663AF" w:rsidRPr="00B7760C" w:rsidRDefault="00877691" w:rsidP="00E804B7">
            <w:pPr>
              <w:pStyle w:val="ColumnHeading"/>
              <w:keepNext/>
            </w:pPr>
            <w:r w:rsidRPr="00B7760C">
              <w:t>Sprememba</w:t>
            </w:r>
          </w:p>
        </w:tc>
      </w:tr>
      <w:tr w:rsidR="003663AF" w:rsidRPr="00B7760C" w14:paraId="583F1B87" w14:textId="77777777" w:rsidTr="00E804B7">
        <w:trPr>
          <w:jc w:val="center"/>
        </w:trPr>
        <w:tc>
          <w:tcPr>
            <w:tcW w:w="4876" w:type="dxa"/>
          </w:tcPr>
          <w:p w14:paraId="71470206" w14:textId="77777777" w:rsidR="003663AF" w:rsidRPr="00B7760C" w:rsidRDefault="003663AF" w:rsidP="00E804B7">
            <w:pPr>
              <w:pStyle w:val="Normal6"/>
            </w:pPr>
          </w:p>
        </w:tc>
        <w:tc>
          <w:tcPr>
            <w:tcW w:w="4876" w:type="dxa"/>
            <w:hideMark/>
          </w:tcPr>
          <w:p w14:paraId="4C25912C" w14:textId="77777777" w:rsidR="003663AF" w:rsidRPr="00B7760C" w:rsidRDefault="003663AF" w:rsidP="00E804B7">
            <w:pPr>
              <w:pStyle w:val="Normal6"/>
              <w:rPr>
                <w:szCs w:val="24"/>
              </w:rPr>
            </w:pPr>
            <w:r w:rsidRPr="00B7760C">
              <w:rPr>
                <w:b/>
                <w:i/>
              </w:rPr>
              <w:t>(ba)</w:t>
            </w:r>
            <w:r w:rsidRPr="00B7760C">
              <w:rPr>
                <w:b/>
                <w:i/>
              </w:rPr>
              <w:tab/>
              <w:t>V primeru točk (a) in (b) dajo lahko države članice prednost ženskam in s tem prispevajo k izpolnitvi cilja iz točke (h) člena 6(1).</w:t>
            </w:r>
          </w:p>
        </w:tc>
      </w:tr>
    </w:tbl>
    <w:p w14:paraId="080FDC05" w14:textId="77777777" w:rsidR="003663AF" w:rsidRPr="00B7760C" w:rsidRDefault="003663AF" w:rsidP="003663AF"/>
    <w:p w14:paraId="6378545A" w14:textId="0637A190" w:rsidR="003663AF" w:rsidRPr="00B7760C" w:rsidRDefault="00877691" w:rsidP="003663AF">
      <w:pPr>
        <w:pStyle w:val="AMNumberTabs"/>
        <w:keepNext/>
      </w:pPr>
      <w:r w:rsidRPr="00B7760C">
        <w:t>Sprememba</w:t>
      </w:r>
      <w:r w:rsidR="003663AF" w:rsidRPr="00B7760C">
        <w:tab/>
      </w:r>
      <w:r w:rsidR="003663AF" w:rsidRPr="00B7760C">
        <w:tab/>
        <w:t>197</w:t>
      </w:r>
    </w:p>
    <w:p w14:paraId="1A48E4CD" w14:textId="77777777" w:rsidR="003663AF" w:rsidRPr="00B7760C" w:rsidRDefault="003663AF" w:rsidP="003663AF">
      <w:pPr>
        <w:pStyle w:val="NormalBold12b"/>
      </w:pPr>
      <w:r w:rsidRPr="00B7760C">
        <w:t>Predlog uredbe</w:t>
      </w:r>
    </w:p>
    <w:p w14:paraId="797E59B8" w14:textId="77777777" w:rsidR="003663AF" w:rsidRPr="00B7760C" w:rsidRDefault="003663AF" w:rsidP="003663AF">
      <w:pPr>
        <w:pStyle w:val="NormalBold"/>
      </w:pPr>
      <w:r w:rsidRPr="00B7760C">
        <w:t>Člen 22 – odstavek 4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3167435" w14:textId="77777777" w:rsidTr="00E804B7">
        <w:trPr>
          <w:jc w:val="center"/>
        </w:trPr>
        <w:tc>
          <w:tcPr>
            <w:tcW w:w="9752" w:type="dxa"/>
            <w:gridSpan w:val="2"/>
          </w:tcPr>
          <w:p w14:paraId="7F44F275" w14:textId="77777777" w:rsidR="003663AF" w:rsidRPr="00B7760C" w:rsidRDefault="003663AF" w:rsidP="00E804B7">
            <w:pPr>
              <w:keepNext/>
            </w:pPr>
          </w:p>
        </w:tc>
      </w:tr>
      <w:tr w:rsidR="003663AF" w:rsidRPr="00B7760C" w14:paraId="76A68F14" w14:textId="77777777" w:rsidTr="00E804B7">
        <w:trPr>
          <w:jc w:val="center"/>
        </w:trPr>
        <w:tc>
          <w:tcPr>
            <w:tcW w:w="4876" w:type="dxa"/>
            <w:hideMark/>
          </w:tcPr>
          <w:p w14:paraId="5F74D8EA" w14:textId="77777777" w:rsidR="003663AF" w:rsidRPr="00B7760C" w:rsidRDefault="003663AF" w:rsidP="00E804B7">
            <w:pPr>
              <w:pStyle w:val="ColumnHeading"/>
              <w:keepNext/>
            </w:pPr>
            <w:r w:rsidRPr="00B7760C">
              <w:t>Besedilo, ki ga predlaga Komisija</w:t>
            </w:r>
          </w:p>
        </w:tc>
        <w:tc>
          <w:tcPr>
            <w:tcW w:w="4876" w:type="dxa"/>
            <w:hideMark/>
          </w:tcPr>
          <w:p w14:paraId="20B263AC" w14:textId="1F3DB79A" w:rsidR="003663AF" w:rsidRPr="00B7760C" w:rsidRDefault="00877691" w:rsidP="00E804B7">
            <w:pPr>
              <w:pStyle w:val="ColumnHeading"/>
              <w:keepNext/>
            </w:pPr>
            <w:r w:rsidRPr="00B7760C">
              <w:t>Sprememba</w:t>
            </w:r>
          </w:p>
        </w:tc>
      </w:tr>
      <w:tr w:rsidR="003663AF" w:rsidRPr="00B7760C" w14:paraId="004591FF" w14:textId="77777777" w:rsidTr="00E804B7">
        <w:trPr>
          <w:jc w:val="center"/>
        </w:trPr>
        <w:tc>
          <w:tcPr>
            <w:tcW w:w="4876" w:type="dxa"/>
          </w:tcPr>
          <w:p w14:paraId="6ECBEB0C" w14:textId="77777777" w:rsidR="003663AF" w:rsidRPr="00B7760C" w:rsidRDefault="003663AF" w:rsidP="00E804B7">
            <w:pPr>
              <w:pStyle w:val="Normal6"/>
            </w:pPr>
          </w:p>
        </w:tc>
        <w:tc>
          <w:tcPr>
            <w:tcW w:w="4876" w:type="dxa"/>
            <w:hideMark/>
          </w:tcPr>
          <w:p w14:paraId="20052412" w14:textId="77777777" w:rsidR="003663AF" w:rsidRPr="00B7760C" w:rsidRDefault="003663AF" w:rsidP="00E804B7">
            <w:pPr>
              <w:pStyle w:val="Normal6"/>
              <w:rPr>
                <w:szCs w:val="24"/>
              </w:rPr>
            </w:pPr>
            <w:r w:rsidRPr="00B7760C">
              <w:rPr>
                <w:b/>
                <w:i/>
              </w:rPr>
              <w:t>4a.</w:t>
            </w:r>
            <w:r w:rsidRPr="00B7760C">
              <w:rPr>
                <w:b/>
                <w:i/>
              </w:rPr>
              <w:tab/>
              <w:t>Države članice lahko z objektivnimi in nediskriminatornimi merili opredelijo tudi druge primere, ki so skladni z oceno potreb iz člena 96, ranljivejši ali pomembnejši za doseganje specifičnih ciljev, določenih v členu 6, ter kmete, ki so novi uporabniki površin v kolektivnem upravljanju.</w:t>
            </w:r>
          </w:p>
        </w:tc>
      </w:tr>
    </w:tbl>
    <w:p w14:paraId="07FE93BF" w14:textId="77777777" w:rsidR="003663AF" w:rsidRPr="00B7760C" w:rsidRDefault="003663AF" w:rsidP="003663AF"/>
    <w:p w14:paraId="4C76AB07" w14:textId="1DB961D2" w:rsidR="003663AF" w:rsidRPr="00B7760C" w:rsidRDefault="00877691" w:rsidP="003663AF">
      <w:pPr>
        <w:pStyle w:val="AMNumberTabs"/>
        <w:keepNext/>
      </w:pPr>
      <w:r w:rsidRPr="00B7760C">
        <w:t>Sprememba</w:t>
      </w:r>
      <w:r w:rsidR="003663AF" w:rsidRPr="00B7760C">
        <w:tab/>
      </w:r>
      <w:r w:rsidR="003663AF" w:rsidRPr="00B7760C">
        <w:tab/>
        <w:t>198</w:t>
      </w:r>
    </w:p>
    <w:p w14:paraId="7F8C0CF0" w14:textId="77777777" w:rsidR="003663AF" w:rsidRPr="00B7760C" w:rsidRDefault="003663AF" w:rsidP="003663AF">
      <w:pPr>
        <w:pStyle w:val="NormalBold12b"/>
      </w:pPr>
      <w:r w:rsidRPr="00B7760C">
        <w:t>Predlog uredbe</w:t>
      </w:r>
    </w:p>
    <w:p w14:paraId="3AD94933" w14:textId="77777777" w:rsidR="003663AF" w:rsidRPr="00B7760C" w:rsidRDefault="003663AF" w:rsidP="003663AF">
      <w:pPr>
        <w:pStyle w:val="NormalBold"/>
      </w:pPr>
      <w:r w:rsidRPr="00B7760C">
        <w:t>Člen 22 – odstavek 5</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33E7922" w14:textId="77777777" w:rsidTr="00E804B7">
        <w:trPr>
          <w:jc w:val="center"/>
        </w:trPr>
        <w:tc>
          <w:tcPr>
            <w:tcW w:w="9752" w:type="dxa"/>
            <w:gridSpan w:val="2"/>
          </w:tcPr>
          <w:p w14:paraId="3CDA06AA" w14:textId="77777777" w:rsidR="003663AF" w:rsidRPr="00B7760C" w:rsidRDefault="003663AF" w:rsidP="00E804B7">
            <w:pPr>
              <w:keepNext/>
            </w:pPr>
          </w:p>
        </w:tc>
      </w:tr>
      <w:tr w:rsidR="003663AF" w:rsidRPr="00B7760C" w14:paraId="1410E4AE" w14:textId="77777777" w:rsidTr="00E804B7">
        <w:trPr>
          <w:jc w:val="center"/>
        </w:trPr>
        <w:tc>
          <w:tcPr>
            <w:tcW w:w="4876" w:type="dxa"/>
            <w:hideMark/>
          </w:tcPr>
          <w:p w14:paraId="5EB9CADE" w14:textId="77777777" w:rsidR="003663AF" w:rsidRPr="00B7760C" w:rsidRDefault="003663AF" w:rsidP="00E804B7">
            <w:pPr>
              <w:pStyle w:val="ColumnHeading"/>
              <w:keepNext/>
            </w:pPr>
            <w:r w:rsidRPr="00B7760C">
              <w:t>Besedilo, ki ga predlaga Komisija</w:t>
            </w:r>
          </w:p>
        </w:tc>
        <w:tc>
          <w:tcPr>
            <w:tcW w:w="4876" w:type="dxa"/>
            <w:hideMark/>
          </w:tcPr>
          <w:p w14:paraId="18A8855C" w14:textId="6BEA64B7" w:rsidR="003663AF" w:rsidRPr="00B7760C" w:rsidRDefault="00877691" w:rsidP="00E804B7">
            <w:pPr>
              <w:pStyle w:val="ColumnHeading"/>
              <w:keepNext/>
            </w:pPr>
            <w:r w:rsidRPr="00B7760C">
              <w:t>Sprememba</w:t>
            </w:r>
          </w:p>
        </w:tc>
      </w:tr>
      <w:tr w:rsidR="003663AF" w:rsidRPr="00B7760C" w14:paraId="428E2EBC" w14:textId="77777777" w:rsidTr="00E804B7">
        <w:trPr>
          <w:jc w:val="center"/>
        </w:trPr>
        <w:tc>
          <w:tcPr>
            <w:tcW w:w="4876" w:type="dxa"/>
            <w:hideMark/>
          </w:tcPr>
          <w:p w14:paraId="67219AE9" w14:textId="77777777" w:rsidR="003663AF" w:rsidRPr="00B7760C" w:rsidRDefault="003663AF" w:rsidP="00E804B7">
            <w:pPr>
              <w:pStyle w:val="Normal6"/>
            </w:pPr>
            <w:r w:rsidRPr="00B7760C">
              <w:t>5.</w:t>
            </w:r>
            <w:r w:rsidRPr="00B7760C">
              <w:tab/>
              <w:t xml:space="preserve">Države članice dodelijo plačilne pravice ali povečajo vrednost obstoječih plačilnih pravic za </w:t>
            </w:r>
            <w:r w:rsidRPr="00B7760C">
              <w:rPr>
                <w:b/>
                <w:i/>
              </w:rPr>
              <w:t>prave</w:t>
            </w:r>
            <w:r w:rsidRPr="00B7760C">
              <w:t xml:space="preserve"> kmete, ki so upravičeni na podlagi dokončne odločitve sodišča ali dokončnega upravnega akta pristojnega organa države članice. Države članice zagotovijo, da navedeni </w:t>
            </w:r>
            <w:r w:rsidRPr="00B7760C">
              <w:rPr>
                <w:b/>
                <w:i/>
              </w:rPr>
              <w:t>pravi</w:t>
            </w:r>
            <w:r w:rsidRPr="00B7760C">
              <w:t xml:space="preserve"> kmetje prejmejo število in vrednost plačilnih pravic, kot sta določena v navedeni odločitvi ali aktu, na datum, ki ga določi država članica.</w:t>
            </w:r>
          </w:p>
        </w:tc>
        <w:tc>
          <w:tcPr>
            <w:tcW w:w="4876" w:type="dxa"/>
            <w:hideMark/>
          </w:tcPr>
          <w:p w14:paraId="0F40C33A" w14:textId="77777777" w:rsidR="003663AF" w:rsidRPr="00B7760C" w:rsidRDefault="003663AF" w:rsidP="00E804B7">
            <w:pPr>
              <w:pStyle w:val="Normal6"/>
              <w:rPr>
                <w:szCs w:val="24"/>
              </w:rPr>
            </w:pPr>
            <w:r w:rsidRPr="00B7760C">
              <w:t>5.</w:t>
            </w:r>
            <w:r w:rsidRPr="00B7760C">
              <w:tab/>
              <w:t xml:space="preserve">Države članice dodelijo plačilne pravice ali povečajo vrednost obstoječih plačilnih pravic za </w:t>
            </w:r>
            <w:r w:rsidRPr="00B7760C">
              <w:rPr>
                <w:b/>
                <w:i/>
              </w:rPr>
              <w:t>dejavne</w:t>
            </w:r>
            <w:r w:rsidRPr="00B7760C">
              <w:t xml:space="preserve"> kmete, ki so upravičeni na podlagi dokončne odločitve sodišča ali dokončnega upravnega akta pristojnega organa države članice. Države članice zagotovijo, da navedeni </w:t>
            </w:r>
            <w:r w:rsidRPr="00B7760C">
              <w:rPr>
                <w:b/>
                <w:i/>
              </w:rPr>
              <w:t>dejavni</w:t>
            </w:r>
            <w:r w:rsidRPr="00B7760C">
              <w:t xml:space="preserve"> kmetje prejmejo število in vrednost plačilnih pravic, kot sta določena v navedeni odločitvi ali aktu, na datum, ki ga določi država članica.</w:t>
            </w:r>
          </w:p>
        </w:tc>
      </w:tr>
    </w:tbl>
    <w:p w14:paraId="63A3B1A5" w14:textId="77777777" w:rsidR="003663AF" w:rsidRPr="00B7760C" w:rsidRDefault="003663AF" w:rsidP="003663AF"/>
    <w:p w14:paraId="19E2EE7F" w14:textId="1A26BFDC" w:rsidR="003663AF" w:rsidRPr="00B7760C" w:rsidRDefault="00877691" w:rsidP="003663AF">
      <w:pPr>
        <w:pStyle w:val="AMNumberTabs"/>
        <w:keepNext/>
      </w:pPr>
      <w:r w:rsidRPr="00B7760C">
        <w:t>Sprememba</w:t>
      </w:r>
      <w:r w:rsidR="003663AF" w:rsidRPr="00B7760C">
        <w:tab/>
      </w:r>
      <w:r w:rsidR="003663AF" w:rsidRPr="00B7760C">
        <w:tab/>
        <w:t>199</w:t>
      </w:r>
    </w:p>
    <w:p w14:paraId="31E432AA" w14:textId="77777777" w:rsidR="003663AF" w:rsidRPr="00B7760C" w:rsidRDefault="003663AF" w:rsidP="003663AF">
      <w:pPr>
        <w:pStyle w:val="NormalBold12b"/>
      </w:pPr>
      <w:r w:rsidRPr="00B7760C">
        <w:t>Predlog uredbe</w:t>
      </w:r>
    </w:p>
    <w:p w14:paraId="1A7863E6" w14:textId="77777777" w:rsidR="003663AF" w:rsidRPr="00B7760C" w:rsidRDefault="003663AF" w:rsidP="003663AF">
      <w:pPr>
        <w:pStyle w:val="NormalBold"/>
      </w:pPr>
      <w:r w:rsidRPr="00B7760C">
        <w:t>Člen 22 – odstavek 5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4F83E82" w14:textId="77777777" w:rsidTr="00E804B7">
        <w:trPr>
          <w:jc w:val="center"/>
        </w:trPr>
        <w:tc>
          <w:tcPr>
            <w:tcW w:w="9752" w:type="dxa"/>
            <w:gridSpan w:val="2"/>
          </w:tcPr>
          <w:p w14:paraId="179D349E" w14:textId="77777777" w:rsidR="003663AF" w:rsidRPr="00B7760C" w:rsidRDefault="003663AF" w:rsidP="00E804B7">
            <w:pPr>
              <w:keepNext/>
            </w:pPr>
          </w:p>
        </w:tc>
      </w:tr>
      <w:tr w:rsidR="003663AF" w:rsidRPr="00B7760C" w14:paraId="111EF2BE" w14:textId="77777777" w:rsidTr="00E804B7">
        <w:trPr>
          <w:jc w:val="center"/>
        </w:trPr>
        <w:tc>
          <w:tcPr>
            <w:tcW w:w="4876" w:type="dxa"/>
            <w:hideMark/>
          </w:tcPr>
          <w:p w14:paraId="4282C20A" w14:textId="77777777" w:rsidR="003663AF" w:rsidRPr="00B7760C" w:rsidRDefault="003663AF" w:rsidP="00E804B7">
            <w:pPr>
              <w:pStyle w:val="ColumnHeading"/>
              <w:keepNext/>
            </w:pPr>
            <w:r w:rsidRPr="00B7760C">
              <w:t>Besedilo, ki ga predlaga Komisija</w:t>
            </w:r>
          </w:p>
        </w:tc>
        <w:tc>
          <w:tcPr>
            <w:tcW w:w="4876" w:type="dxa"/>
            <w:hideMark/>
          </w:tcPr>
          <w:p w14:paraId="2D5AD80B" w14:textId="5B9B2CAB" w:rsidR="003663AF" w:rsidRPr="00B7760C" w:rsidRDefault="00877691" w:rsidP="00E804B7">
            <w:pPr>
              <w:pStyle w:val="ColumnHeading"/>
              <w:keepNext/>
            </w:pPr>
            <w:r w:rsidRPr="00B7760C">
              <w:t>Sprememba</w:t>
            </w:r>
          </w:p>
        </w:tc>
      </w:tr>
      <w:tr w:rsidR="003663AF" w:rsidRPr="00B7760C" w14:paraId="4A83F511" w14:textId="77777777" w:rsidTr="00E804B7">
        <w:trPr>
          <w:jc w:val="center"/>
        </w:trPr>
        <w:tc>
          <w:tcPr>
            <w:tcW w:w="4876" w:type="dxa"/>
          </w:tcPr>
          <w:p w14:paraId="6B532735" w14:textId="77777777" w:rsidR="003663AF" w:rsidRPr="00B7760C" w:rsidRDefault="003663AF" w:rsidP="00E804B7">
            <w:pPr>
              <w:pStyle w:val="Normal6"/>
            </w:pPr>
          </w:p>
        </w:tc>
        <w:tc>
          <w:tcPr>
            <w:tcW w:w="4876" w:type="dxa"/>
            <w:hideMark/>
          </w:tcPr>
          <w:p w14:paraId="70140154" w14:textId="77777777" w:rsidR="003663AF" w:rsidRPr="00B7760C" w:rsidRDefault="003663AF" w:rsidP="00E804B7">
            <w:pPr>
              <w:pStyle w:val="Normal6"/>
              <w:rPr>
                <w:szCs w:val="24"/>
              </w:rPr>
            </w:pPr>
            <w:r w:rsidRPr="00B7760C">
              <w:rPr>
                <w:b/>
                <w:i/>
              </w:rPr>
              <w:t>5a.</w:t>
            </w:r>
            <w:r w:rsidRPr="00B7760C">
              <w:rPr>
                <w:b/>
                <w:i/>
              </w:rPr>
              <w:tab/>
              <w:t>Države članice lahko uporabljajo nacionalno rezervo za linearno povečanje osnovne dohodkovne podpore ali izpolnitev določenih ciljev iz člena 6(1) na podlagi nediskriminatornih meril, če so na voljo zadostni zneski za dodelitve, določene v odstavkih 4 in 5 tega člena.</w:t>
            </w:r>
          </w:p>
        </w:tc>
      </w:tr>
    </w:tbl>
    <w:p w14:paraId="435D6943" w14:textId="77777777" w:rsidR="003663AF" w:rsidRPr="00B7760C" w:rsidRDefault="003663AF" w:rsidP="003663AF"/>
    <w:p w14:paraId="719C123E" w14:textId="6B0D7C7A" w:rsidR="003663AF" w:rsidRPr="00B7760C" w:rsidRDefault="00877691" w:rsidP="003663AF">
      <w:pPr>
        <w:pStyle w:val="AMNumberTabs"/>
        <w:keepNext/>
      </w:pPr>
      <w:r w:rsidRPr="00B7760C">
        <w:t>Sprememba</w:t>
      </w:r>
      <w:r w:rsidR="003663AF" w:rsidRPr="00B7760C">
        <w:tab/>
      </w:r>
      <w:r w:rsidR="003663AF" w:rsidRPr="00B7760C">
        <w:tab/>
        <w:t>200</w:t>
      </w:r>
    </w:p>
    <w:p w14:paraId="0B74CBBD" w14:textId="77777777" w:rsidR="003663AF" w:rsidRPr="00B7760C" w:rsidRDefault="003663AF" w:rsidP="003663AF">
      <w:pPr>
        <w:pStyle w:val="NormalBold12b"/>
      </w:pPr>
      <w:r w:rsidRPr="00B7760C">
        <w:t>Predlog uredbe</w:t>
      </w:r>
    </w:p>
    <w:p w14:paraId="1AB8C4D7" w14:textId="77777777" w:rsidR="003663AF" w:rsidRPr="00B7760C" w:rsidRDefault="003663AF" w:rsidP="003663AF">
      <w:pPr>
        <w:pStyle w:val="NormalBold"/>
      </w:pPr>
      <w:r w:rsidRPr="00B7760C">
        <w:t>Člen 23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57584CB" w14:textId="77777777" w:rsidTr="00E804B7">
        <w:trPr>
          <w:jc w:val="center"/>
        </w:trPr>
        <w:tc>
          <w:tcPr>
            <w:tcW w:w="9752" w:type="dxa"/>
            <w:gridSpan w:val="2"/>
          </w:tcPr>
          <w:p w14:paraId="3D6421E8" w14:textId="77777777" w:rsidR="003663AF" w:rsidRPr="00B7760C" w:rsidRDefault="003663AF" w:rsidP="00E804B7">
            <w:pPr>
              <w:keepNext/>
            </w:pPr>
          </w:p>
        </w:tc>
      </w:tr>
      <w:tr w:rsidR="003663AF" w:rsidRPr="00B7760C" w14:paraId="0A611EC9" w14:textId="77777777" w:rsidTr="00E804B7">
        <w:trPr>
          <w:jc w:val="center"/>
        </w:trPr>
        <w:tc>
          <w:tcPr>
            <w:tcW w:w="4876" w:type="dxa"/>
            <w:hideMark/>
          </w:tcPr>
          <w:p w14:paraId="48742C79" w14:textId="77777777" w:rsidR="003663AF" w:rsidRPr="00B7760C" w:rsidRDefault="003663AF" w:rsidP="00E804B7">
            <w:pPr>
              <w:pStyle w:val="ColumnHeading"/>
              <w:keepNext/>
            </w:pPr>
            <w:r w:rsidRPr="00B7760C">
              <w:t>Besedilo, ki ga predlaga Komisija</w:t>
            </w:r>
          </w:p>
        </w:tc>
        <w:tc>
          <w:tcPr>
            <w:tcW w:w="4876" w:type="dxa"/>
            <w:hideMark/>
          </w:tcPr>
          <w:p w14:paraId="2BDAF7CC" w14:textId="7F6D44C9" w:rsidR="003663AF" w:rsidRPr="00B7760C" w:rsidRDefault="00877691" w:rsidP="00E804B7">
            <w:pPr>
              <w:pStyle w:val="ColumnHeading"/>
              <w:keepNext/>
            </w:pPr>
            <w:r w:rsidRPr="00B7760C">
              <w:t>Sprememba</w:t>
            </w:r>
          </w:p>
        </w:tc>
      </w:tr>
      <w:tr w:rsidR="003663AF" w:rsidRPr="00B7760C" w14:paraId="074BB040" w14:textId="77777777" w:rsidTr="00E804B7">
        <w:trPr>
          <w:jc w:val="center"/>
        </w:trPr>
        <w:tc>
          <w:tcPr>
            <w:tcW w:w="4876" w:type="dxa"/>
            <w:hideMark/>
          </w:tcPr>
          <w:p w14:paraId="4AE6B80C" w14:textId="77777777" w:rsidR="003663AF" w:rsidRPr="00B7760C" w:rsidRDefault="003663AF" w:rsidP="00E804B7">
            <w:pPr>
              <w:pStyle w:val="Normal6"/>
              <w:jc w:val="center"/>
            </w:pPr>
            <w:r w:rsidRPr="00B7760C">
              <w:rPr>
                <w:b/>
                <w:i/>
              </w:rPr>
              <w:t>Člen 23</w:t>
            </w:r>
          </w:p>
        </w:tc>
        <w:tc>
          <w:tcPr>
            <w:tcW w:w="4876" w:type="dxa"/>
            <w:hideMark/>
          </w:tcPr>
          <w:p w14:paraId="102F7296" w14:textId="77777777" w:rsidR="003663AF" w:rsidRPr="00B7760C" w:rsidRDefault="003663AF" w:rsidP="00E804B7">
            <w:pPr>
              <w:pStyle w:val="Normal6"/>
              <w:rPr>
                <w:szCs w:val="24"/>
              </w:rPr>
            </w:pPr>
            <w:r w:rsidRPr="00B7760C">
              <w:rPr>
                <w:b/>
                <w:i/>
              </w:rPr>
              <w:t>črtano</w:t>
            </w:r>
          </w:p>
        </w:tc>
      </w:tr>
      <w:tr w:rsidR="003663AF" w:rsidRPr="00B7760C" w14:paraId="175E7538" w14:textId="77777777" w:rsidTr="00E804B7">
        <w:trPr>
          <w:jc w:val="center"/>
        </w:trPr>
        <w:tc>
          <w:tcPr>
            <w:tcW w:w="4876" w:type="dxa"/>
            <w:hideMark/>
          </w:tcPr>
          <w:p w14:paraId="7DB52CDC" w14:textId="77777777" w:rsidR="003663AF" w:rsidRPr="00B7760C" w:rsidRDefault="003663AF" w:rsidP="00E804B7">
            <w:pPr>
              <w:pStyle w:val="Normal6"/>
              <w:jc w:val="center"/>
            </w:pPr>
            <w:r w:rsidRPr="00B7760C">
              <w:rPr>
                <w:b/>
                <w:i/>
              </w:rPr>
              <w:t>Prenos pooblastil</w:t>
            </w:r>
          </w:p>
        </w:tc>
        <w:tc>
          <w:tcPr>
            <w:tcW w:w="4876" w:type="dxa"/>
          </w:tcPr>
          <w:p w14:paraId="2A86FB2B" w14:textId="77777777" w:rsidR="003663AF" w:rsidRPr="00B7760C" w:rsidRDefault="003663AF" w:rsidP="00E804B7">
            <w:pPr>
              <w:pStyle w:val="Normal6"/>
              <w:rPr>
                <w:szCs w:val="24"/>
              </w:rPr>
            </w:pPr>
          </w:p>
        </w:tc>
      </w:tr>
      <w:tr w:rsidR="003663AF" w:rsidRPr="00B7760C" w14:paraId="2B15E1B6" w14:textId="77777777" w:rsidTr="00E804B7">
        <w:trPr>
          <w:jc w:val="center"/>
        </w:trPr>
        <w:tc>
          <w:tcPr>
            <w:tcW w:w="4876" w:type="dxa"/>
            <w:hideMark/>
          </w:tcPr>
          <w:p w14:paraId="1DC39B98" w14:textId="77777777" w:rsidR="003663AF" w:rsidRPr="00B7760C" w:rsidRDefault="003663AF" w:rsidP="00E804B7">
            <w:pPr>
              <w:pStyle w:val="Normal6"/>
            </w:pPr>
            <w:r w:rsidRPr="00B7760C">
              <w:rPr>
                <w:b/>
                <w:i/>
              </w:rPr>
              <w:t>Na Komisijo se prenese pooblastilo za sprejemanje delegiranih aktov v skladu s členom 138 za dopolnitev te uredbe s pravili o:</w:t>
            </w:r>
          </w:p>
        </w:tc>
        <w:tc>
          <w:tcPr>
            <w:tcW w:w="4876" w:type="dxa"/>
          </w:tcPr>
          <w:p w14:paraId="7434DD2C" w14:textId="77777777" w:rsidR="003663AF" w:rsidRPr="00B7760C" w:rsidRDefault="003663AF" w:rsidP="00E804B7">
            <w:pPr>
              <w:pStyle w:val="Normal6"/>
              <w:rPr>
                <w:szCs w:val="24"/>
              </w:rPr>
            </w:pPr>
          </w:p>
        </w:tc>
      </w:tr>
      <w:tr w:rsidR="003663AF" w:rsidRPr="00B7760C" w14:paraId="13BB26BE" w14:textId="77777777" w:rsidTr="00E804B7">
        <w:trPr>
          <w:jc w:val="center"/>
        </w:trPr>
        <w:tc>
          <w:tcPr>
            <w:tcW w:w="4876" w:type="dxa"/>
            <w:hideMark/>
          </w:tcPr>
          <w:p w14:paraId="0180DF5C" w14:textId="77777777" w:rsidR="003663AF" w:rsidRPr="00B7760C" w:rsidRDefault="003663AF" w:rsidP="00E804B7">
            <w:pPr>
              <w:pStyle w:val="Normal6"/>
            </w:pPr>
            <w:r w:rsidRPr="00B7760C">
              <w:rPr>
                <w:b/>
                <w:i/>
              </w:rPr>
              <w:t>(a)</w:t>
            </w:r>
            <w:r w:rsidRPr="00B7760C">
              <w:rPr>
                <w:b/>
                <w:i/>
              </w:rPr>
              <w:tab/>
              <w:t>vzpostavitvi rezerve;</w:t>
            </w:r>
          </w:p>
        </w:tc>
        <w:tc>
          <w:tcPr>
            <w:tcW w:w="4876" w:type="dxa"/>
          </w:tcPr>
          <w:p w14:paraId="4805708A" w14:textId="77777777" w:rsidR="003663AF" w:rsidRPr="00B7760C" w:rsidRDefault="003663AF" w:rsidP="00E804B7">
            <w:pPr>
              <w:pStyle w:val="Normal6"/>
              <w:rPr>
                <w:szCs w:val="24"/>
              </w:rPr>
            </w:pPr>
          </w:p>
        </w:tc>
      </w:tr>
      <w:tr w:rsidR="003663AF" w:rsidRPr="00B7760C" w14:paraId="3C501619" w14:textId="77777777" w:rsidTr="00E804B7">
        <w:trPr>
          <w:jc w:val="center"/>
        </w:trPr>
        <w:tc>
          <w:tcPr>
            <w:tcW w:w="4876" w:type="dxa"/>
            <w:hideMark/>
          </w:tcPr>
          <w:p w14:paraId="0DCA0657" w14:textId="77777777" w:rsidR="003663AF" w:rsidRPr="00B7760C" w:rsidRDefault="003663AF" w:rsidP="00E804B7">
            <w:pPr>
              <w:pStyle w:val="Normal6"/>
            </w:pPr>
            <w:r w:rsidRPr="00B7760C">
              <w:rPr>
                <w:b/>
                <w:i/>
              </w:rPr>
              <w:t>(b)</w:t>
            </w:r>
            <w:r w:rsidRPr="00B7760C">
              <w:rPr>
                <w:b/>
                <w:i/>
              </w:rPr>
              <w:tab/>
              <w:t>dostopu do rezerve;</w:t>
            </w:r>
          </w:p>
        </w:tc>
        <w:tc>
          <w:tcPr>
            <w:tcW w:w="4876" w:type="dxa"/>
          </w:tcPr>
          <w:p w14:paraId="1A61FDBE" w14:textId="77777777" w:rsidR="003663AF" w:rsidRPr="00B7760C" w:rsidRDefault="003663AF" w:rsidP="00E804B7">
            <w:pPr>
              <w:pStyle w:val="Normal6"/>
              <w:rPr>
                <w:szCs w:val="24"/>
              </w:rPr>
            </w:pPr>
          </w:p>
        </w:tc>
      </w:tr>
      <w:tr w:rsidR="003663AF" w:rsidRPr="00B7760C" w14:paraId="676C28B8" w14:textId="77777777" w:rsidTr="00E804B7">
        <w:trPr>
          <w:jc w:val="center"/>
        </w:trPr>
        <w:tc>
          <w:tcPr>
            <w:tcW w:w="4876" w:type="dxa"/>
            <w:hideMark/>
          </w:tcPr>
          <w:p w14:paraId="676CA023" w14:textId="77777777" w:rsidR="003663AF" w:rsidRPr="00B7760C" w:rsidRDefault="003663AF" w:rsidP="00E804B7">
            <w:pPr>
              <w:pStyle w:val="Normal6"/>
            </w:pPr>
            <w:r w:rsidRPr="00B7760C">
              <w:rPr>
                <w:b/>
                <w:i/>
              </w:rPr>
              <w:t>(c)</w:t>
            </w:r>
            <w:r w:rsidRPr="00B7760C">
              <w:rPr>
                <w:b/>
                <w:i/>
              </w:rPr>
              <w:tab/>
              <w:t>vsebini prijave in zahtevah za aktiviranje plačilnih pravic.</w:t>
            </w:r>
          </w:p>
        </w:tc>
        <w:tc>
          <w:tcPr>
            <w:tcW w:w="4876" w:type="dxa"/>
          </w:tcPr>
          <w:p w14:paraId="4D483D80" w14:textId="77777777" w:rsidR="003663AF" w:rsidRPr="00B7760C" w:rsidRDefault="003663AF" w:rsidP="00E804B7">
            <w:pPr>
              <w:pStyle w:val="Normal6"/>
              <w:rPr>
                <w:szCs w:val="24"/>
              </w:rPr>
            </w:pPr>
          </w:p>
        </w:tc>
      </w:tr>
    </w:tbl>
    <w:p w14:paraId="3B631726" w14:textId="77777777" w:rsidR="003663AF" w:rsidRPr="00B7760C" w:rsidRDefault="003663AF" w:rsidP="003663AF"/>
    <w:p w14:paraId="637BF3C1" w14:textId="524CDAFE" w:rsidR="003663AF" w:rsidRPr="00B7760C" w:rsidRDefault="00877691" w:rsidP="003663AF">
      <w:pPr>
        <w:pStyle w:val="AMNumberTabs"/>
      </w:pPr>
      <w:r w:rsidRPr="00B7760C">
        <w:t>Sprememba</w:t>
      </w:r>
      <w:r w:rsidR="003663AF" w:rsidRPr="00B7760C">
        <w:tab/>
      </w:r>
      <w:r w:rsidR="003663AF" w:rsidRPr="00B7760C">
        <w:tab/>
        <w:t>201</w:t>
      </w:r>
    </w:p>
    <w:p w14:paraId="254322FC" w14:textId="77777777" w:rsidR="003663AF" w:rsidRPr="00B7760C" w:rsidRDefault="003663AF" w:rsidP="003663AF">
      <w:pPr>
        <w:pStyle w:val="NormalBold12b"/>
      </w:pPr>
      <w:r w:rsidRPr="00B7760C">
        <w:t>Predlog uredbe</w:t>
      </w:r>
    </w:p>
    <w:p w14:paraId="1BA1D84B" w14:textId="77777777" w:rsidR="003663AF" w:rsidRPr="00B7760C" w:rsidRDefault="003663AF" w:rsidP="003663AF">
      <w:pPr>
        <w:pStyle w:val="NormalBold"/>
      </w:pPr>
      <w:r w:rsidRPr="00B7760C">
        <w:t>Člen 24 – 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95B37FA" w14:textId="77777777" w:rsidTr="00E804B7">
        <w:trPr>
          <w:trHeight w:hRule="exact" w:val="240"/>
          <w:jc w:val="center"/>
        </w:trPr>
        <w:tc>
          <w:tcPr>
            <w:tcW w:w="9752" w:type="dxa"/>
            <w:gridSpan w:val="2"/>
          </w:tcPr>
          <w:p w14:paraId="2AF3784F" w14:textId="77777777" w:rsidR="003663AF" w:rsidRPr="00B7760C" w:rsidRDefault="003663AF" w:rsidP="00E804B7"/>
        </w:tc>
      </w:tr>
      <w:tr w:rsidR="003663AF" w:rsidRPr="00B7760C" w14:paraId="4E7E397C" w14:textId="77777777" w:rsidTr="00E804B7">
        <w:trPr>
          <w:trHeight w:val="240"/>
          <w:jc w:val="center"/>
        </w:trPr>
        <w:tc>
          <w:tcPr>
            <w:tcW w:w="4876" w:type="dxa"/>
          </w:tcPr>
          <w:p w14:paraId="1B7F6463" w14:textId="77777777" w:rsidR="003663AF" w:rsidRPr="00B7760C" w:rsidRDefault="003663AF" w:rsidP="00E804B7">
            <w:pPr>
              <w:pStyle w:val="ColumnHeading"/>
            </w:pPr>
            <w:r w:rsidRPr="00B7760C">
              <w:t>Besedilo, ki ga predlaga Komisija</w:t>
            </w:r>
          </w:p>
        </w:tc>
        <w:tc>
          <w:tcPr>
            <w:tcW w:w="4876" w:type="dxa"/>
          </w:tcPr>
          <w:p w14:paraId="013AF965" w14:textId="697A1165" w:rsidR="003663AF" w:rsidRPr="00B7760C" w:rsidRDefault="00877691" w:rsidP="00E804B7">
            <w:pPr>
              <w:pStyle w:val="ColumnHeading"/>
            </w:pPr>
            <w:r w:rsidRPr="00B7760C">
              <w:t>Sprememba</w:t>
            </w:r>
          </w:p>
        </w:tc>
      </w:tr>
      <w:tr w:rsidR="003663AF" w:rsidRPr="00B7760C" w14:paraId="792D27CC" w14:textId="77777777" w:rsidTr="00E804B7">
        <w:trPr>
          <w:jc w:val="center"/>
        </w:trPr>
        <w:tc>
          <w:tcPr>
            <w:tcW w:w="4876" w:type="dxa"/>
          </w:tcPr>
          <w:p w14:paraId="5B7020D0" w14:textId="77777777" w:rsidR="003663AF" w:rsidRPr="00B7760C" w:rsidRDefault="003663AF" w:rsidP="00E804B7">
            <w:pPr>
              <w:pStyle w:val="Normal6"/>
            </w:pPr>
            <w:r w:rsidRPr="00B7760C">
              <w:t>1.</w:t>
            </w:r>
            <w:r w:rsidRPr="00B7760C">
              <w:tab/>
              <w:t>Razen v primeru prerazporeditve na podlagi dejanskega ali pričakovanega dedovanja se plačilne pravice prerazporedijo le na prave kmete.</w:t>
            </w:r>
          </w:p>
        </w:tc>
        <w:tc>
          <w:tcPr>
            <w:tcW w:w="4876" w:type="dxa"/>
          </w:tcPr>
          <w:p w14:paraId="77A7BDE6" w14:textId="77777777" w:rsidR="003663AF" w:rsidRPr="00B7760C" w:rsidRDefault="003663AF" w:rsidP="00E804B7">
            <w:pPr>
              <w:pStyle w:val="Normal6"/>
            </w:pPr>
            <w:r w:rsidRPr="00B7760C">
              <w:t>1.</w:t>
            </w:r>
            <w:r w:rsidRPr="00B7760C">
              <w:tab/>
              <w:t>Razen v primeru prerazporeditve na podlagi dejanskega ali pričakovanega dedovanja se plačilne pravice prerazporedijo le na dejavne kmete.</w:t>
            </w:r>
          </w:p>
        </w:tc>
      </w:tr>
    </w:tbl>
    <w:p w14:paraId="545CB811" w14:textId="77777777" w:rsidR="003663AF" w:rsidRPr="00B7760C" w:rsidRDefault="003663AF" w:rsidP="003663AF"/>
    <w:p w14:paraId="040E40DE" w14:textId="77777777" w:rsidR="003663AF" w:rsidRPr="00B7760C" w:rsidRDefault="003663AF" w:rsidP="003663AF">
      <w:pPr>
        <w:pStyle w:val="Normal6"/>
      </w:pPr>
    </w:p>
    <w:p w14:paraId="31DB2C36" w14:textId="0AFA48B4" w:rsidR="003663AF" w:rsidRPr="00B7760C" w:rsidRDefault="00877691" w:rsidP="003663AF">
      <w:pPr>
        <w:pStyle w:val="AMNumberTabs"/>
      </w:pPr>
      <w:r w:rsidRPr="00B7760C">
        <w:t>Sprememba</w:t>
      </w:r>
      <w:r w:rsidR="003663AF" w:rsidRPr="00B7760C">
        <w:tab/>
      </w:r>
      <w:r w:rsidR="003663AF" w:rsidRPr="00B7760C">
        <w:tab/>
        <w:t>202</w:t>
      </w:r>
    </w:p>
    <w:p w14:paraId="403BE9DC" w14:textId="77777777" w:rsidR="003663AF" w:rsidRPr="00B7760C" w:rsidRDefault="003663AF" w:rsidP="003663AF">
      <w:pPr>
        <w:pStyle w:val="NormalBold12b"/>
      </w:pPr>
      <w:r w:rsidRPr="00B7760C">
        <w:t>Predlog uredbe</w:t>
      </w:r>
    </w:p>
    <w:p w14:paraId="55877962" w14:textId="77777777" w:rsidR="003663AF" w:rsidRPr="00B7760C" w:rsidRDefault="003663AF" w:rsidP="003663AF">
      <w:pPr>
        <w:pStyle w:val="NormalBold"/>
      </w:pPr>
      <w:r w:rsidRPr="00B7760C">
        <w:t>Člen 24 – odstavek 1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DFC3D26" w14:textId="77777777" w:rsidTr="00E804B7">
        <w:trPr>
          <w:trHeight w:hRule="exact" w:val="240"/>
          <w:jc w:val="center"/>
        </w:trPr>
        <w:tc>
          <w:tcPr>
            <w:tcW w:w="9752" w:type="dxa"/>
            <w:gridSpan w:val="2"/>
          </w:tcPr>
          <w:p w14:paraId="494883FC" w14:textId="77777777" w:rsidR="003663AF" w:rsidRPr="00B7760C" w:rsidRDefault="003663AF" w:rsidP="00E804B7"/>
        </w:tc>
      </w:tr>
      <w:tr w:rsidR="003663AF" w:rsidRPr="00B7760C" w14:paraId="28842121" w14:textId="77777777" w:rsidTr="00E804B7">
        <w:trPr>
          <w:trHeight w:val="240"/>
          <w:jc w:val="center"/>
        </w:trPr>
        <w:tc>
          <w:tcPr>
            <w:tcW w:w="4876" w:type="dxa"/>
          </w:tcPr>
          <w:p w14:paraId="50C2DC81" w14:textId="77777777" w:rsidR="003663AF" w:rsidRPr="00B7760C" w:rsidRDefault="003663AF" w:rsidP="00E804B7">
            <w:pPr>
              <w:pStyle w:val="ColumnHeading"/>
            </w:pPr>
            <w:r w:rsidRPr="00B7760C">
              <w:t>Besedilo, ki ga predlaga Komisija</w:t>
            </w:r>
          </w:p>
        </w:tc>
        <w:tc>
          <w:tcPr>
            <w:tcW w:w="4876" w:type="dxa"/>
          </w:tcPr>
          <w:p w14:paraId="5E922AE3" w14:textId="3EC3E247" w:rsidR="003663AF" w:rsidRPr="00B7760C" w:rsidRDefault="00877691" w:rsidP="00E804B7">
            <w:pPr>
              <w:pStyle w:val="ColumnHeading"/>
            </w:pPr>
            <w:r w:rsidRPr="00B7760C">
              <w:t>Sprememba</w:t>
            </w:r>
          </w:p>
        </w:tc>
      </w:tr>
      <w:tr w:rsidR="003663AF" w:rsidRPr="00B7760C" w14:paraId="46903F5B" w14:textId="77777777" w:rsidTr="00E804B7">
        <w:trPr>
          <w:jc w:val="center"/>
        </w:trPr>
        <w:tc>
          <w:tcPr>
            <w:tcW w:w="4876" w:type="dxa"/>
          </w:tcPr>
          <w:p w14:paraId="6FF7C095" w14:textId="77777777" w:rsidR="003663AF" w:rsidRPr="00B7760C" w:rsidRDefault="003663AF" w:rsidP="00E804B7">
            <w:pPr>
              <w:pStyle w:val="Normal6"/>
            </w:pPr>
          </w:p>
        </w:tc>
        <w:tc>
          <w:tcPr>
            <w:tcW w:w="4876" w:type="dxa"/>
          </w:tcPr>
          <w:p w14:paraId="0EA40CEB" w14:textId="77777777" w:rsidR="003663AF" w:rsidRPr="00B7760C" w:rsidRDefault="003663AF" w:rsidP="00E804B7">
            <w:pPr>
              <w:pStyle w:val="Normal6"/>
            </w:pPr>
            <w:r w:rsidRPr="00B7760C">
              <w:rPr>
                <w:b/>
                <w:i/>
              </w:rPr>
              <w:t>1a.</w:t>
            </w:r>
            <w:r w:rsidRPr="00B7760C">
              <w:tab/>
            </w:r>
            <w:r w:rsidRPr="00B7760C">
              <w:rPr>
                <w:b/>
                <w:i/>
              </w:rPr>
              <w:t>Pravice do plačila ne morejo imeti tržne vrednosti.</w:t>
            </w:r>
          </w:p>
        </w:tc>
      </w:tr>
    </w:tbl>
    <w:p w14:paraId="26DB5170" w14:textId="77777777" w:rsidR="003663AF" w:rsidRPr="00B7760C" w:rsidRDefault="003663AF" w:rsidP="003663AF"/>
    <w:p w14:paraId="46D00530" w14:textId="7BCCA32B" w:rsidR="003663AF" w:rsidRPr="00B7760C" w:rsidRDefault="00877691" w:rsidP="003663AF">
      <w:pPr>
        <w:pStyle w:val="AMNumberTabs"/>
        <w:keepNext/>
      </w:pPr>
      <w:r w:rsidRPr="00B7760C">
        <w:t>Sprememba</w:t>
      </w:r>
      <w:r w:rsidR="003663AF" w:rsidRPr="00B7760C">
        <w:tab/>
      </w:r>
      <w:r w:rsidR="003663AF" w:rsidRPr="00B7760C">
        <w:tab/>
        <w:t>203</w:t>
      </w:r>
    </w:p>
    <w:p w14:paraId="3563D190" w14:textId="77777777" w:rsidR="003663AF" w:rsidRPr="00B7760C" w:rsidRDefault="003663AF" w:rsidP="003663AF">
      <w:pPr>
        <w:pStyle w:val="NormalBold12b"/>
      </w:pPr>
      <w:r w:rsidRPr="00B7760C">
        <w:t>Predlog uredbe</w:t>
      </w:r>
    </w:p>
    <w:p w14:paraId="516B53F5" w14:textId="77777777" w:rsidR="003663AF" w:rsidRPr="00B7760C" w:rsidRDefault="003663AF" w:rsidP="003663AF">
      <w:pPr>
        <w:pStyle w:val="NormalBold"/>
      </w:pPr>
      <w:r w:rsidRPr="00B7760C">
        <w:t>Člen 25 – naslov</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01C33FD" w14:textId="77777777" w:rsidTr="00E804B7">
        <w:trPr>
          <w:jc w:val="center"/>
        </w:trPr>
        <w:tc>
          <w:tcPr>
            <w:tcW w:w="9752" w:type="dxa"/>
            <w:gridSpan w:val="2"/>
          </w:tcPr>
          <w:p w14:paraId="1D80C542" w14:textId="77777777" w:rsidR="003663AF" w:rsidRPr="00B7760C" w:rsidRDefault="003663AF" w:rsidP="00E804B7">
            <w:pPr>
              <w:keepNext/>
            </w:pPr>
          </w:p>
        </w:tc>
      </w:tr>
      <w:tr w:rsidR="003663AF" w:rsidRPr="00B7760C" w14:paraId="49D8E517" w14:textId="77777777" w:rsidTr="00E804B7">
        <w:trPr>
          <w:jc w:val="center"/>
        </w:trPr>
        <w:tc>
          <w:tcPr>
            <w:tcW w:w="4876" w:type="dxa"/>
            <w:hideMark/>
          </w:tcPr>
          <w:p w14:paraId="050367E6" w14:textId="77777777" w:rsidR="003663AF" w:rsidRPr="00B7760C" w:rsidRDefault="003663AF" w:rsidP="00E804B7">
            <w:pPr>
              <w:pStyle w:val="ColumnHeading"/>
              <w:keepNext/>
            </w:pPr>
            <w:r w:rsidRPr="00B7760C">
              <w:t>Besedilo, ki ga predlaga Komisija</w:t>
            </w:r>
          </w:p>
        </w:tc>
        <w:tc>
          <w:tcPr>
            <w:tcW w:w="4876" w:type="dxa"/>
            <w:hideMark/>
          </w:tcPr>
          <w:p w14:paraId="6EB5A71D" w14:textId="749C9F9B" w:rsidR="003663AF" w:rsidRPr="00B7760C" w:rsidRDefault="00877691" w:rsidP="00E804B7">
            <w:pPr>
              <w:pStyle w:val="ColumnHeading"/>
              <w:keepNext/>
            </w:pPr>
            <w:r w:rsidRPr="00B7760C">
              <w:t>Sprememba</w:t>
            </w:r>
          </w:p>
        </w:tc>
      </w:tr>
      <w:tr w:rsidR="003663AF" w:rsidRPr="00B7760C" w14:paraId="5ABDA724" w14:textId="77777777" w:rsidTr="00E804B7">
        <w:trPr>
          <w:jc w:val="center"/>
        </w:trPr>
        <w:tc>
          <w:tcPr>
            <w:tcW w:w="4876" w:type="dxa"/>
            <w:hideMark/>
          </w:tcPr>
          <w:p w14:paraId="20D99061" w14:textId="77777777" w:rsidR="003663AF" w:rsidRPr="00B7760C" w:rsidRDefault="003663AF" w:rsidP="00E804B7">
            <w:pPr>
              <w:pStyle w:val="Normal6"/>
            </w:pPr>
            <w:r w:rsidRPr="00B7760C">
              <w:rPr>
                <w:b/>
                <w:i/>
              </w:rPr>
              <w:t>Plačilo pavšalnega zneska</w:t>
            </w:r>
            <w:r w:rsidRPr="00B7760C">
              <w:t xml:space="preserve"> za male kmete</w:t>
            </w:r>
          </w:p>
        </w:tc>
        <w:tc>
          <w:tcPr>
            <w:tcW w:w="4876" w:type="dxa"/>
            <w:hideMark/>
          </w:tcPr>
          <w:p w14:paraId="558497BA" w14:textId="77777777" w:rsidR="003663AF" w:rsidRPr="00B7760C" w:rsidRDefault="003663AF" w:rsidP="00E804B7">
            <w:pPr>
              <w:pStyle w:val="Normal6"/>
              <w:rPr>
                <w:szCs w:val="24"/>
              </w:rPr>
            </w:pPr>
            <w:r w:rsidRPr="00B7760C">
              <w:rPr>
                <w:b/>
                <w:i/>
              </w:rPr>
              <w:t>Poenostavljene sheme</w:t>
            </w:r>
            <w:r w:rsidRPr="00B7760C">
              <w:t xml:space="preserve"> za male kmete</w:t>
            </w:r>
          </w:p>
        </w:tc>
      </w:tr>
    </w:tbl>
    <w:p w14:paraId="38C1F17C" w14:textId="77777777" w:rsidR="003663AF" w:rsidRPr="00B7760C" w:rsidRDefault="003663AF" w:rsidP="003663AF"/>
    <w:p w14:paraId="035A00FC" w14:textId="26110111" w:rsidR="003663AF" w:rsidRPr="00B7760C" w:rsidRDefault="00877691" w:rsidP="003663AF">
      <w:pPr>
        <w:pStyle w:val="AMNumberTabs"/>
        <w:keepNext/>
      </w:pPr>
      <w:r w:rsidRPr="00B7760C">
        <w:t>Sprememba</w:t>
      </w:r>
      <w:r w:rsidR="003663AF" w:rsidRPr="00B7760C">
        <w:tab/>
      </w:r>
      <w:r w:rsidR="003663AF" w:rsidRPr="00B7760C">
        <w:tab/>
        <w:t>204</w:t>
      </w:r>
    </w:p>
    <w:p w14:paraId="2EE47C58" w14:textId="77777777" w:rsidR="003663AF" w:rsidRPr="00B7760C" w:rsidRDefault="003663AF" w:rsidP="003663AF">
      <w:pPr>
        <w:pStyle w:val="NormalBold12b"/>
      </w:pPr>
      <w:r w:rsidRPr="00B7760C">
        <w:t>Predlog uredbe</w:t>
      </w:r>
    </w:p>
    <w:p w14:paraId="0E8309AC" w14:textId="77777777" w:rsidR="003663AF" w:rsidRPr="00B7760C" w:rsidRDefault="003663AF" w:rsidP="003663AF">
      <w:pPr>
        <w:pStyle w:val="NormalBold"/>
      </w:pPr>
      <w:r w:rsidRPr="00B7760C">
        <w:t>Člen 25 – 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9BC7D1E" w14:textId="77777777" w:rsidTr="00E804B7">
        <w:trPr>
          <w:jc w:val="center"/>
        </w:trPr>
        <w:tc>
          <w:tcPr>
            <w:tcW w:w="9752" w:type="dxa"/>
            <w:gridSpan w:val="2"/>
          </w:tcPr>
          <w:p w14:paraId="5416CCD2" w14:textId="77777777" w:rsidR="003663AF" w:rsidRPr="00B7760C" w:rsidRDefault="003663AF" w:rsidP="00E804B7">
            <w:pPr>
              <w:keepNext/>
            </w:pPr>
          </w:p>
        </w:tc>
      </w:tr>
      <w:tr w:rsidR="003663AF" w:rsidRPr="00B7760C" w14:paraId="21B6D2CD" w14:textId="77777777" w:rsidTr="00E804B7">
        <w:trPr>
          <w:jc w:val="center"/>
        </w:trPr>
        <w:tc>
          <w:tcPr>
            <w:tcW w:w="4876" w:type="dxa"/>
            <w:hideMark/>
          </w:tcPr>
          <w:p w14:paraId="1F189FCC" w14:textId="77777777" w:rsidR="003663AF" w:rsidRPr="00B7760C" w:rsidRDefault="003663AF" w:rsidP="00E804B7">
            <w:pPr>
              <w:pStyle w:val="ColumnHeading"/>
              <w:keepNext/>
            </w:pPr>
            <w:r w:rsidRPr="00B7760C">
              <w:t>Besedilo, ki ga predlaga Komisija</w:t>
            </w:r>
          </w:p>
        </w:tc>
        <w:tc>
          <w:tcPr>
            <w:tcW w:w="4876" w:type="dxa"/>
            <w:hideMark/>
          </w:tcPr>
          <w:p w14:paraId="0EB71BEC" w14:textId="7562B6A6" w:rsidR="003663AF" w:rsidRPr="00B7760C" w:rsidRDefault="00877691" w:rsidP="00E804B7">
            <w:pPr>
              <w:pStyle w:val="ColumnHeading"/>
              <w:keepNext/>
            </w:pPr>
            <w:r w:rsidRPr="00B7760C">
              <w:t>Sprememba</w:t>
            </w:r>
          </w:p>
        </w:tc>
      </w:tr>
      <w:tr w:rsidR="003663AF" w:rsidRPr="00B7760C" w14:paraId="640FB882" w14:textId="77777777" w:rsidTr="00E804B7">
        <w:trPr>
          <w:jc w:val="center"/>
        </w:trPr>
        <w:tc>
          <w:tcPr>
            <w:tcW w:w="4876" w:type="dxa"/>
            <w:hideMark/>
          </w:tcPr>
          <w:p w14:paraId="7DC1C06F" w14:textId="77777777" w:rsidR="003663AF" w:rsidRPr="00B7760C" w:rsidRDefault="003663AF" w:rsidP="00E804B7">
            <w:pPr>
              <w:pStyle w:val="Normal6"/>
            </w:pPr>
            <w:r w:rsidRPr="00B7760C">
              <w:t xml:space="preserve">Države članice </w:t>
            </w:r>
            <w:r w:rsidRPr="00B7760C">
              <w:rPr>
                <w:b/>
                <w:i/>
              </w:rPr>
              <w:t>lahko plačila</w:t>
            </w:r>
            <w:r w:rsidRPr="00B7760C">
              <w:t xml:space="preserve"> za male kmete, </w:t>
            </w:r>
            <w:r w:rsidRPr="00B7760C">
              <w:rPr>
                <w:b/>
                <w:i/>
              </w:rPr>
              <w:t>kot jih opredelijo države članice, odobrijo</w:t>
            </w:r>
            <w:r w:rsidRPr="00B7760C">
              <w:t xml:space="preserve"> v obliki pavšalnega zneska, ki nadomešča neposredna plačila v okviru tega oddelka in oddelka</w:t>
            </w:r>
            <w:r w:rsidRPr="00B7760C">
              <w:rPr>
                <w:b/>
                <w:i/>
              </w:rPr>
              <w:t> </w:t>
            </w:r>
            <w:r w:rsidRPr="00B7760C">
              <w:t>3 tega poglavja. Države članice lahko zadevno intervencijo v strateškem načrtu SKP oblikujejo kot intervencijo, ki za kmete ni obvezna.</w:t>
            </w:r>
          </w:p>
        </w:tc>
        <w:tc>
          <w:tcPr>
            <w:tcW w:w="4876" w:type="dxa"/>
            <w:hideMark/>
          </w:tcPr>
          <w:p w14:paraId="0D006AD9" w14:textId="77777777" w:rsidR="003663AF" w:rsidRPr="00B7760C" w:rsidRDefault="003663AF" w:rsidP="00E804B7">
            <w:pPr>
              <w:pStyle w:val="Normal6"/>
              <w:rPr>
                <w:szCs w:val="24"/>
              </w:rPr>
            </w:pPr>
            <w:r w:rsidRPr="00B7760C">
              <w:t xml:space="preserve">Države članice </w:t>
            </w:r>
            <w:r w:rsidRPr="00B7760C">
              <w:rPr>
                <w:b/>
                <w:i/>
              </w:rPr>
              <w:t>uvedejo poenostavljeno shemo</w:t>
            </w:r>
            <w:r w:rsidRPr="00B7760C">
              <w:t xml:space="preserve"> za male kmete, </w:t>
            </w:r>
            <w:r w:rsidRPr="00B7760C">
              <w:rPr>
                <w:b/>
                <w:i/>
              </w:rPr>
              <w:t>ki zaprosijo za pomoč v višini do 1 250 EUR. Ta shema je lahko</w:t>
            </w:r>
            <w:r w:rsidRPr="00B7760C">
              <w:t xml:space="preserve"> v obliki pavšalnega zneska, ki nadomešča neposredna plačila v okviru tega oddelka in oddelka</w:t>
            </w:r>
            <w:r w:rsidRPr="00B7760C">
              <w:rPr>
                <w:b/>
                <w:i/>
              </w:rPr>
              <w:t xml:space="preserve"> </w:t>
            </w:r>
            <w:r w:rsidRPr="00B7760C">
              <w:t>3 tega poglavja</w:t>
            </w:r>
            <w:r w:rsidRPr="00B7760C">
              <w:rPr>
                <w:b/>
                <w:i/>
              </w:rPr>
              <w:t>, ali plačila na hektar, ki se lahko razlikuje po ozemljih, opredeljenih v skladu s členom 18(2)</w:t>
            </w:r>
            <w:r w:rsidRPr="00B7760C">
              <w:t>. Države članice lahko zadevno intervencijo v strateškem načrtu SKP oblikujejo kot intervencijo, ki za kmete ni obvezna.</w:t>
            </w:r>
          </w:p>
        </w:tc>
      </w:tr>
    </w:tbl>
    <w:p w14:paraId="4A263D79" w14:textId="77777777" w:rsidR="003663AF" w:rsidRPr="00B7760C" w:rsidRDefault="003663AF" w:rsidP="003663AF"/>
    <w:p w14:paraId="38113A87" w14:textId="6705F776" w:rsidR="003663AF" w:rsidRPr="00B7760C" w:rsidRDefault="00877691" w:rsidP="003663AF">
      <w:pPr>
        <w:pStyle w:val="AMNumberTabs"/>
        <w:keepNext/>
      </w:pPr>
      <w:r w:rsidRPr="00B7760C">
        <w:t>Sprememba</w:t>
      </w:r>
      <w:r w:rsidR="003663AF" w:rsidRPr="00B7760C">
        <w:tab/>
      </w:r>
      <w:r w:rsidR="003663AF" w:rsidRPr="00B7760C">
        <w:tab/>
        <w:t>205</w:t>
      </w:r>
    </w:p>
    <w:p w14:paraId="07FF1248" w14:textId="77777777" w:rsidR="003663AF" w:rsidRPr="00B7760C" w:rsidRDefault="003663AF" w:rsidP="003663AF">
      <w:pPr>
        <w:pStyle w:val="NormalBold12b"/>
      </w:pPr>
      <w:r w:rsidRPr="00B7760C">
        <w:t>Predlog uredbe</w:t>
      </w:r>
    </w:p>
    <w:p w14:paraId="5F6D0156" w14:textId="77777777" w:rsidR="003663AF" w:rsidRPr="00B7760C" w:rsidRDefault="003663AF" w:rsidP="003663AF">
      <w:pPr>
        <w:pStyle w:val="NormalBold"/>
      </w:pPr>
      <w:r w:rsidRPr="00B7760C">
        <w:t>Člen 25 – odstavek 1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DD56640" w14:textId="77777777" w:rsidTr="00E804B7">
        <w:trPr>
          <w:jc w:val="center"/>
        </w:trPr>
        <w:tc>
          <w:tcPr>
            <w:tcW w:w="9752" w:type="dxa"/>
            <w:gridSpan w:val="2"/>
          </w:tcPr>
          <w:p w14:paraId="73D92E62" w14:textId="77777777" w:rsidR="003663AF" w:rsidRPr="00B7760C" w:rsidRDefault="003663AF" w:rsidP="00E804B7">
            <w:pPr>
              <w:keepNext/>
            </w:pPr>
          </w:p>
        </w:tc>
      </w:tr>
      <w:tr w:rsidR="003663AF" w:rsidRPr="00B7760C" w14:paraId="45BE539A" w14:textId="77777777" w:rsidTr="00E804B7">
        <w:trPr>
          <w:jc w:val="center"/>
        </w:trPr>
        <w:tc>
          <w:tcPr>
            <w:tcW w:w="4876" w:type="dxa"/>
            <w:hideMark/>
          </w:tcPr>
          <w:p w14:paraId="2EC0A0CF" w14:textId="77777777" w:rsidR="003663AF" w:rsidRPr="00B7760C" w:rsidRDefault="003663AF" w:rsidP="00E804B7">
            <w:pPr>
              <w:pStyle w:val="ColumnHeading"/>
              <w:keepNext/>
            </w:pPr>
            <w:r w:rsidRPr="00B7760C">
              <w:t>Besedilo, ki ga predlaga Komisija</w:t>
            </w:r>
          </w:p>
        </w:tc>
        <w:tc>
          <w:tcPr>
            <w:tcW w:w="4876" w:type="dxa"/>
            <w:hideMark/>
          </w:tcPr>
          <w:p w14:paraId="2EE5ECE8" w14:textId="6AF35F21" w:rsidR="003663AF" w:rsidRPr="00B7760C" w:rsidRDefault="00877691" w:rsidP="00E804B7">
            <w:pPr>
              <w:pStyle w:val="ColumnHeading"/>
              <w:keepNext/>
            </w:pPr>
            <w:r w:rsidRPr="00B7760C">
              <w:t>Sprememba</w:t>
            </w:r>
          </w:p>
        </w:tc>
      </w:tr>
      <w:tr w:rsidR="003663AF" w:rsidRPr="00B7760C" w14:paraId="05EAF492" w14:textId="77777777" w:rsidTr="00E804B7">
        <w:trPr>
          <w:jc w:val="center"/>
        </w:trPr>
        <w:tc>
          <w:tcPr>
            <w:tcW w:w="4876" w:type="dxa"/>
          </w:tcPr>
          <w:p w14:paraId="319A1430" w14:textId="77777777" w:rsidR="003663AF" w:rsidRPr="00B7760C" w:rsidRDefault="003663AF" w:rsidP="00E804B7">
            <w:pPr>
              <w:pStyle w:val="Normal6"/>
            </w:pPr>
          </w:p>
        </w:tc>
        <w:tc>
          <w:tcPr>
            <w:tcW w:w="4876" w:type="dxa"/>
            <w:hideMark/>
          </w:tcPr>
          <w:p w14:paraId="7F0535B9" w14:textId="77777777" w:rsidR="003663AF" w:rsidRPr="00B7760C" w:rsidRDefault="003663AF" w:rsidP="00E804B7">
            <w:pPr>
              <w:pStyle w:val="Normal6"/>
              <w:rPr>
                <w:szCs w:val="24"/>
              </w:rPr>
            </w:pPr>
            <w:r w:rsidRPr="00B7760C">
              <w:rPr>
                <w:b/>
                <w:i/>
              </w:rPr>
              <w:t xml:space="preserve">1a. </w:t>
            </w:r>
            <w:r w:rsidRPr="00B7760C">
              <w:rPr>
                <w:b/>
                <w:i/>
              </w:rPr>
              <w:tab/>
              <w:t>Kmetje, ki želijo sodelovati v poenostavljeni shemi, morajo vložiti vlogo najpozneje na datum, ki ga določi država članica, ne glede na to, da lahko ta samodejno vključi nekatere kmete, ki izpolnjujejo pogoje, in jim ponuja možnost umika v določenem obdobju.</w:t>
            </w:r>
          </w:p>
        </w:tc>
      </w:tr>
    </w:tbl>
    <w:p w14:paraId="21B529FB" w14:textId="77777777" w:rsidR="003663AF" w:rsidRPr="00B7760C" w:rsidRDefault="003663AF" w:rsidP="003663AF"/>
    <w:p w14:paraId="3E184AB7" w14:textId="15955918" w:rsidR="003663AF" w:rsidRPr="00B7760C" w:rsidRDefault="00877691" w:rsidP="003663AF">
      <w:pPr>
        <w:pStyle w:val="AMNumberTabs"/>
        <w:keepNext/>
      </w:pPr>
      <w:r w:rsidRPr="00B7760C">
        <w:t>Sprememba</w:t>
      </w:r>
      <w:r w:rsidR="003663AF" w:rsidRPr="00B7760C">
        <w:tab/>
      </w:r>
      <w:r w:rsidR="003663AF" w:rsidRPr="00B7760C">
        <w:tab/>
        <w:t>206</w:t>
      </w:r>
    </w:p>
    <w:p w14:paraId="44F721BA" w14:textId="77777777" w:rsidR="003663AF" w:rsidRPr="00B7760C" w:rsidRDefault="003663AF" w:rsidP="003663AF">
      <w:pPr>
        <w:pStyle w:val="NormalBold12b"/>
      </w:pPr>
      <w:r w:rsidRPr="00B7760C">
        <w:t>Predlog uredbe</w:t>
      </w:r>
    </w:p>
    <w:p w14:paraId="57D5AED7" w14:textId="77777777" w:rsidR="003663AF" w:rsidRPr="00B7760C" w:rsidRDefault="003663AF" w:rsidP="003663AF">
      <w:pPr>
        <w:pStyle w:val="NormalBold"/>
      </w:pPr>
      <w:r w:rsidRPr="00B7760C">
        <w:t>Člen 25 – odstavek 1 b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7DB835C" w14:textId="77777777" w:rsidTr="00E804B7">
        <w:trPr>
          <w:jc w:val="center"/>
        </w:trPr>
        <w:tc>
          <w:tcPr>
            <w:tcW w:w="9752" w:type="dxa"/>
            <w:gridSpan w:val="2"/>
          </w:tcPr>
          <w:p w14:paraId="3BA158E1" w14:textId="77777777" w:rsidR="003663AF" w:rsidRPr="00B7760C" w:rsidRDefault="003663AF" w:rsidP="00E804B7">
            <w:pPr>
              <w:keepNext/>
            </w:pPr>
          </w:p>
        </w:tc>
      </w:tr>
      <w:tr w:rsidR="003663AF" w:rsidRPr="00B7760C" w14:paraId="34308AD0" w14:textId="77777777" w:rsidTr="00E804B7">
        <w:trPr>
          <w:jc w:val="center"/>
        </w:trPr>
        <w:tc>
          <w:tcPr>
            <w:tcW w:w="4876" w:type="dxa"/>
            <w:hideMark/>
          </w:tcPr>
          <w:p w14:paraId="7B4B2F2B" w14:textId="77777777" w:rsidR="003663AF" w:rsidRPr="00B7760C" w:rsidRDefault="003663AF" w:rsidP="00E804B7">
            <w:pPr>
              <w:pStyle w:val="ColumnHeading"/>
              <w:keepNext/>
            </w:pPr>
            <w:r w:rsidRPr="00B7760C">
              <w:t>Besedilo, ki ga predlaga Komisija</w:t>
            </w:r>
          </w:p>
        </w:tc>
        <w:tc>
          <w:tcPr>
            <w:tcW w:w="4876" w:type="dxa"/>
            <w:hideMark/>
          </w:tcPr>
          <w:p w14:paraId="0E5D8128" w14:textId="1D87BAF9" w:rsidR="003663AF" w:rsidRPr="00B7760C" w:rsidRDefault="00877691" w:rsidP="00E804B7">
            <w:pPr>
              <w:pStyle w:val="ColumnHeading"/>
              <w:keepNext/>
            </w:pPr>
            <w:r w:rsidRPr="00B7760C">
              <w:t>Sprememba</w:t>
            </w:r>
          </w:p>
        </w:tc>
      </w:tr>
      <w:tr w:rsidR="003663AF" w:rsidRPr="00B7760C" w14:paraId="08CE0B4A" w14:textId="77777777" w:rsidTr="00E804B7">
        <w:trPr>
          <w:jc w:val="center"/>
        </w:trPr>
        <w:tc>
          <w:tcPr>
            <w:tcW w:w="4876" w:type="dxa"/>
          </w:tcPr>
          <w:p w14:paraId="454A18A4" w14:textId="77777777" w:rsidR="003663AF" w:rsidRPr="00B7760C" w:rsidRDefault="003663AF" w:rsidP="00E804B7">
            <w:pPr>
              <w:pStyle w:val="Normal6"/>
            </w:pPr>
          </w:p>
        </w:tc>
        <w:tc>
          <w:tcPr>
            <w:tcW w:w="4876" w:type="dxa"/>
            <w:hideMark/>
          </w:tcPr>
          <w:p w14:paraId="46A02591" w14:textId="77777777" w:rsidR="003663AF" w:rsidRPr="00B7760C" w:rsidRDefault="003663AF" w:rsidP="00E804B7">
            <w:pPr>
              <w:pStyle w:val="Normal6"/>
              <w:rPr>
                <w:szCs w:val="24"/>
              </w:rPr>
            </w:pPr>
            <w:r w:rsidRPr="00B7760C">
              <w:rPr>
                <w:b/>
                <w:i/>
              </w:rPr>
              <w:t xml:space="preserve">1b. </w:t>
            </w:r>
            <w:r w:rsidRPr="00B7760C">
              <w:rPr>
                <w:b/>
                <w:i/>
              </w:rPr>
              <w:tab/>
              <w:t>Za kmete, ki sodelujejo v poenostavljeni shemi, lahko države članice uporabljajo poenostavljene preglede pogojenosti, kot so določeni v členu 84 Uredbe (EU) [HZU].</w:t>
            </w:r>
          </w:p>
        </w:tc>
      </w:tr>
    </w:tbl>
    <w:p w14:paraId="6393C0AA" w14:textId="77777777" w:rsidR="003663AF" w:rsidRPr="00B7760C" w:rsidRDefault="003663AF" w:rsidP="003663AF"/>
    <w:p w14:paraId="36532F19" w14:textId="7B1CA058" w:rsidR="003663AF" w:rsidRPr="00B7760C" w:rsidRDefault="00877691" w:rsidP="003663AF">
      <w:pPr>
        <w:pStyle w:val="AMNumberTabs"/>
        <w:keepNext/>
      </w:pPr>
      <w:r w:rsidRPr="00B7760C">
        <w:t>Sprememba</w:t>
      </w:r>
      <w:r w:rsidR="003663AF" w:rsidRPr="00B7760C">
        <w:tab/>
      </w:r>
      <w:r w:rsidR="003663AF" w:rsidRPr="00B7760C">
        <w:tab/>
        <w:t>207</w:t>
      </w:r>
    </w:p>
    <w:p w14:paraId="304296CB" w14:textId="77777777" w:rsidR="003663AF" w:rsidRPr="00B7760C" w:rsidRDefault="003663AF" w:rsidP="003663AF">
      <w:pPr>
        <w:pStyle w:val="NormalBold12b"/>
      </w:pPr>
      <w:r w:rsidRPr="00B7760C">
        <w:t>Predlog uredbe</w:t>
      </w:r>
    </w:p>
    <w:p w14:paraId="059FB2E1" w14:textId="77777777" w:rsidR="003663AF" w:rsidRPr="00B7760C" w:rsidRDefault="003663AF" w:rsidP="003663AF">
      <w:pPr>
        <w:pStyle w:val="NormalBold"/>
      </w:pPr>
      <w:r w:rsidRPr="00B7760C">
        <w:t>Člen 25 – odstavek 1 c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F3E9E07" w14:textId="77777777" w:rsidTr="00E804B7">
        <w:trPr>
          <w:jc w:val="center"/>
        </w:trPr>
        <w:tc>
          <w:tcPr>
            <w:tcW w:w="9752" w:type="dxa"/>
            <w:gridSpan w:val="2"/>
          </w:tcPr>
          <w:p w14:paraId="5A9E2001" w14:textId="77777777" w:rsidR="003663AF" w:rsidRPr="00B7760C" w:rsidRDefault="003663AF" w:rsidP="00E804B7">
            <w:pPr>
              <w:keepNext/>
            </w:pPr>
          </w:p>
        </w:tc>
      </w:tr>
      <w:tr w:rsidR="003663AF" w:rsidRPr="00B7760C" w14:paraId="5AC8C69B" w14:textId="77777777" w:rsidTr="00E804B7">
        <w:trPr>
          <w:jc w:val="center"/>
        </w:trPr>
        <w:tc>
          <w:tcPr>
            <w:tcW w:w="4876" w:type="dxa"/>
            <w:hideMark/>
          </w:tcPr>
          <w:p w14:paraId="20416051" w14:textId="77777777" w:rsidR="003663AF" w:rsidRPr="00B7760C" w:rsidRDefault="003663AF" w:rsidP="00E804B7">
            <w:pPr>
              <w:pStyle w:val="ColumnHeading"/>
              <w:keepNext/>
            </w:pPr>
            <w:r w:rsidRPr="00B7760C">
              <w:t>Besedilo, ki ga predlaga Komisija</w:t>
            </w:r>
          </w:p>
        </w:tc>
        <w:tc>
          <w:tcPr>
            <w:tcW w:w="4876" w:type="dxa"/>
            <w:hideMark/>
          </w:tcPr>
          <w:p w14:paraId="0718BAF4" w14:textId="14405186" w:rsidR="003663AF" w:rsidRPr="00B7760C" w:rsidRDefault="00877691" w:rsidP="00E804B7">
            <w:pPr>
              <w:pStyle w:val="ColumnHeading"/>
              <w:keepNext/>
            </w:pPr>
            <w:r w:rsidRPr="00B7760C">
              <w:t>Sprememba</w:t>
            </w:r>
          </w:p>
        </w:tc>
      </w:tr>
      <w:tr w:rsidR="003663AF" w:rsidRPr="00B7760C" w14:paraId="3B660037" w14:textId="77777777" w:rsidTr="00E804B7">
        <w:trPr>
          <w:jc w:val="center"/>
        </w:trPr>
        <w:tc>
          <w:tcPr>
            <w:tcW w:w="4876" w:type="dxa"/>
          </w:tcPr>
          <w:p w14:paraId="63780957" w14:textId="77777777" w:rsidR="003663AF" w:rsidRPr="00B7760C" w:rsidRDefault="003663AF" w:rsidP="00E804B7">
            <w:pPr>
              <w:pStyle w:val="Normal6"/>
            </w:pPr>
          </w:p>
        </w:tc>
        <w:tc>
          <w:tcPr>
            <w:tcW w:w="4876" w:type="dxa"/>
            <w:hideMark/>
          </w:tcPr>
          <w:p w14:paraId="0F0B3111" w14:textId="77777777" w:rsidR="003663AF" w:rsidRPr="00B7760C" w:rsidRDefault="003663AF" w:rsidP="00E804B7">
            <w:pPr>
              <w:pStyle w:val="Normal6"/>
              <w:rPr>
                <w:szCs w:val="24"/>
              </w:rPr>
            </w:pPr>
            <w:r w:rsidRPr="00B7760C">
              <w:rPr>
                <w:b/>
                <w:i/>
              </w:rPr>
              <w:t xml:space="preserve">1c. </w:t>
            </w:r>
            <w:r w:rsidRPr="00B7760C">
              <w:rPr>
                <w:b/>
                <w:i/>
              </w:rPr>
              <w:tab/>
              <w:t>Države članice lahko vzpostavijo pravila in storitve za zmanjšanje upravnih stroškov, da bi podprle sodelovanje malih kmetov.</w:t>
            </w:r>
          </w:p>
        </w:tc>
      </w:tr>
    </w:tbl>
    <w:p w14:paraId="532309CF" w14:textId="77777777" w:rsidR="003663AF" w:rsidRPr="00B7760C" w:rsidRDefault="003663AF" w:rsidP="003663AF"/>
    <w:p w14:paraId="023C1D26" w14:textId="02843768" w:rsidR="003663AF" w:rsidRPr="00B7760C" w:rsidRDefault="00877691" w:rsidP="003663AF">
      <w:pPr>
        <w:pStyle w:val="AMNumberTabs"/>
        <w:keepNext/>
      </w:pPr>
      <w:r w:rsidRPr="00B7760C">
        <w:t>Sprememba</w:t>
      </w:r>
      <w:r w:rsidR="003663AF" w:rsidRPr="00B7760C">
        <w:tab/>
      </w:r>
      <w:r w:rsidR="003663AF" w:rsidRPr="00B7760C">
        <w:tab/>
        <w:t>208</w:t>
      </w:r>
    </w:p>
    <w:p w14:paraId="5736F134" w14:textId="77777777" w:rsidR="003663AF" w:rsidRPr="00B7760C" w:rsidRDefault="003663AF" w:rsidP="003663AF">
      <w:pPr>
        <w:pStyle w:val="NormalBold12b"/>
      </w:pPr>
      <w:r w:rsidRPr="00B7760C">
        <w:t>Predlog uredbe</w:t>
      </w:r>
    </w:p>
    <w:p w14:paraId="71D02CC9" w14:textId="77777777" w:rsidR="003663AF" w:rsidRPr="00B7760C" w:rsidRDefault="003663AF" w:rsidP="003663AF">
      <w:pPr>
        <w:pStyle w:val="NormalBold"/>
      </w:pPr>
      <w:r w:rsidRPr="00B7760C">
        <w:t>Člen 1 – odstavek 1 d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DD2D349" w14:textId="77777777" w:rsidTr="00E804B7">
        <w:trPr>
          <w:jc w:val="center"/>
        </w:trPr>
        <w:tc>
          <w:tcPr>
            <w:tcW w:w="9752" w:type="dxa"/>
            <w:gridSpan w:val="2"/>
          </w:tcPr>
          <w:p w14:paraId="5A530425" w14:textId="77777777" w:rsidR="003663AF" w:rsidRPr="00B7760C" w:rsidRDefault="003663AF" w:rsidP="00E804B7">
            <w:pPr>
              <w:keepNext/>
            </w:pPr>
          </w:p>
        </w:tc>
      </w:tr>
      <w:tr w:rsidR="003663AF" w:rsidRPr="00B7760C" w14:paraId="338AA9C9" w14:textId="77777777" w:rsidTr="00E804B7">
        <w:trPr>
          <w:jc w:val="center"/>
        </w:trPr>
        <w:tc>
          <w:tcPr>
            <w:tcW w:w="4876" w:type="dxa"/>
            <w:hideMark/>
          </w:tcPr>
          <w:p w14:paraId="5C007B2C" w14:textId="77777777" w:rsidR="003663AF" w:rsidRPr="00B7760C" w:rsidRDefault="003663AF" w:rsidP="00E804B7">
            <w:pPr>
              <w:pStyle w:val="ColumnHeading"/>
              <w:keepNext/>
            </w:pPr>
            <w:r w:rsidRPr="00B7760C">
              <w:t>Besedilo, ki ga predlaga Komisija</w:t>
            </w:r>
          </w:p>
        </w:tc>
        <w:tc>
          <w:tcPr>
            <w:tcW w:w="4876" w:type="dxa"/>
            <w:hideMark/>
          </w:tcPr>
          <w:p w14:paraId="19823728" w14:textId="254E4D53" w:rsidR="003663AF" w:rsidRPr="00B7760C" w:rsidRDefault="00877691" w:rsidP="00E804B7">
            <w:pPr>
              <w:pStyle w:val="ColumnHeading"/>
              <w:keepNext/>
            </w:pPr>
            <w:r w:rsidRPr="00B7760C">
              <w:t>Sprememba</w:t>
            </w:r>
          </w:p>
        </w:tc>
      </w:tr>
      <w:tr w:rsidR="003663AF" w:rsidRPr="00B7760C" w14:paraId="51E0B3EB" w14:textId="77777777" w:rsidTr="00E804B7">
        <w:trPr>
          <w:jc w:val="center"/>
        </w:trPr>
        <w:tc>
          <w:tcPr>
            <w:tcW w:w="4876" w:type="dxa"/>
          </w:tcPr>
          <w:p w14:paraId="69A05CF5" w14:textId="77777777" w:rsidR="003663AF" w:rsidRPr="00B7760C" w:rsidRDefault="003663AF" w:rsidP="00E804B7">
            <w:pPr>
              <w:pStyle w:val="Normal6"/>
            </w:pPr>
          </w:p>
        </w:tc>
        <w:tc>
          <w:tcPr>
            <w:tcW w:w="4876" w:type="dxa"/>
            <w:hideMark/>
          </w:tcPr>
          <w:p w14:paraId="481B1425" w14:textId="77777777" w:rsidR="003663AF" w:rsidRPr="00B7760C" w:rsidRDefault="003663AF" w:rsidP="00E804B7">
            <w:pPr>
              <w:pStyle w:val="Normal6"/>
              <w:rPr>
                <w:szCs w:val="24"/>
              </w:rPr>
            </w:pPr>
            <w:r w:rsidRPr="00B7760C">
              <w:rPr>
                <w:b/>
                <w:i/>
              </w:rPr>
              <w:t xml:space="preserve">1d. </w:t>
            </w:r>
            <w:r w:rsidRPr="00B7760C">
              <w:rPr>
                <w:b/>
                <w:i/>
              </w:rPr>
              <w:tab/>
              <w:t>Države članice zagotovijo, da se nobena ugodnost iz tega člena ne dodeli kmetom, če se ugotovi, da so po 1. juniju 2018 umetno ustvarili razmere, da bi prejemali plačila, namenjena malim kmetom.</w:t>
            </w:r>
          </w:p>
        </w:tc>
      </w:tr>
    </w:tbl>
    <w:p w14:paraId="34632E77" w14:textId="77777777" w:rsidR="003663AF" w:rsidRPr="00B7760C" w:rsidRDefault="003663AF" w:rsidP="003663AF"/>
    <w:p w14:paraId="5BFA5AE1" w14:textId="47F93A01" w:rsidR="003663AF" w:rsidRPr="00B7760C" w:rsidRDefault="00877691" w:rsidP="003663AF">
      <w:pPr>
        <w:pStyle w:val="AMNumberTabs"/>
        <w:keepNext/>
      </w:pPr>
      <w:r w:rsidRPr="00B7760C">
        <w:t>Sprememba</w:t>
      </w:r>
      <w:r w:rsidR="003663AF" w:rsidRPr="00B7760C">
        <w:tab/>
      </w:r>
      <w:r w:rsidR="003663AF" w:rsidRPr="00B7760C">
        <w:tab/>
        <w:t>209</w:t>
      </w:r>
    </w:p>
    <w:p w14:paraId="2E7D46CD" w14:textId="77777777" w:rsidR="003663AF" w:rsidRPr="00B7760C" w:rsidRDefault="003663AF" w:rsidP="003663AF">
      <w:pPr>
        <w:pStyle w:val="NormalBold12b"/>
      </w:pPr>
      <w:r w:rsidRPr="00B7760C">
        <w:t>Predlog uredbe</w:t>
      </w:r>
    </w:p>
    <w:p w14:paraId="1711F0E1" w14:textId="77777777" w:rsidR="003663AF" w:rsidRPr="00B7760C" w:rsidRDefault="003663AF" w:rsidP="003663AF">
      <w:pPr>
        <w:pStyle w:val="NormalBold"/>
      </w:pPr>
      <w:r w:rsidRPr="00B7760C">
        <w:t>Člen 26 – odstavek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C38A636" w14:textId="77777777" w:rsidTr="00E804B7">
        <w:trPr>
          <w:jc w:val="center"/>
        </w:trPr>
        <w:tc>
          <w:tcPr>
            <w:tcW w:w="9752" w:type="dxa"/>
            <w:gridSpan w:val="2"/>
          </w:tcPr>
          <w:p w14:paraId="2652A961" w14:textId="77777777" w:rsidR="003663AF" w:rsidRPr="00B7760C" w:rsidRDefault="003663AF" w:rsidP="00E804B7">
            <w:pPr>
              <w:keepNext/>
            </w:pPr>
          </w:p>
        </w:tc>
      </w:tr>
      <w:tr w:rsidR="003663AF" w:rsidRPr="00B7760C" w14:paraId="35572857" w14:textId="77777777" w:rsidTr="00E804B7">
        <w:trPr>
          <w:jc w:val="center"/>
        </w:trPr>
        <w:tc>
          <w:tcPr>
            <w:tcW w:w="4876" w:type="dxa"/>
            <w:hideMark/>
          </w:tcPr>
          <w:p w14:paraId="344D3365" w14:textId="77777777" w:rsidR="003663AF" w:rsidRPr="00B7760C" w:rsidRDefault="003663AF" w:rsidP="00E804B7">
            <w:pPr>
              <w:pStyle w:val="ColumnHeading"/>
              <w:keepNext/>
            </w:pPr>
            <w:r w:rsidRPr="00B7760C">
              <w:t>Besedilo, ki ga predlaga Komisija</w:t>
            </w:r>
          </w:p>
        </w:tc>
        <w:tc>
          <w:tcPr>
            <w:tcW w:w="4876" w:type="dxa"/>
            <w:hideMark/>
          </w:tcPr>
          <w:p w14:paraId="10B97200" w14:textId="3F330278" w:rsidR="003663AF" w:rsidRPr="00B7760C" w:rsidRDefault="00877691" w:rsidP="00E804B7">
            <w:pPr>
              <w:pStyle w:val="ColumnHeading"/>
              <w:keepNext/>
            </w:pPr>
            <w:r w:rsidRPr="00B7760C">
              <w:t>Sprememba</w:t>
            </w:r>
          </w:p>
        </w:tc>
      </w:tr>
      <w:tr w:rsidR="003663AF" w:rsidRPr="00B7760C" w14:paraId="51AF8C88" w14:textId="77777777" w:rsidTr="00E804B7">
        <w:trPr>
          <w:jc w:val="center"/>
        </w:trPr>
        <w:tc>
          <w:tcPr>
            <w:tcW w:w="4876" w:type="dxa"/>
            <w:hideMark/>
          </w:tcPr>
          <w:p w14:paraId="6BB3703D" w14:textId="77777777" w:rsidR="003663AF" w:rsidRPr="00B7760C" w:rsidRDefault="003663AF" w:rsidP="00E804B7">
            <w:pPr>
              <w:pStyle w:val="Normal6"/>
            </w:pPr>
            <w:r w:rsidRPr="00B7760C">
              <w:t>2.</w:t>
            </w:r>
            <w:r w:rsidRPr="00B7760C">
              <w:tab/>
              <w:t>Države članice zagotovijo prerazporeditev podpore z večjih na manjše ali srednje velike kmetije z določitvijo prerazporeditvene dohodkovne podpore v obliki letnega nevezanega plačila na upravičeni hektar kmetom, ki so upravičeni do plačila v okviru osnovne dohodkovne podpore iz člena 17.</w:t>
            </w:r>
          </w:p>
        </w:tc>
        <w:tc>
          <w:tcPr>
            <w:tcW w:w="4876" w:type="dxa"/>
            <w:hideMark/>
          </w:tcPr>
          <w:p w14:paraId="5DE5BDCF" w14:textId="77777777" w:rsidR="003663AF" w:rsidRPr="00B7760C" w:rsidRDefault="003663AF" w:rsidP="00E804B7">
            <w:pPr>
              <w:pStyle w:val="Normal6"/>
              <w:rPr>
                <w:szCs w:val="24"/>
              </w:rPr>
            </w:pPr>
            <w:r w:rsidRPr="00B7760C">
              <w:t>2.</w:t>
            </w:r>
            <w:r w:rsidRPr="00B7760C">
              <w:tab/>
              <w:t xml:space="preserve">Države članice zagotovijo </w:t>
            </w:r>
            <w:r w:rsidRPr="00B7760C">
              <w:rPr>
                <w:b/>
                <w:i/>
              </w:rPr>
              <w:t xml:space="preserve">pošteno </w:t>
            </w:r>
            <w:r w:rsidRPr="00B7760C">
              <w:t>prerazporeditev podpore z večjih na manjše ali srednje velike kmetije z določitvijo prerazporeditvene dohodkovne podpore v obliki letnega nevezanega plačila na upravičeni hektar kmetom, ki so upravičeni do plačila v okviru osnovne dohodkovne podpore iz člena 17.</w:t>
            </w:r>
          </w:p>
        </w:tc>
      </w:tr>
    </w:tbl>
    <w:p w14:paraId="56AF318B" w14:textId="77777777" w:rsidR="003663AF" w:rsidRPr="00B7760C" w:rsidRDefault="003663AF" w:rsidP="003663AF"/>
    <w:p w14:paraId="1A0C902B" w14:textId="22F281B9" w:rsidR="003663AF" w:rsidRPr="00B7760C" w:rsidRDefault="00877691" w:rsidP="003663AF">
      <w:pPr>
        <w:pStyle w:val="AMNumberTabs"/>
        <w:keepNext/>
      </w:pPr>
      <w:r w:rsidRPr="00B7760C">
        <w:t>Sprememba</w:t>
      </w:r>
      <w:r w:rsidR="003663AF" w:rsidRPr="00B7760C">
        <w:tab/>
      </w:r>
      <w:r w:rsidR="003663AF" w:rsidRPr="00B7760C">
        <w:tab/>
        <w:t>210</w:t>
      </w:r>
    </w:p>
    <w:p w14:paraId="6F037FF5" w14:textId="77777777" w:rsidR="003663AF" w:rsidRPr="00B7760C" w:rsidRDefault="003663AF" w:rsidP="003663AF">
      <w:pPr>
        <w:pStyle w:val="NormalBold12b"/>
      </w:pPr>
      <w:r w:rsidRPr="00B7760C">
        <w:t>Predlog uredbe</w:t>
      </w:r>
    </w:p>
    <w:p w14:paraId="7450DF00" w14:textId="77777777" w:rsidR="003663AF" w:rsidRPr="00B7760C" w:rsidRDefault="003663AF" w:rsidP="003663AF">
      <w:pPr>
        <w:pStyle w:val="NormalBold"/>
      </w:pPr>
      <w:r w:rsidRPr="00B7760C">
        <w:t>Člen 26 – odstavek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2915A6F" w14:textId="77777777" w:rsidTr="00E804B7">
        <w:trPr>
          <w:jc w:val="center"/>
        </w:trPr>
        <w:tc>
          <w:tcPr>
            <w:tcW w:w="9752" w:type="dxa"/>
            <w:gridSpan w:val="2"/>
          </w:tcPr>
          <w:p w14:paraId="5D87ECB9" w14:textId="77777777" w:rsidR="003663AF" w:rsidRPr="00B7760C" w:rsidRDefault="003663AF" w:rsidP="00E804B7">
            <w:pPr>
              <w:keepNext/>
            </w:pPr>
          </w:p>
        </w:tc>
      </w:tr>
      <w:tr w:rsidR="003663AF" w:rsidRPr="00B7760C" w14:paraId="54F8C5A7" w14:textId="77777777" w:rsidTr="00E804B7">
        <w:trPr>
          <w:jc w:val="center"/>
        </w:trPr>
        <w:tc>
          <w:tcPr>
            <w:tcW w:w="4876" w:type="dxa"/>
            <w:hideMark/>
          </w:tcPr>
          <w:p w14:paraId="5D473D5F" w14:textId="77777777" w:rsidR="003663AF" w:rsidRPr="00B7760C" w:rsidRDefault="003663AF" w:rsidP="00E804B7">
            <w:pPr>
              <w:pStyle w:val="ColumnHeading"/>
              <w:keepNext/>
            </w:pPr>
            <w:r w:rsidRPr="00B7760C">
              <w:t>Besedilo, ki ga predlaga Komisija</w:t>
            </w:r>
          </w:p>
        </w:tc>
        <w:tc>
          <w:tcPr>
            <w:tcW w:w="4876" w:type="dxa"/>
            <w:hideMark/>
          </w:tcPr>
          <w:p w14:paraId="110A58AE" w14:textId="4C675EAA" w:rsidR="003663AF" w:rsidRPr="00B7760C" w:rsidRDefault="00877691" w:rsidP="00E804B7">
            <w:pPr>
              <w:pStyle w:val="ColumnHeading"/>
              <w:keepNext/>
            </w:pPr>
            <w:r w:rsidRPr="00B7760C">
              <w:t>Sprememba</w:t>
            </w:r>
          </w:p>
        </w:tc>
      </w:tr>
      <w:tr w:rsidR="003663AF" w:rsidRPr="00B7760C" w14:paraId="71CB97E4" w14:textId="77777777" w:rsidTr="00E804B7">
        <w:trPr>
          <w:jc w:val="center"/>
        </w:trPr>
        <w:tc>
          <w:tcPr>
            <w:tcW w:w="4876" w:type="dxa"/>
            <w:hideMark/>
          </w:tcPr>
          <w:p w14:paraId="66C38B94" w14:textId="77777777" w:rsidR="003663AF" w:rsidRPr="00B7760C" w:rsidRDefault="003663AF" w:rsidP="00E804B7">
            <w:pPr>
              <w:pStyle w:val="Normal6"/>
            </w:pPr>
            <w:r w:rsidRPr="00B7760C">
              <w:t>3.</w:t>
            </w:r>
            <w:r w:rsidRPr="00B7760C">
              <w:tab/>
              <w:t xml:space="preserve">Države članice določijo </w:t>
            </w:r>
            <w:r w:rsidRPr="00B7760C">
              <w:rPr>
                <w:b/>
                <w:i/>
              </w:rPr>
              <w:t>znesek</w:t>
            </w:r>
            <w:r w:rsidRPr="00B7760C">
              <w:t xml:space="preserve"> na hektar ali </w:t>
            </w:r>
            <w:r w:rsidRPr="00B7760C">
              <w:rPr>
                <w:b/>
                <w:i/>
              </w:rPr>
              <w:t>različne zneske</w:t>
            </w:r>
            <w:r w:rsidRPr="00B7760C">
              <w:t xml:space="preserve"> za različne razpone hektarov</w:t>
            </w:r>
            <w:r w:rsidRPr="00B7760C">
              <w:rPr>
                <w:b/>
                <w:i/>
              </w:rPr>
              <w:t xml:space="preserve"> ter tudi največje število hektarov</w:t>
            </w:r>
            <w:r w:rsidRPr="00B7760C">
              <w:t xml:space="preserve"> na </w:t>
            </w:r>
            <w:r w:rsidRPr="00B7760C">
              <w:rPr>
                <w:b/>
                <w:i/>
              </w:rPr>
              <w:t>kmeta</w:t>
            </w:r>
            <w:r w:rsidRPr="00B7760C">
              <w:t xml:space="preserve">, </w:t>
            </w:r>
            <w:r w:rsidRPr="00B7760C">
              <w:rPr>
                <w:b/>
                <w:i/>
              </w:rPr>
              <w:t>za katero se izplača prerazporeditvena dohodkovna podpora</w:t>
            </w:r>
            <w:r w:rsidRPr="00B7760C">
              <w:t>.</w:t>
            </w:r>
          </w:p>
        </w:tc>
        <w:tc>
          <w:tcPr>
            <w:tcW w:w="4876" w:type="dxa"/>
            <w:hideMark/>
          </w:tcPr>
          <w:p w14:paraId="76CEACE4" w14:textId="77777777" w:rsidR="003663AF" w:rsidRPr="00B7760C" w:rsidRDefault="003663AF" w:rsidP="00E804B7">
            <w:pPr>
              <w:pStyle w:val="Normal6"/>
              <w:rPr>
                <w:szCs w:val="24"/>
              </w:rPr>
            </w:pPr>
            <w:r w:rsidRPr="00B7760C">
              <w:t>3.</w:t>
            </w:r>
            <w:r w:rsidRPr="00B7760C">
              <w:tab/>
              <w:t xml:space="preserve">Države članice določijo </w:t>
            </w:r>
            <w:r w:rsidRPr="00B7760C">
              <w:rPr>
                <w:b/>
                <w:i/>
              </w:rPr>
              <w:t>plačilo, enakovredno znesku</w:t>
            </w:r>
            <w:r w:rsidRPr="00B7760C">
              <w:t xml:space="preserve"> na hektar ali </w:t>
            </w:r>
            <w:r w:rsidRPr="00B7760C">
              <w:rPr>
                <w:b/>
                <w:i/>
              </w:rPr>
              <w:t>različnim zneskom</w:t>
            </w:r>
            <w:r w:rsidRPr="00B7760C">
              <w:t xml:space="preserve"> za različne razpone hektarov</w:t>
            </w:r>
            <w:r w:rsidRPr="00B7760C">
              <w:rPr>
                <w:b/>
                <w:i/>
              </w:rPr>
              <w:t>. Ti zneski se lahko razlikujejo glede</w:t>
            </w:r>
            <w:r w:rsidRPr="00B7760C">
              <w:t xml:space="preserve"> na </w:t>
            </w:r>
            <w:r w:rsidRPr="00B7760C">
              <w:rPr>
                <w:b/>
                <w:i/>
              </w:rPr>
              <w:t>ozemlja</w:t>
            </w:r>
            <w:r w:rsidRPr="00B7760C">
              <w:t xml:space="preserve">, </w:t>
            </w:r>
            <w:r w:rsidRPr="00B7760C">
              <w:rPr>
                <w:b/>
                <w:i/>
              </w:rPr>
              <w:t>opredeljena v skladu s členom 18(2)</w:t>
            </w:r>
            <w:r w:rsidRPr="00B7760C">
              <w:t>.</w:t>
            </w:r>
          </w:p>
        </w:tc>
      </w:tr>
    </w:tbl>
    <w:p w14:paraId="2A8F09C7" w14:textId="77777777" w:rsidR="003663AF" w:rsidRPr="00B7760C" w:rsidRDefault="003663AF" w:rsidP="003663AF"/>
    <w:p w14:paraId="4C76EC30" w14:textId="0D78CB38" w:rsidR="003663AF" w:rsidRPr="00B7760C" w:rsidRDefault="00877691" w:rsidP="0044746B">
      <w:pPr>
        <w:pStyle w:val="AMNumberTabs"/>
        <w:keepNext/>
      </w:pPr>
      <w:r w:rsidRPr="00B7760C">
        <w:t>Sprememb</w:t>
      </w:r>
      <w:r w:rsidR="0044746B" w:rsidRPr="00B7760C">
        <w:t>i</w:t>
      </w:r>
      <w:r w:rsidR="003663AF" w:rsidRPr="00B7760C">
        <w:tab/>
      </w:r>
      <w:r w:rsidR="003663AF" w:rsidRPr="00B7760C">
        <w:tab/>
        <w:t>211</w:t>
      </w:r>
      <w:r w:rsidR="0044746B" w:rsidRPr="00B7760C">
        <w:t xml:space="preserve"> in 1158 cp3</w:t>
      </w:r>
    </w:p>
    <w:p w14:paraId="094FBF90" w14:textId="77777777" w:rsidR="003663AF" w:rsidRPr="00B7760C" w:rsidRDefault="003663AF" w:rsidP="003663AF">
      <w:pPr>
        <w:pStyle w:val="NormalBold12b"/>
      </w:pPr>
      <w:r w:rsidRPr="00B7760C">
        <w:t>Predlog uredbe</w:t>
      </w:r>
    </w:p>
    <w:p w14:paraId="5374ADC9" w14:textId="77777777" w:rsidR="003663AF" w:rsidRPr="00B7760C" w:rsidRDefault="003663AF" w:rsidP="003663AF">
      <w:pPr>
        <w:pStyle w:val="NormalBold"/>
      </w:pPr>
      <w:r w:rsidRPr="00B7760C">
        <w:t>Člen 26 – odstavek 3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83C531B" w14:textId="77777777" w:rsidTr="00E804B7">
        <w:trPr>
          <w:jc w:val="center"/>
        </w:trPr>
        <w:tc>
          <w:tcPr>
            <w:tcW w:w="9752" w:type="dxa"/>
            <w:gridSpan w:val="2"/>
          </w:tcPr>
          <w:p w14:paraId="3E3BD3E2" w14:textId="77777777" w:rsidR="003663AF" w:rsidRPr="00B7760C" w:rsidRDefault="003663AF" w:rsidP="00E804B7">
            <w:pPr>
              <w:keepNext/>
            </w:pPr>
          </w:p>
        </w:tc>
      </w:tr>
      <w:tr w:rsidR="003663AF" w:rsidRPr="00B7760C" w14:paraId="7D10DE44" w14:textId="77777777" w:rsidTr="00E804B7">
        <w:trPr>
          <w:jc w:val="center"/>
        </w:trPr>
        <w:tc>
          <w:tcPr>
            <w:tcW w:w="4876" w:type="dxa"/>
            <w:hideMark/>
          </w:tcPr>
          <w:p w14:paraId="5D4CE9A8" w14:textId="77777777" w:rsidR="003663AF" w:rsidRPr="00B7760C" w:rsidRDefault="003663AF" w:rsidP="00E804B7">
            <w:pPr>
              <w:pStyle w:val="ColumnHeading"/>
              <w:keepNext/>
            </w:pPr>
            <w:r w:rsidRPr="00B7760C">
              <w:t>Besedilo, ki ga predlaga Komisija</w:t>
            </w:r>
          </w:p>
        </w:tc>
        <w:tc>
          <w:tcPr>
            <w:tcW w:w="4876" w:type="dxa"/>
            <w:hideMark/>
          </w:tcPr>
          <w:p w14:paraId="6AACAA5F" w14:textId="15E86BAA" w:rsidR="003663AF" w:rsidRPr="00B7760C" w:rsidRDefault="00877691" w:rsidP="00E804B7">
            <w:pPr>
              <w:pStyle w:val="ColumnHeading"/>
              <w:keepNext/>
            </w:pPr>
            <w:r w:rsidRPr="00B7760C">
              <w:t>Sprememba</w:t>
            </w:r>
          </w:p>
        </w:tc>
      </w:tr>
      <w:tr w:rsidR="003663AF" w:rsidRPr="00B7760C" w14:paraId="7F45653E" w14:textId="77777777" w:rsidTr="00E804B7">
        <w:trPr>
          <w:jc w:val="center"/>
        </w:trPr>
        <w:tc>
          <w:tcPr>
            <w:tcW w:w="4876" w:type="dxa"/>
          </w:tcPr>
          <w:p w14:paraId="0B2BDC27" w14:textId="77777777" w:rsidR="003663AF" w:rsidRPr="00B7760C" w:rsidRDefault="003663AF" w:rsidP="00E804B7">
            <w:pPr>
              <w:pStyle w:val="Normal6"/>
            </w:pPr>
          </w:p>
        </w:tc>
        <w:tc>
          <w:tcPr>
            <w:tcW w:w="4876" w:type="dxa"/>
            <w:hideMark/>
          </w:tcPr>
          <w:p w14:paraId="2CA98AFA" w14:textId="77777777" w:rsidR="003663AF" w:rsidRPr="00B7760C" w:rsidRDefault="003663AF" w:rsidP="00E804B7">
            <w:pPr>
              <w:pStyle w:val="Normal6"/>
              <w:rPr>
                <w:szCs w:val="24"/>
              </w:rPr>
            </w:pPr>
            <w:r w:rsidRPr="00B7760C">
              <w:rPr>
                <w:b/>
                <w:i/>
              </w:rPr>
              <w:t>3a.</w:t>
            </w:r>
            <w:r w:rsidRPr="00B7760C">
              <w:rPr>
                <w:b/>
                <w:i/>
              </w:rPr>
              <w:tab/>
              <w:t>Znesek prerazporeditvenega plačila na hektar ne presega 65 % osnovne dohodkovne podpore za trajnostnost v skladu z nacionalnim povprečjem ali povprečjem ozemelj, pomnoženih s številom upravičenih hektarov.</w:t>
            </w:r>
          </w:p>
        </w:tc>
      </w:tr>
    </w:tbl>
    <w:p w14:paraId="244A0638" w14:textId="77777777" w:rsidR="003663AF" w:rsidRPr="00B7760C" w:rsidRDefault="003663AF" w:rsidP="003663AF"/>
    <w:p w14:paraId="46DD4E36" w14:textId="10771CCC" w:rsidR="003663AF" w:rsidRPr="00B7760C" w:rsidRDefault="00877691" w:rsidP="003663AF">
      <w:pPr>
        <w:pStyle w:val="AMNumberTabs"/>
        <w:keepNext/>
      </w:pPr>
      <w:r w:rsidRPr="00B7760C">
        <w:t>Sprememba</w:t>
      </w:r>
      <w:r w:rsidR="003663AF" w:rsidRPr="00B7760C">
        <w:tab/>
      </w:r>
      <w:r w:rsidR="003663AF" w:rsidRPr="00B7760C">
        <w:tab/>
        <w:t>212</w:t>
      </w:r>
    </w:p>
    <w:p w14:paraId="330E4C7A" w14:textId="77777777" w:rsidR="003663AF" w:rsidRPr="00B7760C" w:rsidRDefault="003663AF" w:rsidP="003663AF">
      <w:pPr>
        <w:pStyle w:val="NormalBold12b"/>
      </w:pPr>
      <w:r w:rsidRPr="00B7760C">
        <w:t>Predlog uredbe</w:t>
      </w:r>
    </w:p>
    <w:p w14:paraId="4698BC83" w14:textId="77777777" w:rsidR="003663AF" w:rsidRPr="00B7760C" w:rsidRDefault="003663AF" w:rsidP="003663AF">
      <w:pPr>
        <w:pStyle w:val="NormalBold"/>
      </w:pPr>
      <w:r w:rsidRPr="00B7760C">
        <w:t>Člen 26 – odstavek 3 b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BB00679" w14:textId="77777777" w:rsidTr="00E804B7">
        <w:trPr>
          <w:jc w:val="center"/>
        </w:trPr>
        <w:tc>
          <w:tcPr>
            <w:tcW w:w="9752" w:type="dxa"/>
            <w:gridSpan w:val="2"/>
          </w:tcPr>
          <w:p w14:paraId="6C84BF69" w14:textId="77777777" w:rsidR="003663AF" w:rsidRPr="00B7760C" w:rsidRDefault="003663AF" w:rsidP="00E804B7">
            <w:pPr>
              <w:keepNext/>
            </w:pPr>
          </w:p>
        </w:tc>
      </w:tr>
      <w:tr w:rsidR="003663AF" w:rsidRPr="00B7760C" w14:paraId="42C4C710" w14:textId="77777777" w:rsidTr="00E804B7">
        <w:trPr>
          <w:jc w:val="center"/>
        </w:trPr>
        <w:tc>
          <w:tcPr>
            <w:tcW w:w="4876" w:type="dxa"/>
            <w:hideMark/>
          </w:tcPr>
          <w:p w14:paraId="6AF51603" w14:textId="77777777" w:rsidR="003663AF" w:rsidRPr="00B7760C" w:rsidRDefault="003663AF" w:rsidP="00E804B7">
            <w:pPr>
              <w:pStyle w:val="ColumnHeading"/>
              <w:keepNext/>
            </w:pPr>
            <w:r w:rsidRPr="00B7760C">
              <w:t>Besedilo, ki ga predlaga Komisija</w:t>
            </w:r>
          </w:p>
        </w:tc>
        <w:tc>
          <w:tcPr>
            <w:tcW w:w="4876" w:type="dxa"/>
            <w:hideMark/>
          </w:tcPr>
          <w:p w14:paraId="575A6AEC" w14:textId="44986EE3" w:rsidR="003663AF" w:rsidRPr="00B7760C" w:rsidRDefault="00877691" w:rsidP="00E804B7">
            <w:pPr>
              <w:pStyle w:val="ColumnHeading"/>
              <w:keepNext/>
            </w:pPr>
            <w:r w:rsidRPr="00B7760C">
              <w:t>Sprememba</w:t>
            </w:r>
          </w:p>
        </w:tc>
      </w:tr>
      <w:tr w:rsidR="003663AF" w:rsidRPr="00B7760C" w14:paraId="7ED117F7" w14:textId="77777777" w:rsidTr="00E804B7">
        <w:trPr>
          <w:jc w:val="center"/>
        </w:trPr>
        <w:tc>
          <w:tcPr>
            <w:tcW w:w="4876" w:type="dxa"/>
          </w:tcPr>
          <w:p w14:paraId="121576CC" w14:textId="77777777" w:rsidR="003663AF" w:rsidRPr="00B7760C" w:rsidRDefault="003663AF" w:rsidP="00E804B7">
            <w:pPr>
              <w:pStyle w:val="Normal6"/>
            </w:pPr>
          </w:p>
        </w:tc>
        <w:tc>
          <w:tcPr>
            <w:tcW w:w="4876" w:type="dxa"/>
            <w:hideMark/>
          </w:tcPr>
          <w:p w14:paraId="5C7B3C9C" w14:textId="77777777" w:rsidR="003663AF" w:rsidRPr="00B7760C" w:rsidRDefault="003663AF" w:rsidP="00E804B7">
            <w:pPr>
              <w:pStyle w:val="Normal6"/>
              <w:rPr>
                <w:szCs w:val="24"/>
              </w:rPr>
            </w:pPr>
            <w:r w:rsidRPr="00B7760C">
              <w:rPr>
                <w:b/>
                <w:i/>
              </w:rPr>
              <w:t>3b.</w:t>
            </w:r>
            <w:r w:rsidRPr="00B7760C">
              <w:rPr>
                <w:b/>
                <w:i/>
              </w:rPr>
              <w:tab/>
              <w:t>Število upravičenih hektarov na kmeta ne presega povprečne nacionalne velikosti kmetijskih gospodarstev ali povprečne velikosti glede na ozemlja, opredeljena v skladu s členom 18(2). Države članice odobrijo dostop do tega plačila s prvim upravičenim hektarom kmetijskega gospodarstva.</w:t>
            </w:r>
          </w:p>
        </w:tc>
      </w:tr>
    </w:tbl>
    <w:p w14:paraId="36916321" w14:textId="77777777" w:rsidR="003663AF" w:rsidRPr="00B7760C" w:rsidRDefault="003663AF" w:rsidP="003663AF"/>
    <w:p w14:paraId="0294C155" w14:textId="26E2DDD2" w:rsidR="003663AF" w:rsidRPr="00B7760C" w:rsidRDefault="00877691" w:rsidP="003663AF">
      <w:pPr>
        <w:pStyle w:val="AMNumberTabs"/>
        <w:keepNext/>
      </w:pPr>
      <w:r w:rsidRPr="00B7760C">
        <w:t>Sprememba</w:t>
      </w:r>
      <w:r w:rsidR="003663AF" w:rsidRPr="00B7760C">
        <w:tab/>
      </w:r>
      <w:r w:rsidR="003663AF" w:rsidRPr="00B7760C">
        <w:tab/>
        <w:t>213</w:t>
      </w:r>
    </w:p>
    <w:p w14:paraId="1FC99347" w14:textId="77777777" w:rsidR="003663AF" w:rsidRPr="00B7760C" w:rsidRDefault="003663AF" w:rsidP="003663AF">
      <w:pPr>
        <w:pStyle w:val="NormalBold12b"/>
      </w:pPr>
      <w:r w:rsidRPr="00B7760C">
        <w:t>Predlog uredbe</w:t>
      </w:r>
    </w:p>
    <w:p w14:paraId="1323C385" w14:textId="77777777" w:rsidR="003663AF" w:rsidRPr="00B7760C" w:rsidRDefault="003663AF" w:rsidP="003663AF">
      <w:pPr>
        <w:pStyle w:val="NormalBold"/>
      </w:pPr>
      <w:r w:rsidRPr="00B7760C">
        <w:t>Člen 26 – odstavek 3 c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98C4EB2" w14:textId="77777777" w:rsidTr="00E804B7">
        <w:trPr>
          <w:jc w:val="center"/>
        </w:trPr>
        <w:tc>
          <w:tcPr>
            <w:tcW w:w="9752" w:type="dxa"/>
            <w:gridSpan w:val="2"/>
          </w:tcPr>
          <w:p w14:paraId="5E107CB0" w14:textId="77777777" w:rsidR="003663AF" w:rsidRPr="00B7760C" w:rsidRDefault="003663AF" w:rsidP="00E804B7">
            <w:pPr>
              <w:keepNext/>
            </w:pPr>
          </w:p>
        </w:tc>
      </w:tr>
      <w:tr w:rsidR="003663AF" w:rsidRPr="00B7760C" w14:paraId="6BEC589D" w14:textId="77777777" w:rsidTr="00E804B7">
        <w:trPr>
          <w:jc w:val="center"/>
        </w:trPr>
        <w:tc>
          <w:tcPr>
            <w:tcW w:w="4876" w:type="dxa"/>
            <w:hideMark/>
          </w:tcPr>
          <w:p w14:paraId="56B3C593" w14:textId="77777777" w:rsidR="003663AF" w:rsidRPr="00B7760C" w:rsidRDefault="003663AF" w:rsidP="00E804B7">
            <w:pPr>
              <w:pStyle w:val="ColumnHeading"/>
              <w:keepNext/>
            </w:pPr>
            <w:r w:rsidRPr="00B7760C">
              <w:t>Besedilo, ki ga predlaga Komisija</w:t>
            </w:r>
          </w:p>
        </w:tc>
        <w:tc>
          <w:tcPr>
            <w:tcW w:w="4876" w:type="dxa"/>
            <w:hideMark/>
          </w:tcPr>
          <w:p w14:paraId="49AF7A1C" w14:textId="68649595" w:rsidR="003663AF" w:rsidRPr="00B7760C" w:rsidRDefault="00877691" w:rsidP="00E804B7">
            <w:pPr>
              <w:pStyle w:val="ColumnHeading"/>
              <w:keepNext/>
            </w:pPr>
            <w:r w:rsidRPr="00B7760C">
              <w:t>Sprememba</w:t>
            </w:r>
          </w:p>
        </w:tc>
      </w:tr>
      <w:tr w:rsidR="003663AF" w:rsidRPr="00B7760C" w14:paraId="4E459ACD" w14:textId="77777777" w:rsidTr="00E804B7">
        <w:trPr>
          <w:jc w:val="center"/>
        </w:trPr>
        <w:tc>
          <w:tcPr>
            <w:tcW w:w="4876" w:type="dxa"/>
          </w:tcPr>
          <w:p w14:paraId="65107412" w14:textId="77777777" w:rsidR="003663AF" w:rsidRPr="00B7760C" w:rsidRDefault="003663AF" w:rsidP="00E804B7">
            <w:pPr>
              <w:pStyle w:val="Normal6"/>
            </w:pPr>
          </w:p>
        </w:tc>
        <w:tc>
          <w:tcPr>
            <w:tcW w:w="4876" w:type="dxa"/>
            <w:hideMark/>
          </w:tcPr>
          <w:p w14:paraId="4341CC40" w14:textId="77777777" w:rsidR="003663AF" w:rsidRPr="00B7760C" w:rsidRDefault="003663AF" w:rsidP="00E804B7">
            <w:pPr>
              <w:pStyle w:val="Normal6"/>
              <w:rPr>
                <w:szCs w:val="24"/>
              </w:rPr>
            </w:pPr>
            <w:r w:rsidRPr="00B7760C">
              <w:rPr>
                <w:b/>
                <w:i/>
              </w:rPr>
              <w:t>3c.</w:t>
            </w:r>
            <w:r w:rsidRPr="00B7760C">
              <w:rPr>
                <w:b/>
                <w:i/>
              </w:rPr>
              <w:tab/>
              <w:t>Države članice opredelijo nediskriminatorna merila v skladu s ciljem iz člena 6(1)(a) za izračunavanje zneska, ki se dodeli za dopolnilno prerazporeditveno dohodkovno podporo za trajnostnost v okviru strateških načrtov SKP, ter določijo tudi najvišji znesek, nad katerim kmetije niso upravičene do prerazporeditvenega plačila. Države članice upoštevajo povprečno raven dohodkov kmetij na nacionalni ali regionalni ravni. Pri merilih razporejanja morajo upoštevati tudi naravne in posebne omejitve, s katerimi se soočajo nekatere regije, vključno z otoškimi, pri razvoju kmetijske dejavnosti.</w:t>
            </w:r>
          </w:p>
        </w:tc>
      </w:tr>
    </w:tbl>
    <w:p w14:paraId="5F50855C" w14:textId="77777777" w:rsidR="003663AF" w:rsidRPr="00B7760C" w:rsidRDefault="003663AF" w:rsidP="003663AF"/>
    <w:p w14:paraId="2F1900ED" w14:textId="75CB5C3A" w:rsidR="003663AF" w:rsidRPr="00B7760C" w:rsidRDefault="00877691" w:rsidP="003663AF">
      <w:pPr>
        <w:pStyle w:val="AMNumberTabs"/>
        <w:keepNext/>
      </w:pPr>
      <w:r w:rsidRPr="00B7760C">
        <w:t>Sprememba</w:t>
      </w:r>
      <w:r w:rsidR="003663AF" w:rsidRPr="00B7760C">
        <w:tab/>
      </w:r>
      <w:r w:rsidR="003663AF" w:rsidRPr="00B7760C">
        <w:tab/>
        <w:t>214</w:t>
      </w:r>
    </w:p>
    <w:p w14:paraId="6D454A27" w14:textId="77777777" w:rsidR="003663AF" w:rsidRPr="00B7760C" w:rsidRDefault="003663AF" w:rsidP="003663AF">
      <w:pPr>
        <w:pStyle w:val="NormalBold12b"/>
      </w:pPr>
      <w:r w:rsidRPr="00B7760C">
        <w:t>Predlog uredbe</w:t>
      </w:r>
    </w:p>
    <w:p w14:paraId="163AB401" w14:textId="77777777" w:rsidR="003663AF" w:rsidRPr="00B7760C" w:rsidRDefault="003663AF" w:rsidP="003663AF">
      <w:pPr>
        <w:pStyle w:val="NormalBold"/>
      </w:pPr>
      <w:r w:rsidRPr="00B7760C">
        <w:t>Člen 26 – odstavek 4</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00E9B7F" w14:textId="77777777" w:rsidTr="00E804B7">
        <w:trPr>
          <w:jc w:val="center"/>
        </w:trPr>
        <w:tc>
          <w:tcPr>
            <w:tcW w:w="9752" w:type="dxa"/>
            <w:gridSpan w:val="2"/>
          </w:tcPr>
          <w:p w14:paraId="65184B53" w14:textId="77777777" w:rsidR="003663AF" w:rsidRPr="00B7760C" w:rsidRDefault="003663AF" w:rsidP="00E804B7">
            <w:pPr>
              <w:keepNext/>
            </w:pPr>
          </w:p>
        </w:tc>
      </w:tr>
      <w:tr w:rsidR="003663AF" w:rsidRPr="00B7760C" w14:paraId="617A9A97" w14:textId="77777777" w:rsidTr="00E804B7">
        <w:trPr>
          <w:jc w:val="center"/>
        </w:trPr>
        <w:tc>
          <w:tcPr>
            <w:tcW w:w="4876" w:type="dxa"/>
            <w:hideMark/>
          </w:tcPr>
          <w:p w14:paraId="7B704A00" w14:textId="77777777" w:rsidR="003663AF" w:rsidRPr="00B7760C" w:rsidRDefault="003663AF" w:rsidP="00E804B7">
            <w:pPr>
              <w:pStyle w:val="ColumnHeading"/>
              <w:keepNext/>
            </w:pPr>
            <w:r w:rsidRPr="00B7760C">
              <w:t>Besedilo, ki ga predlaga Komisija</w:t>
            </w:r>
          </w:p>
        </w:tc>
        <w:tc>
          <w:tcPr>
            <w:tcW w:w="4876" w:type="dxa"/>
            <w:hideMark/>
          </w:tcPr>
          <w:p w14:paraId="1DD3CD60" w14:textId="159E1AE1" w:rsidR="003663AF" w:rsidRPr="00B7760C" w:rsidRDefault="00877691" w:rsidP="00E804B7">
            <w:pPr>
              <w:pStyle w:val="ColumnHeading"/>
              <w:keepNext/>
            </w:pPr>
            <w:r w:rsidRPr="00B7760C">
              <w:t>Sprememba</w:t>
            </w:r>
          </w:p>
        </w:tc>
      </w:tr>
      <w:tr w:rsidR="003663AF" w:rsidRPr="00B7760C" w14:paraId="4B7556C6" w14:textId="77777777" w:rsidTr="00E804B7">
        <w:trPr>
          <w:jc w:val="center"/>
        </w:trPr>
        <w:tc>
          <w:tcPr>
            <w:tcW w:w="4876" w:type="dxa"/>
            <w:hideMark/>
          </w:tcPr>
          <w:p w14:paraId="37896DF8" w14:textId="77777777" w:rsidR="003663AF" w:rsidRPr="00B7760C" w:rsidRDefault="003663AF" w:rsidP="00E804B7">
            <w:pPr>
              <w:pStyle w:val="Normal6"/>
            </w:pPr>
            <w:r w:rsidRPr="00B7760C">
              <w:rPr>
                <w:b/>
                <w:i/>
              </w:rPr>
              <w:t>4.</w:t>
            </w:r>
            <w:r w:rsidRPr="00B7760C">
              <w:rPr>
                <w:b/>
                <w:i/>
              </w:rPr>
              <w:tab/>
              <w:t>Načrtovani znesek na hektar za dano leto zahtevka ne presega nacionalnega povprečnega zneska neposrednih plačil na hektar za navedeno leto zahtevka.</w:t>
            </w:r>
          </w:p>
        </w:tc>
        <w:tc>
          <w:tcPr>
            <w:tcW w:w="4876" w:type="dxa"/>
            <w:hideMark/>
          </w:tcPr>
          <w:p w14:paraId="2E4C9824" w14:textId="77777777" w:rsidR="003663AF" w:rsidRPr="00B7760C" w:rsidRDefault="003663AF" w:rsidP="00E804B7">
            <w:pPr>
              <w:pStyle w:val="Normal6"/>
              <w:rPr>
                <w:szCs w:val="24"/>
              </w:rPr>
            </w:pPr>
            <w:r w:rsidRPr="00B7760C">
              <w:rPr>
                <w:b/>
                <w:i/>
              </w:rPr>
              <w:t>črtano</w:t>
            </w:r>
          </w:p>
        </w:tc>
      </w:tr>
    </w:tbl>
    <w:p w14:paraId="6F8EBE85" w14:textId="77777777" w:rsidR="003663AF" w:rsidRPr="00B7760C" w:rsidRDefault="003663AF" w:rsidP="003663AF"/>
    <w:p w14:paraId="522FF74A" w14:textId="6D79DC50" w:rsidR="003663AF" w:rsidRPr="00B7760C" w:rsidRDefault="00877691" w:rsidP="003663AF">
      <w:pPr>
        <w:pStyle w:val="AMNumberTabs"/>
        <w:keepNext/>
      </w:pPr>
      <w:r w:rsidRPr="00B7760C">
        <w:t>Sprememba</w:t>
      </w:r>
      <w:r w:rsidR="003663AF" w:rsidRPr="00B7760C">
        <w:tab/>
      </w:r>
      <w:r w:rsidR="003663AF" w:rsidRPr="00B7760C">
        <w:tab/>
        <w:t>215</w:t>
      </w:r>
    </w:p>
    <w:p w14:paraId="152EBF35" w14:textId="77777777" w:rsidR="003663AF" w:rsidRPr="00B7760C" w:rsidRDefault="003663AF" w:rsidP="003663AF">
      <w:pPr>
        <w:pStyle w:val="NormalBold12b"/>
      </w:pPr>
      <w:r w:rsidRPr="00B7760C">
        <w:t>Predlog uredbe</w:t>
      </w:r>
    </w:p>
    <w:p w14:paraId="3D6A0841" w14:textId="77777777" w:rsidR="003663AF" w:rsidRPr="00B7760C" w:rsidRDefault="003663AF" w:rsidP="003663AF">
      <w:pPr>
        <w:pStyle w:val="NormalBold"/>
      </w:pPr>
      <w:r w:rsidRPr="00B7760C">
        <w:t>Člen 26 – odstavek 5</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53B92EF" w14:textId="77777777" w:rsidTr="00E804B7">
        <w:trPr>
          <w:jc w:val="center"/>
        </w:trPr>
        <w:tc>
          <w:tcPr>
            <w:tcW w:w="9752" w:type="dxa"/>
            <w:gridSpan w:val="2"/>
          </w:tcPr>
          <w:p w14:paraId="27CB81B4" w14:textId="77777777" w:rsidR="003663AF" w:rsidRPr="00B7760C" w:rsidRDefault="003663AF" w:rsidP="00E804B7">
            <w:pPr>
              <w:keepNext/>
            </w:pPr>
          </w:p>
        </w:tc>
      </w:tr>
      <w:tr w:rsidR="003663AF" w:rsidRPr="00B7760C" w14:paraId="4D184578" w14:textId="77777777" w:rsidTr="00E804B7">
        <w:trPr>
          <w:jc w:val="center"/>
        </w:trPr>
        <w:tc>
          <w:tcPr>
            <w:tcW w:w="4876" w:type="dxa"/>
            <w:hideMark/>
          </w:tcPr>
          <w:p w14:paraId="1980ABAD" w14:textId="77777777" w:rsidR="003663AF" w:rsidRPr="00B7760C" w:rsidRDefault="003663AF" w:rsidP="00E804B7">
            <w:pPr>
              <w:pStyle w:val="ColumnHeading"/>
              <w:keepNext/>
            </w:pPr>
            <w:r w:rsidRPr="00B7760C">
              <w:t>Besedilo, ki ga predlaga Komisija</w:t>
            </w:r>
          </w:p>
        </w:tc>
        <w:tc>
          <w:tcPr>
            <w:tcW w:w="4876" w:type="dxa"/>
            <w:hideMark/>
          </w:tcPr>
          <w:p w14:paraId="7846BEF2" w14:textId="7705DA34" w:rsidR="003663AF" w:rsidRPr="00B7760C" w:rsidRDefault="00877691" w:rsidP="00E804B7">
            <w:pPr>
              <w:pStyle w:val="ColumnHeading"/>
              <w:keepNext/>
            </w:pPr>
            <w:r w:rsidRPr="00B7760C">
              <w:t>Sprememba</w:t>
            </w:r>
          </w:p>
        </w:tc>
      </w:tr>
      <w:tr w:rsidR="003663AF" w:rsidRPr="00B7760C" w14:paraId="72131B81" w14:textId="77777777" w:rsidTr="00E804B7">
        <w:trPr>
          <w:jc w:val="center"/>
        </w:trPr>
        <w:tc>
          <w:tcPr>
            <w:tcW w:w="4876" w:type="dxa"/>
            <w:hideMark/>
          </w:tcPr>
          <w:p w14:paraId="372DFAAA" w14:textId="77777777" w:rsidR="003663AF" w:rsidRPr="00B7760C" w:rsidRDefault="003663AF" w:rsidP="00E804B7">
            <w:pPr>
              <w:pStyle w:val="Normal6"/>
            </w:pPr>
            <w:r w:rsidRPr="00B7760C">
              <w:rPr>
                <w:b/>
                <w:i/>
              </w:rPr>
              <w:t>5.</w:t>
            </w:r>
            <w:r w:rsidRPr="00B7760C">
              <w:rPr>
                <w:b/>
                <w:i/>
              </w:rPr>
              <w:tab/>
              <w:t>Nacionalni povprečni znesek neposrednih plačil na hektar se opredeli kot razmerje med nacionalno zgornjo mejo za neposredna plačila za dano leto zahtevka, kot je določena v Prilogi IV, in skupnimi načrtovanimi izložki za osnovno dohodkovno podporo za navedeno leto zahtevka, izraženo v številu hektarov.</w:t>
            </w:r>
          </w:p>
        </w:tc>
        <w:tc>
          <w:tcPr>
            <w:tcW w:w="4876" w:type="dxa"/>
            <w:hideMark/>
          </w:tcPr>
          <w:p w14:paraId="79F61F13" w14:textId="77777777" w:rsidR="003663AF" w:rsidRPr="00B7760C" w:rsidRDefault="003663AF" w:rsidP="00E804B7">
            <w:pPr>
              <w:pStyle w:val="Normal6"/>
              <w:rPr>
                <w:szCs w:val="24"/>
              </w:rPr>
            </w:pPr>
            <w:r w:rsidRPr="00B7760C">
              <w:rPr>
                <w:b/>
                <w:i/>
              </w:rPr>
              <w:t>črtano</w:t>
            </w:r>
          </w:p>
        </w:tc>
      </w:tr>
    </w:tbl>
    <w:p w14:paraId="62130A97" w14:textId="77777777" w:rsidR="003663AF" w:rsidRPr="00B7760C" w:rsidRDefault="003663AF" w:rsidP="003663AF"/>
    <w:p w14:paraId="0F8A1DE6" w14:textId="3690E185" w:rsidR="003663AF" w:rsidRPr="00B7760C" w:rsidRDefault="00877691" w:rsidP="003663AF">
      <w:pPr>
        <w:pStyle w:val="AMNumberTabs"/>
        <w:keepNext/>
      </w:pPr>
      <w:r w:rsidRPr="00B7760C">
        <w:t>Sprememba</w:t>
      </w:r>
      <w:r w:rsidR="003663AF" w:rsidRPr="00B7760C">
        <w:tab/>
      </w:r>
      <w:r w:rsidR="003663AF" w:rsidRPr="00B7760C">
        <w:tab/>
        <w:t>216</w:t>
      </w:r>
    </w:p>
    <w:p w14:paraId="40A9A844" w14:textId="77777777" w:rsidR="003663AF" w:rsidRPr="00B7760C" w:rsidRDefault="003663AF" w:rsidP="003663AF">
      <w:pPr>
        <w:pStyle w:val="NormalBold12b"/>
      </w:pPr>
      <w:r w:rsidRPr="00B7760C">
        <w:t>Predlog uredbe</w:t>
      </w:r>
    </w:p>
    <w:p w14:paraId="47A91CE2" w14:textId="77777777" w:rsidR="003663AF" w:rsidRPr="00B7760C" w:rsidRDefault="003663AF" w:rsidP="003663AF">
      <w:pPr>
        <w:pStyle w:val="NormalBold"/>
      </w:pPr>
      <w:r w:rsidRPr="00B7760C">
        <w:t>Člen 26 – odstavek 5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AEECFEB" w14:textId="77777777" w:rsidTr="00E804B7">
        <w:trPr>
          <w:jc w:val="center"/>
        </w:trPr>
        <w:tc>
          <w:tcPr>
            <w:tcW w:w="9752" w:type="dxa"/>
            <w:gridSpan w:val="2"/>
          </w:tcPr>
          <w:p w14:paraId="3DC5DE52" w14:textId="77777777" w:rsidR="003663AF" w:rsidRPr="00B7760C" w:rsidRDefault="003663AF" w:rsidP="00E804B7">
            <w:pPr>
              <w:keepNext/>
            </w:pPr>
          </w:p>
        </w:tc>
      </w:tr>
      <w:tr w:rsidR="003663AF" w:rsidRPr="00B7760C" w14:paraId="4B200485" w14:textId="77777777" w:rsidTr="00E804B7">
        <w:trPr>
          <w:jc w:val="center"/>
        </w:trPr>
        <w:tc>
          <w:tcPr>
            <w:tcW w:w="4876" w:type="dxa"/>
            <w:hideMark/>
          </w:tcPr>
          <w:p w14:paraId="66AB6C4B" w14:textId="77777777" w:rsidR="003663AF" w:rsidRPr="00B7760C" w:rsidRDefault="003663AF" w:rsidP="00E804B7">
            <w:pPr>
              <w:pStyle w:val="ColumnHeading"/>
              <w:keepNext/>
            </w:pPr>
            <w:r w:rsidRPr="00B7760C">
              <w:t>Besedilo, ki ga predlaga Komisija</w:t>
            </w:r>
          </w:p>
        </w:tc>
        <w:tc>
          <w:tcPr>
            <w:tcW w:w="4876" w:type="dxa"/>
            <w:hideMark/>
          </w:tcPr>
          <w:p w14:paraId="59667840" w14:textId="6F28830E" w:rsidR="003663AF" w:rsidRPr="00B7760C" w:rsidRDefault="00877691" w:rsidP="00E804B7">
            <w:pPr>
              <w:pStyle w:val="ColumnHeading"/>
              <w:keepNext/>
            </w:pPr>
            <w:r w:rsidRPr="00B7760C">
              <w:t>Sprememba</w:t>
            </w:r>
          </w:p>
        </w:tc>
      </w:tr>
      <w:tr w:rsidR="003663AF" w:rsidRPr="00B7760C" w14:paraId="1DAD44AF" w14:textId="77777777" w:rsidTr="00E804B7">
        <w:trPr>
          <w:jc w:val="center"/>
        </w:trPr>
        <w:tc>
          <w:tcPr>
            <w:tcW w:w="4876" w:type="dxa"/>
          </w:tcPr>
          <w:p w14:paraId="265A30EB" w14:textId="77777777" w:rsidR="003663AF" w:rsidRPr="00B7760C" w:rsidRDefault="003663AF" w:rsidP="00E804B7">
            <w:pPr>
              <w:pStyle w:val="Normal6"/>
            </w:pPr>
          </w:p>
        </w:tc>
        <w:tc>
          <w:tcPr>
            <w:tcW w:w="4876" w:type="dxa"/>
            <w:hideMark/>
          </w:tcPr>
          <w:p w14:paraId="6D136F99" w14:textId="77777777" w:rsidR="003663AF" w:rsidRPr="00B7760C" w:rsidRDefault="003663AF" w:rsidP="00E804B7">
            <w:pPr>
              <w:pStyle w:val="Normal6"/>
              <w:rPr>
                <w:szCs w:val="24"/>
              </w:rPr>
            </w:pPr>
            <w:r w:rsidRPr="00B7760C">
              <w:rPr>
                <w:b/>
                <w:i/>
              </w:rPr>
              <w:t>5a.</w:t>
            </w:r>
            <w:r w:rsidRPr="00B7760C">
              <w:rPr>
                <w:b/>
                <w:i/>
              </w:rPr>
              <w:tab/>
              <w:t>V primeru pravnih oseb ali skupin fizičnih ali pravnih oseb lahko države članice uporabijo največje število hektarov iz odstavka 3 na ravni članov teh pravnih oseb ali skupin, če nacionalna zakonodaja določa, da posamezni člani prevzamejo pravice in obveznosti, primerljive s tistimi, ki jih imajo posamezni kmetje s statusom vodje kmetijskega gospodarstva, zlasti kar zadeva njihov gospodarski, socialni in davčni status, pod pogojem, da so prispevali h krepitvi kmetijske strukture zadevnih pravnih oseb ali skupin.</w:t>
            </w:r>
          </w:p>
        </w:tc>
      </w:tr>
    </w:tbl>
    <w:p w14:paraId="1B30AA0B" w14:textId="77777777" w:rsidR="003663AF" w:rsidRPr="00B7760C" w:rsidRDefault="003663AF" w:rsidP="003663AF"/>
    <w:p w14:paraId="34F831E0" w14:textId="4A5AA36F" w:rsidR="003663AF" w:rsidRPr="00B7760C" w:rsidRDefault="00877691" w:rsidP="0044746B">
      <w:pPr>
        <w:pStyle w:val="AMNumberTabs"/>
        <w:keepNext/>
      </w:pPr>
      <w:r w:rsidRPr="00B7760C">
        <w:t>Sprememb</w:t>
      </w:r>
      <w:r w:rsidR="0044746B" w:rsidRPr="00B7760C">
        <w:t>e</w:t>
      </w:r>
      <w:r w:rsidR="003663AF" w:rsidRPr="00B7760C">
        <w:tab/>
        <w:t>217</w:t>
      </w:r>
      <w:r w:rsidR="0044746B" w:rsidRPr="00B7760C">
        <w:t>, 743, 1158 cp5 in 1219</w:t>
      </w:r>
    </w:p>
    <w:p w14:paraId="309E3BF6" w14:textId="77777777" w:rsidR="003663AF" w:rsidRPr="00B7760C" w:rsidRDefault="003663AF" w:rsidP="003663AF">
      <w:pPr>
        <w:pStyle w:val="NormalBold12b"/>
      </w:pPr>
      <w:r w:rsidRPr="00B7760C">
        <w:t>Predlog uredbe</w:t>
      </w:r>
    </w:p>
    <w:p w14:paraId="416F2130" w14:textId="77777777" w:rsidR="003663AF" w:rsidRPr="00B7760C" w:rsidRDefault="003663AF" w:rsidP="003663AF">
      <w:pPr>
        <w:pStyle w:val="NormalBold"/>
      </w:pPr>
      <w:r w:rsidRPr="00B7760C">
        <w:t>Člen 26 – odstavek 5 b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36BF6CF" w14:textId="77777777" w:rsidTr="00E804B7">
        <w:trPr>
          <w:jc w:val="center"/>
        </w:trPr>
        <w:tc>
          <w:tcPr>
            <w:tcW w:w="9752" w:type="dxa"/>
            <w:gridSpan w:val="2"/>
          </w:tcPr>
          <w:p w14:paraId="5F58F997" w14:textId="77777777" w:rsidR="003663AF" w:rsidRPr="00B7760C" w:rsidRDefault="003663AF" w:rsidP="00E804B7">
            <w:pPr>
              <w:keepNext/>
            </w:pPr>
          </w:p>
        </w:tc>
      </w:tr>
      <w:tr w:rsidR="003663AF" w:rsidRPr="00B7760C" w14:paraId="0B969D37" w14:textId="77777777" w:rsidTr="00E804B7">
        <w:trPr>
          <w:jc w:val="center"/>
        </w:trPr>
        <w:tc>
          <w:tcPr>
            <w:tcW w:w="4876" w:type="dxa"/>
            <w:hideMark/>
          </w:tcPr>
          <w:p w14:paraId="0FE8650E" w14:textId="77777777" w:rsidR="003663AF" w:rsidRPr="00B7760C" w:rsidRDefault="003663AF" w:rsidP="00E804B7">
            <w:pPr>
              <w:pStyle w:val="ColumnHeading"/>
              <w:keepNext/>
            </w:pPr>
            <w:r w:rsidRPr="00B7760C">
              <w:t>Besedilo, ki ga predlaga Komisija</w:t>
            </w:r>
          </w:p>
        </w:tc>
        <w:tc>
          <w:tcPr>
            <w:tcW w:w="4876" w:type="dxa"/>
            <w:hideMark/>
          </w:tcPr>
          <w:p w14:paraId="61797551" w14:textId="18180C7E" w:rsidR="003663AF" w:rsidRPr="00B7760C" w:rsidRDefault="00877691" w:rsidP="00E804B7">
            <w:pPr>
              <w:pStyle w:val="ColumnHeading"/>
              <w:keepNext/>
            </w:pPr>
            <w:r w:rsidRPr="00B7760C">
              <w:t>Sprememba</w:t>
            </w:r>
          </w:p>
        </w:tc>
      </w:tr>
      <w:tr w:rsidR="003663AF" w:rsidRPr="00B7760C" w14:paraId="36EC36AC" w14:textId="77777777" w:rsidTr="00E804B7">
        <w:trPr>
          <w:jc w:val="center"/>
        </w:trPr>
        <w:tc>
          <w:tcPr>
            <w:tcW w:w="4876" w:type="dxa"/>
          </w:tcPr>
          <w:p w14:paraId="2C19F2F7" w14:textId="77777777" w:rsidR="003663AF" w:rsidRPr="00B7760C" w:rsidRDefault="003663AF" w:rsidP="00E804B7">
            <w:pPr>
              <w:pStyle w:val="Normal6"/>
            </w:pPr>
          </w:p>
        </w:tc>
        <w:tc>
          <w:tcPr>
            <w:tcW w:w="4876" w:type="dxa"/>
            <w:hideMark/>
          </w:tcPr>
          <w:p w14:paraId="7A8AB91B" w14:textId="77777777" w:rsidR="003663AF" w:rsidRPr="00B7760C" w:rsidRDefault="003663AF" w:rsidP="00E804B7">
            <w:pPr>
              <w:pStyle w:val="Normal6"/>
              <w:rPr>
                <w:szCs w:val="24"/>
              </w:rPr>
            </w:pPr>
            <w:r w:rsidRPr="00B7760C">
              <w:rPr>
                <w:b/>
                <w:i/>
              </w:rPr>
              <w:t>5b.</w:t>
            </w:r>
            <w:r w:rsidRPr="00B7760C">
              <w:rPr>
                <w:b/>
                <w:i/>
              </w:rPr>
              <w:tab/>
              <w:t>Države članice zagotovijo, da se ugodnosti iz tega poglavja ne odobrijo tistim kmetom, za katere se ugotovi, da so svoje kmetijsko gospodarstvo razdelili izključno z namenom, da bi pridobili koristi v okviru prerazporeditvenega plačila. To velja tudi za kmete, katerih gospodarstva so posledica takšne delitve.</w:t>
            </w:r>
          </w:p>
        </w:tc>
      </w:tr>
    </w:tbl>
    <w:p w14:paraId="1EFA33B0" w14:textId="77777777" w:rsidR="003663AF" w:rsidRPr="00B7760C" w:rsidRDefault="003663AF" w:rsidP="003663AF"/>
    <w:p w14:paraId="7F9D9A2F" w14:textId="123CBC02" w:rsidR="003663AF" w:rsidRPr="00B7760C" w:rsidRDefault="00877691" w:rsidP="003663AF">
      <w:pPr>
        <w:pStyle w:val="AMNumberTabs"/>
        <w:keepNext/>
      </w:pPr>
      <w:r w:rsidRPr="00B7760C">
        <w:t>Sprememb</w:t>
      </w:r>
      <w:r w:rsidR="0044746B" w:rsidRPr="00B7760C">
        <w:t>i</w:t>
      </w:r>
      <w:r w:rsidR="003663AF" w:rsidRPr="00B7760C">
        <w:tab/>
      </w:r>
      <w:r w:rsidR="003663AF" w:rsidRPr="00B7760C">
        <w:tab/>
        <w:t>218</w:t>
      </w:r>
      <w:r w:rsidR="0044746B" w:rsidRPr="00B7760C">
        <w:t xml:space="preserve"> in 1161 cp1</w:t>
      </w:r>
    </w:p>
    <w:p w14:paraId="5C310691" w14:textId="77777777" w:rsidR="003663AF" w:rsidRPr="00B7760C" w:rsidRDefault="003663AF" w:rsidP="003663AF">
      <w:pPr>
        <w:pStyle w:val="NormalBold12b"/>
      </w:pPr>
      <w:r w:rsidRPr="00B7760C">
        <w:t>Predlog uredbe</w:t>
      </w:r>
    </w:p>
    <w:p w14:paraId="5FD5CE80" w14:textId="77777777" w:rsidR="003663AF" w:rsidRPr="00B7760C" w:rsidRDefault="003663AF" w:rsidP="003663AF">
      <w:pPr>
        <w:pStyle w:val="NormalBold"/>
      </w:pPr>
      <w:r w:rsidRPr="00B7760C">
        <w:t>Člen 27 – 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5C3E906" w14:textId="77777777" w:rsidTr="00E804B7">
        <w:trPr>
          <w:jc w:val="center"/>
        </w:trPr>
        <w:tc>
          <w:tcPr>
            <w:tcW w:w="9752" w:type="dxa"/>
            <w:gridSpan w:val="2"/>
          </w:tcPr>
          <w:p w14:paraId="285FFEEF" w14:textId="77777777" w:rsidR="003663AF" w:rsidRPr="00B7760C" w:rsidRDefault="003663AF" w:rsidP="00E804B7">
            <w:pPr>
              <w:keepNext/>
            </w:pPr>
          </w:p>
        </w:tc>
      </w:tr>
      <w:tr w:rsidR="003663AF" w:rsidRPr="00B7760C" w14:paraId="0ABBCA3E" w14:textId="77777777" w:rsidTr="00E804B7">
        <w:trPr>
          <w:jc w:val="center"/>
        </w:trPr>
        <w:tc>
          <w:tcPr>
            <w:tcW w:w="4876" w:type="dxa"/>
            <w:hideMark/>
          </w:tcPr>
          <w:p w14:paraId="47CF489F" w14:textId="77777777" w:rsidR="003663AF" w:rsidRPr="00B7760C" w:rsidRDefault="003663AF" w:rsidP="00E804B7">
            <w:pPr>
              <w:pStyle w:val="ColumnHeading"/>
              <w:keepNext/>
            </w:pPr>
            <w:r w:rsidRPr="00B7760C">
              <w:t>Besedilo, ki ga predlaga Komisija</w:t>
            </w:r>
          </w:p>
        </w:tc>
        <w:tc>
          <w:tcPr>
            <w:tcW w:w="4876" w:type="dxa"/>
            <w:hideMark/>
          </w:tcPr>
          <w:p w14:paraId="7621D380" w14:textId="49F1702C" w:rsidR="003663AF" w:rsidRPr="00B7760C" w:rsidRDefault="00877691" w:rsidP="00E804B7">
            <w:pPr>
              <w:pStyle w:val="ColumnHeading"/>
              <w:keepNext/>
            </w:pPr>
            <w:r w:rsidRPr="00B7760C">
              <w:t>Sprememba</w:t>
            </w:r>
          </w:p>
        </w:tc>
      </w:tr>
      <w:tr w:rsidR="003663AF" w:rsidRPr="00B7760C" w14:paraId="4219ECE0" w14:textId="77777777" w:rsidTr="00E804B7">
        <w:trPr>
          <w:jc w:val="center"/>
        </w:trPr>
        <w:tc>
          <w:tcPr>
            <w:tcW w:w="4876" w:type="dxa"/>
            <w:hideMark/>
          </w:tcPr>
          <w:p w14:paraId="614A5FFF" w14:textId="77777777" w:rsidR="003663AF" w:rsidRPr="00B7760C" w:rsidRDefault="003663AF" w:rsidP="00E804B7">
            <w:pPr>
              <w:pStyle w:val="Normal6"/>
            </w:pPr>
            <w:r w:rsidRPr="00B7760C">
              <w:t>1.</w:t>
            </w:r>
            <w:r w:rsidRPr="00B7760C">
              <w:tab/>
              <w:t>Države članice lahko zagotovijo dopolnilno dohodkovno podporo za mlade kmete v skladu s pogoji iz tega člena in kot je podrobneje opredeljeno v njihovih strateških načrtih SKP.</w:t>
            </w:r>
          </w:p>
        </w:tc>
        <w:tc>
          <w:tcPr>
            <w:tcW w:w="4876" w:type="dxa"/>
            <w:hideMark/>
          </w:tcPr>
          <w:p w14:paraId="7D51B1AB" w14:textId="77777777" w:rsidR="003663AF" w:rsidRPr="00B7760C" w:rsidRDefault="003663AF" w:rsidP="00E804B7">
            <w:pPr>
              <w:pStyle w:val="Normal6"/>
              <w:rPr>
                <w:szCs w:val="24"/>
              </w:rPr>
            </w:pPr>
            <w:r w:rsidRPr="00B7760C">
              <w:t>1.</w:t>
            </w:r>
            <w:r w:rsidRPr="00B7760C">
              <w:tab/>
              <w:t>Države članice lahko zagotovijo dopolnilno dohodkovno podporo za mlade kmete</w:t>
            </w:r>
            <w:r w:rsidRPr="00B7760C">
              <w:rPr>
                <w:b/>
                <w:i/>
              </w:rPr>
              <w:t>, opredeljene glede na merila iz točke (d) člena 4(1),</w:t>
            </w:r>
            <w:r w:rsidRPr="00B7760C">
              <w:t xml:space="preserve"> v skladu s pogoji iz tega člena in kot je podrobneje opredeljeno v njihovih strateških načrtih SKP.</w:t>
            </w:r>
          </w:p>
        </w:tc>
      </w:tr>
    </w:tbl>
    <w:p w14:paraId="77A11BAC" w14:textId="77777777" w:rsidR="003663AF" w:rsidRPr="00B7760C" w:rsidRDefault="003663AF" w:rsidP="003663AF"/>
    <w:p w14:paraId="592EFC05" w14:textId="3BB42A60" w:rsidR="003663AF" w:rsidRPr="00B7760C" w:rsidRDefault="003663AF" w:rsidP="003663AF"/>
    <w:p w14:paraId="35D40207" w14:textId="53972639" w:rsidR="0044746B" w:rsidRPr="00B7760C" w:rsidRDefault="0044746B" w:rsidP="0044746B">
      <w:pPr>
        <w:pStyle w:val="AmNumberTabs0"/>
      </w:pPr>
      <w:r w:rsidRPr="00B7760C">
        <w:t>Sprememba</w:t>
      </w:r>
      <w:r w:rsidRPr="00B7760C">
        <w:tab/>
      </w:r>
      <w:r w:rsidRPr="00B7760C">
        <w:tab/>
        <w:t>1159</w:t>
      </w:r>
    </w:p>
    <w:p w14:paraId="215E98D1" w14:textId="77777777" w:rsidR="0044746B" w:rsidRPr="00B7760C" w:rsidRDefault="0044746B" w:rsidP="0044746B">
      <w:pPr>
        <w:pStyle w:val="NormalBold12b"/>
      </w:pPr>
      <w:r w:rsidRPr="00B7760C">
        <w:t>Predlog uredbe</w:t>
      </w:r>
    </w:p>
    <w:p w14:paraId="45194E56" w14:textId="77777777" w:rsidR="0044746B" w:rsidRPr="00B7760C" w:rsidRDefault="0044746B" w:rsidP="0044746B">
      <w:pPr>
        <w:pStyle w:val="NormalBold"/>
      </w:pPr>
      <w:r w:rsidRPr="00B7760C">
        <w:t>Člen 27 – odstavek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4746B" w:rsidRPr="00B7760C" w14:paraId="65FD4908" w14:textId="77777777" w:rsidTr="002E2EB0">
        <w:trPr>
          <w:trHeight w:hRule="exact" w:val="240"/>
          <w:jc w:val="center"/>
        </w:trPr>
        <w:tc>
          <w:tcPr>
            <w:tcW w:w="9752" w:type="dxa"/>
            <w:gridSpan w:val="2"/>
          </w:tcPr>
          <w:p w14:paraId="76DF0CDC" w14:textId="77777777" w:rsidR="0044746B" w:rsidRPr="00B7760C" w:rsidRDefault="0044746B" w:rsidP="002E2EB0"/>
        </w:tc>
      </w:tr>
      <w:tr w:rsidR="0044746B" w:rsidRPr="00B7760C" w14:paraId="1A60EC1C" w14:textId="77777777" w:rsidTr="002E2EB0">
        <w:trPr>
          <w:trHeight w:val="240"/>
          <w:jc w:val="center"/>
        </w:trPr>
        <w:tc>
          <w:tcPr>
            <w:tcW w:w="4876" w:type="dxa"/>
          </w:tcPr>
          <w:p w14:paraId="40E7B483" w14:textId="77777777" w:rsidR="0044746B" w:rsidRPr="00B7760C" w:rsidRDefault="0044746B" w:rsidP="002E2EB0">
            <w:pPr>
              <w:pStyle w:val="AmColumnHeading"/>
            </w:pPr>
            <w:r w:rsidRPr="00B7760C">
              <w:t>Besedilo, ki ga predlaga Komisija</w:t>
            </w:r>
          </w:p>
        </w:tc>
        <w:tc>
          <w:tcPr>
            <w:tcW w:w="4876" w:type="dxa"/>
          </w:tcPr>
          <w:p w14:paraId="1404E20E" w14:textId="343E28CB" w:rsidR="0044746B" w:rsidRPr="00B7760C" w:rsidRDefault="0044746B" w:rsidP="002E2EB0">
            <w:pPr>
              <w:pStyle w:val="AmColumnHeading"/>
            </w:pPr>
            <w:r w:rsidRPr="00B7760C">
              <w:t>Sprememba</w:t>
            </w:r>
          </w:p>
        </w:tc>
      </w:tr>
      <w:tr w:rsidR="0044746B" w:rsidRPr="00B7760C" w14:paraId="4AF16B6B" w14:textId="77777777" w:rsidTr="002E2EB0">
        <w:trPr>
          <w:jc w:val="center"/>
        </w:trPr>
        <w:tc>
          <w:tcPr>
            <w:tcW w:w="4876" w:type="dxa"/>
          </w:tcPr>
          <w:p w14:paraId="134EAA6B" w14:textId="77777777" w:rsidR="0044746B" w:rsidRPr="00B7760C" w:rsidRDefault="0044746B" w:rsidP="002E2EB0">
            <w:pPr>
              <w:pStyle w:val="Normal6a"/>
            </w:pPr>
            <w:r w:rsidRPr="00B7760C">
              <w:t>2.</w:t>
            </w:r>
            <w:r w:rsidRPr="00B7760C">
              <w:tab/>
              <w:t xml:space="preserve">Kot del obveznosti, da prispevajo k </w:t>
            </w:r>
            <w:r w:rsidRPr="00B7760C">
              <w:rPr>
                <w:b/>
                <w:i/>
              </w:rPr>
              <w:t xml:space="preserve">specifičnemu </w:t>
            </w:r>
            <w:r w:rsidRPr="00B7760C">
              <w:t xml:space="preserve">cilju „privabljanje mladih kmetov in spodbujanje razvoja podjetij na podeželskih območjih“ iz točke (g) člena 6(1) ter da v skladu s členom 86(4) za ta cilj namenijo vsaj </w:t>
            </w:r>
            <w:r w:rsidRPr="00B7760C">
              <w:rPr>
                <w:b/>
                <w:i/>
              </w:rPr>
              <w:t>2</w:t>
            </w:r>
            <w:r w:rsidRPr="00B7760C">
              <w:t> % svojih sredstev za neposredna plačila, lahko države članice določijo dopolnilno dohodkovno podporo za mlade kmete, ki so prvič na novo ustanovili kmetijsko gospodarstvo ter ki so upravičeni do plačila v okviru osnovne dohodkovne podpore iz člena 17.</w:t>
            </w:r>
          </w:p>
        </w:tc>
        <w:tc>
          <w:tcPr>
            <w:tcW w:w="4876" w:type="dxa"/>
          </w:tcPr>
          <w:p w14:paraId="4BEC7FD8" w14:textId="77777777" w:rsidR="0044746B" w:rsidRPr="00B7760C" w:rsidRDefault="0044746B" w:rsidP="002E2EB0">
            <w:pPr>
              <w:pStyle w:val="Normal6a"/>
            </w:pPr>
            <w:r w:rsidRPr="00B7760C">
              <w:t>2.</w:t>
            </w:r>
            <w:r w:rsidRPr="00B7760C">
              <w:tab/>
              <w:t xml:space="preserve">Kot del obveznosti, da prispevajo k cilju „privabljanje mladih kmetov in spodbujanje razvoja podjetij na podeželskih območjih“ iz točke (g) člena 6(1) ter da v skladu s členom 86(4) za ta cilj namenijo vsaj </w:t>
            </w:r>
            <w:r w:rsidRPr="00B7760C">
              <w:rPr>
                <w:b/>
                <w:i/>
              </w:rPr>
              <w:t>4</w:t>
            </w:r>
            <w:r w:rsidRPr="00B7760C">
              <w:t> % svojih sredstev za neposredna plačila, lahko države članice določijo dopolnilno dohodkovno podporo za mlade kmete, ki so prvič na novo ustanovili kmetijsko gospodarstvo</w:t>
            </w:r>
            <w:r w:rsidRPr="00B7760C">
              <w:rPr>
                <w:b/>
                <w:i/>
              </w:rPr>
              <w:t xml:space="preserve"> kot nosilec</w:t>
            </w:r>
            <w:r w:rsidRPr="00B7760C">
              <w:t xml:space="preserve"> ter ki so upravičeni do plačila v okviru osnovne dohodkovne podpore iz člena 17.</w:t>
            </w:r>
          </w:p>
        </w:tc>
      </w:tr>
    </w:tbl>
    <w:p w14:paraId="09CA6D69" w14:textId="77777777" w:rsidR="0044746B" w:rsidRPr="00B7760C" w:rsidRDefault="0044746B" w:rsidP="003663AF"/>
    <w:p w14:paraId="7A873C6E" w14:textId="0DB53994" w:rsidR="003663AF" w:rsidRPr="00B7760C" w:rsidRDefault="00877691" w:rsidP="0044746B">
      <w:pPr>
        <w:pStyle w:val="AMNumberTabs"/>
        <w:keepNext/>
      </w:pPr>
      <w:r w:rsidRPr="00B7760C">
        <w:t>Sprememba</w:t>
      </w:r>
      <w:r w:rsidR="003663AF" w:rsidRPr="00B7760C">
        <w:tab/>
      </w:r>
      <w:r w:rsidR="003663AF" w:rsidRPr="00B7760C">
        <w:tab/>
      </w:r>
      <w:r w:rsidR="0044746B" w:rsidRPr="00B7760C">
        <w:t>1161 cp3</w:t>
      </w:r>
    </w:p>
    <w:p w14:paraId="31264864" w14:textId="77777777" w:rsidR="003663AF" w:rsidRPr="00B7760C" w:rsidRDefault="003663AF" w:rsidP="003663AF">
      <w:pPr>
        <w:pStyle w:val="NormalBold12b"/>
      </w:pPr>
      <w:r w:rsidRPr="00B7760C">
        <w:t>Predlog uredbe</w:t>
      </w:r>
    </w:p>
    <w:p w14:paraId="24B3E4B2" w14:textId="77777777" w:rsidR="003663AF" w:rsidRPr="00B7760C" w:rsidRDefault="003663AF" w:rsidP="003663AF">
      <w:pPr>
        <w:pStyle w:val="NormalBold"/>
      </w:pPr>
      <w:r w:rsidRPr="00B7760C">
        <w:t>Člen 27 – odstavek 3</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D5D38D0" w14:textId="77777777" w:rsidTr="0044746B">
        <w:trPr>
          <w:jc w:val="center"/>
        </w:trPr>
        <w:tc>
          <w:tcPr>
            <w:tcW w:w="9752" w:type="dxa"/>
            <w:gridSpan w:val="2"/>
          </w:tcPr>
          <w:p w14:paraId="24593544" w14:textId="77777777" w:rsidR="003663AF" w:rsidRPr="00B7760C" w:rsidRDefault="003663AF" w:rsidP="00E804B7">
            <w:pPr>
              <w:keepNext/>
            </w:pPr>
          </w:p>
        </w:tc>
      </w:tr>
      <w:tr w:rsidR="003663AF" w:rsidRPr="00B7760C" w14:paraId="0B0EFAA0" w14:textId="77777777" w:rsidTr="0044746B">
        <w:trPr>
          <w:jc w:val="center"/>
        </w:trPr>
        <w:tc>
          <w:tcPr>
            <w:tcW w:w="4876" w:type="dxa"/>
            <w:hideMark/>
          </w:tcPr>
          <w:p w14:paraId="4C594580" w14:textId="77777777" w:rsidR="003663AF" w:rsidRPr="00B7760C" w:rsidRDefault="003663AF" w:rsidP="00E804B7">
            <w:pPr>
              <w:pStyle w:val="ColumnHeading"/>
              <w:keepNext/>
            </w:pPr>
            <w:r w:rsidRPr="00B7760C">
              <w:t>Besedilo, ki ga predlaga Komisija</w:t>
            </w:r>
          </w:p>
        </w:tc>
        <w:tc>
          <w:tcPr>
            <w:tcW w:w="4876" w:type="dxa"/>
            <w:hideMark/>
          </w:tcPr>
          <w:p w14:paraId="17CC1359" w14:textId="6904E8E4" w:rsidR="003663AF" w:rsidRPr="00B7760C" w:rsidRDefault="00877691" w:rsidP="00E804B7">
            <w:pPr>
              <w:pStyle w:val="ColumnHeading"/>
              <w:keepNext/>
            </w:pPr>
            <w:r w:rsidRPr="00B7760C">
              <w:t>Sprememba</w:t>
            </w:r>
          </w:p>
        </w:tc>
      </w:tr>
      <w:tr w:rsidR="0044746B" w:rsidRPr="00B7760C" w14:paraId="128E4340" w14:textId="77777777" w:rsidTr="0044746B">
        <w:trPr>
          <w:jc w:val="center"/>
        </w:trPr>
        <w:tc>
          <w:tcPr>
            <w:tcW w:w="4876" w:type="dxa"/>
          </w:tcPr>
          <w:p w14:paraId="4EEF7961" w14:textId="77777777" w:rsidR="0044746B" w:rsidRPr="00B7760C" w:rsidRDefault="0044746B" w:rsidP="002E2EB0">
            <w:pPr>
              <w:pStyle w:val="Normal6a"/>
            </w:pPr>
            <w:r w:rsidRPr="00B7760C">
              <w:t>3.</w:t>
            </w:r>
            <w:r w:rsidRPr="00B7760C">
              <w:tab/>
              <w:t xml:space="preserve">Dopolnilna dohodkovna podpora za mlade kmete </w:t>
            </w:r>
            <w:r w:rsidRPr="00B7760C">
              <w:rPr>
                <w:b/>
                <w:i/>
              </w:rPr>
              <w:t>ima obliko letnega nevezanega plačila</w:t>
            </w:r>
            <w:r w:rsidRPr="00B7760C">
              <w:t xml:space="preserve"> na upravičeni hektar.</w:t>
            </w:r>
          </w:p>
        </w:tc>
        <w:tc>
          <w:tcPr>
            <w:tcW w:w="4876" w:type="dxa"/>
          </w:tcPr>
          <w:p w14:paraId="54105B60" w14:textId="53468FFB" w:rsidR="0044746B" w:rsidRPr="00B7760C" w:rsidRDefault="0044746B" w:rsidP="000D6036">
            <w:pPr>
              <w:pStyle w:val="Normal6a"/>
            </w:pPr>
            <w:r w:rsidRPr="00B7760C">
              <w:t>3.</w:t>
            </w:r>
            <w:r w:rsidRPr="00B7760C">
              <w:tab/>
              <w:t xml:space="preserve">Dopolnilna dohodkovna podpora za mlade kmete </w:t>
            </w:r>
            <w:r w:rsidRPr="00B7760C">
              <w:rPr>
                <w:b/>
                <w:i/>
              </w:rPr>
              <w:t>se dodeli za največ</w:t>
            </w:r>
            <w:r w:rsidR="002A6F8D" w:rsidRPr="00B7760C">
              <w:rPr>
                <w:b/>
                <w:i/>
              </w:rPr>
              <w:t xml:space="preserve"> sedem</w:t>
            </w:r>
            <w:r w:rsidRPr="00B7760C">
              <w:rPr>
                <w:b/>
                <w:i/>
              </w:rPr>
              <w:t xml:space="preserve"> let od predložitve vloge za plačilo za mlade kmete, in sicer bodisi kot pavšalno plačilo na </w:t>
            </w:r>
            <w:r w:rsidR="000D6036" w:rsidRPr="00B7760C">
              <w:rPr>
                <w:b/>
                <w:i/>
              </w:rPr>
              <w:t>dejavnega</w:t>
            </w:r>
            <w:r w:rsidRPr="00B7760C">
              <w:rPr>
                <w:b/>
                <w:i/>
              </w:rPr>
              <w:t xml:space="preserve"> kmeta bodisi kot letno nevezano plačilo</w:t>
            </w:r>
            <w:r w:rsidRPr="00B7760C">
              <w:t xml:space="preserve"> na upravičeni hektar. </w:t>
            </w:r>
            <w:r w:rsidRPr="00B7760C">
              <w:rPr>
                <w:b/>
                <w:i/>
              </w:rPr>
              <w:t>V tem primeru se lahko izračuna na nacionalni ravni ali na podlagi ozemelj, opredeljenih v skladu s členom 18(2).</w:t>
            </w:r>
          </w:p>
        </w:tc>
      </w:tr>
    </w:tbl>
    <w:p w14:paraId="72386DBF" w14:textId="77777777" w:rsidR="002A460B" w:rsidRPr="00B7760C" w:rsidRDefault="002A460B" w:rsidP="003663AF"/>
    <w:p w14:paraId="5B0F2562" w14:textId="7C676E02" w:rsidR="003663AF" w:rsidRPr="00B7760C" w:rsidRDefault="00877691" w:rsidP="003663AF">
      <w:pPr>
        <w:pStyle w:val="AMNumberTabs"/>
        <w:keepNext/>
      </w:pPr>
      <w:r w:rsidRPr="00B7760C">
        <w:t>Sprememba</w:t>
      </w:r>
      <w:r w:rsidR="003663AF" w:rsidRPr="00B7760C">
        <w:tab/>
      </w:r>
      <w:r w:rsidR="003663AF" w:rsidRPr="00B7760C">
        <w:tab/>
        <w:t>221</w:t>
      </w:r>
    </w:p>
    <w:p w14:paraId="6F1A10C4" w14:textId="77777777" w:rsidR="003663AF" w:rsidRPr="00B7760C" w:rsidRDefault="003663AF" w:rsidP="003663AF">
      <w:pPr>
        <w:pStyle w:val="NormalBold12b"/>
      </w:pPr>
      <w:r w:rsidRPr="00B7760C">
        <w:t>Predlog uredbe</w:t>
      </w:r>
    </w:p>
    <w:p w14:paraId="56022C2F" w14:textId="77777777" w:rsidR="003663AF" w:rsidRPr="00B7760C" w:rsidRDefault="003663AF" w:rsidP="003663AF">
      <w:pPr>
        <w:pStyle w:val="NormalBold"/>
      </w:pPr>
      <w:r w:rsidRPr="00B7760C">
        <w:t>Člen 27 – odstavek 3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B4FC43B" w14:textId="77777777" w:rsidTr="00E804B7">
        <w:trPr>
          <w:jc w:val="center"/>
        </w:trPr>
        <w:tc>
          <w:tcPr>
            <w:tcW w:w="9752" w:type="dxa"/>
            <w:gridSpan w:val="2"/>
          </w:tcPr>
          <w:p w14:paraId="2C65E004" w14:textId="77777777" w:rsidR="003663AF" w:rsidRPr="00B7760C" w:rsidRDefault="003663AF" w:rsidP="00E804B7">
            <w:pPr>
              <w:keepNext/>
            </w:pPr>
          </w:p>
        </w:tc>
      </w:tr>
      <w:tr w:rsidR="003663AF" w:rsidRPr="00B7760C" w14:paraId="0FB4FB50" w14:textId="77777777" w:rsidTr="00E804B7">
        <w:trPr>
          <w:jc w:val="center"/>
        </w:trPr>
        <w:tc>
          <w:tcPr>
            <w:tcW w:w="4876" w:type="dxa"/>
            <w:hideMark/>
          </w:tcPr>
          <w:p w14:paraId="1E27EFEA" w14:textId="77777777" w:rsidR="003663AF" w:rsidRPr="00B7760C" w:rsidRDefault="003663AF" w:rsidP="00E804B7">
            <w:pPr>
              <w:pStyle w:val="ColumnHeading"/>
              <w:keepNext/>
            </w:pPr>
            <w:r w:rsidRPr="00B7760C">
              <w:t>Besedilo, ki ga predlaga Komisija</w:t>
            </w:r>
          </w:p>
        </w:tc>
        <w:tc>
          <w:tcPr>
            <w:tcW w:w="4876" w:type="dxa"/>
            <w:hideMark/>
          </w:tcPr>
          <w:p w14:paraId="7D2BADBC" w14:textId="26F4343F" w:rsidR="003663AF" w:rsidRPr="00B7760C" w:rsidRDefault="00877691" w:rsidP="00E804B7">
            <w:pPr>
              <w:pStyle w:val="ColumnHeading"/>
              <w:keepNext/>
            </w:pPr>
            <w:r w:rsidRPr="00B7760C">
              <w:t>Sprememba</w:t>
            </w:r>
          </w:p>
        </w:tc>
      </w:tr>
      <w:tr w:rsidR="003663AF" w:rsidRPr="00B7760C" w14:paraId="473E256A" w14:textId="77777777" w:rsidTr="00E804B7">
        <w:trPr>
          <w:jc w:val="center"/>
        </w:trPr>
        <w:tc>
          <w:tcPr>
            <w:tcW w:w="4876" w:type="dxa"/>
          </w:tcPr>
          <w:p w14:paraId="2D19E2D6" w14:textId="77777777" w:rsidR="003663AF" w:rsidRPr="00B7760C" w:rsidRDefault="003663AF" w:rsidP="00E804B7">
            <w:pPr>
              <w:pStyle w:val="Normal6"/>
            </w:pPr>
          </w:p>
        </w:tc>
        <w:tc>
          <w:tcPr>
            <w:tcW w:w="4876" w:type="dxa"/>
            <w:hideMark/>
          </w:tcPr>
          <w:p w14:paraId="551FFD1D" w14:textId="77777777" w:rsidR="003663AF" w:rsidRPr="00B7760C" w:rsidRDefault="003663AF" w:rsidP="00E804B7">
            <w:pPr>
              <w:pStyle w:val="Normal6"/>
              <w:rPr>
                <w:szCs w:val="24"/>
              </w:rPr>
            </w:pPr>
            <w:r w:rsidRPr="00B7760C">
              <w:rPr>
                <w:b/>
                <w:i/>
              </w:rPr>
              <w:t>3a.</w:t>
            </w:r>
            <w:r w:rsidRPr="00B7760C">
              <w:rPr>
                <w:b/>
                <w:i/>
              </w:rPr>
              <w:tab/>
              <w:t>Mladi kmetje, ki so prejeli podporo iz člena 50 Uredbe (EU) št. 1307/2013 v zadnjem letu njenega izvajanja, lahko prejemajo podporo iz tega člena za najdaljše skupno časovno obdobje, določeno v odstavku 3.</w:t>
            </w:r>
          </w:p>
        </w:tc>
      </w:tr>
    </w:tbl>
    <w:p w14:paraId="362E3238" w14:textId="77777777" w:rsidR="003663AF" w:rsidRPr="00B7760C" w:rsidRDefault="003663AF" w:rsidP="003663AF"/>
    <w:p w14:paraId="2549589A" w14:textId="01850F8F" w:rsidR="003663AF" w:rsidRPr="00B7760C" w:rsidRDefault="00877691" w:rsidP="003663AF">
      <w:pPr>
        <w:pStyle w:val="AMNumberTabs"/>
        <w:keepNext/>
      </w:pPr>
      <w:r w:rsidRPr="00B7760C">
        <w:t>Sprememba</w:t>
      </w:r>
      <w:r w:rsidR="003663AF" w:rsidRPr="00B7760C">
        <w:tab/>
      </w:r>
      <w:r w:rsidR="003663AF" w:rsidRPr="00B7760C">
        <w:tab/>
        <w:t>222</w:t>
      </w:r>
    </w:p>
    <w:p w14:paraId="09D8BFA6" w14:textId="77777777" w:rsidR="003663AF" w:rsidRPr="00B7760C" w:rsidRDefault="003663AF" w:rsidP="003663AF">
      <w:pPr>
        <w:pStyle w:val="NormalBold12b"/>
      </w:pPr>
      <w:r w:rsidRPr="00B7760C">
        <w:t>Predlog uredbe</w:t>
      </w:r>
    </w:p>
    <w:p w14:paraId="5B3D0384" w14:textId="77777777" w:rsidR="003663AF" w:rsidRPr="00B7760C" w:rsidRDefault="003663AF" w:rsidP="003663AF">
      <w:pPr>
        <w:pStyle w:val="NormalBold"/>
      </w:pPr>
      <w:r w:rsidRPr="00B7760C">
        <w:t>Člen 27 – odstavek 3 b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CDE4951" w14:textId="77777777" w:rsidTr="00E804B7">
        <w:trPr>
          <w:jc w:val="center"/>
        </w:trPr>
        <w:tc>
          <w:tcPr>
            <w:tcW w:w="9752" w:type="dxa"/>
            <w:gridSpan w:val="2"/>
          </w:tcPr>
          <w:p w14:paraId="4EBCD258" w14:textId="77777777" w:rsidR="003663AF" w:rsidRPr="00B7760C" w:rsidRDefault="003663AF" w:rsidP="00E804B7">
            <w:pPr>
              <w:keepNext/>
            </w:pPr>
          </w:p>
        </w:tc>
      </w:tr>
      <w:tr w:rsidR="003663AF" w:rsidRPr="00B7760C" w14:paraId="31DFBA42" w14:textId="77777777" w:rsidTr="00E804B7">
        <w:trPr>
          <w:jc w:val="center"/>
        </w:trPr>
        <w:tc>
          <w:tcPr>
            <w:tcW w:w="4876" w:type="dxa"/>
            <w:hideMark/>
          </w:tcPr>
          <w:p w14:paraId="36AF8FFA" w14:textId="77777777" w:rsidR="003663AF" w:rsidRPr="00B7760C" w:rsidRDefault="003663AF" w:rsidP="00E804B7">
            <w:pPr>
              <w:pStyle w:val="ColumnHeading"/>
              <w:keepNext/>
            </w:pPr>
            <w:r w:rsidRPr="00B7760C">
              <w:t>Besedilo, ki ga predlaga Komisija</w:t>
            </w:r>
          </w:p>
        </w:tc>
        <w:tc>
          <w:tcPr>
            <w:tcW w:w="4876" w:type="dxa"/>
            <w:hideMark/>
          </w:tcPr>
          <w:p w14:paraId="083344B6" w14:textId="68B29D0A" w:rsidR="003663AF" w:rsidRPr="00B7760C" w:rsidRDefault="00877691" w:rsidP="00E804B7">
            <w:pPr>
              <w:pStyle w:val="ColumnHeading"/>
              <w:keepNext/>
            </w:pPr>
            <w:r w:rsidRPr="00B7760C">
              <w:t>Sprememba</w:t>
            </w:r>
          </w:p>
        </w:tc>
      </w:tr>
      <w:tr w:rsidR="003663AF" w:rsidRPr="00B7760C" w14:paraId="70D351FC" w14:textId="77777777" w:rsidTr="00E804B7">
        <w:trPr>
          <w:jc w:val="center"/>
        </w:trPr>
        <w:tc>
          <w:tcPr>
            <w:tcW w:w="4876" w:type="dxa"/>
          </w:tcPr>
          <w:p w14:paraId="6EF93C08" w14:textId="77777777" w:rsidR="003663AF" w:rsidRPr="00B7760C" w:rsidRDefault="003663AF" w:rsidP="00E804B7">
            <w:pPr>
              <w:pStyle w:val="Normal6"/>
            </w:pPr>
          </w:p>
        </w:tc>
        <w:tc>
          <w:tcPr>
            <w:tcW w:w="4876" w:type="dxa"/>
            <w:hideMark/>
          </w:tcPr>
          <w:p w14:paraId="6A80F8BD" w14:textId="77777777" w:rsidR="003663AF" w:rsidRPr="00B7760C" w:rsidRDefault="003663AF" w:rsidP="00E804B7">
            <w:pPr>
              <w:pStyle w:val="Normal6"/>
              <w:rPr>
                <w:szCs w:val="24"/>
              </w:rPr>
            </w:pPr>
            <w:r w:rsidRPr="00B7760C">
              <w:rPr>
                <w:b/>
                <w:i/>
              </w:rPr>
              <w:t>3b.</w:t>
            </w:r>
            <w:r w:rsidRPr="00B7760C">
              <w:rPr>
                <w:b/>
                <w:i/>
              </w:rPr>
              <w:tab/>
              <w:t>Plačilo se dodeli za število hektarov, ki ne presega povprečne velikosti kmetij na nacionalni ravni ali glede na ozemlja, opredeljena v členu 18(2).</w:t>
            </w:r>
          </w:p>
        </w:tc>
      </w:tr>
    </w:tbl>
    <w:p w14:paraId="75FD1CE4" w14:textId="77777777" w:rsidR="003663AF" w:rsidRPr="00B7760C" w:rsidRDefault="003663AF" w:rsidP="003663AF"/>
    <w:p w14:paraId="0A4A49D9" w14:textId="273F7C66" w:rsidR="003663AF" w:rsidRPr="00B7760C" w:rsidRDefault="00877691" w:rsidP="003663AF">
      <w:pPr>
        <w:pStyle w:val="AMNumberTabs"/>
        <w:keepNext/>
      </w:pPr>
      <w:r w:rsidRPr="00B7760C">
        <w:t>Sprememba</w:t>
      </w:r>
      <w:r w:rsidR="003663AF" w:rsidRPr="00B7760C">
        <w:tab/>
      </w:r>
      <w:r w:rsidR="003663AF" w:rsidRPr="00B7760C">
        <w:tab/>
        <w:t>223</w:t>
      </w:r>
    </w:p>
    <w:p w14:paraId="5EFFB66A" w14:textId="77777777" w:rsidR="003663AF" w:rsidRPr="00B7760C" w:rsidRDefault="003663AF" w:rsidP="003663AF">
      <w:pPr>
        <w:pStyle w:val="NormalBold12b"/>
      </w:pPr>
      <w:r w:rsidRPr="00B7760C">
        <w:t>Predlog uredbe</w:t>
      </w:r>
    </w:p>
    <w:p w14:paraId="1305DD46" w14:textId="77777777" w:rsidR="003663AF" w:rsidRPr="00B7760C" w:rsidRDefault="003663AF" w:rsidP="003663AF">
      <w:pPr>
        <w:pStyle w:val="NormalBold"/>
      </w:pPr>
      <w:r w:rsidRPr="00B7760C">
        <w:t>Člen 27 – odstavek 3 c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9C1D37E" w14:textId="77777777" w:rsidTr="00E804B7">
        <w:trPr>
          <w:jc w:val="center"/>
        </w:trPr>
        <w:tc>
          <w:tcPr>
            <w:tcW w:w="9752" w:type="dxa"/>
            <w:gridSpan w:val="2"/>
          </w:tcPr>
          <w:p w14:paraId="630674F5" w14:textId="77777777" w:rsidR="003663AF" w:rsidRPr="00B7760C" w:rsidRDefault="003663AF" w:rsidP="00E804B7">
            <w:pPr>
              <w:keepNext/>
            </w:pPr>
          </w:p>
        </w:tc>
      </w:tr>
      <w:tr w:rsidR="003663AF" w:rsidRPr="00B7760C" w14:paraId="4F32A6E6" w14:textId="77777777" w:rsidTr="00E804B7">
        <w:trPr>
          <w:jc w:val="center"/>
        </w:trPr>
        <w:tc>
          <w:tcPr>
            <w:tcW w:w="4876" w:type="dxa"/>
            <w:hideMark/>
          </w:tcPr>
          <w:p w14:paraId="6BDB3F3E" w14:textId="77777777" w:rsidR="003663AF" w:rsidRPr="00B7760C" w:rsidRDefault="003663AF" w:rsidP="00E804B7">
            <w:pPr>
              <w:pStyle w:val="ColumnHeading"/>
              <w:keepNext/>
            </w:pPr>
            <w:r w:rsidRPr="00B7760C">
              <w:t>Besedilo, ki ga predlaga Komisija</w:t>
            </w:r>
          </w:p>
        </w:tc>
        <w:tc>
          <w:tcPr>
            <w:tcW w:w="4876" w:type="dxa"/>
            <w:hideMark/>
          </w:tcPr>
          <w:p w14:paraId="55162FBF" w14:textId="49942C59" w:rsidR="003663AF" w:rsidRPr="00B7760C" w:rsidRDefault="00877691" w:rsidP="00E804B7">
            <w:pPr>
              <w:pStyle w:val="ColumnHeading"/>
              <w:keepNext/>
            </w:pPr>
            <w:r w:rsidRPr="00B7760C">
              <w:t>Sprememba</w:t>
            </w:r>
          </w:p>
        </w:tc>
      </w:tr>
      <w:tr w:rsidR="003663AF" w:rsidRPr="00B7760C" w14:paraId="41A4D0EB" w14:textId="77777777" w:rsidTr="00E804B7">
        <w:trPr>
          <w:jc w:val="center"/>
        </w:trPr>
        <w:tc>
          <w:tcPr>
            <w:tcW w:w="4876" w:type="dxa"/>
          </w:tcPr>
          <w:p w14:paraId="6539B0B3" w14:textId="77777777" w:rsidR="003663AF" w:rsidRPr="00B7760C" w:rsidRDefault="003663AF" w:rsidP="00E804B7">
            <w:pPr>
              <w:pStyle w:val="Normal6"/>
            </w:pPr>
          </w:p>
        </w:tc>
        <w:tc>
          <w:tcPr>
            <w:tcW w:w="4876" w:type="dxa"/>
            <w:hideMark/>
          </w:tcPr>
          <w:p w14:paraId="713CB97C" w14:textId="77777777" w:rsidR="003663AF" w:rsidRPr="00B7760C" w:rsidRDefault="003663AF" w:rsidP="00E804B7">
            <w:pPr>
              <w:pStyle w:val="Normal6"/>
              <w:rPr>
                <w:szCs w:val="24"/>
              </w:rPr>
            </w:pPr>
            <w:r w:rsidRPr="00B7760C">
              <w:rPr>
                <w:b/>
                <w:i/>
              </w:rPr>
              <w:t>3c.</w:t>
            </w:r>
            <w:r w:rsidRPr="00B7760C">
              <w:rPr>
                <w:b/>
                <w:i/>
              </w:rPr>
              <w:tab/>
              <w:t>Države članice lahko sprejmejo posebne določbe v zvezi z mladimi kmeti, ki so včlanjeni v skupine kmetov, organizacije proizvajalcev ali zadruge, da ob pristopu k tem subjektom ne bi izgubili podpore iz tega člena.</w:t>
            </w:r>
          </w:p>
        </w:tc>
      </w:tr>
    </w:tbl>
    <w:p w14:paraId="6AEF9F69" w14:textId="77777777" w:rsidR="003663AF" w:rsidRPr="00B7760C" w:rsidRDefault="003663AF" w:rsidP="003663AF"/>
    <w:p w14:paraId="506A93B0" w14:textId="315CC2B8" w:rsidR="002A6F8D" w:rsidRPr="00B7760C" w:rsidRDefault="002A6F8D" w:rsidP="002A6F8D">
      <w:pPr>
        <w:pStyle w:val="AmNumberTabs0"/>
      </w:pPr>
      <w:r w:rsidRPr="00B7760C">
        <w:t>Sprememba</w:t>
      </w:r>
      <w:r w:rsidRPr="00B7760C">
        <w:tab/>
      </w:r>
      <w:r w:rsidRPr="00B7760C">
        <w:tab/>
        <w:t>1160</w:t>
      </w:r>
    </w:p>
    <w:p w14:paraId="23B0B502" w14:textId="77777777" w:rsidR="002A6F8D" w:rsidRPr="00B7760C" w:rsidRDefault="002A6F8D" w:rsidP="002A6F8D">
      <w:pPr>
        <w:pStyle w:val="NormalBold12b"/>
      </w:pPr>
      <w:r w:rsidRPr="00B7760C">
        <w:t>Predlog uredbe</w:t>
      </w:r>
    </w:p>
    <w:p w14:paraId="4D1CE10C" w14:textId="2D78E9C3" w:rsidR="002A6F8D" w:rsidRPr="00B7760C" w:rsidRDefault="002A6F8D" w:rsidP="002A6F8D">
      <w:pPr>
        <w:pStyle w:val="NormalBold"/>
      </w:pPr>
      <w:r w:rsidRPr="00B7760C">
        <w:t>Člen 27 – odstavek 3 d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A6F8D" w:rsidRPr="00B7760C" w14:paraId="58BD6E3C" w14:textId="77777777" w:rsidTr="00C7565D">
        <w:trPr>
          <w:trHeight w:hRule="exact" w:val="240"/>
          <w:jc w:val="center"/>
        </w:trPr>
        <w:tc>
          <w:tcPr>
            <w:tcW w:w="9752" w:type="dxa"/>
            <w:gridSpan w:val="2"/>
          </w:tcPr>
          <w:p w14:paraId="67F26299" w14:textId="77777777" w:rsidR="002A6F8D" w:rsidRPr="00B7760C" w:rsidRDefault="002A6F8D" w:rsidP="00C7565D"/>
        </w:tc>
      </w:tr>
      <w:tr w:rsidR="002A6F8D" w:rsidRPr="00B7760C" w14:paraId="15FA1563" w14:textId="77777777" w:rsidTr="00C7565D">
        <w:trPr>
          <w:trHeight w:val="240"/>
          <w:jc w:val="center"/>
        </w:trPr>
        <w:tc>
          <w:tcPr>
            <w:tcW w:w="4876" w:type="dxa"/>
          </w:tcPr>
          <w:p w14:paraId="763AC7CA" w14:textId="77777777" w:rsidR="002A6F8D" w:rsidRPr="00B7760C" w:rsidRDefault="002A6F8D" w:rsidP="00C7565D">
            <w:pPr>
              <w:pStyle w:val="AmColumnHeading"/>
            </w:pPr>
            <w:r w:rsidRPr="00B7760C">
              <w:t>Besedilo, ki ga predlaga Komisija</w:t>
            </w:r>
          </w:p>
        </w:tc>
        <w:tc>
          <w:tcPr>
            <w:tcW w:w="4876" w:type="dxa"/>
          </w:tcPr>
          <w:p w14:paraId="480F81F9" w14:textId="77777777" w:rsidR="002A6F8D" w:rsidRPr="00B7760C" w:rsidRDefault="002A6F8D" w:rsidP="00C7565D">
            <w:pPr>
              <w:pStyle w:val="AmColumnHeading"/>
            </w:pPr>
            <w:r w:rsidRPr="00B7760C">
              <w:t>Sprememba</w:t>
            </w:r>
          </w:p>
        </w:tc>
      </w:tr>
      <w:tr w:rsidR="002A6F8D" w:rsidRPr="00B7760C" w14:paraId="1971A635" w14:textId="77777777" w:rsidTr="00C7565D">
        <w:trPr>
          <w:jc w:val="center"/>
        </w:trPr>
        <w:tc>
          <w:tcPr>
            <w:tcW w:w="4876" w:type="dxa"/>
          </w:tcPr>
          <w:p w14:paraId="361327F8" w14:textId="77777777" w:rsidR="002A6F8D" w:rsidRPr="00B7760C" w:rsidRDefault="002A6F8D" w:rsidP="00C7565D">
            <w:pPr>
              <w:pStyle w:val="Normal6a"/>
            </w:pPr>
          </w:p>
        </w:tc>
        <w:tc>
          <w:tcPr>
            <w:tcW w:w="4876" w:type="dxa"/>
          </w:tcPr>
          <w:p w14:paraId="17F126FE" w14:textId="60D951DA" w:rsidR="002A6F8D" w:rsidRPr="00B7760C" w:rsidRDefault="002A6F8D" w:rsidP="00C7565D">
            <w:pPr>
              <w:pStyle w:val="Normal6a"/>
            </w:pPr>
            <w:r w:rsidRPr="00B7760C">
              <w:rPr>
                <w:b/>
                <w:i/>
              </w:rPr>
              <w:t>3d.</w:t>
            </w:r>
            <w:r w:rsidRPr="00B7760C">
              <w:tab/>
            </w:r>
            <w:r w:rsidRPr="00B7760C">
              <w:rPr>
                <w:b/>
                <w:i/>
              </w:rPr>
              <w:t>V primeru pravne osebe ali skupine fizičnih ali pravnih oseb lahko države članice uporabijo podporo za mlade kmete na ravni članov teh pravnih oseb ali skupin, če nacionalno pravo določa, da posamezni člani prevzamejo pravice in obveznosti, primerljive s pravicami in obveznostmi posameznih kmetov, ki imajo status nosilca kmetijskega gospodarstva, zlasti kar zadeva njihov gospodarski, socialni in davčni status, pod pogojem, da pomagajo okrepiti kmetijske strukture teh pravnih oseb ali skupin.</w:t>
            </w:r>
          </w:p>
        </w:tc>
      </w:tr>
    </w:tbl>
    <w:p w14:paraId="2B55CE67" w14:textId="135D7126" w:rsidR="006C08ED" w:rsidRPr="00B7760C" w:rsidRDefault="00877691" w:rsidP="006C08ED">
      <w:pPr>
        <w:pStyle w:val="AmNumberTabs0"/>
      </w:pPr>
      <w:r w:rsidRPr="00B7760C">
        <w:t>Sprememba</w:t>
      </w:r>
      <w:r w:rsidR="006C08ED" w:rsidRPr="00B7760C">
        <w:tab/>
      </w:r>
      <w:r w:rsidR="006C08ED" w:rsidRPr="00B7760C">
        <w:tab/>
        <w:t>1130</w:t>
      </w:r>
    </w:p>
    <w:p w14:paraId="15DBFDB1" w14:textId="77777777" w:rsidR="006C08ED" w:rsidRPr="00B7760C" w:rsidRDefault="006C08ED" w:rsidP="006C08ED">
      <w:pPr>
        <w:pStyle w:val="NormalBold12b"/>
      </w:pPr>
      <w:r w:rsidRPr="00B7760C">
        <w:t>Predlog uredbe</w:t>
      </w:r>
    </w:p>
    <w:p w14:paraId="33A03296" w14:textId="77777777" w:rsidR="006C08ED" w:rsidRPr="00B7760C" w:rsidRDefault="006C08ED" w:rsidP="006C08ED">
      <w:pPr>
        <w:pStyle w:val="NormalBold"/>
      </w:pPr>
      <w:r w:rsidRPr="00B7760C">
        <w:t>Člen 28</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6C08ED" w:rsidRPr="00B7760C" w14:paraId="51BF0D0D" w14:textId="77777777" w:rsidTr="004F0B88">
        <w:trPr>
          <w:jc w:val="center"/>
        </w:trPr>
        <w:tc>
          <w:tcPr>
            <w:tcW w:w="9752" w:type="dxa"/>
            <w:gridSpan w:val="2"/>
          </w:tcPr>
          <w:p w14:paraId="23C182AE" w14:textId="77777777" w:rsidR="006C08ED" w:rsidRPr="00B7760C" w:rsidRDefault="006C08ED" w:rsidP="004F0B88">
            <w:pPr>
              <w:keepNext/>
            </w:pPr>
          </w:p>
        </w:tc>
      </w:tr>
      <w:tr w:rsidR="006C08ED" w:rsidRPr="00B7760C" w14:paraId="18B1707F" w14:textId="77777777" w:rsidTr="004F0B88">
        <w:trPr>
          <w:jc w:val="center"/>
        </w:trPr>
        <w:tc>
          <w:tcPr>
            <w:tcW w:w="4876" w:type="dxa"/>
          </w:tcPr>
          <w:p w14:paraId="29647C46" w14:textId="77777777" w:rsidR="006C08ED" w:rsidRPr="00B7760C" w:rsidRDefault="006C08ED" w:rsidP="004F0B88">
            <w:pPr>
              <w:pStyle w:val="AmColumnHeading"/>
              <w:keepNext/>
            </w:pPr>
            <w:r w:rsidRPr="00B7760C">
              <w:t>Besedilo, ki ga predlaga Komisija</w:t>
            </w:r>
          </w:p>
        </w:tc>
        <w:tc>
          <w:tcPr>
            <w:tcW w:w="4876" w:type="dxa"/>
          </w:tcPr>
          <w:p w14:paraId="0F004706" w14:textId="2E214837" w:rsidR="006C08ED" w:rsidRPr="00B7760C" w:rsidRDefault="00877691" w:rsidP="004F0B88">
            <w:pPr>
              <w:pStyle w:val="AmColumnHeading"/>
              <w:keepNext/>
            </w:pPr>
            <w:r w:rsidRPr="00B7760C">
              <w:t>Sprememba</w:t>
            </w:r>
          </w:p>
        </w:tc>
      </w:tr>
      <w:tr w:rsidR="006C08ED" w:rsidRPr="00B7760C" w14:paraId="47D8F2EB" w14:textId="77777777" w:rsidTr="004F0B88">
        <w:trPr>
          <w:jc w:val="center"/>
        </w:trPr>
        <w:tc>
          <w:tcPr>
            <w:tcW w:w="4876" w:type="dxa"/>
          </w:tcPr>
          <w:p w14:paraId="6A357E44" w14:textId="77777777" w:rsidR="006C08ED" w:rsidRPr="00B7760C" w:rsidRDefault="006C08ED" w:rsidP="004F0B88">
            <w:pPr>
              <w:pStyle w:val="Normal6a"/>
              <w:jc w:val="center"/>
            </w:pPr>
            <w:r w:rsidRPr="00B7760C">
              <w:t>Člen 28</w:t>
            </w:r>
          </w:p>
        </w:tc>
        <w:tc>
          <w:tcPr>
            <w:tcW w:w="4876" w:type="dxa"/>
          </w:tcPr>
          <w:p w14:paraId="2139F782" w14:textId="77777777" w:rsidR="006C08ED" w:rsidRPr="00B7760C" w:rsidRDefault="006C08ED" w:rsidP="004F0B88">
            <w:pPr>
              <w:pStyle w:val="Normal6a"/>
              <w:jc w:val="center"/>
              <w:rPr>
                <w:szCs w:val="24"/>
              </w:rPr>
            </w:pPr>
            <w:r w:rsidRPr="00B7760C">
              <w:t>Člen 28</w:t>
            </w:r>
          </w:p>
        </w:tc>
      </w:tr>
      <w:tr w:rsidR="006C08ED" w:rsidRPr="00B7760C" w14:paraId="5904F50E" w14:textId="77777777" w:rsidTr="004F0B88">
        <w:trPr>
          <w:jc w:val="center"/>
        </w:trPr>
        <w:tc>
          <w:tcPr>
            <w:tcW w:w="4876" w:type="dxa"/>
          </w:tcPr>
          <w:p w14:paraId="68EC0027" w14:textId="77777777" w:rsidR="006C08ED" w:rsidRPr="00B7760C" w:rsidRDefault="006C08ED" w:rsidP="004F0B88">
            <w:pPr>
              <w:pStyle w:val="Normal6a"/>
              <w:jc w:val="center"/>
            </w:pPr>
            <w:r w:rsidRPr="00B7760C">
              <w:t xml:space="preserve">Sheme za podnebje in </w:t>
            </w:r>
            <w:r w:rsidRPr="00B7760C">
              <w:rPr>
                <w:b/>
                <w:i/>
              </w:rPr>
              <w:t>okolje</w:t>
            </w:r>
          </w:p>
        </w:tc>
        <w:tc>
          <w:tcPr>
            <w:tcW w:w="4876" w:type="dxa"/>
          </w:tcPr>
          <w:p w14:paraId="40CECFC1" w14:textId="77777777" w:rsidR="006C08ED" w:rsidRPr="00B7760C" w:rsidRDefault="006C08ED" w:rsidP="004F0B88">
            <w:pPr>
              <w:pStyle w:val="Normal6a"/>
              <w:jc w:val="center"/>
            </w:pPr>
            <w:r w:rsidRPr="00B7760C">
              <w:t>Sheme za podnebje</w:t>
            </w:r>
            <w:r w:rsidRPr="00B7760C">
              <w:rPr>
                <w:b/>
                <w:i/>
              </w:rPr>
              <w:t>, okolje</w:t>
            </w:r>
            <w:r w:rsidRPr="00B7760C">
              <w:t xml:space="preserve"> in </w:t>
            </w:r>
            <w:r w:rsidRPr="00B7760C">
              <w:rPr>
                <w:b/>
                <w:i/>
              </w:rPr>
              <w:t>dobrobit živali</w:t>
            </w:r>
          </w:p>
        </w:tc>
      </w:tr>
      <w:tr w:rsidR="006C08ED" w:rsidRPr="00B7760C" w14:paraId="6B606DD2" w14:textId="77777777" w:rsidTr="004F0B88">
        <w:trPr>
          <w:jc w:val="center"/>
        </w:trPr>
        <w:tc>
          <w:tcPr>
            <w:tcW w:w="4876" w:type="dxa"/>
          </w:tcPr>
          <w:p w14:paraId="2E3A010A" w14:textId="77777777" w:rsidR="006C08ED" w:rsidRPr="00B7760C" w:rsidRDefault="006C08ED" w:rsidP="004F0B88">
            <w:pPr>
              <w:pStyle w:val="Normal6a"/>
            </w:pPr>
            <w:r w:rsidRPr="00B7760C">
              <w:t>1.</w:t>
            </w:r>
            <w:r w:rsidRPr="00B7760C">
              <w:tab/>
              <w:t xml:space="preserve">Države članice zagotovijo podporo za prostovoljne sheme za podnebje in </w:t>
            </w:r>
            <w:r w:rsidRPr="00B7760C">
              <w:rPr>
                <w:b/>
                <w:i/>
              </w:rPr>
              <w:t>okolje</w:t>
            </w:r>
            <w:r w:rsidRPr="00B7760C">
              <w:t xml:space="preserve"> (v nadaljnjem besedilu: ekosheme) v skladu s pogoji iz tega člena in kot je podrobneje opredeljeno v njihovih strateških načrtih SKP.</w:t>
            </w:r>
          </w:p>
        </w:tc>
        <w:tc>
          <w:tcPr>
            <w:tcW w:w="4876" w:type="dxa"/>
          </w:tcPr>
          <w:p w14:paraId="0246A624" w14:textId="77777777" w:rsidR="006C08ED" w:rsidRPr="00B7760C" w:rsidRDefault="006C08ED" w:rsidP="004F0B88">
            <w:pPr>
              <w:pStyle w:val="Normal6a"/>
            </w:pPr>
            <w:r w:rsidRPr="00B7760C">
              <w:t>1.</w:t>
            </w:r>
            <w:r w:rsidRPr="00B7760C">
              <w:tab/>
              <w:t xml:space="preserve">Države članice </w:t>
            </w:r>
            <w:r w:rsidRPr="00B7760C">
              <w:rPr>
                <w:b/>
                <w:i/>
              </w:rPr>
              <w:t xml:space="preserve">vzpostavijo in </w:t>
            </w:r>
            <w:r w:rsidRPr="00B7760C">
              <w:t>zagotovijo podporo za prostovoljne sheme za podnebje</w:t>
            </w:r>
            <w:r w:rsidRPr="00B7760C">
              <w:rPr>
                <w:b/>
                <w:i/>
              </w:rPr>
              <w:t>, okolje</w:t>
            </w:r>
            <w:r w:rsidRPr="00B7760C">
              <w:t xml:space="preserve"> in </w:t>
            </w:r>
            <w:r w:rsidRPr="00B7760C">
              <w:rPr>
                <w:b/>
                <w:i/>
              </w:rPr>
              <w:t>dobrobit živali</w:t>
            </w:r>
            <w:r w:rsidRPr="00B7760C">
              <w:t xml:space="preserve"> (v nadaljnjem besedilu: ekosheme) v skladu s pogoji iz tega člena in kot je podrobneje opredeljeno v njihovih strateških načrtih SKP. </w:t>
            </w:r>
            <w:r w:rsidRPr="00B7760C">
              <w:rPr>
                <w:b/>
                <w:i/>
              </w:rPr>
              <w:t>Ekosheme na enem področju ukrepanja so skladne s cilji na drugem področju ukrepanja.</w:t>
            </w:r>
          </w:p>
        </w:tc>
      </w:tr>
      <w:tr w:rsidR="006C08ED" w:rsidRPr="00B7760C" w14:paraId="3195086A" w14:textId="77777777" w:rsidTr="004F0B88">
        <w:trPr>
          <w:jc w:val="center"/>
        </w:trPr>
        <w:tc>
          <w:tcPr>
            <w:tcW w:w="4876" w:type="dxa"/>
          </w:tcPr>
          <w:p w14:paraId="6D61FAB7" w14:textId="77777777" w:rsidR="006C08ED" w:rsidRPr="00B7760C" w:rsidRDefault="006C08ED" w:rsidP="004F0B88">
            <w:pPr>
              <w:pStyle w:val="Normal6a"/>
            </w:pPr>
          </w:p>
        </w:tc>
        <w:tc>
          <w:tcPr>
            <w:tcW w:w="4876" w:type="dxa"/>
          </w:tcPr>
          <w:p w14:paraId="62DC1EC3" w14:textId="77777777" w:rsidR="006C08ED" w:rsidRPr="00B7760C" w:rsidRDefault="006C08ED" w:rsidP="004F0B88">
            <w:pPr>
              <w:pStyle w:val="Normal6a"/>
            </w:pPr>
            <w:r w:rsidRPr="00B7760C">
              <w:rPr>
                <w:b/>
                <w:i/>
              </w:rPr>
              <w:t>Države članice ponudijo široko paleto ekoshem, da bi kmetom zagotovile možnost sodelovanja in nagradile različne ravni ambicij. Države članice poskrbijo, da različne sheme zagotavljajo dodatne koristi, spodbujajo sinergije in poudarjajo celosten pristop. Za večjo skladnost in učinkovito nagrajevanje države članice vzpostavijo točkovne ali ocenjevalne sisteme.</w:t>
            </w:r>
          </w:p>
        </w:tc>
      </w:tr>
      <w:tr w:rsidR="006C08ED" w:rsidRPr="00B7760C" w14:paraId="0461D195" w14:textId="77777777" w:rsidTr="004F0B88">
        <w:trPr>
          <w:jc w:val="center"/>
        </w:trPr>
        <w:tc>
          <w:tcPr>
            <w:tcW w:w="4876" w:type="dxa"/>
          </w:tcPr>
          <w:p w14:paraId="3D70A1BA" w14:textId="77777777" w:rsidR="006C08ED" w:rsidRPr="00B7760C" w:rsidRDefault="006C08ED" w:rsidP="004F0B88">
            <w:pPr>
              <w:pStyle w:val="Normal6a"/>
            </w:pPr>
            <w:r w:rsidRPr="00B7760C">
              <w:t>2.</w:t>
            </w:r>
            <w:r w:rsidRPr="00B7760C">
              <w:tab/>
              <w:t xml:space="preserve">Države članice na podlagi tovrstne intervencije podprejo </w:t>
            </w:r>
            <w:r w:rsidRPr="00B7760C">
              <w:rPr>
                <w:b/>
                <w:i/>
              </w:rPr>
              <w:t>prave</w:t>
            </w:r>
            <w:r w:rsidRPr="00B7760C">
              <w:t xml:space="preserve"> kmete, ki prevzamejo obveznosti</w:t>
            </w:r>
            <w:r w:rsidRPr="00B7760C">
              <w:rPr>
                <w:b/>
                <w:i/>
              </w:rPr>
              <w:t>, da bodo na upravičenih hektarih uporabljali</w:t>
            </w:r>
            <w:r w:rsidRPr="00B7760C">
              <w:t xml:space="preserve"> kmetijske prakse, ki </w:t>
            </w:r>
            <w:r w:rsidRPr="00B7760C">
              <w:rPr>
                <w:b/>
                <w:i/>
              </w:rPr>
              <w:t>ugodno vplivajo na podnebje</w:t>
            </w:r>
            <w:r w:rsidRPr="00B7760C">
              <w:t xml:space="preserve"> in </w:t>
            </w:r>
            <w:r w:rsidRPr="00B7760C">
              <w:rPr>
                <w:b/>
                <w:i/>
              </w:rPr>
              <w:t>okolje</w:t>
            </w:r>
            <w:r w:rsidRPr="00B7760C">
              <w:t>.</w:t>
            </w:r>
          </w:p>
        </w:tc>
        <w:tc>
          <w:tcPr>
            <w:tcW w:w="4876" w:type="dxa"/>
          </w:tcPr>
          <w:p w14:paraId="24F92088" w14:textId="19322A75" w:rsidR="006C08ED" w:rsidRPr="00B7760C" w:rsidRDefault="006C08ED" w:rsidP="000D6036">
            <w:pPr>
              <w:pStyle w:val="Normal6a"/>
            </w:pPr>
            <w:r w:rsidRPr="00B7760C">
              <w:t>2.</w:t>
            </w:r>
            <w:r w:rsidRPr="00B7760C">
              <w:tab/>
              <w:t xml:space="preserve">Države članice na podlagi tovrstne intervencije podprejo </w:t>
            </w:r>
            <w:r w:rsidR="000D6036" w:rsidRPr="00B7760C">
              <w:rPr>
                <w:b/>
                <w:i/>
              </w:rPr>
              <w:t>dejavne</w:t>
            </w:r>
            <w:r w:rsidRPr="00B7760C">
              <w:t xml:space="preserve"> kmete</w:t>
            </w:r>
            <w:r w:rsidRPr="00B7760C">
              <w:rPr>
                <w:b/>
                <w:i/>
              </w:rPr>
              <w:t xml:space="preserve"> ali skupine</w:t>
            </w:r>
            <w:r w:rsidRPr="00B7760C">
              <w:t>, ki prevzamejo obveznosti</w:t>
            </w:r>
            <w:r w:rsidRPr="00B7760C">
              <w:rPr>
                <w:b/>
                <w:i/>
              </w:rPr>
              <w:t xml:space="preserve"> za ohranjanje in izvajanje koristnih praks ter prehod na</w:t>
            </w:r>
            <w:r w:rsidRPr="00B7760C">
              <w:t xml:space="preserve"> kmetijske prakse</w:t>
            </w:r>
            <w:r w:rsidRPr="00B7760C">
              <w:rPr>
                <w:b/>
                <w:i/>
              </w:rPr>
              <w:t xml:space="preserve"> in tehnike ter potrjene sheme</w:t>
            </w:r>
            <w:r w:rsidRPr="00B7760C">
              <w:t xml:space="preserve">, ki </w:t>
            </w:r>
            <w:r w:rsidRPr="00B7760C">
              <w:rPr>
                <w:b/>
                <w:i/>
              </w:rPr>
              <w:t>močneje prispevajo k podnebju, okolju in dobrobiti živali, ki so vzpostavljene v skladu s členom 28a</w:t>
            </w:r>
            <w:r w:rsidRPr="00B7760C">
              <w:t xml:space="preserve"> in </w:t>
            </w:r>
            <w:r w:rsidRPr="00B7760C">
              <w:rPr>
                <w:b/>
                <w:i/>
              </w:rPr>
              <w:t>vključene na sezname iz člena 28b ter prilagojene posebnim nacionalnim ali regionalnim potrebam</w:t>
            </w:r>
            <w:r w:rsidRPr="00B7760C">
              <w:t>.</w:t>
            </w:r>
          </w:p>
        </w:tc>
      </w:tr>
      <w:tr w:rsidR="006C08ED" w:rsidRPr="00B7760C" w14:paraId="5ED851AC" w14:textId="77777777" w:rsidTr="004F0B88">
        <w:trPr>
          <w:jc w:val="center"/>
        </w:trPr>
        <w:tc>
          <w:tcPr>
            <w:tcW w:w="4876" w:type="dxa"/>
          </w:tcPr>
          <w:p w14:paraId="37B2023E" w14:textId="77777777" w:rsidR="006C08ED" w:rsidRPr="00B7760C" w:rsidRDefault="006C08ED" w:rsidP="004F0B88">
            <w:pPr>
              <w:pStyle w:val="Normal6a"/>
            </w:pPr>
            <w:r w:rsidRPr="00B7760C">
              <w:t>3.</w:t>
            </w:r>
            <w:r w:rsidRPr="00B7760C">
              <w:tab/>
            </w:r>
            <w:r w:rsidRPr="00B7760C">
              <w:rPr>
                <w:b/>
                <w:i/>
              </w:rPr>
              <w:t>Države članice pripravijo seznam kmetijskih praks</w:t>
            </w:r>
            <w:r w:rsidRPr="00B7760C">
              <w:t xml:space="preserve">, ki </w:t>
            </w:r>
            <w:r w:rsidRPr="00B7760C">
              <w:rPr>
                <w:b/>
                <w:i/>
              </w:rPr>
              <w:t>ugodno vplivajo</w:t>
            </w:r>
            <w:r w:rsidRPr="00B7760C">
              <w:t xml:space="preserve"> na </w:t>
            </w:r>
            <w:r w:rsidRPr="00B7760C">
              <w:rPr>
                <w:b/>
                <w:i/>
              </w:rPr>
              <w:t>podnebje in okolje</w:t>
            </w:r>
            <w:r w:rsidRPr="00B7760C">
              <w:t>.</w:t>
            </w:r>
          </w:p>
        </w:tc>
        <w:tc>
          <w:tcPr>
            <w:tcW w:w="4876" w:type="dxa"/>
          </w:tcPr>
          <w:p w14:paraId="430CD871" w14:textId="77777777" w:rsidR="006C08ED" w:rsidRPr="00B7760C" w:rsidRDefault="006C08ED" w:rsidP="004F0B88">
            <w:pPr>
              <w:pStyle w:val="Normal6a"/>
            </w:pPr>
            <w:r w:rsidRPr="00B7760C">
              <w:t>3.</w:t>
            </w:r>
            <w:r w:rsidRPr="00B7760C">
              <w:tab/>
            </w:r>
            <w:r w:rsidRPr="00B7760C">
              <w:rPr>
                <w:b/>
                <w:i/>
              </w:rPr>
              <w:t>Podpora za ekosheme ima obliko letnega plačila na upravičeni hektar in/ali plačila na kmetijsko gospodarstvo ter se odobri kot spodbujevalno plačilo</w:t>
            </w:r>
            <w:r w:rsidRPr="00B7760C">
              <w:t xml:space="preserve">, ki </w:t>
            </w:r>
            <w:r w:rsidRPr="00B7760C">
              <w:rPr>
                <w:b/>
                <w:i/>
              </w:rPr>
              <w:t>presega nadomestilo nastalih dodatnih stroškov in izpada dohodka ter je lahko v obliki pavšalnega zneska. Višina plačila se spreminja glede</w:t>
            </w:r>
            <w:r w:rsidRPr="00B7760C">
              <w:t xml:space="preserve"> na </w:t>
            </w:r>
            <w:r w:rsidRPr="00B7760C">
              <w:rPr>
                <w:b/>
                <w:i/>
              </w:rPr>
              <w:t>raven ambicij posameznih ekoshem na podlagi nediskriminatornih meril</w:t>
            </w:r>
            <w:r w:rsidRPr="00B7760C">
              <w:t>.</w:t>
            </w:r>
          </w:p>
        </w:tc>
      </w:tr>
      <w:tr w:rsidR="006C08ED" w:rsidRPr="00B7760C" w14:paraId="31CACD79" w14:textId="77777777" w:rsidTr="004F0B88">
        <w:trPr>
          <w:jc w:val="center"/>
        </w:trPr>
        <w:tc>
          <w:tcPr>
            <w:tcW w:w="4876" w:type="dxa"/>
          </w:tcPr>
          <w:p w14:paraId="2BC21F88" w14:textId="77777777" w:rsidR="006C08ED" w:rsidRPr="00B7760C" w:rsidRDefault="006C08ED" w:rsidP="004F0B88">
            <w:pPr>
              <w:pStyle w:val="Normal6a"/>
            </w:pPr>
            <w:r w:rsidRPr="00B7760C">
              <w:rPr>
                <w:b/>
                <w:i/>
              </w:rPr>
              <w:t>4.</w:t>
            </w:r>
            <w:r w:rsidRPr="00B7760C">
              <w:rPr>
                <w:b/>
                <w:i/>
              </w:rPr>
              <w:tab/>
              <w:t>Te prakse so zasnovane tako, da izpolnjujejo enega ali več specifičnih ciljev, povezanih z okoljem in podnebjem, iz točk (d), (e) in (f) člena 6(1).</w:t>
            </w:r>
          </w:p>
        </w:tc>
        <w:tc>
          <w:tcPr>
            <w:tcW w:w="4876" w:type="dxa"/>
          </w:tcPr>
          <w:p w14:paraId="51407B66" w14:textId="77777777" w:rsidR="006C08ED" w:rsidRPr="00B7760C" w:rsidRDefault="006C08ED" w:rsidP="004F0B88">
            <w:pPr>
              <w:pStyle w:val="Normal6a"/>
            </w:pPr>
          </w:p>
        </w:tc>
      </w:tr>
      <w:tr w:rsidR="006C08ED" w:rsidRPr="00B7760C" w14:paraId="3C46C11C" w14:textId="77777777" w:rsidTr="004F0B88">
        <w:trPr>
          <w:jc w:val="center"/>
        </w:trPr>
        <w:tc>
          <w:tcPr>
            <w:tcW w:w="4876" w:type="dxa"/>
          </w:tcPr>
          <w:p w14:paraId="4C39777E" w14:textId="77777777" w:rsidR="006C08ED" w:rsidRPr="00B7760C" w:rsidRDefault="006C08ED" w:rsidP="004F0B88">
            <w:pPr>
              <w:pStyle w:val="Normal6a"/>
            </w:pPr>
            <w:r w:rsidRPr="00B7760C">
              <w:rPr>
                <w:b/>
                <w:i/>
              </w:rPr>
              <w:t>5.</w:t>
            </w:r>
            <w:r w:rsidRPr="00B7760C">
              <w:rPr>
                <w:b/>
                <w:i/>
              </w:rPr>
              <w:tab/>
              <w:t>V okviru tovrstnih intervencij države članice določijo le plačila, ki zajemajo obveznosti, ki:</w:t>
            </w:r>
          </w:p>
        </w:tc>
        <w:tc>
          <w:tcPr>
            <w:tcW w:w="4876" w:type="dxa"/>
          </w:tcPr>
          <w:p w14:paraId="53AA0320" w14:textId="77777777" w:rsidR="006C08ED" w:rsidRPr="00B7760C" w:rsidRDefault="006C08ED" w:rsidP="004F0B88">
            <w:pPr>
              <w:pStyle w:val="Normal6a"/>
            </w:pPr>
          </w:p>
        </w:tc>
      </w:tr>
      <w:tr w:rsidR="006C08ED" w:rsidRPr="00B7760C" w14:paraId="7D5C4E7E" w14:textId="77777777" w:rsidTr="004F0B88">
        <w:trPr>
          <w:jc w:val="center"/>
        </w:trPr>
        <w:tc>
          <w:tcPr>
            <w:tcW w:w="4876" w:type="dxa"/>
          </w:tcPr>
          <w:p w14:paraId="016B2AE3" w14:textId="77777777" w:rsidR="006C08ED" w:rsidRPr="00B7760C" w:rsidRDefault="006C08ED" w:rsidP="004F0B88">
            <w:pPr>
              <w:pStyle w:val="Normal6a"/>
            </w:pPr>
            <w:r w:rsidRPr="00B7760C">
              <w:rPr>
                <w:b/>
                <w:i/>
              </w:rPr>
              <w:t>(a)</w:t>
            </w:r>
            <w:r w:rsidRPr="00B7760C">
              <w:rPr>
                <w:b/>
                <w:i/>
              </w:rPr>
              <w:tab/>
              <w:t>presegajo zadevne predpisane zahteve ravnanja ter standarde za dobre kmetijske in okoljske pogoje, določene v skladu z oddelkom 2 poglavja I tega naslova;</w:t>
            </w:r>
          </w:p>
        </w:tc>
        <w:tc>
          <w:tcPr>
            <w:tcW w:w="4876" w:type="dxa"/>
          </w:tcPr>
          <w:p w14:paraId="07590688" w14:textId="77777777" w:rsidR="006C08ED" w:rsidRPr="00B7760C" w:rsidRDefault="006C08ED" w:rsidP="004F0B88">
            <w:pPr>
              <w:pStyle w:val="Normal6a"/>
            </w:pPr>
          </w:p>
        </w:tc>
      </w:tr>
      <w:tr w:rsidR="006C08ED" w:rsidRPr="00B7760C" w14:paraId="33F27778" w14:textId="77777777" w:rsidTr="004F0B88">
        <w:trPr>
          <w:jc w:val="center"/>
        </w:trPr>
        <w:tc>
          <w:tcPr>
            <w:tcW w:w="4876" w:type="dxa"/>
          </w:tcPr>
          <w:p w14:paraId="593C413A" w14:textId="77777777" w:rsidR="006C08ED" w:rsidRPr="00B7760C" w:rsidRDefault="006C08ED" w:rsidP="004F0B88">
            <w:pPr>
              <w:pStyle w:val="Normal6a"/>
            </w:pPr>
            <w:r w:rsidRPr="00B7760C">
              <w:rPr>
                <w:b/>
                <w:i/>
              </w:rPr>
              <w:t>(b)</w:t>
            </w:r>
            <w:r w:rsidRPr="00B7760C">
              <w:rPr>
                <w:b/>
                <w:i/>
              </w:rPr>
              <w:tab/>
              <w:t>presegajo minimalne zahteve za uporabo gnojil in fitofarmacevtskih sredstev, dobrobit živali ter druge obvezne zahteve, določene z nacionalnim pravom in pravom Unije;</w:t>
            </w:r>
          </w:p>
        </w:tc>
        <w:tc>
          <w:tcPr>
            <w:tcW w:w="4876" w:type="dxa"/>
          </w:tcPr>
          <w:p w14:paraId="779F43A1" w14:textId="77777777" w:rsidR="006C08ED" w:rsidRPr="00B7760C" w:rsidRDefault="006C08ED" w:rsidP="004F0B88">
            <w:pPr>
              <w:pStyle w:val="Normal6a"/>
            </w:pPr>
          </w:p>
        </w:tc>
      </w:tr>
      <w:tr w:rsidR="006C08ED" w:rsidRPr="00B7760C" w14:paraId="3069E99A" w14:textId="77777777" w:rsidTr="004F0B88">
        <w:trPr>
          <w:jc w:val="center"/>
        </w:trPr>
        <w:tc>
          <w:tcPr>
            <w:tcW w:w="4876" w:type="dxa"/>
          </w:tcPr>
          <w:p w14:paraId="77DDF35C" w14:textId="77777777" w:rsidR="006C08ED" w:rsidRPr="00B7760C" w:rsidRDefault="006C08ED" w:rsidP="004F0B88">
            <w:pPr>
              <w:pStyle w:val="Normal6a"/>
            </w:pPr>
            <w:r w:rsidRPr="00B7760C">
              <w:rPr>
                <w:b/>
                <w:i/>
              </w:rPr>
              <w:t>(c)</w:t>
            </w:r>
            <w:r w:rsidRPr="00B7760C">
              <w:rPr>
                <w:b/>
                <w:i/>
              </w:rPr>
              <w:tab/>
              <w:t>presegajo pogoje, določene za vzdrževanje kmetijske površine v skladu s točko (a) člena 4(1);</w:t>
            </w:r>
          </w:p>
        </w:tc>
        <w:tc>
          <w:tcPr>
            <w:tcW w:w="4876" w:type="dxa"/>
          </w:tcPr>
          <w:p w14:paraId="18CDF62D" w14:textId="77777777" w:rsidR="006C08ED" w:rsidRPr="00B7760C" w:rsidRDefault="006C08ED" w:rsidP="004F0B88">
            <w:pPr>
              <w:pStyle w:val="Normal6a"/>
            </w:pPr>
          </w:p>
        </w:tc>
      </w:tr>
      <w:tr w:rsidR="006C08ED" w:rsidRPr="00B7760C" w14:paraId="100FE87A" w14:textId="77777777" w:rsidTr="004F0B88">
        <w:trPr>
          <w:jc w:val="center"/>
        </w:trPr>
        <w:tc>
          <w:tcPr>
            <w:tcW w:w="4876" w:type="dxa"/>
          </w:tcPr>
          <w:p w14:paraId="6A3376D5" w14:textId="77777777" w:rsidR="006C08ED" w:rsidRPr="00B7760C" w:rsidRDefault="006C08ED" w:rsidP="004F0B88">
            <w:pPr>
              <w:pStyle w:val="Normal6a"/>
            </w:pPr>
            <w:r w:rsidRPr="00B7760C">
              <w:rPr>
                <w:b/>
                <w:i/>
              </w:rPr>
              <w:t>(d)</w:t>
            </w:r>
            <w:r w:rsidRPr="00B7760C">
              <w:rPr>
                <w:b/>
                <w:i/>
              </w:rPr>
              <w:tab/>
              <w:t>se razlikujejo od obveznosti, v zvezi s katerimi so odobrena plačila v skladu s členom 65.</w:t>
            </w:r>
          </w:p>
        </w:tc>
        <w:tc>
          <w:tcPr>
            <w:tcW w:w="4876" w:type="dxa"/>
          </w:tcPr>
          <w:p w14:paraId="5362CAEE" w14:textId="77777777" w:rsidR="006C08ED" w:rsidRPr="00B7760C" w:rsidRDefault="006C08ED" w:rsidP="004F0B88">
            <w:pPr>
              <w:pStyle w:val="Normal6a"/>
            </w:pPr>
          </w:p>
        </w:tc>
      </w:tr>
      <w:tr w:rsidR="006C08ED" w:rsidRPr="00B7760C" w14:paraId="5F84F8FC" w14:textId="77777777" w:rsidTr="004F0B88">
        <w:trPr>
          <w:jc w:val="center"/>
        </w:trPr>
        <w:tc>
          <w:tcPr>
            <w:tcW w:w="4876" w:type="dxa"/>
          </w:tcPr>
          <w:p w14:paraId="4D5645E5" w14:textId="77777777" w:rsidR="006C08ED" w:rsidRPr="00B7760C" w:rsidRDefault="006C08ED" w:rsidP="004F0B88">
            <w:pPr>
              <w:pStyle w:val="Normal6a"/>
            </w:pPr>
            <w:r w:rsidRPr="00B7760C">
              <w:rPr>
                <w:b/>
                <w:i/>
              </w:rPr>
              <w:t>6.</w:t>
            </w:r>
            <w:r w:rsidRPr="00B7760C">
              <w:rPr>
                <w:b/>
                <w:i/>
              </w:rPr>
              <w:tab/>
              <w:t>Podpora za ekosheme ima obliko letnega plačila na upravičeni hektar ter se odobri kot:</w:t>
            </w:r>
          </w:p>
        </w:tc>
        <w:tc>
          <w:tcPr>
            <w:tcW w:w="4876" w:type="dxa"/>
          </w:tcPr>
          <w:p w14:paraId="01C4372A" w14:textId="77777777" w:rsidR="006C08ED" w:rsidRPr="00B7760C" w:rsidRDefault="006C08ED" w:rsidP="004F0B88">
            <w:pPr>
              <w:pStyle w:val="Normal6a"/>
            </w:pPr>
          </w:p>
        </w:tc>
      </w:tr>
      <w:tr w:rsidR="006C08ED" w:rsidRPr="00B7760C" w14:paraId="1F4C528B" w14:textId="77777777" w:rsidTr="004F0B88">
        <w:trPr>
          <w:jc w:val="center"/>
        </w:trPr>
        <w:tc>
          <w:tcPr>
            <w:tcW w:w="4876" w:type="dxa"/>
          </w:tcPr>
          <w:p w14:paraId="0B50B445" w14:textId="77777777" w:rsidR="006C08ED" w:rsidRPr="00B7760C" w:rsidRDefault="006C08ED" w:rsidP="004F0B88">
            <w:pPr>
              <w:pStyle w:val="Normal6a"/>
            </w:pPr>
            <w:r w:rsidRPr="00B7760C">
              <w:rPr>
                <w:b/>
                <w:i/>
              </w:rPr>
              <w:t>(a)</w:t>
            </w:r>
            <w:r w:rsidRPr="00B7760C">
              <w:rPr>
                <w:b/>
                <w:i/>
              </w:rPr>
              <w:tab/>
              <w:t>plačila, ki dopolnjujejo osnovno dohodkovno podporo, določeno v pododdelku 2 tega oddelka, ali</w:t>
            </w:r>
          </w:p>
        </w:tc>
        <w:tc>
          <w:tcPr>
            <w:tcW w:w="4876" w:type="dxa"/>
          </w:tcPr>
          <w:p w14:paraId="32206195" w14:textId="77777777" w:rsidR="006C08ED" w:rsidRPr="00B7760C" w:rsidRDefault="006C08ED" w:rsidP="004F0B88">
            <w:pPr>
              <w:pStyle w:val="Normal6a"/>
            </w:pPr>
          </w:p>
        </w:tc>
      </w:tr>
      <w:tr w:rsidR="006C08ED" w:rsidRPr="00B7760C" w14:paraId="3D76F058" w14:textId="77777777" w:rsidTr="004F0B88">
        <w:trPr>
          <w:jc w:val="center"/>
        </w:trPr>
        <w:tc>
          <w:tcPr>
            <w:tcW w:w="4876" w:type="dxa"/>
          </w:tcPr>
          <w:p w14:paraId="4E0767ED" w14:textId="77777777" w:rsidR="006C08ED" w:rsidRPr="00B7760C" w:rsidRDefault="006C08ED" w:rsidP="004F0B88">
            <w:pPr>
              <w:pStyle w:val="Normal6a"/>
            </w:pPr>
            <w:r w:rsidRPr="00B7760C">
              <w:rPr>
                <w:b/>
                <w:i/>
              </w:rPr>
              <w:t>(b)</w:t>
            </w:r>
            <w:r w:rsidRPr="00B7760C">
              <w:rPr>
                <w:b/>
                <w:i/>
              </w:rPr>
              <w:tab/>
              <w:t>plačila upravičencem za nadomestilo celotnih ali dela nastalih dodatnih stroškov in izpada dohodka zaradi obveznosti, kot je določeno v skladu s členom 65.</w:t>
            </w:r>
          </w:p>
        </w:tc>
        <w:tc>
          <w:tcPr>
            <w:tcW w:w="4876" w:type="dxa"/>
          </w:tcPr>
          <w:p w14:paraId="0D2AC93D" w14:textId="77777777" w:rsidR="006C08ED" w:rsidRPr="00B7760C" w:rsidRDefault="006C08ED" w:rsidP="004F0B88">
            <w:pPr>
              <w:pStyle w:val="Normal6a"/>
            </w:pPr>
          </w:p>
        </w:tc>
      </w:tr>
      <w:tr w:rsidR="006C08ED" w:rsidRPr="00B7760C" w14:paraId="479E481C" w14:textId="77777777" w:rsidTr="004F0B88">
        <w:trPr>
          <w:jc w:val="center"/>
        </w:trPr>
        <w:tc>
          <w:tcPr>
            <w:tcW w:w="4876" w:type="dxa"/>
          </w:tcPr>
          <w:p w14:paraId="16EF28E0" w14:textId="77777777" w:rsidR="006C08ED" w:rsidRPr="00B7760C" w:rsidRDefault="006C08ED" w:rsidP="004F0B88">
            <w:pPr>
              <w:pStyle w:val="Normal6a"/>
            </w:pPr>
            <w:r w:rsidRPr="00B7760C">
              <w:rPr>
                <w:b/>
                <w:i/>
              </w:rPr>
              <w:t>7.</w:t>
            </w:r>
            <w:r w:rsidRPr="00B7760C">
              <w:rPr>
                <w:b/>
                <w:i/>
              </w:rPr>
              <w:tab/>
              <w:t>Države članice zagotovijo, da so intervencije iz tega člena skladne z intervencijami, ki se odobrijo v skladu s členom 65.</w:t>
            </w:r>
          </w:p>
        </w:tc>
        <w:tc>
          <w:tcPr>
            <w:tcW w:w="4876" w:type="dxa"/>
          </w:tcPr>
          <w:p w14:paraId="6FFFE919" w14:textId="77777777" w:rsidR="006C08ED" w:rsidRPr="00B7760C" w:rsidRDefault="006C08ED" w:rsidP="004F0B88">
            <w:pPr>
              <w:pStyle w:val="Normal6a"/>
            </w:pPr>
          </w:p>
        </w:tc>
      </w:tr>
      <w:tr w:rsidR="006C08ED" w:rsidRPr="00B7760C" w14:paraId="24F9D6AE" w14:textId="77777777" w:rsidTr="004F0B88">
        <w:trPr>
          <w:jc w:val="center"/>
        </w:trPr>
        <w:tc>
          <w:tcPr>
            <w:tcW w:w="4876" w:type="dxa"/>
          </w:tcPr>
          <w:p w14:paraId="1E4146E5" w14:textId="77777777" w:rsidR="006C08ED" w:rsidRPr="00B7760C" w:rsidRDefault="006C08ED" w:rsidP="004F0B88">
            <w:pPr>
              <w:pStyle w:val="Normal6a"/>
            </w:pPr>
            <w:r w:rsidRPr="00B7760C">
              <w:rPr>
                <w:b/>
                <w:i/>
              </w:rPr>
              <w:t>8.</w:t>
            </w:r>
            <w:r w:rsidRPr="00B7760C">
              <w:rPr>
                <w:b/>
                <w:i/>
              </w:rPr>
              <w:tab/>
              <w:t>Na Komisijo se prenese pooblastilo za sprejemanje delegiranih aktov v skladu s členom 138 za dopolnitev te uredbe z dodatnimi pravili o ekoshemah.</w:t>
            </w:r>
          </w:p>
        </w:tc>
        <w:tc>
          <w:tcPr>
            <w:tcW w:w="4876" w:type="dxa"/>
          </w:tcPr>
          <w:p w14:paraId="4949882C" w14:textId="77777777" w:rsidR="006C08ED" w:rsidRPr="00B7760C" w:rsidRDefault="006C08ED" w:rsidP="004F0B88">
            <w:pPr>
              <w:pStyle w:val="Normal6a"/>
            </w:pPr>
          </w:p>
        </w:tc>
      </w:tr>
    </w:tbl>
    <w:p w14:paraId="03115588" w14:textId="77777777" w:rsidR="00B54600" w:rsidRPr="00B7760C" w:rsidRDefault="00B54600" w:rsidP="00B54600">
      <w:pPr>
        <w:pStyle w:val="AMNumberTabs"/>
      </w:pPr>
    </w:p>
    <w:p w14:paraId="5C1A6059" w14:textId="103602AD" w:rsidR="00B54600" w:rsidRPr="00B7760C" w:rsidRDefault="00B54600" w:rsidP="00B54600">
      <w:pPr>
        <w:pStyle w:val="AMNumberTabs"/>
      </w:pPr>
      <w:r w:rsidRPr="00B7760C">
        <w:t>Sprememba</w:t>
      </w:r>
      <w:r w:rsidRPr="00B7760C">
        <w:tab/>
      </w:r>
      <w:r w:rsidRPr="00B7760C">
        <w:tab/>
        <w:t>238</w:t>
      </w:r>
    </w:p>
    <w:p w14:paraId="7AEF25E6" w14:textId="77777777" w:rsidR="00B54600" w:rsidRPr="00B7760C" w:rsidRDefault="00B54600" w:rsidP="00B54600">
      <w:pPr>
        <w:pStyle w:val="NormalBold12b"/>
      </w:pPr>
      <w:r w:rsidRPr="00B7760C">
        <w:t>Predlog uredbe</w:t>
      </w:r>
    </w:p>
    <w:p w14:paraId="438DD427" w14:textId="77777777" w:rsidR="00B54600" w:rsidRPr="00B7760C" w:rsidRDefault="00B54600" w:rsidP="00B54600">
      <w:pPr>
        <w:pStyle w:val="NormalBold"/>
      </w:pPr>
      <w:r w:rsidRPr="00B7760C">
        <w:t>Člen 28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54600" w:rsidRPr="00B7760C" w14:paraId="2231C744" w14:textId="77777777" w:rsidTr="001E1226">
        <w:trPr>
          <w:trHeight w:hRule="exact" w:val="240"/>
          <w:jc w:val="center"/>
        </w:trPr>
        <w:tc>
          <w:tcPr>
            <w:tcW w:w="9752" w:type="dxa"/>
            <w:gridSpan w:val="2"/>
          </w:tcPr>
          <w:p w14:paraId="3310AFB7" w14:textId="77777777" w:rsidR="00B54600" w:rsidRPr="00B7760C" w:rsidRDefault="00B54600" w:rsidP="001E1226"/>
        </w:tc>
      </w:tr>
      <w:tr w:rsidR="00B54600" w:rsidRPr="00B7760C" w14:paraId="4EAD0956" w14:textId="77777777" w:rsidTr="001E1226">
        <w:trPr>
          <w:trHeight w:val="240"/>
          <w:jc w:val="center"/>
        </w:trPr>
        <w:tc>
          <w:tcPr>
            <w:tcW w:w="4876" w:type="dxa"/>
          </w:tcPr>
          <w:p w14:paraId="6AB62FA0" w14:textId="77777777" w:rsidR="00B54600" w:rsidRPr="00B7760C" w:rsidRDefault="00B54600" w:rsidP="001E1226">
            <w:pPr>
              <w:pStyle w:val="ColumnHeading"/>
            </w:pPr>
            <w:r w:rsidRPr="00B7760C">
              <w:t>Besedilo, ki ga predlaga Komisija</w:t>
            </w:r>
          </w:p>
        </w:tc>
        <w:tc>
          <w:tcPr>
            <w:tcW w:w="4876" w:type="dxa"/>
          </w:tcPr>
          <w:p w14:paraId="6A4E089B" w14:textId="77777777" w:rsidR="00B54600" w:rsidRPr="00B7760C" w:rsidRDefault="00B54600" w:rsidP="001E1226">
            <w:pPr>
              <w:pStyle w:val="ColumnHeading"/>
            </w:pPr>
            <w:r w:rsidRPr="00B7760C">
              <w:t>Sprememba</w:t>
            </w:r>
          </w:p>
        </w:tc>
      </w:tr>
      <w:tr w:rsidR="00B54600" w:rsidRPr="00B7760C" w14:paraId="6454FC07" w14:textId="77777777" w:rsidTr="001E1226">
        <w:trPr>
          <w:jc w:val="center"/>
        </w:trPr>
        <w:tc>
          <w:tcPr>
            <w:tcW w:w="4876" w:type="dxa"/>
          </w:tcPr>
          <w:p w14:paraId="5F4BF8B7" w14:textId="77777777" w:rsidR="00B54600" w:rsidRPr="00B7760C" w:rsidRDefault="00B54600" w:rsidP="001E1226">
            <w:pPr>
              <w:pStyle w:val="Normal6"/>
              <w:rPr>
                <w:b/>
                <w:bCs/>
                <w:i/>
                <w:iCs/>
              </w:rPr>
            </w:pPr>
          </w:p>
        </w:tc>
        <w:tc>
          <w:tcPr>
            <w:tcW w:w="4876" w:type="dxa"/>
          </w:tcPr>
          <w:p w14:paraId="00916178" w14:textId="77777777" w:rsidR="00B54600" w:rsidRPr="00B7760C" w:rsidRDefault="00B54600" w:rsidP="001E1226">
            <w:pPr>
              <w:pStyle w:val="Normal6"/>
              <w:jc w:val="center"/>
              <w:rPr>
                <w:b/>
                <w:bCs/>
                <w:i/>
                <w:iCs/>
              </w:rPr>
            </w:pPr>
            <w:r w:rsidRPr="00B7760C">
              <w:rPr>
                <w:b/>
                <w:bCs/>
                <w:i/>
                <w:iCs/>
              </w:rPr>
              <w:t>Člen 28a</w:t>
            </w:r>
          </w:p>
        </w:tc>
      </w:tr>
      <w:tr w:rsidR="00B54600" w:rsidRPr="00B7760C" w14:paraId="4F506F5A" w14:textId="77777777" w:rsidTr="001E1226">
        <w:trPr>
          <w:jc w:val="center"/>
        </w:trPr>
        <w:tc>
          <w:tcPr>
            <w:tcW w:w="4876" w:type="dxa"/>
          </w:tcPr>
          <w:p w14:paraId="2B5584AB" w14:textId="77777777" w:rsidR="00B54600" w:rsidRPr="00B7760C" w:rsidRDefault="00B54600" w:rsidP="001E1226">
            <w:pPr>
              <w:pStyle w:val="Normal6"/>
              <w:rPr>
                <w:b/>
                <w:bCs/>
                <w:i/>
                <w:iCs/>
              </w:rPr>
            </w:pPr>
          </w:p>
        </w:tc>
        <w:tc>
          <w:tcPr>
            <w:tcW w:w="4876" w:type="dxa"/>
          </w:tcPr>
          <w:p w14:paraId="0ACF572F" w14:textId="77777777" w:rsidR="00B54600" w:rsidRPr="00B7760C" w:rsidRDefault="00B54600" w:rsidP="001E1226">
            <w:pPr>
              <w:pStyle w:val="Normal6"/>
              <w:jc w:val="center"/>
              <w:rPr>
                <w:b/>
                <w:bCs/>
                <w:i/>
                <w:iCs/>
              </w:rPr>
            </w:pPr>
            <w:r w:rsidRPr="00B7760C">
              <w:rPr>
                <w:b/>
                <w:bCs/>
                <w:i/>
                <w:iCs/>
              </w:rPr>
              <w:t>Sheme za spodbujanje konkurenčnosti</w:t>
            </w:r>
          </w:p>
        </w:tc>
      </w:tr>
      <w:tr w:rsidR="00B54600" w:rsidRPr="00B7760C" w14:paraId="53AB4E5C" w14:textId="77777777" w:rsidTr="001E1226">
        <w:trPr>
          <w:jc w:val="center"/>
        </w:trPr>
        <w:tc>
          <w:tcPr>
            <w:tcW w:w="4876" w:type="dxa"/>
          </w:tcPr>
          <w:p w14:paraId="5BCCC242" w14:textId="77777777" w:rsidR="00B54600" w:rsidRPr="00B7760C" w:rsidRDefault="00B54600" w:rsidP="001E1226">
            <w:pPr>
              <w:pStyle w:val="Normal6"/>
            </w:pPr>
          </w:p>
        </w:tc>
        <w:tc>
          <w:tcPr>
            <w:tcW w:w="4876" w:type="dxa"/>
          </w:tcPr>
          <w:p w14:paraId="594553C3" w14:textId="77777777" w:rsidR="00B54600" w:rsidRPr="00B7760C" w:rsidRDefault="00B54600" w:rsidP="001E1226">
            <w:pPr>
              <w:pStyle w:val="Normal6"/>
            </w:pPr>
            <w:r w:rsidRPr="00B7760C">
              <w:rPr>
                <w:b/>
                <w:i/>
              </w:rPr>
              <w:t>1.</w:t>
            </w:r>
            <w:r w:rsidRPr="00B7760C">
              <w:t xml:space="preserve"> </w:t>
            </w:r>
            <w:r w:rsidRPr="00B7760C">
              <w:tab/>
            </w:r>
            <w:r w:rsidRPr="00B7760C">
              <w:rPr>
                <w:b/>
                <w:i/>
              </w:rPr>
              <w:t>Države članice zagotovijo podporo za prostovoljne sheme za spodbujanje konkurenčnosti (spodbujevalne sheme) v skladu s pogoji iz tega člena in kot je podrobneje opredeljeno v njihovih strateških načrtih SKP.</w:t>
            </w:r>
          </w:p>
        </w:tc>
      </w:tr>
      <w:tr w:rsidR="00B54600" w:rsidRPr="00B7760C" w14:paraId="7E45C409" w14:textId="77777777" w:rsidTr="001E1226">
        <w:trPr>
          <w:jc w:val="center"/>
        </w:trPr>
        <w:tc>
          <w:tcPr>
            <w:tcW w:w="4876" w:type="dxa"/>
          </w:tcPr>
          <w:p w14:paraId="6DE9F630" w14:textId="77777777" w:rsidR="00B54600" w:rsidRPr="00B7760C" w:rsidRDefault="00B54600" w:rsidP="001E1226">
            <w:pPr>
              <w:pStyle w:val="Normal6"/>
            </w:pPr>
          </w:p>
        </w:tc>
        <w:tc>
          <w:tcPr>
            <w:tcW w:w="4876" w:type="dxa"/>
          </w:tcPr>
          <w:p w14:paraId="43967650" w14:textId="77777777" w:rsidR="00B54600" w:rsidRPr="00B7760C" w:rsidRDefault="00B54600" w:rsidP="001E1226">
            <w:pPr>
              <w:pStyle w:val="Normal6"/>
            </w:pPr>
            <w:r w:rsidRPr="00B7760C">
              <w:rPr>
                <w:b/>
                <w:i/>
              </w:rPr>
              <w:t>2.</w:t>
            </w:r>
            <w:r w:rsidRPr="00B7760C">
              <w:t xml:space="preserve"> </w:t>
            </w:r>
            <w:r w:rsidRPr="00B7760C">
              <w:tab/>
            </w:r>
            <w:r w:rsidRPr="00B7760C">
              <w:rPr>
                <w:b/>
                <w:i/>
              </w:rPr>
              <w:t>Države članice s takšno intervencijo podprejo dejavne kmete, ki prevzamejo obveznosti za odhodke za spodbujanje kmetijske konkurenčnosti kmeta.</w:t>
            </w:r>
          </w:p>
        </w:tc>
      </w:tr>
      <w:tr w:rsidR="00B54600" w:rsidRPr="00B7760C" w14:paraId="4B7A8512" w14:textId="77777777" w:rsidTr="001E1226">
        <w:trPr>
          <w:jc w:val="center"/>
        </w:trPr>
        <w:tc>
          <w:tcPr>
            <w:tcW w:w="4876" w:type="dxa"/>
          </w:tcPr>
          <w:p w14:paraId="557E7977" w14:textId="77777777" w:rsidR="00B54600" w:rsidRPr="00B7760C" w:rsidRDefault="00B54600" w:rsidP="001E1226">
            <w:pPr>
              <w:pStyle w:val="Normal6"/>
            </w:pPr>
          </w:p>
        </w:tc>
        <w:tc>
          <w:tcPr>
            <w:tcW w:w="4876" w:type="dxa"/>
          </w:tcPr>
          <w:p w14:paraId="7006AF28" w14:textId="77777777" w:rsidR="00B54600" w:rsidRPr="00B7760C" w:rsidRDefault="00B54600" w:rsidP="001E1226">
            <w:pPr>
              <w:pStyle w:val="Normal6"/>
            </w:pPr>
            <w:r w:rsidRPr="00B7760C">
              <w:rPr>
                <w:b/>
                <w:i/>
              </w:rPr>
              <w:t>3.</w:t>
            </w:r>
            <w:r w:rsidRPr="00B7760C">
              <w:t xml:space="preserve"> </w:t>
            </w:r>
            <w:r w:rsidRPr="00B7760C">
              <w:tab/>
            </w:r>
            <w:r w:rsidRPr="00B7760C">
              <w:rPr>
                <w:b/>
                <w:i/>
              </w:rPr>
              <w:t>Države članice pripravijo seznam upravičenih kategorij odhodkov za spodbujanje konkurenčnosti kmeta.</w:t>
            </w:r>
          </w:p>
        </w:tc>
      </w:tr>
      <w:tr w:rsidR="00B54600" w:rsidRPr="00B7760C" w14:paraId="2E8CD5CA" w14:textId="77777777" w:rsidTr="001E1226">
        <w:trPr>
          <w:jc w:val="center"/>
        </w:trPr>
        <w:tc>
          <w:tcPr>
            <w:tcW w:w="4876" w:type="dxa"/>
          </w:tcPr>
          <w:p w14:paraId="364FE0FA" w14:textId="77777777" w:rsidR="00B54600" w:rsidRPr="00B7760C" w:rsidRDefault="00B54600" w:rsidP="001E1226">
            <w:pPr>
              <w:pStyle w:val="Normal6"/>
            </w:pPr>
          </w:p>
        </w:tc>
        <w:tc>
          <w:tcPr>
            <w:tcW w:w="4876" w:type="dxa"/>
          </w:tcPr>
          <w:p w14:paraId="31769DB4" w14:textId="77777777" w:rsidR="00B54600" w:rsidRPr="00B7760C" w:rsidRDefault="00B54600" w:rsidP="001E1226">
            <w:pPr>
              <w:pStyle w:val="Normal6"/>
            </w:pPr>
            <w:r w:rsidRPr="00B7760C">
              <w:rPr>
                <w:b/>
                <w:i/>
              </w:rPr>
              <w:t>4.</w:t>
            </w:r>
            <w:r w:rsidRPr="00B7760C">
              <w:t xml:space="preserve"> </w:t>
            </w:r>
            <w:r w:rsidRPr="00B7760C">
              <w:tab/>
            </w:r>
            <w:r w:rsidRPr="00B7760C">
              <w:rPr>
                <w:b/>
                <w:i/>
              </w:rPr>
              <w:t>Te prakse so zasnovane za uresničevanje enega ali več specifičnih ekonomskih ciljev iz točk (a), (b) in (c) člena 6(1) ter prispevajo k medsektorskemu cilju iz člena 5.</w:t>
            </w:r>
          </w:p>
        </w:tc>
      </w:tr>
      <w:tr w:rsidR="00B54600" w:rsidRPr="00B7760C" w14:paraId="77F9AF63" w14:textId="77777777" w:rsidTr="001E1226">
        <w:trPr>
          <w:jc w:val="center"/>
        </w:trPr>
        <w:tc>
          <w:tcPr>
            <w:tcW w:w="4876" w:type="dxa"/>
          </w:tcPr>
          <w:p w14:paraId="6BF2603A" w14:textId="77777777" w:rsidR="00B54600" w:rsidRPr="00B7760C" w:rsidRDefault="00B54600" w:rsidP="001E1226">
            <w:pPr>
              <w:pStyle w:val="Normal6"/>
            </w:pPr>
          </w:p>
        </w:tc>
        <w:tc>
          <w:tcPr>
            <w:tcW w:w="4876" w:type="dxa"/>
          </w:tcPr>
          <w:p w14:paraId="4C62739A" w14:textId="77777777" w:rsidR="00B54600" w:rsidRPr="00B7760C" w:rsidRDefault="00B54600" w:rsidP="001E1226">
            <w:pPr>
              <w:pStyle w:val="Normal6"/>
            </w:pPr>
            <w:r w:rsidRPr="00B7760C">
              <w:rPr>
                <w:b/>
                <w:i/>
              </w:rPr>
              <w:t>5.</w:t>
            </w:r>
            <w:r w:rsidRPr="00B7760C">
              <w:t xml:space="preserve"> </w:t>
            </w:r>
            <w:r w:rsidRPr="00B7760C">
              <w:tab/>
            </w:r>
            <w:r w:rsidRPr="00B7760C">
              <w:rPr>
                <w:b/>
                <w:i/>
              </w:rPr>
              <w:t>V okviru takšnih intervencij države članice zagotovijo le plačila za obveznosti, pri katerih ne pride do dvojnega financiranja v skladu s to uredbo.</w:t>
            </w:r>
          </w:p>
        </w:tc>
      </w:tr>
      <w:tr w:rsidR="00B54600" w:rsidRPr="00B7760C" w14:paraId="4384FCAB" w14:textId="77777777" w:rsidTr="001E1226">
        <w:trPr>
          <w:jc w:val="center"/>
        </w:trPr>
        <w:tc>
          <w:tcPr>
            <w:tcW w:w="4876" w:type="dxa"/>
          </w:tcPr>
          <w:p w14:paraId="40CA5E01" w14:textId="77777777" w:rsidR="00B54600" w:rsidRPr="00B7760C" w:rsidRDefault="00B54600" w:rsidP="001E1226">
            <w:pPr>
              <w:pStyle w:val="Normal6"/>
            </w:pPr>
          </w:p>
        </w:tc>
        <w:tc>
          <w:tcPr>
            <w:tcW w:w="4876" w:type="dxa"/>
          </w:tcPr>
          <w:p w14:paraId="2E851BB7" w14:textId="77777777" w:rsidR="00B54600" w:rsidRPr="00B7760C" w:rsidRDefault="00B54600" w:rsidP="001E1226">
            <w:pPr>
              <w:pStyle w:val="Normal6"/>
            </w:pPr>
            <w:r w:rsidRPr="00B7760C">
              <w:rPr>
                <w:b/>
                <w:i/>
              </w:rPr>
              <w:t>6.</w:t>
            </w:r>
            <w:r w:rsidRPr="00B7760C">
              <w:t xml:space="preserve"> </w:t>
            </w:r>
            <w:r w:rsidRPr="00B7760C">
              <w:tab/>
            </w:r>
            <w:r w:rsidRPr="00B7760C">
              <w:rPr>
                <w:b/>
                <w:i/>
              </w:rPr>
              <w:t>Podpora za spodbujevalne sheme ima obliko letnega plačila ter se dodeli kot:</w:t>
            </w:r>
          </w:p>
        </w:tc>
      </w:tr>
      <w:tr w:rsidR="00B54600" w:rsidRPr="00B7760C" w14:paraId="4DF1A37E" w14:textId="77777777" w:rsidTr="001E1226">
        <w:trPr>
          <w:jc w:val="center"/>
        </w:trPr>
        <w:tc>
          <w:tcPr>
            <w:tcW w:w="4876" w:type="dxa"/>
          </w:tcPr>
          <w:p w14:paraId="5FDE0702" w14:textId="77777777" w:rsidR="00B54600" w:rsidRPr="00B7760C" w:rsidRDefault="00B54600" w:rsidP="001E1226">
            <w:pPr>
              <w:pStyle w:val="Normal6"/>
            </w:pPr>
          </w:p>
        </w:tc>
        <w:tc>
          <w:tcPr>
            <w:tcW w:w="4876" w:type="dxa"/>
          </w:tcPr>
          <w:p w14:paraId="63BFBE3A" w14:textId="77777777" w:rsidR="00B54600" w:rsidRPr="00B7760C" w:rsidRDefault="00B54600" w:rsidP="001E1226">
            <w:pPr>
              <w:pStyle w:val="Normal6"/>
            </w:pPr>
            <w:r w:rsidRPr="00B7760C">
              <w:rPr>
                <w:b/>
                <w:i/>
              </w:rPr>
              <w:t xml:space="preserve">(a) </w:t>
            </w:r>
            <w:r w:rsidRPr="00B7760C">
              <w:rPr>
                <w:b/>
                <w:i/>
              </w:rPr>
              <w:tab/>
              <w:t>plačila na podlagi upravičenih hektarjev, ki dopolnjujejo osnovno dohodkovno podporo, določeno v pododdelku 2 tega oddelka,</w:t>
            </w:r>
            <w:r w:rsidRPr="00B7760C">
              <w:t xml:space="preserve"> </w:t>
            </w:r>
            <w:r w:rsidRPr="00B7760C">
              <w:rPr>
                <w:b/>
                <w:i/>
              </w:rPr>
              <w:t>ali</w:t>
            </w:r>
          </w:p>
        </w:tc>
      </w:tr>
      <w:tr w:rsidR="00B54600" w:rsidRPr="00B7760C" w14:paraId="2313CA70" w14:textId="77777777" w:rsidTr="001E1226">
        <w:trPr>
          <w:jc w:val="center"/>
        </w:trPr>
        <w:tc>
          <w:tcPr>
            <w:tcW w:w="4876" w:type="dxa"/>
          </w:tcPr>
          <w:p w14:paraId="4A19EC3E" w14:textId="77777777" w:rsidR="00B54600" w:rsidRPr="00B7760C" w:rsidRDefault="00B54600" w:rsidP="001E1226">
            <w:pPr>
              <w:pStyle w:val="Normal6"/>
            </w:pPr>
          </w:p>
        </w:tc>
        <w:tc>
          <w:tcPr>
            <w:tcW w:w="4876" w:type="dxa"/>
          </w:tcPr>
          <w:p w14:paraId="5F88EDB3" w14:textId="77777777" w:rsidR="00B54600" w:rsidRPr="00B7760C" w:rsidRDefault="00B54600" w:rsidP="001E1226">
            <w:pPr>
              <w:pStyle w:val="Normal6"/>
            </w:pPr>
            <w:r w:rsidRPr="00B7760C">
              <w:rPr>
                <w:b/>
                <w:i/>
              </w:rPr>
              <w:t xml:space="preserve">(b) </w:t>
            </w:r>
            <w:r w:rsidRPr="00B7760C">
              <w:rPr>
                <w:b/>
                <w:i/>
              </w:rPr>
              <w:tab/>
              <w:t>plačila upravičencem za nadomestilo dela ali celotnih nastalih stroškov</w:t>
            </w:r>
            <w:r w:rsidRPr="00B7760C">
              <w:t xml:space="preserve"> </w:t>
            </w:r>
            <w:r w:rsidRPr="00B7760C">
              <w:rPr>
                <w:b/>
                <w:i/>
              </w:rPr>
              <w:t>ali</w:t>
            </w:r>
          </w:p>
        </w:tc>
      </w:tr>
      <w:tr w:rsidR="00B54600" w:rsidRPr="00B7760C" w14:paraId="3F4EA54E" w14:textId="77777777" w:rsidTr="001E1226">
        <w:trPr>
          <w:jc w:val="center"/>
        </w:trPr>
        <w:tc>
          <w:tcPr>
            <w:tcW w:w="4876" w:type="dxa"/>
          </w:tcPr>
          <w:p w14:paraId="4949FF6E" w14:textId="77777777" w:rsidR="00B54600" w:rsidRPr="00B7760C" w:rsidRDefault="00B54600" w:rsidP="001E1226">
            <w:pPr>
              <w:pStyle w:val="Normal6"/>
            </w:pPr>
          </w:p>
        </w:tc>
        <w:tc>
          <w:tcPr>
            <w:tcW w:w="4876" w:type="dxa"/>
          </w:tcPr>
          <w:p w14:paraId="36D90983" w14:textId="77777777" w:rsidR="00B54600" w:rsidRPr="00B7760C" w:rsidRDefault="00B54600" w:rsidP="001E1226">
            <w:pPr>
              <w:pStyle w:val="Normal6"/>
            </w:pPr>
            <w:r w:rsidRPr="00B7760C">
              <w:rPr>
                <w:b/>
                <w:i/>
              </w:rPr>
              <w:t>(c)</w:t>
            </w:r>
            <w:r w:rsidRPr="00B7760C">
              <w:rPr>
                <w:b/>
                <w:i/>
              </w:rPr>
              <w:tab/>
              <w:t>na podlagi izložka, ustreznega za to vrsto intervencije.</w:t>
            </w:r>
          </w:p>
        </w:tc>
      </w:tr>
      <w:tr w:rsidR="00B54600" w:rsidRPr="00B7760C" w14:paraId="31CD8459" w14:textId="77777777" w:rsidTr="001E1226">
        <w:trPr>
          <w:jc w:val="center"/>
        </w:trPr>
        <w:tc>
          <w:tcPr>
            <w:tcW w:w="4876" w:type="dxa"/>
          </w:tcPr>
          <w:p w14:paraId="47287C73" w14:textId="77777777" w:rsidR="00B54600" w:rsidRPr="00B7760C" w:rsidRDefault="00B54600" w:rsidP="001E1226">
            <w:pPr>
              <w:pStyle w:val="Normal6"/>
            </w:pPr>
          </w:p>
        </w:tc>
        <w:tc>
          <w:tcPr>
            <w:tcW w:w="4876" w:type="dxa"/>
          </w:tcPr>
          <w:p w14:paraId="773B1CD1" w14:textId="77777777" w:rsidR="00B54600" w:rsidRPr="00B7760C" w:rsidRDefault="00B54600" w:rsidP="001E1226">
            <w:pPr>
              <w:pStyle w:val="Normal6"/>
            </w:pPr>
            <w:r w:rsidRPr="00B7760C">
              <w:rPr>
                <w:b/>
                <w:i/>
              </w:rPr>
              <w:t>7.</w:t>
            </w:r>
            <w:r w:rsidRPr="00B7760C">
              <w:t xml:space="preserve"> </w:t>
            </w:r>
            <w:r w:rsidRPr="00B7760C">
              <w:tab/>
            </w:r>
            <w:r w:rsidRPr="00B7760C">
              <w:rPr>
                <w:b/>
                <w:i/>
              </w:rPr>
              <w:t>Države članice zagotovijo, da so intervencije iz tega člena skladne z intervencijami, ki se odobrijo v skladu s členi 27, 28, 65, 68, 69, 70, 71 in 72.</w:t>
            </w:r>
          </w:p>
        </w:tc>
      </w:tr>
      <w:tr w:rsidR="00B54600" w:rsidRPr="00B7760C" w14:paraId="49384EDB" w14:textId="77777777" w:rsidTr="001E1226">
        <w:trPr>
          <w:jc w:val="center"/>
        </w:trPr>
        <w:tc>
          <w:tcPr>
            <w:tcW w:w="4876" w:type="dxa"/>
          </w:tcPr>
          <w:p w14:paraId="345B1F14" w14:textId="77777777" w:rsidR="00B54600" w:rsidRPr="00B7760C" w:rsidRDefault="00B54600" w:rsidP="001E1226">
            <w:pPr>
              <w:pStyle w:val="Normal6"/>
            </w:pPr>
          </w:p>
        </w:tc>
        <w:tc>
          <w:tcPr>
            <w:tcW w:w="4876" w:type="dxa"/>
          </w:tcPr>
          <w:p w14:paraId="26C40674" w14:textId="77777777" w:rsidR="00B54600" w:rsidRPr="00B7760C" w:rsidRDefault="00B54600" w:rsidP="001E1226">
            <w:pPr>
              <w:pStyle w:val="Normal6"/>
            </w:pPr>
            <w:r w:rsidRPr="00B7760C">
              <w:rPr>
                <w:b/>
                <w:i/>
              </w:rPr>
              <w:t>8.</w:t>
            </w:r>
            <w:r w:rsidRPr="00B7760C">
              <w:t xml:space="preserve"> </w:t>
            </w:r>
            <w:r w:rsidRPr="00B7760C">
              <w:tab/>
            </w:r>
            <w:r w:rsidRPr="00B7760C">
              <w:rPr>
                <w:b/>
                <w:i/>
              </w:rPr>
              <w:t>Na Komisijo se prenese pooblastilo za sprejemanje delegiranih aktov v skladu s členom 138 za dopolnitev te uredbe z dodatnimi pravili o spodbujevalnih shemah.</w:t>
            </w:r>
          </w:p>
        </w:tc>
      </w:tr>
    </w:tbl>
    <w:p w14:paraId="22F8515B" w14:textId="695BB76B" w:rsidR="006C08ED" w:rsidRPr="00B7760C" w:rsidRDefault="006C08ED" w:rsidP="003663AF">
      <w:pPr>
        <w:pStyle w:val="AMNumberTabs"/>
        <w:keepNext/>
      </w:pPr>
    </w:p>
    <w:p w14:paraId="3ACACD30" w14:textId="12058C72" w:rsidR="006C08ED" w:rsidRPr="00B7760C" w:rsidRDefault="00877691" w:rsidP="006C08ED">
      <w:pPr>
        <w:pStyle w:val="AmNumberTabs0"/>
      </w:pPr>
      <w:r w:rsidRPr="00B7760C">
        <w:t>Sprememba</w:t>
      </w:r>
      <w:r w:rsidR="006C08ED" w:rsidRPr="00B7760C">
        <w:tab/>
      </w:r>
      <w:r w:rsidR="006C08ED" w:rsidRPr="00B7760C">
        <w:tab/>
        <w:t>1131</w:t>
      </w:r>
    </w:p>
    <w:p w14:paraId="112E893A" w14:textId="77777777" w:rsidR="006C08ED" w:rsidRPr="00B7760C" w:rsidRDefault="006C08ED" w:rsidP="006C08ED">
      <w:pPr>
        <w:pStyle w:val="NormalBold12b"/>
      </w:pPr>
      <w:r w:rsidRPr="00B7760C">
        <w:t>Predlog uredbe</w:t>
      </w:r>
    </w:p>
    <w:p w14:paraId="415320EE" w14:textId="77777777" w:rsidR="006C08ED" w:rsidRPr="00B7760C" w:rsidRDefault="006C08ED" w:rsidP="006C08ED">
      <w:pPr>
        <w:pStyle w:val="NormalBold"/>
      </w:pPr>
      <w:r w:rsidRPr="00B7760C">
        <w:t>Člen 28 b (novo)</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6C08ED" w:rsidRPr="00B7760C" w14:paraId="379EF65F" w14:textId="77777777" w:rsidTr="004F0B88">
        <w:trPr>
          <w:jc w:val="center"/>
        </w:trPr>
        <w:tc>
          <w:tcPr>
            <w:tcW w:w="9752" w:type="dxa"/>
            <w:gridSpan w:val="2"/>
          </w:tcPr>
          <w:p w14:paraId="2D232068" w14:textId="77777777" w:rsidR="006C08ED" w:rsidRPr="00B7760C" w:rsidRDefault="006C08ED" w:rsidP="004F0B88">
            <w:pPr>
              <w:keepNext/>
            </w:pPr>
          </w:p>
        </w:tc>
      </w:tr>
      <w:tr w:rsidR="006C08ED" w:rsidRPr="00B7760C" w14:paraId="2D142D60" w14:textId="77777777" w:rsidTr="004F0B88">
        <w:trPr>
          <w:jc w:val="center"/>
        </w:trPr>
        <w:tc>
          <w:tcPr>
            <w:tcW w:w="4876" w:type="dxa"/>
          </w:tcPr>
          <w:p w14:paraId="685E6404" w14:textId="77777777" w:rsidR="006C08ED" w:rsidRPr="00B7760C" w:rsidRDefault="006C08ED" w:rsidP="004F0B88">
            <w:pPr>
              <w:pStyle w:val="AmColumnHeading"/>
              <w:keepNext/>
            </w:pPr>
            <w:r w:rsidRPr="00B7760C">
              <w:t>Besedilo, ki ga predlaga Komisija</w:t>
            </w:r>
          </w:p>
        </w:tc>
        <w:tc>
          <w:tcPr>
            <w:tcW w:w="4876" w:type="dxa"/>
          </w:tcPr>
          <w:p w14:paraId="082FCE90" w14:textId="0A39541C" w:rsidR="006C08ED" w:rsidRPr="00B7760C" w:rsidRDefault="00877691" w:rsidP="004F0B88">
            <w:pPr>
              <w:pStyle w:val="AmColumnHeading"/>
              <w:keepNext/>
            </w:pPr>
            <w:r w:rsidRPr="00B7760C">
              <w:t>Sprememba</w:t>
            </w:r>
          </w:p>
        </w:tc>
      </w:tr>
      <w:tr w:rsidR="006C08ED" w:rsidRPr="00B7760C" w14:paraId="2256CACC" w14:textId="77777777" w:rsidTr="004F0B88">
        <w:trPr>
          <w:jc w:val="center"/>
        </w:trPr>
        <w:tc>
          <w:tcPr>
            <w:tcW w:w="4876" w:type="dxa"/>
          </w:tcPr>
          <w:p w14:paraId="7A1D8527" w14:textId="77777777" w:rsidR="006C08ED" w:rsidRPr="00B7760C" w:rsidRDefault="006C08ED" w:rsidP="004F0B88">
            <w:pPr>
              <w:pStyle w:val="Normal6a"/>
            </w:pPr>
          </w:p>
        </w:tc>
        <w:tc>
          <w:tcPr>
            <w:tcW w:w="4876" w:type="dxa"/>
          </w:tcPr>
          <w:p w14:paraId="598A1BBB" w14:textId="77777777" w:rsidR="006C08ED" w:rsidRPr="00B7760C" w:rsidRDefault="006C08ED" w:rsidP="004F0B88">
            <w:pPr>
              <w:pStyle w:val="Normal6a"/>
              <w:jc w:val="center"/>
              <w:rPr>
                <w:szCs w:val="24"/>
              </w:rPr>
            </w:pPr>
            <w:r w:rsidRPr="00B7760C">
              <w:rPr>
                <w:b/>
                <w:i/>
              </w:rPr>
              <w:t>Člen 28b</w:t>
            </w:r>
          </w:p>
        </w:tc>
      </w:tr>
      <w:tr w:rsidR="006C08ED" w:rsidRPr="00B7760C" w14:paraId="61188160" w14:textId="77777777" w:rsidTr="004F0B88">
        <w:trPr>
          <w:jc w:val="center"/>
        </w:trPr>
        <w:tc>
          <w:tcPr>
            <w:tcW w:w="4876" w:type="dxa"/>
          </w:tcPr>
          <w:p w14:paraId="76AEC33B" w14:textId="77777777" w:rsidR="006C08ED" w:rsidRPr="00B7760C" w:rsidRDefault="006C08ED" w:rsidP="004F0B88">
            <w:pPr>
              <w:pStyle w:val="Normal6a"/>
            </w:pPr>
          </w:p>
        </w:tc>
        <w:tc>
          <w:tcPr>
            <w:tcW w:w="4876" w:type="dxa"/>
          </w:tcPr>
          <w:p w14:paraId="2984A772" w14:textId="77777777" w:rsidR="006C08ED" w:rsidRPr="00B7760C" w:rsidRDefault="006C08ED" w:rsidP="004F0B88">
            <w:pPr>
              <w:pStyle w:val="Normal6a"/>
              <w:jc w:val="center"/>
              <w:rPr>
                <w:szCs w:val="24"/>
              </w:rPr>
            </w:pPr>
            <w:r w:rsidRPr="00B7760C">
              <w:rPr>
                <w:b/>
                <w:i/>
              </w:rPr>
              <w:t>Prakse, upravičene do shem za podnebje, okolje in dobrobit živali</w:t>
            </w:r>
          </w:p>
        </w:tc>
      </w:tr>
      <w:tr w:rsidR="006C08ED" w:rsidRPr="00B7760C" w14:paraId="5CC6038D" w14:textId="77777777" w:rsidTr="004F0B88">
        <w:trPr>
          <w:jc w:val="center"/>
        </w:trPr>
        <w:tc>
          <w:tcPr>
            <w:tcW w:w="4876" w:type="dxa"/>
          </w:tcPr>
          <w:p w14:paraId="04282C3A" w14:textId="77777777" w:rsidR="006C08ED" w:rsidRPr="00B7760C" w:rsidRDefault="006C08ED" w:rsidP="004F0B88">
            <w:pPr>
              <w:pStyle w:val="Normal6a"/>
            </w:pPr>
          </w:p>
        </w:tc>
        <w:tc>
          <w:tcPr>
            <w:tcW w:w="4876" w:type="dxa"/>
          </w:tcPr>
          <w:p w14:paraId="14355336" w14:textId="77777777" w:rsidR="006C08ED" w:rsidRPr="00B7760C" w:rsidRDefault="006C08ED" w:rsidP="004F0B88">
            <w:pPr>
              <w:pStyle w:val="Normal6a"/>
              <w:rPr>
                <w:szCs w:val="24"/>
              </w:rPr>
            </w:pPr>
            <w:r w:rsidRPr="00B7760C">
              <w:rPr>
                <w:b/>
                <w:i/>
              </w:rPr>
              <w:t>1.</w:t>
            </w:r>
            <w:r w:rsidRPr="00B7760C">
              <w:rPr>
                <w:b/>
                <w:i/>
              </w:rPr>
              <w:tab/>
              <w:t>Kmetijske prakse, ki so vključene v to vrsto intervencij, prispevajo k doseganju enega ali več specifičnih ciljev iz točk (d), (e), (f) in (i) člena 6(1), pri čemer ohranjajo in krepijo gospodarsko uspešnost kmetov v skladu s specifičnimi cilji iz točk (a) in (b) člena 6(1).</w:t>
            </w:r>
          </w:p>
        </w:tc>
      </w:tr>
      <w:tr w:rsidR="006C08ED" w:rsidRPr="00B7760C" w14:paraId="756AB54F" w14:textId="77777777" w:rsidTr="004F0B88">
        <w:trPr>
          <w:jc w:val="center"/>
        </w:trPr>
        <w:tc>
          <w:tcPr>
            <w:tcW w:w="4876" w:type="dxa"/>
          </w:tcPr>
          <w:p w14:paraId="33831642" w14:textId="77777777" w:rsidR="006C08ED" w:rsidRPr="00B7760C" w:rsidRDefault="006C08ED" w:rsidP="004F0B88">
            <w:pPr>
              <w:pStyle w:val="Normal6a"/>
            </w:pPr>
          </w:p>
        </w:tc>
        <w:tc>
          <w:tcPr>
            <w:tcW w:w="4876" w:type="dxa"/>
          </w:tcPr>
          <w:p w14:paraId="46F9BA3E" w14:textId="77777777" w:rsidR="006C08ED" w:rsidRPr="00B7760C" w:rsidRDefault="006C08ED" w:rsidP="004F0B88">
            <w:pPr>
              <w:pStyle w:val="Normal6a"/>
              <w:rPr>
                <w:b/>
                <w:i/>
              </w:rPr>
            </w:pPr>
            <w:r w:rsidRPr="00B7760C">
              <w:rPr>
                <w:b/>
                <w:i/>
              </w:rPr>
              <w:t>2.</w:t>
            </w:r>
            <w:r w:rsidRPr="00B7760C">
              <w:rPr>
                <w:b/>
                <w:i/>
              </w:rPr>
              <w:tab/>
              <w:t>Kmetijske prakse iz odstavka 1 tega člena vključujejo vsaj dve od naslednjih področij ukrepanja za podnebje in okolje:</w:t>
            </w:r>
          </w:p>
        </w:tc>
      </w:tr>
      <w:tr w:rsidR="006C08ED" w:rsidRPr="00B7760C" w14:paraId="7C361093" w14:textId="77777777" w:rsidTr="004F0B88">
        <w:trPr>
          <w:jc w:val="center"/>
        </w:trPr>
        <w:tc>
          <w:tcPr>
            <w:tcW w:w="4876" w:type="dxa"/>
          </w:tcPr>
          <w:p w14:paraId="19BAA145" w14:textId="77777777" w:rsidR="006C08ED" w:rsidRPr="00B7760C" w:rsidRDefault="006C08ED" w:rsidP="004F0B88">
            <w:pPr>
              <w:pStyle w:val="Normal6a"/>
            </w:pPr>
          </w:p>
        </w:tc>
        <w:tc>
          <w:tcPr>
            <w:tcW w:w="4876" w:type="dxa"/>
          </w:tcPr>
          <w:p w14:paraId="27C99A6D" w14:textId="77777777" w:rsidR="006C08ED" w:rsidRPr="00B7760C" w:rsidRDefault="006C08ED" w:rsidP="004F0B88">
            <w:pPr>
              <w:pStyle w:val="Normal6a"/>
              <w:rPr>
                <w:szCs w:val="24"/>
              </w:rPr>
            </w:pPr>
            <w:r w:rsidRPr="00B7760C">
              <w:rPr>
                <w:b/>
                <w:i/>
              </w:rPr>
              <w:t>(a)</w:t>
            </w:r>
            <w:r w:rsidRPr="00B7760C">
              <w:rPr>
                <w:b/>
                <w:i/>
              </w:rPr>
              <w:tab/>
              <w:t>ukrepi na področju podnebnih sprememb, vključno z zmanjšanjem emisij toplogrednih plinov iz kmetijstva ter ohranjanjem in/ali povečanjem sekvestracije ogljika;</w:t>
            </w:r>
          </w:p>
        </w:tc>
      </w:tr>
      <w:tr w:rsidR="006C08ED" w:rsidRPr="00B7760C" w14:paraId="769BC508" w14:textId="77777777" w:rsidTr="004F0B88">
        <w:trPr>
          <w:jc w:val="center"/>
        </w:trPr>
        <w:tc>
          <w:tcPr>
            <w:tcW w:w="4876" w:type="dxa"/>
          </w:tcPr>
          <w:p w14:paraId="4126D475" w14:textId="77777777" w:rsidR="006C08ED" w:rsidRPr="00B7760C" w:rsidRDefault="006C08ED" w:rsidP="004F0B88">
            <w:pPr>
              <w:pStyle w:val="Normal6a"/>
            </w:pPr>
          </w:p>
        </w:tc>
        <w:tc>
          <w:tcPr>
            <w:tcW w:w="4876" w:type="dxa"/>
          </w:tcPr>
          <w:p w14:paraId="09B16C7E" w14:textId="77777777" w:rsidR="006C08ED" w:rsidRPr="00B7760C" w:rsidRDefault="006C08ED" w:rsidP="004F0B88">
            <w:pPr>
              <w:pStyle w:val="Normal6a"/>
              <w:rPr>
                <w:szCs w:val="24"/>
              </w:rPr>
            </w:pPr>
            <w:r w:rsidRPr="00B7760C">
              <w:rPr>
                <w:b/>
                <w:i/>
              </w:rPr>
              <w:t>(b)</w:t>
            </w:r>
            <w:r w:rsidRPr="00B7760C">
              <w:rPr>
                <w:b/>
                <w:i/>
              </w:rPr>
              <w:tab/>
              <w:t>zmanjšanje drugih emisij, poleg emisij toplogrednih plinov;</w:t>
            </w:r>
          </w:p>
        </w:tc>
      </w:tr>
      <w:tr w:rsidR="006C08ED" w:rsidRPr="00B7760C" w14:paraId="40DE20AC" w14:textId="77777777" w:rsidTr="004F0B88">
        <w:trPr>
          <w:jc w:val="center"/>
        </w:trPr>
        <w:tc>
          <w:tcPr>
            <w:tcW w:w="4876" w:type="dxa"/>
          </w:tcPr>
          <w:p w14:paraId="50E2CB00" w14:textId="77777777" w:rsidR="006C08ED" w:rsidRPr="00B7760C" w:rsidRDefault="006C08ED" w:rsidP="004F0B88">
            <w:pPr>
              <w:pStyle w:val="Normal6a"/>
            </w:pPr>
          </w:p>
        </w:tc>
        <w:tc>
          <w:tcPr>
            <w:tcW w:w="4876" w:type="dxa"/>
          </w:tcPr>
          <w:p w14:paraId="2792AC06" w14:textId="77777777" w:rsidR="006C08ED" w:rsidRPr="00B7760C" w:rsidRDefault="006C08ED" w:rsidP="004F0B88">
            <w:pPr>
              <w:pStyle w:val="Normal6a"/>
              <w:rPr>
                <w:szCs w:val="24"/>
              </w:rPr>
            </w:pPr>
            <w:r w:rsidRPr="00B7760C">
              <w:rPr>
                <w:b/>
                <w:i/>
              </w:rPr>
              <w:t>(c)</w:t>
            </w:r>
            <w:r w:rsidRPr="00B7760C">
              <w:rPr>
                <w:b/>
                <w:i/>
              </w:rPr>
              <w:tab/>
              <w:t>varstvo ali izboljšanje kakovosti vode na kmetijskih območjih in zmanjšanje pritiska na vodne vire;</w:t>
            </w:r>
          </w:p>
        </w:tc>
      </w:tr>
      <w:tr w:rsidR="006C08ED" w:rsidRPr="00B7760C" w14:paraId="39B8F5B0" w14:textId="77777777" w:rsidTr="004F0B88">
        <w:trPr>
          <w:jc w:val="center"/>
        </w:trPr>
        <w:tc>
          <w:tcPr>
            <w:tcW w:w="4876" w:type="dxa"/>
          </w:tcPr>
          <w:p w14:paraId="24982CB2" w14:textId="77777777" w:rsidR="006C08ED" w:rsidRPr="00B7760C" w:rsidRDefault="006C08ED" w:rsidP="004F0B88">
            <w:pPr>
              <w:pStyle w:val="Normal6a"/>
            </w:pPr>
          </w:p>
        </w:tc>
        <w:tc>
          <w:tcPr>
            <w:tcW w:w="4876" w:type="dxa"/>
          </w:tcPr>
          <w:p w14:paraId="7CF763B4" w14:textId="77777777" w:rsidR="006C08ED" w:rsidRPr="00B7760C" w:rsidRDefault="006C08ED" w:rsidP="004F0B88">
            <w:pPr>
              <w:pStyle w:val="Normal6a"/>
              <w:rPr>
                <w:szCs w:val="24"/>
              </w:rPr>
            </w:pPr>
            <w:r w:rsidRPr="00B7760C">
              <w:rPr>
                <w:b/>
                <w:i/>
              </w:rPr>
              <w:t>(d)</w:t>
            </w:r>
            <w:r w:rsidRPr="00B7760C">
              <w:rPr>
                <w:b/>
                <w:i/>
              </w:rPr>
              <w:tab/>
              <w:t>ukrepi za zmanjšanje erozije tal, izboljšanje rodovitnosti tal, izboljšanje upravljanja hranil ter ohranjanje in ponovna vrnitev živih organizmov v tla;</w:t>
            </w:r>
          </w:p>
        </w:tc>
      </w:tr>
      <w:tr w:rsidR="006C08ED" w:rsidRPr="00B7760C" w14:paraId="2E946640" w14:textId="77777777" w:rsidTr="004F0B88">
        <w:trPr>
          <w:jc w:val="center"/>
        </w:trPr>
        <w:tc>
          <w:tcPr>
            <w:tcW w:w="4876" w:type="dxa"/>
          </w:tcPr>
          <w:p w14:paraId="07B6402D" w14:textId="77777777" w:rsidR="006C08ED" w:rsidRPr="00B7760C" w:rsidRDefault="006C08ED" w:rsidP="004F0B88">
            <w:pPr>
              <w:pStyle w:val="Normal6a"/>
            </w:pPr>
          </w:p>
        </w:tc>
        <w:tc>
          <w:tcPr>
            <w:tcW w:w="4876" w:type="dxa"/>
          </w:tcPr>
          <w:p w14:paraId="75C8ACA6" w14:textId="77777777" w:rsidR="006C08ED" w:rsidRPr="00B7760C" w:rsidRDefault="006C08ED" w:rsidP="004F0B88">
            <w:pPr>
              <w:pStyle w:val="Normal6a"/>
              <w:rPr>
                <w:szCs w:val="24"/>
              </w:rPr>
            </w:pPr>
            <w:r w:rsidRPr="00B7760C">
              <w:rPr>
                <w:b/>
                <w:i/>
              </w:rPr>
              <w:t>(e)</w:t>
            </w:r>
            <w:r w:rsidRPr="00B7760C">
              <w:rPr>
                <w:b/>
                <w:i/>
              </w:rPr>
              <w:tab/>
              <w:t>zaščita biotske raznovrstnosti, ohranjanje ali obnavljanje habitatov in vrst, zaščita opraševalcev in upravljanje krajinskih značilnosti, vključno z določitvijo novih krajinskih značilnosti;</w:t>
            </w:r>
          </w:p>
        </w:tc>
      </w:tr>
      <w:tr w:rsidR="006C08ED" w:rsidRPr="00B7760C" w14:paraId="1985BE64" w14:textId="77777777" w:rsidTr="004F0B88">
        <w:trPr>
          <w:jc w:val="center"/>
        </w:trPr>
        <w:tc>
          <w:tcPr>
            <w:tcW w:w="4876" w:type="dxa"/>
          </w:tcPr>
          <w:p w14:paraId="0E23682A" w14:textId="77777777" w:rsidR="006C08ED" w:rsidRPr="00B7760C" w:rsidRDefault="006C08ED" w:rsidP="004F0B88">
            <w:pPr>
              <w:pStyle w:val="Normal6a"/>
            </w:pPr>
          </w:p>
        </w:tc>
        <w:tc>
          <w:tcPr>
            <w:tcW w:w="4876" w:type="dxa"/>
          </w:tcPr>
          <w:p w14:paraId="7F5FCE99" w14:textId="77777777" w:rsidR="006C08ED" w:rsidRPr="00B7760C" w:rsidRDefault="006C08ED" w:rsidP="004F0B88">
            <w:pPr>
              <w:pStyle w:val="Normal6a"/>
              <w:rPr>
                <w:szCs w:val="24"/>
              </w:rPr>
            </w:pPr>
            <w:r w:rsidRPr="00B7760C">
              <w:rPr>
                <w:b/>
                <w:i/>
              </w:rPr>
              <w:t>(f)</w:t>
            </w:r>
            <w:r w:rsidRPr="00B7760C">
              <w:rPr>
                <w:b/>
                <w:i/>
              </w:rPr>
              <w:tab/>
              <w:t>ukrepi za trajnostno in zmanjšano uporabo pesticidov, zlasti pesticidov, ki so nevarni za zdravje ljudi ali biotsko raznovrstnost;</w:t>
            </w:r>
          </w:p>
        </w:tc>
      </w:tr>
      <w:tr w:rsidR="006C08ED" w:rsidRPr="00B7760C" w14:paraId="2239F1D2" w14:textId="77777777" w:rsidTr="004F0B88">
        <w:trPr>
          <w:jc w:val="center"/>
        </w:trPr>
        <w:tc>
          <w:tcPr>
            <w:tcW w:w="4876" w:type="dxa"/>
          </w:tcPr>
          <w:p w14:paraId="3AE5D114" w14:textId="77777777" w:rsidR="006C08ED" w:rsidRPr="00B7760C" w:rsidRDefault="006C08ED" w:rsidP="004F0B88">
            <w:pPr>
              <w:pStyle w:val="Normal6a"/>
            </w:pPr>
          </w:p>
        </w:tc>
        <w:tc>
          <w:tcPr>
            <w:tcW w:w="4876" w:type="dxa"/>
          </w:tcPr>
          <w:p w14:paraId="1D92C270" w14:textId="77777777" w:rsidR="006C08ED" w:rsidRPr="00B7760C" w:rsidRDefault="006C08ED" w:rsidP="004F0B88">
            <w:pPr>
              <w:pStyle w:val="Normal6a"/>
              <w:rPr>
                <w:szCs w:val="24"/>
              </w:rPr>
            </w:pPr>
            <w:r w:rsidRPr="00B7760C">
              <w:rPr>
                <w:b/>
                <w:i/>
              </w:rPr>
              <w:t>(g)</w:t>
            </w:r>
            <w:r w:rsidRPr="00B7760C">
              <w:rPr>
                <w:b/>
                <w:i/>
              </w:rPr>
              <w:tab/>
              <w:t>dodelitev površin neproizvodnim značilnostim ali območjem, kjer se ne uporabljajo pesticidi in gnojila;</w:t>
            </w:r>
          </w:p>
        </w:tc>
      </w:tr>
      <w:tr w:rsidR="006C08ED" w:rsidRPr="00B7760C" w14:paraId="66F3AEA8" w14:textId="77777777" w:rsidTr="004F0B88">
        <w:trPr>
          <w:jc w:val="center"/>
        </w:trPr>
        <w:tc>
          <w:tcPr>
            <w:tcW w:w="4876" w:type="dxa"/>
          </w:tcPr>
          <w:p w14:paraId="23FEC26F" w14:textId="77777777" w:rsidR="006C08ED" w:rsidRPr="00B7760C" w:rsidRDefault="006C08ED" w:rsidP="004F0B88">
            <w:pPr>
              <w:pStyle w:val="Normal6a"/>
            </w:pPr>
          </w:p>
        </w:tc>
        <w:tc>
          <w:tcPr>
            <w:tcW w:w="4876" w:type="dxa"/>
          </w:tcPr>
          <w:p w14:paraId="7F75D830" w14:textId="77777777" w:rsidR="006C08ED" w:rsidRPr="00B7760C" w:rsidRDefault="006C08ED" w:rsidP="004F0B88">
            <w:pPr>
              <w:pStyle w:val="Normal6a"/>
              <w:rPr>
                <w:szCs w:val="24"/>
              </w:rPr>
            </w:pPr>
            <w:r w:rsidRPr="00B7760C">
              <w:rPr>
                <w:b/>
                <w:i/>
              </w:rPr>
              <w:t>(h)</w:t>
            </w:r>
            <w:r w:rsidRPr="00B7760C">
              <w:rPr>
                <w:b/>
                <w:i/>
              </w:rPr>
              <w:tab/>
              <w:t>ukrepi za izboljšanje dobrobiti živali in soočanje s protimikrobno odpornostjo;</w:t>
            </w:r>
          </w:p>
        </w:tc>
      </w:tr>
      <w:tr w:rsidR="006C08ED" w:rsidRPr="00B7760C" w14:paraId="71297D2B" w14:textId="77777777" w:rsidTr="004F0B88">
        <w:trPr>
          <w:jc w:val="center"/>
        </w:trPr>
        <w:tc>
          <w:tcPr>
            <w:tcW w:w="4876" w:type="dxa"/>
          </w:tcPr>
          <w:p w14:paraId="2D8061BD" w14:textId="77777777" w:rsidR="006C08ED" w:rsidRPr="00B7760C" w:rsidRDefault="006C08ED" w:rsidP="004F0B88">
            <w:pPr>
              <w:pStyle w:val="Normal6a"/>
            </w:pPr>
          </w:p>
        </w:tc>
        <w:tc>
          <w:tcPr>
            <w:tcW w:w="4876" w:type="dxa"/>
          </w:tcPr>
          <w:p w14:paraId="3132490E" w14:textId="77777777" w:rsidR="006C08ED" w:rsidRPr="00B7760C" w:rsidRDefault="006C08ED" w:rsidP="004F0B88">
            <w:pPr>
              <w:pStyle w:val="Normal6a"/>
              <w:rPr>
                <w:szCs w:val="24"/>
              </w:rPr>
            </w:pPr>
            <w:r w:rsidRPr="00B7760C">
              <w:rPr>
                <w:b/>
                <w:i/>
              </w:rPr>
              <w:t>(i)</w:t>
            </w:r>
            <w:r w:rsidRPr="00B7760C">
              <w:rPr>
                <w:b/>
                <w:i/>
              </w:rPr>
              <w:tab/>
              <w:t>ukrepi za zmanjšanje vložkov in izboljšanje trajnostnega upravljanja naravnih virov, kot je precizno kmetovanje;</w:t>
            </w:r>
          </w:p>
        </w:tc>
      </w:tr>
      <w:tr w:rsidR="006C08ED" w:rsidRPr="00B7760C" w14:paraId="4CE2A96C" w14:textId="77777777" w:rsidTr="004F0B88">
        <w:trPr>
          <w:jc w:val="center"/>
        </w:trPr>
        <w:tc>
          <w:tcPr>
            <w:tcW w:w="4876" w:type="dxa"/>
          </w:tcPr>
          <w:p w14:paraId="5FB3C7B7" w14:textId="77777777" w:rsidR="006C08ED" w:rsidRPr="00B7760C" w:rsidRDefault="006C08ED" w:rsidP="004F0B88">
            <w:pPr>
              <w:pStyle w:val="Normal6a"/>
            </w:pPr>
          </w:p>
        </w:tc>
        <w:tc>
          <w:tcPr>
            <w:tcW w:w="4876" w:type="dxa"/>
          </w:tcPr>
          <w:p w14:paraId="0F01A34E" w14:textId="77777777" w:rsidR="006C08ED" w:rsidRPr="00B7760C" w:rsidRDefault="006C08ED" w:rsidP="004F0B88">
            <w:pPr>
              <w:pStyle w:val="Normal6a"/>
              <w:rPr>
                <w:szCs w:val="24"/>
              </w:rPr>
            </w:pPr>
            <w:r w:rsidRPr="00B7760C">
              <w:rPr>
                <w:b/>
                <w:i/>
              </w:rPr>
              <w:t>(j)</w:t>
            </w:r>
            <w:r w:rsidRPr="00B7760C">
              <w:rPr>
                <w:b/>
                <w:i/>
              </w:rPr>
              <w:tab/>
              <w:t>ukrepi za izboljšanje raznovrstnosti živali in rastlin za večjo odpornost na bolezni in podnebne spremembe.</w:t>
            </w:r>
          </w:p>
        </w:tc>
      </w:tr>
      <w:tr w:rsidR="006C08ED" w:rsidRPr="00B7760C" w14:paraId="3C1DD934" w14:textId="77777777" w:rsidTr="004F0B88">
        <w:trPr>
          <w:jc w:val="center"/>
        </w:trPr>
        <w:tc>
          <w:tcPr>
            <w:tcW w:w="4876" w:type="dxa"/>
          </w:tcPr>
          <w:p w14:paraId="2E8A7604" w14:textId="77777777" w:rsidR="006C08ED" w:rsidRPr="00B7760C" w:rsidRDefault="006C08ED" w:rsidP="004F0B88">
            <w:pPr>
              <w:pStyle w:val="Normal6a"/>
            </w:pPr>
          </w:p>
        </w:tc>
        <w:tc>
          <w:tcPr>
            <w:tcW w:w="4876" w:type="dxa"/>
          </w:tcPr>
          <w:p w14:paraId="10DE52DE" w14:textId="77777777" w:rsidR="006C08ED" w:rsidRPr="00B7760C" w:rsidRDefault="006C08ED" w:rsidP="004F0B88">
            <w:pPr>
              <w:pStyle w:val="Normal6a"/>
              <w:rPr>
                <w:szCs w:val="24"/>
              </w:rPr>
            </w:pPr>
            <w:r w:rsidRPr="00B7760C">
              <w:rPr>
                <w:b/>
                <w:i/>
              </w:rPr>
              <w:t>3.</w:t>
            </w:r>
            <w:r w:rsidRPr="00B7760C">
              <w:rPr>
                <w:b/>
                <w:i/>
              </w:rPr>
              <w:tab/>
              <w:t>Kmetijske prakse iz odstavka 1 tega člena:</w:t>
            </w:r>
          </w:p>
        </w:tc>
      </w:tr>
      <w:tr w:rsidR="006C08ED" w:rsidRPr="00B7760C" w14:paraId="3A9B84AE" w14:textId="77777777" w:rsidTr="004F0B88">
        <w:trPr>
          <w:jc w:val="center"/>
        </w:trPr>
        <w:tc>
          <w:tcPr>
            <w:tcW w:w="4876" w:type="dxa"/>
          </w:tcPr>
          <w:p w14:paraId="60226F76" w14:textId="77777777" w:rsidR="006C08ED" w:rsidRPr="00B7760C" w:rsidRDefault="006C08ED" w:rsidP="004F0B88">
            <w:pPr>
              <w:pStyle w:val="Normal6a"/>
            </w:pPr>
          </w:p>
        </w:tc>
        <w:tc>
          <w:tcPr>
            <w:tcW w:w="4876" w:type="dxa"/>
          </w:tcPr>
          <w:p w14:paraId="241AFE53" w14:textId="77777777" w:rsidR="006C08ED" w:rsidRPr="00B7760C" w:rsidRDefault="006C08ED" w:rsidP="004F0B88">
            <w:pPr>
              <w:pStyle w:val="Normal6a"/>
              <w:rPr>
                <w:szCs w:val="24"/>
              </w:rPr>
            </w:pPr>
            <w:r w:rsidRPr="00B7760C">
              <w:rPr>
                <w:b/>
                <w:i/>
              </w:rPr>
              <w:t>(a)</w:t>
            </w:r>
            <w:r w:rsidRPr="00B7760C">
              <w:rPr>
                <w:b/>
                <w:i/>
              </w:rPr>
              <w:tab/>
              <w:t>presegajo zadevne predpisane zahteve ravnanja ter standarde za dobre kmetijske in okoljske pogoje, določene v skladu z oddelkom 2 poglavja I tega naslova;</w:t>
            </w:r>
          </w:p>
        </w:tc>
      </w:tr>
      <w:tr w:rsidR="006C08ED" w:rsidRPr="00B7760C" w14:paraId="280C2D18" w14:textId="77777777" w:rsidTr="004F0B88">
        <w:trPr>
          <w:jc w:val="center"/>
        </w:trPr>
        <w:tc>
          <w:tcPr>
            <w:tcW w:w="4876" w:type="dxa"/>
          </w:tcPr>
          <w:p w14:paraId="7B3DC878" w14:textId="77777777" w:rsidR="006C08ED" w:rsidRPr="00B7760C" w:rsidRDefault="006C08ED" w:rsidP="004F0B88">
            <w:pPr>
              <w:pStyle w:val="Normal6a"/>
            </w:pPr>
          </w:p>
        </w:tc>
        <w:tc>
          <w:tcPr>
            <w:tcW w:w="4876" w:type="dxa"/>
          </w:tcPr>
          <w:p w14:paraId="0C40ABD1" w14:textId="77777777" w:rsidR="006C08ED" w:rsidRPr="00B7760C" w:rsidRDefault="006C08ED" w:rsidP="004F0B88">
            <w:pPr>
              <w:pStyle w:val="Normal6a"/>
              <w:rPr>
                <w:szCs w:val="24"/>
              </w:rPr>
            </w:pPr>
            <w:r w:rsidRPr="00B7760C">
              <w:rPr>
                <w:b/>
                <w:i/>
              </w:rPr>
              <w:t>(b)</w:t>
            </w:r>
            <w:r w:rsidRPr="00B7760C">
              <w:rPr>
                <w:b/>
                <w:i/>
              </w:rPr>
              <w:tab/>
              <w:t>presegajo minimalne zahteve za dobrobit živali in uporabo gnojil in fitofarmacevtskih sredstev ter druge obvezne zahteve, določene s pravom Unije;</w:t>
            </w:r>
          </w:p>
        </w:tc>
      </w:tr>
      <w:tr w:rsidR="006C08ED" w:rsidRPr="00B7760C" w14:paraId="6E53C135" w14:textId="77777777" w:rsidTr="004F0B88">
        <w:trPr>
          <w:jc w:val="center"/>
        </w:trPr>
        <w:tc>
          <w:tcPr>
            <w:tcW w:w="4876" w:type="dxa"/>
          </w:tcPr>
          <w:p w14:paraId="762AC616" w14:textId="77777777" w:rsidR="006C08ED" w:rsidRPr="00B7760C" w:rsidRDefault="006C08ED" w:rsidP="004F0B88">
            <w:pPr>
              <w:pStyle w:val="Normal6a"/>
            </w:pPr>
          </w:p>
        </w:tc>
        <w:tc>
          <w:tcPr>
            <w:tcW w:w="4876" w:type="dxa"/>
          </w:tcPr>
          <w:p w14:paraId="61FE280F" w14:textId="77777777" w:rsidR="006C08ED" w:rsidRPr="00B7760C" w:rsidRDefault="006C08ED" w:rsidP="004F0B88">
            <w:pPr>
              <w:pStyle w:val="Normal6a"/>
              <w:rPr>
                <w:szCs w:val="24"/>
              </w:rPr>
            </w:pPr>
            <w:r w:rsidRPr="00B7760C">
              <w:rPr>
                <w:b/>
                <w:i/>
              </w:rPr>
              <w:t>(c)</w:t>
            </w:r>
            <w:r w:rsidRPr="00B7760C">
              <w:rPr>
                <w:b/>
                <w:i/>
              </w:rPr>
              <w:tab/>
              <w:t>presegajo pogoje, določene za vzdrževanje kmetijske površine v skladu s točko (a) člena 4(1);</w:t>
            </w:r>
          </w:p>
        </w:tc>
      </w:tr>
      <w:tr w:rsidR="006C08ED" w:rsidRPr="00B7760C" w14:paraId="38CCA86D" w14:textId="77777777" w:rsidTr="004F0B88">
        <w:trPr>
          <w:jc w:val="center"/>
        </w:trPr>
        <w:tc>
          <w:tcPr>
            <w:tcW w:w="4876" w:type="dxa"/>
          </w:tcPr>
          <w:p w14:paraId="1E27EE77" w14:textId="77777777" w:rsidR="006C08ED" w:rsidRPr="00B7760C" w:rsidRDefault="006C08ED" w:rsidP="004F0B88">
            <w:pPr>
              <w:pStyle w:val="Normal6a"/>
            </w:pPr>
          </w:p>
        </w:tc>
        <w:tc>
          <w:tcPr>
            <w:tcW w:w="4876" w:type="dxa"/>
          </w:tcPr>
          <w:p w14:paraId="7CF40765" w14:textId="77777777" w:rsidR="006C08ED" w:rsidRPr="00B7760C" w:rsidRDefault="006C08ED" w:rsidP="004F0B88">
            <w:pPr>
              <w:pStyle w:val="Normal6a"/>
              <w:rPr>
                <w:szCs w:val="24"/>
              </w:rPr>
            </w:pPr>
            <w:r w:rsidRPr="00B7760C">
              <w:rPr>
                <w:b/>
                <w:i/>
              </w:rPr>
              <w:t>(d)</w:t>
            </w:r>
            <w:r w:rsidRPr="00B7760C">
              <w:rPr>
                <w:b/>
                <w:i/>
              </w:rPr>
              <w:tab/>
              <w:t>se razlikujejo od obveznosti, v zvezi s katerimi so odobrena plačila iz člena 65, oziroma jih dopolnjujejo.</w:t>
            </w:r>
          </w:p>
        </w:tc>
      </w:tr>
      <w:tr w:rsidR="006C08ED" w:rsidRPr="00B7760C" w14:paraId="55907E0D" w14:textId="77777777" w:rsidTr="004F0B88">
        <w:trPr>
          <w:jc w:val="center"/>
        </w:trPr>
        <w:tc>
          <w:tcPr>
            <w:tcW w:w="4876" w:type="dxa"/>
          </w:tcPr>
          <w:p w14:paraId="1E662575" w14:textId="77777777" w:rsidR="006C08ED" w:rsidRPr="00B7760C" w:rsidRDefault="006C08ED" w:rsidP="004F0B88">
            <w:pPr>
              <w:pStyle w:val="Normal6a"/>
            </w:pPr>
          </w:p>
        </w:tc>
        <w:tc>
          <w:tcPr>
            <w:tcW w:w="4876" w:type="dxa"/>
          </w:tcPr>
          <w:p w14:paraId="4FB7B466" w14:textId="55B98C91" w:rsidR="006C08ED" w:rsidRPr="00B7760C" w:rsidRDefault="006C08ED" w:rsidP="004F0B88">
            <w:pPr>
              <w:pStyle w:val="Normal6a"/>
              <w:rPr>
                <w:szCs w:val="24"/>
              </w:rPr>
            </w:pPr>
            <w:r w:rsidRPr="00B7760C">
              <w:rPr>
                <w:b/>
                <w:i/>
              </w:rPr>
              <w:t>4.</w:t>
            </w:r>
            <w:r w:rsidRPr="00B7760C">
              <w:rPr>
                <w:b/>
                <w:i/>
              </w:rPr>
              <w:tab/>
              <w:t>Komisija do ... [dva meseca po datumu začetka veljavnosti te uredbe] sprejme delegirane akte v skladu s členom 138, s katerimi dopolni to uredbo z določitvijo okvirnega in neizčrpnega seznama primerov praks, ki so v skladu z odstavki 1, 2 in 3 tega člena.</w:t>
            </w:r>
          </w:p>
        </w:tc>
      </w:tr>
    </w:tbl>
    <w:p w14:paraId="7E987B9A" w14:textId="7F36D7A4" w:rsidR="006C08ED" w:rsidRPr="00B7760C" w:rsidRDefault="006C08ED" w:rsidP="003663AF">
      <w:pPr>
        <w:pStyle w:val="AMNumberTabs"/>
        <w:keepNext/>
      </w:pPr>
    </w:p>
    <w:p w14:paraId="55138D77" w14:textId="76B88935" w:rsidR="006C08ED" w:rsidRPr="00B7760C" w:rsidRDefault="00877691" w:rsidP="006C08ED">
      <w:pPr>
        <w:pStyle w:val="AmNumberTabs0"/>
      </w:pPr>
      <w:r w:rsidRPr="00B7760C">
        <w:t>Sprememba</w:t>
      </w:r>
      <w:r w:rsidR="006C08ED" w:rsidRPr="00B7760C">
        <w:tab/>
      </w:r>
      <w:r w:rsidR="006C08ED" w:rsidRPr="00B7760C">
        <w:tab/>
        <w:t>1132</w:t>
      </w:r>
    </w:p>
    <w:p w14:paraId="6A26FDA6" w14:textId="77777777" w:rsidR="006C08ED" w:rsidRPr="00B7760C" w:rsidRDefault="006C08ED" w:rsidP="006C08ED">
      <w:pPr>
        <w:pStyle w:val="NormalBold12b"/>
      </w:pPr>
      <w:r w:rsidRPr="00B7760C">
        <w:t>Predlog uredbe</w:t>
      </w:r>
    </w:p>
    <w:p w14:paraId="74DDA6F6" w14:textId="77777777" w:rsidR="006C08ED" w:rsidRPr="00B7760C" w:rsidRDefault="006C08ED" w:rsidP="006C08ED">
      <w:pPr>
        <w:pStyle w:val="NormalBold"/>
      </w:pPr>
      <w:r w:rsidRPr="00B7760C">
        <w:t>Člen 28 c (novo)</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6C08ED" w:rsidRPr="00B7760C" w14:paraId="22EE0E6D" w14:textId="77777777" w:rsidTr="004F0B88">
        <w:trPr>
          <w:jc w:val="center"/>
        </w:trPr>
        <w:tc>
          <w:tcPr>
            <w:tcW w:w="9752" w:type="dxa"/>
            <w:gridSpan w:val="2"/>
          </w:tcPr>
          <w:p w14:paraId="765B2D84" w14:textId="77777777" w:rsidR="006C08ED" w:rsidRPr="00B7760C" w:rsidRDefault="006C08ED" w:rsidP="004F0B88">
            <w:pPr>
              <w:keepNext/>
            </w:pPr>
          </w:p>
        </w:tc>
      </w:tr>
      <w:tr w:rsidR="006C08ED" w:rsidRPr="00B7760C" w14:paraId="78733894" w14:textId="77777777" w:rsidTr="004F0B88">
        <w:trPr>
          <w:jc w:val="center"/>
        </w:trPr>
        <w:tc>
          <w:tcPr>
            <w:tcW w:w="4876" w:type="dxa"/>
          </w:tcPr>
          <w:p w14:paraId="21AC2D9D" w14:textId="77777777" w:rsidR="006C08ED" w:rsidRPr="00B7760C" w:rsidRDefault="006C08ED" w:rsidP="004F0B88">
            <w:pPr>
              <w:pStyle w:val="AmColumnHeading"/>
              <w:keepNext/>
            </w:pPr>
            <w:r w:rsidRPr="00B7760C">
              <w:t>Besedilo, ki ga predlaga Komisija</w:t>
            </w:r>
          </w:p>
        </w:tc>
        <w:tc>
          <w:tcPr>
            <w:tcW w:w="4876" w:type="dxa"/>
          </w:tcPr>
          <w:p w14:paraId="655E947C" w14:textId="394ECF41" w:rsidR="006C08ED" w:rsidRPr="00B7760C" w:rsidRDefault="00877691" w:rsidP="004F0B88">
            <w:pPr>
              <w:pStyle w:val="AmColumnHeading"/>
              <w:keepNext/>
            </w:pPr>
            <w:r w:rsidRPr="00B7760C">
              <w:t>Sprememba</w:t>
            </w:r>
          </w:p>
        </w:tc>
      </w:tr>
      <w:tr w:rsidR="006C08ED" w:rsidRPr="00B7760C" w14:paraId="3FF52143" w14:textId="77777777" w:rsidTr="004F0B88">
        <w:trPr>
          <w:jc w:val="center"/>
        </w:trPr>
        <w:tc>
          <w:tcPr>
            <w:tcW w:w="4876" w:type="dxa"/>
          </w:tcPr>
          <w:p w14:paraId="774E764E" w14:textId="77777777" w:rsidR="006C08ED" w:rsidRPr="00B7760C" w:rsidRDefault="006C08ED" w:rsidP="004F0B88">
            <w:pPr>
              <w:pStyle w:val="Normal6a"/>
            </w:pPr>
          </w:p>
        </w:tc>
        <w:tc>
          <w:tcPr>
            <w:tcW w:w="4876" w:type="dxa"/>
          </w:tcPr>
          <w:p w14:paraId="181D87F3" w14:textId="77777777" w:rsidR="006C08ED" w:rsidRPr="00B7760C" w:rsidRDefault="006C08ED" w:rsidP="004F0B88">
            <w:pPr>
              <w:pStyle w:val="Normal6a"/>
              <w:jc w:val="center"/>
              <w:rPr>
                <w:szCs w:val="24"/>
              </w:rPr>
            </w:pPr>
            <w:r w:rsidRPr="00B7760C">
              <w:rPr>
                <w:b/>
                <w:i/>
              </w:rPr>
              <w:t>Člen 28c</w:t>
            </w:r>
          </w:p>
        </w:tc>
      </w:tr>
      <w:tr w:rsidR="006C08ED" w:rsidRPr="00B7760C" w14:paraId="77117B17" w14:textId="77777777" w:rsidTr="004F0B88">
        <w:trPr>
          <w:jc w:val="center"/>
        </w:trPr>
        <w:tc>
          <w:tcPr>
            <w:tcW w:w="4876" w:type="dxa"/>
          </w:tcPr>
          <w:p w14:paraId="3A09D2B8" w14:textId="77777777" w:rsidR="006C08ED" w:rsidRPr="00B7760C" w:rsidRDefault="006C08ED" w:rsidP="004F0B88">
            <w:pPr>
              <w:pStyle w:val="Normal6a"/>
            </w:pPr>
          </w:p>
        </w:tc>
        <w:tc>
          <w:tcPr>
            <w:tcW w:w="4876" w:type="dxa"/>
          </w:tcPr>
          <w:p w14:paraId="25E5AC58" w14:textId="77777777" w:rsidR="006C08ED" w:rsidRPr="00B7760C" w:rsidRDefault="006C08ED" w:rsidP="004F0B88">
            <w:pPr>
              <w:pStyle w:val="Normal6a"/>
              <w:jc w:val="center"/>
              <w:rPr>
                <w:szCs w:val="24"/>
              </w:rPr>
            </w:pPr>
            <w:r w:rsidRPr="00B7760C">
              <w:rPr>
                <w:b/>
                <w:i/>
              </w:rPr>
              <w:t>Nacionalni seznami praks, upravičenih do shem za podnebje, okolje in dobrobit živali</w:t>
            </w:r>
          </w:p>
        </w:tc>
      </w:tr>
      <w:tr w:rsidR="006C08ED" w:rsidRPr="00B7760C" w14:paraId="000DA399" w14:textId="77777777" w:rsidTr="004F0B88">
        <w:trPr>
          <w:jc w:val="center"/>
        </w:trPr>
        <w:tc>
          <w:tcPr>
            <w:tcW w:w="4876" w:type="dxa"/>
          </w:tcPr>
          <w:p w14:paraId="74AC1A5D" w14:textId="77777777" w:rsidR="006C08ED" w:rsidRPr="00B7760C" w:rsidRDefault="006C08ED" w:rsidP="004F0B88">
            <w:pPr>
              <w:pStyle w:val="Normal6a"/>
            </w:pPr>
          </w:p>
        </w:tc>
        <w:tc>
          <w:tcPr>
            <w:tcW w:w="4876" w:type="dxa"/>
          </w:tcPr>
          <w:p w14:paraId="097C491D" w14:textId="77777777" w:rsidR="006C08ED" w:rsidRPr="00B7760C" w:rsidRDefault="006C08ED" w:rsidP="004F0B88">
            <w:pPr>
              <w:pStyle w:val="Normal6a"/>
              <w:rPr>
                <w:szCs w:val="24"/>
              </w:rPr>
            </w:pPr>
            <w:r w:rsidRPr="00B7760C">
              <w:rPr>
                <w:b/>
                <w:i/>
              </w:rPr>
              <w:t>Države članice v sodelovanju z nacionalnimi, regionalnimi in lokalnimi deležniki pripravijo nacionalne sezname praks, upravičenih do shem za podnebje, okolje in dobro počutje živali iz člena 28, z možnostjo, da se uporabijo primeri z okvirnega in neizčrpnega seznama iz člena 28b ali določijo nadaljnje prakse, ki izpolnjujejo pogoje iz člena 28b, in upoštevajo njihove posebne nacionalne ali regionalne potrebe v skladu s členom 96.</w:t>
            </w:r>
          </w:p>
        </w:tc>
      </w:tr>
      <w:tr w:rsidR="006C08ED" w:rsidRPr="00B7760C" w14:paraId="4B222895" w14:textId="77777777" w:rsidTr="004F0B88">
        <w:trPr>
          <w:jc w:val="center"/>
        </w:trPr>
        <w:tc>
          <w:tcPr>
            <w:tcW w:w="4876" w:type="dxa"/>
          </w:tcPr>
          <w:p w14:paraId="2649D1B1" w14:textId="77777777" w:rsidR="006C08ED" w:rsidRPr="00B7760C" w:rsidRDefault="006C08ED" w:rsidP="004F0B88">
            <w:pPr>
              <w:pStyle w:val="Normal6a"/>
            </w:pPr>
          </w:p>
        </w:tc>
        <w:tc>
          <w:tcPr>
            <w:tcW w:w="4876" w:type="dxa"/>
          </w:tcPr>
          <w:p w14:paraId="78FE341D" w14:textId="77777777" w:rsidR="006C08ED" w:rsidRPr="00B7760C" w:rsidRDefault="006C08ED" w:rsidP="004F0B88">
            <w:pPr>
              <w:pStyle w:val="Normal6a"/>
              <w:rPr>
                <w:szCs w:val="24"/>
              </w:rPr>
            </w:pPr>
            <w:r w:rsidRPr="00B7760C">
              <w:rPr>
                <w:b/>
                <w:i/>
              </w:rPr>
              <w:t>Nacionalni seznami so sestavljeni iz več vrst ukrepov, ki niso vključeni v člen 65, ali iz ukrepov enake narave, vendar z različno stopnjo ambicioznosti v skladu s členom 28.</w:t>
            </w:r>
          </w:p>
        </w:tc>
      </w:tr>
      <w:tr w:rsidR="006C08ED" w:rsidRPr="00B7760C" w14:paraId="5E6FA0AD" w14:textId="77777777" w:rsidTr="004F0B88">
        <w:trPr>
          <w:jc w:val="center"/>
        </w:trPr>
        <w:tc>
          <w:tcPr>
            <w:tcW w:w="4876" w:type="dxa"/>
          </w:tcPr>
          <w:p w14:paraId="787BB344" w14:textId="77777777" w:rsidR="006C08ED" w:rsidRPr="00B7760C" w:rsidRDefault="006C08ED" w:rsidP="004F0B88">
            <w:pPr>
              <w:pStyle w:val="Normal6a"/>
            </w:pPr>
          </w:p>
        </w:tc>
        <w:tc>
          <w:tcPr>
            <w:tcW w:w="4876" w:type="dxa"/>
          </w:tcPr>
          <w:p w14:paraId="3C99416C" w14:textId="77777777" w:rsidR="006C08ED" w:rsidRPr="00B7760C" w:rsidRDefault="006C08ED" w:rsidP="004F0B88">
            <w:pPr>
              <w:pStyle w:val="Normal6a"/>
              <w:rPr>
                <w:szCs w:val="24"/>
              </w:rPr>
            </w:pPr>
            <w:r w:rsidRPr="00B7760C">
              <w:rPr>
                <w:b/>
                <w:i/>
              </w:rPr>
              <w:t>Države članice v navedene sezname vključijo vsaj ekosheme za vzpostavitev uporabe kmetijskega orodja za trajnostno upravljanje hranil in po potrebi ustrezno vzdrževanje mokrišč in šotišč.</w:t>
            </w:r>
          </w:p>
        </w:tc>
      </w:tr>
      <w:tr w:rsidR="006C08ED" w:rsidRPr="00B7760C" w14:paraId="404CC373" w14:textId="77777777" w:rsidTr="004F0B88">
        <w:trPr>
          <w:jc w:val="center"/>
        </w:trPr>
        <w:tc>
          <w:tcPr>
            <w:tcW w:w="4876" w:type="dxa"/>
          </w:tcPr>
          <w:p w14:paraId="7B7401E2" w14:textId="77777777" w:rsidR="006C08ED" w:rsidRPr="00B7760C" w:rsidRDefault="006C08ED" w:rsidP="004F0B88">
            <w:pPr>
              <w:pStyle w:val="Normal6a"/>
            </w:pPr>
          </w:p>
        </w:tc>
        <w:tc>
          <w:tcPr>
            <w:tcW w:w="4876" w:type="dxa"/>
          </w:tcPr>
          <w:p w14:paraId="2C7930AA" w14:textId="77777777" w:rsidR="006C08ED" w:rsidRPr="00B7760C" w:rsidRDefault="006C08ED" w:rsidP="004F0B88">
            <w:pPr>
              <w:pStyle w:val="Normal6a"/>
              <w:rPr>
                <w:szCs w:val="24"/>
              </w:rPr>
            </w:pPr>
            <w:r w:rsidRPr="00B7760C">
              <w:rPr>
                <w:b/>
                <w:i/>
              </w:rPr>
              <w:t>Območja, določena v skladu z Direktivo 92/43/EGS ali Direktivo 2009/147/ES, na katerih se izvajajo enakovredni ukrepi, se samodejno štejejo za upravičena do sheme.</w:t>
            </w:r>
          </w:p>
        </w:tc>
      </w:tr>
      <w:tr w:rsidR="006C08ED" w:rsidRPr="00B7760C" w14:paraId="6CFEF52E" w14:textId="77777777" w:rsidTr="004F0B88">
        <w:trPr>
          <w:jc w:val="center"/>
        </w:trPr>
        <w:tc>
          <w:tcPr>
            <w:tcW w:w="4876" w:type="dxa"/>
          </w:tcPr>
          <w:p w14:paraId="5BF2D683" w14:textId="77777777" w:rsidR="006C08ED" w:rsidRPr="00B7760C" w:rsidRDefault="006C08ED" w:rsidP="004F0B88">
            <w:pPr>
              <w:pStyle w:val="Normal6a"/>
            </w:pPr>
          </w:p>
        </w:tc>
        <w:tc>
          <w:tcPr>
            <w:tcW w:w="4876" w:type="dxa"/>
          </w:tcPr>
          <w:p w14:paraId="0E1C413A" w14:textId="77777777" w:rsidR="006C08ED" w:rsidRPr="00B7760C" w:rsidRDefault="006C08ED" w:rsidP="004F0B88">
            <w:pPr>
              <w:pStyle w:val="Normal6a"/>
              <w:rPr>
                <w:szCs w:val="24"/>
              </w:rPr>
            </w:pPr>
            <w:r w:rsidRPr="00B7760C">
              <w:rPr>
                <w:b/>
                <w:i/>
              </w:rPr>
              <w:t>Nacionalne sezname odobri Komisija v skladu s postopkom iz členov 106 in 107.</w:t>
            </w:r>
          </w:p>
        </w:tc>
      </w:tr>
      <w:tr w:rsidR="006C08ED" w:rsidRPr="00B7760C" w14:paraId="6694D1BF" w14:textId="77777777" w:rsidTr="004F0B88">
        <w:trPr>
          <w:jc w:val="center"/>
        </w:trPr>
        <w:tc>
          <w:tcPr>
            <w:tcW w:w="4876" w:type="dxa"/>
          </w:tcPr>
          <w:p w14:paraId="0C10DEE0" w14:textId="77777777" w:rsidR="006C08ED" w:rsidRPr="00B7760C" w:rsidRDefault="006C08ED" w:rsidP="004F0B88">
            <w:pPr>
              <w:pStyle w:val="Normal6a"/>
            </w:pPr>
          </w:p>
        </w:tc>
        <w:tc>
          <w:tcPr>
            <w:tcW w:w="4876" w:type="dxa"/>
          </w:tcPr>
          <w:p w14:paraId="7E42DFE8" w14:textId="77777777" w:rsidR="006C08ED" w:rsidRPr="00B7760C" w:rsidRDefault="006C08ED" w:rsidP="004F0B88">
            <w:pPr>
              <w:pStyle w:val="Normal6a"/>
              <w:rPr>
                <w:szCs w:val="24"/>
              </w:rPr>
            </w:pPr>
            <w:r w:rsidRPr="00B7760C">
              <w:rPr>
                <w:b/>
                <w:i/>
              </w:rPr>
              <w:t>Komisija državam članicam zagotovi potrebne smernice pri oblikovanju nacionalnih seznamov, v sodelovanju z evropskimi in nacionalnimi mrežami za skupno kmetijsko politiko iz člena 113, da omogoči izmenjavo dobrih praks, izboljšanje baze znanja in iskanje rešitev.</w:t>
            </w:r>
          </w:p>
        </w:tc>
      </w:tr>
      <w:tr w:rsidR="006C08ED" w:rsidRPr="00B7760C" w14:paraId="11F8ECF4" w14:textId="77777777" w:rsidTr="004F0B88">
        <w:trPr>
          <w:jc w:val="center"/>
        </w:trPr>
        <w:tc>
          <w:tcPr>
            <w:tcW w:w="4876" w:type="dxa"/>
          </w:tcPr>
          <w:p w14:paraId="763F8000" w14:textId="77777777" w:rsidR="006C08ED" w:rsidRPr="00B7760C" w:rsidRDefault="006C08ED" w:rsidP="004F0B88">
            <w:pPr>
              <w:pStyle w:val="Normal6a"/>
            </w:pPr>
          </w:p>
        </w:tc>
        <w:tc>
          <w:tcPr>
            <w:tcW w:w="4876" w:type="dxa"/>
          </w:tcPr>
          <w:p w14:paraId="7D1E6440" w14:textId="5419C073" w:rsidR="006C08ED" w:rsidRPr="00B7760C" w:rsidRDefault="006C08ED" w:rsidP="000D1296">
            <w:pPr>
              <w:pStyle w:val="Normal6a"/>
              <w:rPr>
                <w:szCs w:val="24"/>
              </w:rPr>
            </w:pPr>
            <w:r w:rsidRPr="00B7760C">
              <w:rPr>
                <w:b/>
                <w:i/>
              </w:rPr>
              <w:t xml:space="preserve">Komisija pri ocenjevanju nacionalnih seznamov upošteva zlasti zasnovo, možno učinkovitost, uporabo, obstoj alternativ in prispevek shem k specifičnim ciljem iz </w:t>
            </w:r>
            <w:r w:rsidR="000D1296" w:rsidRPr="00B7760C">
              <w:rPr>
                <w:b/>
                <w:i/>
              </w:rPr>
              <w:t>člena</w:t>
            </w:r>
            <w:r w:rsidRPr="00B7760C">
              <w:rPr>
                <w:b/>
                <w:i/>
              </w:rPr>
              <w:t> 28a.</w:t>
            </w:r>
          </w:p>
        </w:tc>
      </w:tr>
      <w:tr w:rsidR="006C08ED" w:rsidRPr="00B7760C" w14:paraId="58D522D0" w14:textId="77777777" w:rsidTr="004F0B88">
        <w:trPr>
          <w:jc w:val="center"/>
        </w:trPr>
        <w:tc>
          <w:tcPr>
            <w:tcW w:w="4876" w:type="dxa"/>
          </w:tcPr>
          <w:p w14:paraId="15A7104E" w14:textId="77777777" w:rsidR="006C08ED" w:rsidRPr="00B7760C" w:rsidRDefault="006C08ED" w:rsidP="004F0B88">
            <w:pPr>
              <w:pStyle w:val="Normal6a"/>
            </w:pPr>
          </w:p>
        </w:tc>
        <w:tc>
          <w:tcPr>
            <w:tcW w:w="4876" w:type="dxa"/>
          </w:tcPr>
          <w:p w14:paraId="452934A3" w14:textId="77777777" w:rsidR="006C08ED" w:rsidRPr="00B7760C" w:rsidRDefault="006C08ED" w:rsidP="004F0B88">
            <w:pPr>
              <w:pStyle w:val="Normal6a"/>
              <w:rPr>
                <w:szCs w:val="24"/>
              </w:rPr>
            </w:pPr>
            <w:r w:rsidRPr="00B7760C">
              <w:rPr>
                <w:b/>
                <w:i/>
              </w:rPr>
              <w:t>Komisija vsaki dve leti oceni nacionalne sezname. Ocene so javno dostopne in v primeru, da so nezadostne ali negativne, države članice predlagajo spremenjene nacionalne sezname in sheme v skladu s postopkom iz členov 106 in 107.</w:t>
            </w:r>
          </w:p>
        </w:tc>
      </w:tr>
    </w:tbl>
    <w:p w14:paraId="75FBB9CB" w14:textId="77777777" w:rsidR="006C08ED" w:rsidRPr="00B7760C" w:rsidRDefault="006C08ED" w:rsidP="003663AF">
      <w:pPr>
        <w:pStyle w:val="AMNumberTabs"/>
        <w:keepNext/>
      </w:pPr>
    </w:p>
    <w:p w14:paraId="4C5C4A5C" w14:textId="700B2978" w:rsidR="003663AF" w:rsidRPr="00B7760C" w:rsidRDefault="00877691" w:rsidP="003663AF">
      <w:pPr>
        <w:pStyle w:val="AMNumberTabs"/>
        <w:keepNext/>
      </w:pPr>
      <w:r w:rsidRPr="00B7760C">
        <w:t>Sprememba</w:t>
      </w:r>
      <w:r w:rsidR="003663AF" w:rsidRPr="00B7760C">
        <w:tab/>
      </w:r>
      <w:r w:rsidR="003663AF" w:rsidRPr="00B7760C">
        <w:tab/>
        <w:t>239</w:t>
      </w:r>
    </w:p>
    <w:p w14:paraId="0B9D79F3" w14:textId="77777777" w:rsidR="003663AF" w:rsidRPr="00B7760C" w:rsidRDefault="003663AF" w:rsidP="003663AF">
      <w:pPr>
        <w:pStyle w:val="NormalBold12b"/>
      </w:pPr>
      <w:r w:rsidRPr="00B7760C">
        <w:t>Predlog uredbe</w:t>
      </w:r>
    </w:p>
    <w:p w14:paraId="335C208A" w14:textId="77777777" w:rsidR="003663AF" w:rsidRPr="00B7760C" w:rsidRDefault="003663AF" w:rsidP="003663AF">
      <w:pPr>
        <w:pStyle w:val="NormalBold"/>
      </w:pPr>
      <w:r w:rsidRPr="00B7760C">
        <w:t>Člen 29 – 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892DF4B" w14:textId="77777777" w:rsidTr="00E804B7">
        <w:trPr>
          <w:jc w:val="center"/>
        </w:trPr>
        <w:tc>
          <w:tcPr>
            <w:tcW w:w="9752" w:type="dxa"/>
            <w:gridSpan w:val="2"/>
          </w:tcPr>
          <w:p w14:paraId="70592FFD" w14:textId="77777777" w:rsidR="003663AF" w:rsidRPr="00B7760C" w:rsidRDefault="003663AF" w:rsidP="00E804B7">
            <w:pPr>
              <w:keepNext/>
            </w:pPr>
          </w:p>
        </w:tc>
      </w:tr>
      <w:tr w:rsidR="003663AF" w:rsidRPr="00B7760C" w14:paraId="3F538E5B" w14:textId="77777777" w:rsidTr="00E804B7">
        <w:trPr>
          <w:jc w:val="center"/>
        </w:trPr>
        <w:tc>
          <w:tcPr>
            <w:tcW w:w="4876" w:type="dxa"/>
            <w:hideMark/>
          </w:tcPr>
          <w:p w14:paraId="258D06C1" w14:textId="77777777" w:rsidR="003663AF" w:rsidRPr="00B7760C" w:rsidRDefault="003663AF" w:rsidP="00E804B7">
            <w:pPr>
              <w:pStyle w:val="ColumnHeading"/>
              <w:keepNext/>
            </w:pPr>
            <w:r w:rsidRPr="00B7760C">
              <w:t>Besedilo, ki ga predlaga Komisija</w:t>
            </w:r>
          </w:p>
        </w:tc>
        <w:tc>
          <w:tcPr>
            <w:tcW w:w="4876" w:type="dxa"/>
            <w:hideMark/>
          </w:tcPr>
          <w:p w14:paraId="2E48F108" w14:textId="7742D8A0" w:rsidR="003663AF" w:rsidRPr="00B7760C" w:rsidRDefault="00877691" w:rsidP="00E804B7">
            <w:pPr>
              <w:pStyle w:val="ColumnHeading"/>
              <w:keepNext/>
            </w:pPr>
            <w:r w:rsidRPr="00B7760C">
              <w:t>Sprememba</w:t>
            </w:r>
          </w:p>
        </w:tc>
      </w:tr>
      <w:tr w:rsidR="003663AF" w:rsidRPr="00B7760C" w14:paraId="1A09D583" w14:textId="77777777" w:rsidTr="00E804B7">
        <w:trPr>
          <w:jc w:val="center"/>
        </w:trPr>
        <w:tc>
          <w:tcPr>
            <w:tcW w:w="4876" w:type="dxa"/>
            <w:hideMark/>
          </w:tcPr>
          <w:p w14:paraId="038919B8" w14:textId="77777777" w:rsidR="003663AF" w:rsidRPr="00B7760C" w:rsidRDefault="003663AF" w:rsidP="00E804B7">
            <w:pPr>
              <w:pStyle w:val="Normal6"/>
            </w:pPr>
            <w:r w:rsidRPr="00B7760C">
              <w:t>1.</w:t>
            </w:r>
            <w:r w:rsidRPr="00B7760C">
              <w:tab/>
              <w:t xml:space="preserve">Države članice lahko odobrijo vezano dohodkovno podporo </w:t>
            </w:r>
            <w:r w:rsidRPr="00B7760C">
              <w:rPr>
                <w:b/>
                <w:i/>
              </w:rPr>
              <w:t>pravim</w:t>
            </w:r>
            <w:r w:rsidRPr="00B7760C">
              <w:t xml:space="preserve"> kmetom v skladu s pogoji iz tega pododdelka in kot je podrobneje opredeljeno v njihovih strateških načrtih SKP.</w:t>
            </w:r>
          </w:p>
        </w:tc>
        <w:tc>
          <w:tcPr>
            <w:tcW w:w="4876" w:type="dxa"/>
            <w:hideMark/>
          </w:tcPr>
          <w:p w14:paraId="3DAC6775" w14:textId="77777777" w:rsidR="003663AF" w:rsidRPr="00B7760C" w:rsidRDefault="003663AF" w:rsidP="00E804B7">
            <w:pPr>
              <w:pStyle w:val="Normal6"/>
              <w:rPr>
                <w:szCs w:val="24"/>
              </w:rPr>
            </w:pPr>
            <w:r w:rsidRPr="00B7760C">
              <w:t>1.</w:t>
            </w:r>
            <w:r w:rsidRPr="00B7760C">
              <w:tab/>
              <w:t xml:space="preserve">Države članice lahko odobrijo vezano dohodkovno podporo </w:t>
            </w:r>
            <w:r w:rsidRPr="00B7760C">
              <w:rPr>
                <w:b/>
                <w:i/>
              </w:rPr>
              <w:t>dejavnim</w:t>
            </w:r>
            <w:r w:rsidRPr="00B7760C">
              <w:t xml:space="preserve"> kmetom v skladu s pogoji iz tega pododdelka in kot je podrobneje opredeljeno v njihovih strateških načrtih SKP.</w:t>
            </w:r>
          </w:p>
        </w:tc>
      </w:tr>
    </w:tbl>
    <w:p w14:paraId="0650CC8C" w14:textId="77777777" w:rsidR="003663AF" w:rsidRPr="00B7760C" w:rsidRDefault="003663AF" w:rsidP="003663AF"/>
    <w:p w14:paraId="64C3D50C" w14:textId="5EB14693" w:rsidR="003663AF" w:rsidRPr="00B7760C" w:rsidRDefault="00877691" w:rsidP="003663AF">
      <w:pPr>
        <w:pStyle w:val="AMNumberTabs"/>
        <w:keepNext/>
      </w:pPr>
      <w:r w:rsidRPr="00B7760C">
        <w:t>Sprememb</w:t>
      </w:r>
      <w:r w:rsidR="000D1296" w:rsidRPr="00B7760C">
        <w:t>i</w:t>
      </w:r>
      <w:r w:rsidR="003663AF" w:rsidRPr="00B7760C">
        <w:tab/>
      </w:r>
      <w:r w:rsidR="003663AF" w:rsidRPr="00B7760C">
        <w:tab/>
        <w:t>240</w:t>
      </w:r>
      <w:r w:rsidR="000D1296" w:rsidRPr="00B7760C">
        <w:t xml:space="preserve"> in 1162</w:t>
      </w:r>
    </w:p>
    <w:p w14:paraId="47D1246C" w14:textId="77777777" w:rsidR="003663AF" w:rsidRPr="00B7760C" w:rsidRDefault="003663AF" w:rsidP="003663AF">
      <w:pPr>
        <w:pStyle w:val="NormalBold12b"/>
      </w:pPr>
      <w:r w:rsidRPr="00B7760C">
        <w:t>Predlog uredbe</w:t>
      </w:r>
    </w:p>
    <w:p w14:paraId="3D6F0EC3" w14:textId="77777777" w:rsidR="003663AF" w:rsidRPr="00B7760C" w:rsidRDefault="003663AF" w:rsidP="003663AF">
      <w:pPr>
        <w:pStyle w:val="NormalBold"/>
      </w:pPr>
      <w:r w:rsidRPr="00B7760C">
        <w:t>Člen 29 – odstavek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42D66AC" w14:textId="77777777" w:rsidTr="00E804B7">
        <w:trPr>
          <w:jc w:val="center"/>
        </w:trPr>
        <w:tc>
          <w:tcPr>
            <w:tcW w:w="9752" w:type="dxa"/>
            <w:gridSpan w:val="2"/>
          </w:tcPr>
          <w:p w14:paraId="68962C46" w14:textId="77777777" w:rsidR="003663AF" w:rsidRPr="00B7760C" w:rsidRDefault="003663AF" w:rsidP="00E804B7">
            <w:pPr>
              <w:keepNext/>
            </w:pPr>
          </w:p>
        </w:tc>
      </w:tr>
      <w:tr w:rsidR="003663AF" w:rsidRPr="00B7760C" w14:paraId="6831E876" w14:textId="77777777" w:rsidTr="00E804B7">
        <w:trPr>
          <w:jc w:val="center"/>
        </w:trPr>
        <w:tc>
          <w:tcPr>
            <w:tcW w:w="4876" w:type="dxa"/>
            <w:hideMark/>
          </w:tcPr>
          <w:p w14:paraId="3CC8CE3E" w14:textId="77777777" w:rsidR="003663AF" w:rsidRPr="00B7760C" w:rsidRDefault="003663AF" w:rsidP="00E804B7">
            <w:pPr>
              <w:pStyle w:val="ColumnHeading"/>
              <w:keepNext/>
            </w:pPr>
            <w:r w:rsidRPr="00B7760C">
              <w:t>Besedilo, ki ga predlaga Komisija</w:t>
            </w:r>
          </w:p>
        </w:tc>
        <w:tc>
          <w:tcPr>
            <w:tcW w:w="4876" w:type="dxa"/>
            <w:hideMark/>
          </w:tcPr>
          <w:p w14:paraId="7E9D00BA" w14:textId="198C52C8" w:rsidR="003663AF" w:rsidRPr="00B7760C" w:rsidRDefault="00877691" w:rsidP="00E804B7">
            <w:pPr>
              <w:pStyle w:val="ColumnHeading"/>
              <w:keepNext/>
            </w:pPr>
            <w:r w:rsidRPr="00B7760C">
              <w:t>Sprememba</w:t>
            </w:r>
          </w:p>
        </w:tc>
      </w:tr>
      <w:tr w:rsidR="003663AF" w:rsidRPr="00B7760C" w14:paraId="7B060BE0" w14:textId="77777777" w:rsidTr="00E804B7">
        <w:trPr>
          <w:jc w:val="center"/>
        </w:trPr>
        <w:tc>
          <w:tcPr>
            <w:tcW w:w="4876" w:type="dxa"/>
            <w:hideMark/>
          </w:tcPr>
          <w:p w14:paraId="5DAFF1AC" w14:textId="77777777" w:rsidR="003663AF" w:rsidRPr="00B7760C" w:rsidRDefault="003663AF" w:rsidP="00E804B7">
            <w:pPr>
              <w:pStyle w:val="Normal6"/>
            </w:pPr>
            <w:r w:rsidRPr="00B7760C">
              <w:t>2.</w:t>
            </w:r>
            <w:r w:rsidRPr="00B7760C">
              <w:tab/>
              <w:t>Intervencije držav članic pomagajo sektorjem in proizvodnjam, ki prejemajo podporo, ali posebnim vrstam kmetovanja v njih, kot so navedene v členu 30, z obravnavanjem težave ali težav, s katerimi se soočajo, in sicer z izboljšanjem njihove konkurenčnosti, trajnostnosti ali kakovosti.</w:t>
            </w:r>
          </w:p>
        </w:tc>
        <w:tc>
          <w:tcPr>
            <w:tcW w:w="4876" w:type="dxa"/>
            <w:hideMark/>
          </w:tcPr>
          <w:p w14:paraId="41D74886" w14:textId="757E8FFD" w:rsidR="003663AF" w:rsidRPr="00B7760C" w:rsidRDefault="003663AF" w:rsidP="00E804B7">
            <w:pPr>
              <w:pStyle w:val="Normal6"/>
              <w:rPr>
                <w:szCs w:val="24"/>
              </w:rPr>
            </w:pPr>
            <w:r w:rsidRPr="00B7760C">
              <w:t>2.</w:t>
            </w:r>
            <w:r w:rsidRPr="00B7760C">
              <w:tab/>
              <w:t xml:space="preserve">Intervencije držav članic pomagajo sektorjem in proizvodnjam, ki prejemajo podporo, ali posebnim vrstam kmetovanja v njih, kot so navedene v členu 30, z obravnavanjem težave ali težav, s katerimi se soočajo, in sicer z izboljšanjem njihove konkurenčnosti, </w:t>
            </w:r>
            <w:r w:rsidRPr="00B7760C">
              <w:rPr>
                <w:b/>
                <w:i/>
              </w:rPr>
              <w:t xml:space="preserve">strukture, </w:t>
            </w:r>
            <w:r w:rsidRPr="00B7760C">
              <w:t xml:space="preserve">trajnostnosti ali kakovosti. </w:t>
            </w:r>
            <w:r w:rsidR="000D1296" w:rsidRPr="00B7760C">
              <w:rPr>
                <w:b/>
                <w:i/>
              </w:rPr>
              <w:t xml:space="preserve">Z odstopanjem od prejšnjega stavka lahko države članice podprejo beljakovinske rastline in stročnice iz člena 30 za izboljšanje njihove konkurenčnosti, trajnosti ali kakovosti. </w:t>
            </w:r>
            <w:r w:rsidRPr="00B7760C">
              <w:rPr>
                <w:b/>
                <w:i/>
              </w:rPr>
              <w:t>Poleg tega morajo biti te intervencije skladne z ustreznimi specifičnimi cilji iz člena 6(1).</w:t>
            </w:r>
          </w:p>
        </w:tc>
      </w:tr>
    </w:tbl>
    <w:p w14:paraId="32870BAE" w14:textId="77777777" w:rsidR="002E2EB0" w:rsidRPr="00B7760C" w:rsidRDefault="002E2EB0" w:rsidP="003663AF"/>
    <w:p w14:paraId="2768AFD4" w14:textId="37508D23" w:rsidR="003663AF" w:rsidRPr="00B7760C" w:rsidRDefault="00877691" w:rsidP="003663AF">
      <w:pPr>
        <w:pStyle w:val="AMNumberTabs"/>
        <w:keepNext/>
      </w:pPr>
      <w:r w:rsidRPr="00B7760C">
        <w:t>Sprememba</w:t>
      </w:r>
      <w:r w:rsidR="003663AF" w:rsidRPr="00B7760C">
        <w:tab/>
      </w:r>
      <w:r w:rsidR="003663AF" w:rsidRPr="00B7760C">
        <w:tab/>
        <w:t>241</w:t>
      </w:r>
    </w:p>
    <w:p w14:paraId="762E1767" w14:textId="77777777" w:rsidR="003663AF" w:rsidRPr="00B7760C" w:rsidRDefault="003663AF" w:rsidP="003663AF">
      <w:pPr>
        <w:pStyle w:val="NormalBold12b"/>
      </w:pPr>
      <w:r w:rsidRPr="00B7760C">
        <w:t>Predlog uredbe</w:t>
      </w:r>
    </w:p>
    <w:p w14:paraId="6144BDE1" w14:textId="77777777" w:rsidR="003663AF" w:rsidRPr="00B7760C" w:rsidRDefault="003663AF" w:rsidP="003663AF">
      <w:pPr>
        <w:pStyle w:val="NormalBold"/>
      </w:pPr>
      <w:r w:rsidRPr="00B7760C">
        <w:t>Člen 29 – odstavek 3</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B50952D" w14:textId="77777777" w:rsidTr="000D1296">
        <w:trPr>
          <w:jc w:val="center"/>
        </w:trPr>
        <w:tc>
          <w:tcPr>
            <w:tcW w:w="9752" w:type="dxa"/>
            <w:gridSpan w:val="2"/>
          </w:tcPr>
          <w:p w14:paraId="25355D7F" w14:textId="77777777" w:rsidR="003663AF" w:rsidRPr="00B7760C" w:rsidRDefault="003663AF" w:rsidP="00E804B7">
            <w:pPr>
              <w:keepNext/>
            </w:pPr>
          </w:p>
        </w:tc>
      </w:tr>
      <w:tr w:rsidR="003663AF" w:rsidRPr="00B7760C" w14:paraId="78A2B77A" w14:textId="77777777" w:rsidTr="000D1296">
        <w:trPr>
          <w:jc w:val="center"/>
        </w:trPr>
        <w:tc>
          <w:tcPr>
            <w:tcW w:w="4876" w:type="dxa"/>
            <w:hideMark/>
          </w:tcPr>
          <w:p w14:paraId="2D779021" w14:textId="77777777" w:rsidR="003663AF" w:rsidRPr="00B7760C" w:rsidRDefault="003663AF" w:rsidP="00E804B7">
            <w:pPr>
              <w:pStyle w:val="ColumnHeading"/>
              <w:keepNext/>
            </w:pPr>
            <w:r w:rsidRPr="00B7760C">
              <w:t>Besedilo, ki ga predlaga Komisija</w:t>
            </w:r>
          </w:p>
        </w:tc>
        <w:tc>
          <w:tcPr>
            <w:tcW w:w="4876" w:type="dxa"/>
            <w:hideMark/>
          </w:tcPr>
          <w:p w14:paraId="5EE0FEFA" w14:textId="28434052" w:rsidR="003663AF" w:rsidRPr="00B7760C" w:rsidRDefault="00877691" w:rsidP="00E804B7">
            <w:pPr>
              <w:pStyle w:val="ColumnHeading"/>
              <w:keepNext/>
            </w:pPr>
            <w:r w:rsidRPr="00B7760C">
              <w:t>Sprememba</w:t>
            </w:r>
          </w:p>
        </w:tc>
      </w:tr>
      <w:tr w:rsidR="003663AF" w:rsidRPr="00B7760C" w14:paraId="74EA6DB6" w14:textId="77777777" w:rsidTr="000D1296">
        <w:trPr>
          <w:jc w:val="center"/>
        </w:trPr>
        <w:tc>
          <w:tcPr>
            <w:tcW w:w="4876" w:type="dxa"/>
            <w:hideMark/>
          </w:tcPr>
          <w:p w14:paraId="1565AA6D" w14:textId="77777777" w:rsidR="003663AF" w:rsidRPr="00B7760C" w:rsidRDefault="003663AF" w:rsidP="00E804B7">
            <w:pPr>
              <w:pStyle w:val="Normal6"/>
            </w:pPr>
            <w:r w:rsidRPr="00B7760C">
              <w:t>3.</w:t>
            </w:r>
            <w:r w:rsidRPr="00B7760C">
              <w:tab/>
              <w:t xml:space="preserve">Vezana </w:t>
            </w:r>
            <w:r w:rsidRPr="00B7760C">
              <w:rPr>
                <w:b/>
                <w:i/>
              </w:rPr>
              <w:t xml:space="preserve">dohodkovna </w:t>
            </w:r>
            <w:r w:rsidRPr="00B7760C">
              <w:t xml:space="preserve">podpora </w:t>
            </w:r>
            <w:r w:rsidRPr="00B7760C">
              <w:rPr>
                <w:b/>
                <w:i/>
              </w:rPr>
              <w:t>ima obliko</w:t>
            </w:r>
            <w:r w:rsidRPr="00B7760C">
              <w:t xml:space="preserve"> letnega plačila na </w:t>
            </w:r>
            <w:r w:rsidRPr="00B7760C">
              <w:rPr>
                <w:b/>
                <w:i/>
              </w:rPr>
              <w:t>hektar</w:t>
            </w:r>
            <w:r w:rsidRPr="00B7760C">
              <w:t xml:space="preserve"> ali </w:t>
            </w:r>
            <w:r w:rsidRPr="00B7760C">
              <w:rPr>
                <w:b/>
                <w:i/>
              </w:rPr>
              <w:t>žival</w:t>
            </w:r>
            <w:r w:rsidRPr="00B7760C">
              <w:t>.</w:t>
            </w:r>
          </w:p>
        </w:tc>
        <w:tc>
          <w:tcPr>
            <w:tcW w:w="4876" w:type="dxa"/>
            <w:hideMark/>
          </w:tcPr>
          <w:p w14:paraId="7847C8AC" w14:textId="77777777" w:rsidR="003663AF" w:rsidRPr="00B7760C" w:rsidRDefault="003663AF" w:rsidP="00E804B7">
            <w:pPr>
              <w:pStyle w:val="Normal6"/>
              <w:rPr>
                <w:szCs w:val="24"/>
              </w:rPr>
            </w:pPr>
            <w:r w:rsidRPr="00B7760C">
              <w:t>3.</w:t>
            </w:r>
            <w:r w:rsidRPr="00B7760C">
              <w:tab/>
              <w:t xml:space="preserve">Vezana podpora </w:t>
            </w:r>
            <w:r w:rsidRPr="00B7760C">
              <w:rPr>
                <w:b/>
                <w:i/>
              </w:rPr>
              <w:t>je shema, ki omejuje proizvodnjo v obliki</w:t>
            </w:r>
            <w:r w:rsidRPr="00B7760C">
              <w:t xml:space="preserve"> letnega plačila</w:t>
            </w:r>
            <w:r w:rsidRPr="00B7760C">
              <w:rPr>
                <w:b/>
                <w:i/>
              </w:rPr>
              <w:t>, ki temelji</w:t>
            </w:r>
            <w:r w:rsidRPr="00B7760C">
              <w:t xml:space="preserve"> na </w:t>
            </w:r>
            <w:r w:rsidRPr="00B7760C">
              <w:rPr>
                <w:b/>
                <w:i/>
              </w:rPr>
              <w:t>fiksnih površinah in donosih</w:t>
            </w:r>
            <w:r w:rsidRPr="00B7760C">
              <w:t xml:space="preserve"> ali </w:t>
            </w:r>
            <w:r w:rsidRPr="00B7760C">
              <w:rPr>
                <w:b/>
                <w:i/>
              </w:rPr>
              <w:t>na fiksnem številu živali in spoštuje finančne zgornje meje, ki jih določijo države članice za vsak ukrep in o njih uradno obvestijo Komisijo</w:t>
            </w:r>
            <w:r w:rsidRPr="00B7760C">
              <w:t>.</w:t>
            </w:r>
          </w:p>
        </w:tc>
      </w:tr>
    </w:tbl>
    <w:p w14:paraId="2043D953" w14:textId="77777777" w:rsidR="000D1296" w:rsidRPr="00B7760C" w:rsidRDefault="000D1296" w:rsidP="000D1296">
      <w:pPr>
        <w:pStyle w:val="AMNumberTabs"/>
        <w:keepNext/>
      </w:pPr>
      <w:r w:rsidRPr="00B7760C">
        <w:t>Sprememba</w:t>
      </w:r>
      <w:r w:rsidRPr="00B7760C">
        <w:tab/>
      </w:r>
      <w:r w:rsidRPr="00B7760C">
        <w:tab/>
        <w:t>242</w:t>
      </w:r>
    </w:p>
    <w:p w14:paraId="65F4FF98" w14:textId="77777777" w:rsidR="000D1296" w:rsidRPr="00B7760C" w:rsidRDefault="000D1296" w:rsidP="000D1296">
      <w:pPr>
        <w:pStyle w:val="NormalBold12b"/>
      </w:pPr>
      <w:r w:rsidRPr="00B7760C">
        <w:t>Predlog uredbe</w:t>
      </w:r>
    </w:p>
    <w:p w14:paraId="02FE5E23" w14:textId="77777777" w:rsidR="000D1296" w:rsidRPr="00B7760C" w:rsidRDefault="000D1296" w:rsidP="000D1296">
      <w:pPr>
        <w:pStyle w:val="NormalBold"/>
      </w:pPr>
      <w:r w:rsidRPr="00B7760C">
        <w:t>Člen 29 – odstavek 3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D1296" w:rsidRPr="00B7760C" w14:paraId="61A0019A" w14:textId="77777777" w:rsidTr="00C7565D">
        <w:trPr>
          <w:jc w:val="center"/>
        </w:trPr>
        <w:tc>
          <w:tcPr>
            <w:tcW w:w="9752" w:type="dxa"/>
            <w:gridSpan w:val="2"/>
          </w:tcPr>
          <w:p w14:paraId="736E181D" w14:textId="77777777" w:rsidR="000D1296" w:rsidRPr="00B7760C" w:rsidRDefault="000D1296" w:rsidP="00C7565D">
            <w:pPr>
              <w:keepNext/>
            </w:pPr>
          </w:p>
        </w:tc>
      </w:tr>
      <w:tr w:rsidR="000D1296" w:rsidRPr="00B7760C" w14:paraId="1761EAC5" w14:textId="77777777" w:rsidTr="00C7565D">
        <w:trPr>
          <w:jc w:val="center"/>
        </w:trPr>
        <w:tc>
          <w:tcPr>
            <w:tcW w:w="4876" w:type="dxa"/>
            <w:hideMark/>
          </w:tcPr>
          <w:p w14:paraId="526A6575" w14:textId="77777777" w:rsidR="000D1296" w:rsidRPr="00B7760C" w:rsidRDefault="000D1296" w:rsidP="00C7565D">
            <w:pPr>
              <w:pStyle w:val="ColumnHeading"/>
              <w:keepNext/>
            </w:pPr>
            <w:r w:rsidRPr="00B7760C">
              <w:t>Besedilo, ki ga predlaga Komisija</w:t>
            </w:r>
          </w:p>
        </w:tc>
        <w:tc>
          <w:tcPr>
            <w:tcW w:w="4876" w:type="dxa"/>
            <w:hideMark/>
          </w:tcPr>
          <w:p w14:paraId="56C324A6" w14:textId="77777777" w:rsidR="000D1296" w:rsidRPr="00B7760C" w:rsidRDefault="000D1296" w:rsidP="00C7565D">
            <w:pPr>
              <w:pStyle w:val="ColumnHeading"/>
              <w:keepNext/>
            </w:pPr>
            <w:r w:rsidRPr="00B7760C">
              <w:t>Sprememba</w:t>
            </w:r>
          </w:p>
        </w:tc>
      </w:tr>
      <w:tr w:rsidR="000D1296" w:rsidRPr="00B7760C" w14:paraId="4481D7C8" w14:textId="77777777" w:rsidTr="00C7565D">
        <w:trPr>
          <w:jc w:val="center"/>
        </w:trPr>
        <w:tc>
          <w:tcPr>
            <w:tcW w:w="4876" w:type="dxa"/>
          </w:tcPr>
          <w:p w14:paraId="227841B7" w14:textId="77777777" w:rsidR="000D1296" w:rsidRPr="00B7760C" w:rsidRDefault="000D1296" w:rsidP="00C7565D">
            <w:pPr>
              <w:pStyle w:val="Normal6"/>
            </w:pPr>
          </w:p>
        </w:tc>
        <w:tc>
          <w:tcPr>
            <w:tcW w:w="4876" w:type="dxa"/>
            <w:hideMark/>
          </w:tcPr>
          <w:p w14:paraId="7A7DBB28" w14:textId="77777777" w:rsidR="000D1296" w:rsidRPr="00B7760C" w:rsidRDefault="000D1296" w:rsidP="00C7565D">
            <w:pPr>
              <w:pStyle w:val="Normal6"/>
              <w:rPr>
                <w:szCs w:val="24"/>
              </w:rPr>
            </w:pPr>
            <w:r w:rsidRPr="00B7760C">
              <w:rPr>
                <w:b/>
                <w:i/>
              </w:rPr>
              <w:t>3a.</w:t>
            </w:r>
            <w:r w:rsidRPr="00B7760C">
              <w:rPr>
                <w:b/>
                <w:i/>
              </w:rPr>
              <w:tab/>
              <w:t>Države članice se lahko odločijo, da namenijo ali povečajo vezano podporo glede na prizadevanje upravičenca, da izboljša svojo konkurenčnost, kakovost ali strukturo sektorja.</w:t>
            </w:r>
          </w:p>
        </w:tc>
      </w:tr>
    </w:tbl>
    <w:p w14:paraId="607FC970" w14:textId="2E5709CB" w:rsidR="003663AF" w:rsidRPr="00B7760C" w:rsidRDefault="003663AF" w:rsidP="003663AF"/>
    <w:p w14:paraId="3CC1BFF4" w14:textId="761DECCA" w:rsidR="002E2EB0" w:rsidRPr="00B7760C" w:rsidRDefault="002E2EB0" w:rsidP="002E2EB0">
      <w:pPr>
        <w:pStyle w:val="AmNumberTabs0"/>
      </w:pPr>
      <w:r w:rsidRPr="00B7760C">
        <w:t>Sprememba</w:t>
      </w:r>
      <w:r w:rsidRPr="00B7760C">
        <w:tab/>
      </w:r>
      <w:r w:rsidRPr="00B7760C">
        <w:tab/>
        <w:t>1163</w:t>
      </w:r>
    </w:p>
    <w:p w14:paraId="6FEDDABD" w14:textId="77777777" w:rsidR="002E2EB0" w:rsidRPr="00B7760C" w:rsidRDefault="002E2EB0" w:rsidP="002E2EB0">
      <w:pPr>
        <w:pStyle w:val="NormalBold12b"/>
      </w:pPr>
      <w:r w:rsidRPr="00B7760C">
        <w:t>Predlog uredbe</w:t>
      </w:r>
    </w:p>
    <w:p w14:paraId="12ED8278" w14:textId="1831278A" w:rsidR="002E2EB0" w:rsidRPr="00B7760C" w:rsidRDefault="009A7B0F" w:rsidP="002E2EB0">
      <w:pPr>
        <w:pStyle w:val="NormalBold"/>
      </w:pPr>
      <w:r w:rsidRPr="00B7760C">
        <w:t>Člen 29 – odstavek 3 b</w:t>
      </w:r>
      <w:r w:rsidR="002E2EB0" w:rsidRPr="00B7760C">
        <w:t xml:space="preserve">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E2EB0" w:rsidRPr="00B7760C" w14:paraId="3681AAC4" w14:textId="77777777" w:rsidTr="002E2EB0">
        <w:trPr>
          <w:trHeight w:hRule="exact" w:val="240"/>
          <w:jc w:val="center"/>
        </w:trPr>
        <w:tc>
          <w:tcPr>
            <w:tcW w:w="9752" w:type="dxa"/>
            <w:gridSpan w:val="2"/>
          </w:tcPr>
          <w:p w14:paraId="3CB2E82C" w14:textId="77777777" w:rsidR="002E2EB0" w:rsidRPr="00B7760C" w:rsidRDefault="002E2EB0" w:rsidP="002E2EB0"/>
        </w:tc>
      </w:tr>
      <w:tr w:rsidR="002E2EB0" w:rsidRPr="00B7760C" w14:paraId="35E0BBF7" w14:textId="77777777" w:rsidTr="002E2EB0">
        <w:trPr>
          <w:trHeight w:val="240"/>
          <w:jc w:val="center"/>
        </w:trPr>
        <w:tc>
          <w:tcPr>
            <w:tcW w:w="4876" w:type="dxa"/>
          </w:tcPr>
          <w:p w14:paraId="2780DF52" w14:textId="77777777" w:rsidR="002E2EB0" w:rsidRPr="00B7760C" w:rsidRDefault="002E2EB0" w:rsidP="002E2EB0">
            <w:pPr>
              <w:pStyle w:val="AmColumnHeading"/>
            </w:pPr>
            <w:r w:rsidRPr="00B7760C">
              <w:t>Besedilo, ki ga predlaga Komisija</w:t>
            </w:r>
          </w:p>
        </w:tc>
        <w:tc>
          <w:tcPr>
            <w:tcW w:w="4876" w:type="dxa"/>
          </w:tcPr>
          <w:p w14:paraId="16041685" w14:textId="6718DA08" w:rsidR="002E2EB0" w:rsidRPr="00B7760C" w:rsidRDefault="002E2EB0" w:rsidP="002E2EB0">
            <w:pPr>
              <w:pStyle w:val="AmColumnHeading"/>
            </w:pPr>
            <w:r w:rsidRPr="00B7760C">
              <w:t>Sprememba</w:t>
            </w:r>
          </w:p>
        </w:tc>
      </w:tr>
      <w:tr w:rsidR="002E2EB0" w:rsidRPr="00B7760C" w14:paraId="70CDBECD" w14:textId="77777777" w:rsidTr="002E2EB0">
        <w:trPr>
          <w:jc w:val="center"/>
        </w:trPr>
        <w:tc>
          <w:tcPr>
            <w:tcW w:w="4876" w:type="dxa"/>
          </w:tcPr>
          <w:p w14:paraId="0997CFCC" w14:textId="77777777" w:rsidR="002E2EB0" w:rsidRPr="00B7760C" w:rsidRDefault="002E2EB0" w:rsidP="002E2EB0">
            <w:pPr>
              <w:pStyle w:val="Normal6a"/>
            </w:pPr>
          </w:p>
        </w:tc>
        <w:tc>
          <w:tcPr>
            <w:tcW w:w="4876" w:type="dxa"/>
          </w:tcPr>
          <w:p w14:paraId="200B6927" w14:textId="2357A640" w:rsidR="002E2EB0" w:rsidRPr="00B7760C" w:rsidRDefault="009A7B0F" w:rsidP="002E2EB0">
            <w:pPr>
              <w:pStyle w:val="Normal6a"/>
            </w:pPr>
            <w:r w:rsidRPr="00B7760C">
              <w:rPr>
                <w:b/>
                <w:i/>
              </w:rPr>
              <w:t>3b</w:t>
            </w:r>
            <w:r w:rsidR="002E2EB0" w:rsidRPr="00B7760C">
              <w:rPr>
                <w:b/>
                <w:i/>
              </w:rPr>
              <w:t>.</w:t>
            </w:r>
            <w:r w:rsidR="002E2EB0" w:rsidRPr="00B7760C">
              <w:tab/>
            </w:r>
            <w:r w:rsidR="002E2EB0" w:rsidRPr="00B7760C">
              <w:rPr>
                <w:b/>
                <w:i/>
              </w:rPr>
              <w:t>V primeru pravne osebe ali skupine fizičnih ali pravnih oseb lahko države članice uporabijo podporo na ravni članov teh pravnih oseb ali skupin, če nacionalno pravo določa, da posamezni člani prevzamejo pravice in obveznosti, primerljive s pravicami in obveznostmi posameznih kmetov, ki imajo status nosilca kmetijskega gospodarstva, zlasti kar zadeva njihov gospodarski, socialni in davčni status, pod pogojem, da pomagajo okrepiti kmetijske strukture teh pravnih oseb ali skupin.</w:t>
            </w:r>
          </w:p>
        </w:tc>
      </w:tr>
    </w:tbl>
    <w:p w14:paraId="5C1F6DBD" w14:textId="77777777" w:rsidR="002E2EB0" w:rsidRPr="00B7760C" w:rsidRDefault="002E2EB0" w:rsidP="003663AF"/>
    <w:p w14:paraId="1BD97EA5" w14:textId="77777777" w:rsidR="003663AF" w:rsidRPr="00B7760C" w:rsidRDefault="003663AF" w:rsidP="003663AF"/>
    <w:p w14:paraId="01DC3871" w14:textId="20AEB4BD" w:rsidR="003663AF" w:rsidRPr="00B7760C" w:rsidRDefault="00877691" w:rsidP="003663AF">
      <w:pPr>
        <w:pStyle w:val="AMNumberTabs"/>
        <w:keepNext/>
      </w:pPr>
      <w:r w:rsidRPr="00B7760C">
        <w:t>Sprememba</w:t>
      </w:r>
      <w:r w:rsidR="003663AF" w:rsidRPr="00B7760C">
        <w:tab/>
      </w:r>
      <w:r w:rsidR="003663AF" w:rsidRPr="00B7760C">
        <w:tab/>
        <w:t>243</w:t>
      </w:r>
    </w:p>
    <w:p w14:paraId="786DF8E0" w14:textId="77777777" w:rsidR="003663AF" w:rsidRPr="00B7760C" w:rsidRDefault="003663AF" w:rsidP="003663AF">
      <w:pPr>
        <w:pStyle w:val="NormalBold12b"/>
      </w:pPr>
      <w:r w:rsidRPr="00B7760C">
        <w:t>Predlog uredbe</w:t>
      </w:r>
    </w:p>
    <w:p w14:paraId="2DF1A190" w14:textId="77777777" w:rsidR="003663AF" w:rsidRPr="00B7760C" w:rsidRDefault="003663AF" w:rsidP="003663AF">
      <w:pPr>
        <w:pStyle w:val="NormalBold"/>
      </w:pPr>
      <w:r w:rsidRPr="00B7760C">
        <w:t>Člen 30 – 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8380BF2" w14:textId="77777777" w:rsidTr="00E804B7">
        <w:trPr>
          <w:jc w:val="center"/>
        </w:trPr>
        <w:tc>
          <w:tcPr>
            <w:tcW w:w="9752" w:type="dxa"/>
            <w:gridSpan w:val="2"/>
          </w:tcPr>
          <w:p w14:paraId="29CFE95B" w14:textId="77777777" w:rsidR="003663AF" w:rsidRPr="00B7760C" w:rsidRDefault="003663AF" w:rsidP="00E804B7">
            <w:pPr>
              <w:keepNext/>
            </w:pPr>
          </w:p>
        </w:tc>
      </w:tr>
      <w:tr w:rsidR="003663AF" w:rsidRPr="00B7760C" w14:paraId="6BFBC9AE" w14:textId="77777777" w:rsidTr="00E804B7">
        <w:trPr>
          <w:jc w:val="center"/>
        </w:trPr>
        <w:tc>
          <w:tcPr>
            <w:tcW w:w="4876" w:type="dxa"/>
            <w:hideMark/>
          </w:tcPr>
          <w:p w14:paraId="092F0C1F" w14:textId="77777777" w:rsidR="003663AF" w:rsidRPr="00B7760C" w:rsidRDefault="003663AF" w:rsidP="00E804B7">
            <w:pPr>
              <w:pStyle w:val="ColumnHeading"/>
              <w:keepNext/>
            </w:pPr>
            <w:r w:rsidRPr="00B7760C">
              <w:t>Besedilo, ki ga predlaga Komisija</w:t>
            </w:r>
          </w:p>
        </w:tc>
        <w:tc>
          <w:tcPr>
            <w:tcW w:w="4876" w:type="dxa"/>
            <w:hideMark/>
          </w:tcPr>
          <w:p w14:paraId="6CF0C67E" w14:textId="695886C2" w:rsidR="003663AF" w:rsidRPr="00B7760C" w:rsidRDefault="00877691" w:rsidP="00E804B7">
            <w:pPr>
              <w:pStyle w:val="ColumnHeading"/>
              <w:keepNext/>
            </w:pPr>
            <w:r w:rsidRPr="00B7760C">
              <w:t>Sprememba</w:t>
            </w:r>
          </w:p>
        </w:tc>
      </w:tr>
      <w:tr w:rsidR="003663AF" w:rsidRPr="00B7760C" w14:paraId="28E09437" w14:textId="77777777" w:rsidTr="00E804B7">
        <w:trPr>
          <w:jc w:val="center"/>
        </w:trPr>
        <w:tc>
          <w:tcPr>
            <w:tcW w:w="4876" w:type="dxa"/>
            <w:hideMark/>
          </w:tcPr>
          <w:p w14:paraId="3575066E" w14:textId="77777777" w:rsidR="003663AF" w:rsidRPr="00B7760C" w:rsidRDefault="003663AF" w:rsidP="00E804B7">
            <w:pPr>
              <w:pStyle w:val="Normal6"/>
            </w:pPr>
            <w:r w:rsidRPr="00B7760C">
              <w:t>Vezana dohodkovna podpora se lahko odobri le za naslednje sektorje in proizvodnje ali posebne vrste kmetovanja</w:t>
            </w:r>
            <w:r w:rsidRPr="00B7760C">
              <w:rPr>
                <w:b/>
                <w:i/>
              </w:rPr>
              <w:t xml:space="preserve"> v njih, ki so pomembni iz gospodarskih, socialnih ali okoljskih razlogov</w:t>
            </w:r>
            <w:r w:rsidRPr="00B7760C">
              <w:t>: žita, oljnice, beljakovinske rastline, zrnate stročnice, lan, konopljo, riž, oreške, škrobni krompir, mleko in mlečne proizvode, semena, ovčje in kozje meso, goveje in telečje meso, oljčno olje, sviloprejke, posušeno krmo, hmelj, sladkorno peso, sladkorni trs in cikorijo, sadje in zelenjavo</w:t>
            </w:r>
            <w:r w:rsidRPr="00B7760C">
              <w:rPr>
                <w:b/>
                <w:i/>
              </w:rPr>
              <w:t>,</w:t>
            </w:r>
            <w:r w:rsidRPr="00B7760C">
              <w:t xml:space="preserve"> panjevce s kratko obhodnjo</w:t>
            </w:r>
            <w:r w:rsidRPr="00B7760C">
              <w:rPr>
                <w:b/>
                <w:i/>
              </w:rPr>
              <w:t xml:space="preserve"> ter druge poljščine, ki se ne uporabljajo za prehrano, razen dreves, ki se uporabljajo za proizvodnjo proizvodov, ki lahko nadomestijo fosilne surovine</w:t>
            </w:r>
            <w:r w:rsidRPr="00B7760C">
              <w:t>.</w:t>
            </w:r>
          </w:p>
        </w:tc>
        <w:tc>
          <w:tcPr>
            <w:tcW w:w="4876" w:type="dxa"/>
            <w:hideMark/>
          </w:tcPr>
          <w:p w14:paraId="65848B4A" w14:textId="77777777" w:rsidR="003663AF" w:rsidRPr="00B7760C" w:rsidRDefault="003663AF" w:rsidP="00E804B7">
            <w:pPr>
              <w:pStyle w:val="Normal6"/>
              <w:rPr>
                <w:szCs w:val="24"/>
              </w:rPr>
            </w:pPr>
            <w:r w:rsidRPr="00B7760C">
              <w:t>Vezana dohodkovna podpora se lahko odobri le za naslednje sektorje in proizvodnje ali posebne vrste kmetovanja: žita, oljnice, beljakovinske rastline, zrnate stročnice, lan, konopljo, riž, oreške, škrobni krompir, mleko in mlečne proizvode, semena, ovčje in kozje meso, goveje in telečje meso, oljčno olje, sviloprejke, posušeno krmo, hmelj, sladkorno peso, sladkorni trs in cikorijo, sadje in zelenjavo</w:t>
            </w:r>
            <w:r w:rsidRPr="00B7760C">
              <w:rPr>
                <w:b/>
                <w:i/>
              </w:rPr>
              <w:t xml:space="preserve"> ter</w:t>
            </w:r>
            <w:r w:rsidRPr="00B7760C">
              <w:t xml:space="preserve"> panjevce s kratko obhodnjo.</w:t>
            </w:r>
          </w:p>
        </w:tc>
      </w:tr>
    </w:tbl>
    <w:p w14:paraId="4AA2BEE6" w14:textId="77777777" w:rsidR="003663AF" w:rsidRPr="00B7760C" w:rsidRDefault="003663AF" w:rsidP="003663AF"/>
    <w:p w14:paraId="60824AE1" w14:textId="0436A0FD" w:rsidR="003663AF" w:rsidRPr="00B7760C" w:rsidRDefault="00877691" w:rsidP="003663AF">
      <w:pPr>
        <w:pStyle w:val="AMNumberTabs"/>
        <w:keepNext/>
      </w:pPr>
      <w:r w:rsidRPr="00B7760C">
        <w:t>Sprememba</w:t>
      </w:r>
      <w:r w:rsidR="003663AF" w:rsidRPr="00B7760C">
        <w:tab/>
      </w:r>
      <w:r w:rsidR="003663AF" w:rsidRPr="00B7760C">
        <w:tab/>
        <w:t>244</w:t>
      </w:r>
    </w:p>
    <w:p w14:paraId="017F84F7" w14:textId="77777777" w:rsidR="003663AF" w:rsidRPr="00B7760C" w:rsidRDefault="003663AF" w:rsidP="003663AF">
      <w:pPr>
        <w:pStyle w:val="NormalBold12b"/>
      </w:pPr>
      <w:r w:rsidRPr="00B7760C">
        <w:t>Predlog uredbe</w:t>
      </w:r>
    </w:p>
    <w:p w14:paraId="141CA870" w14:textId="77777777" w:rsidR="003663AF" w:rsidRPr="00B7760C" w:rsidRDefault="003663AF" w:rsidP="003663AF">
      <w:pPr>
        <w:pStyle w:val="NormalBold"/>
      </w:pPr>
      <w:r w:rsidRPr="00B7760C">
        <w:t>Člen 31 – odstavek 1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01AD809" w14:textId="77777777" w:rsidTr="00E804B7">
        <w:trPr>
          <w:jc w:val="center"/>
        </w:trPr>
        <w:tc>
          <w:tcPr>
            <w:tcW w:w="9752" w:type="dxa"/>
            <w:gridSpan w:val="2"/>
          </w:tcPr>
          <w:p w14:paraId="2A7686B7" w14:textId="77777777" w:rsidR="003663AF" w:rsidRPr="00B7760C" w:rsidRDefault="003663AF" w:rsidP="00E804B7">
            <w:pPr>
              <w:keepNext/>
            </w:pPr>
          </w:p>
        </w:tc>
      </w:tr>
      <w:tr w:rsidR="003663AF" w:rsidRPr="00B7760C" w14:paraId="2021CC9F" w14:textId="77777777" w:rsidTr="00E804B7">
        <w:trPr>
          <w:jc w:val="center"/>
        </w:trPr>
        <w:tc>
          <w:tcPr>
            <w:tcW w:w="4876" w:type="dxa"/>
            <w:hideMark/>
          </w:tcPr>
          <w:p w14:paraId="40DEA048" w14:textId="77777777" w:rsidR="003663AF" w:rsidRPr="00B7760C" w:rsidRDefault="003663AF" w:rsidP="00E804B7">
            <w:pPr>
              <w:pStyle w:val="ColumnHeading"/>
              <w:keepNext/>
            </w:pPr>
            <w:r w:rsidRPr="00B7760C">
              <w:t>Besedilo, ki ga predlaga Komisija</w:t>
            </w:r>
          </w:p>
        </w:tc>
        <w:tc>
          <w:tcPr>
            <w:tcW w:w="4876" w:type="dxa"/>
            <w:hideMark/>
          </w:tcPr>
          <w:p w14:paraId="37B7C588" w14:textId="3ECABB97" w:rsidR="003663AF" w:rsidRPr="00B7760C" w:rsidRDefault="00877691" w:rsidP="00E804B7">
            <w:pPr>
              <w:pStyle w:val="ColumnHeading"/>
              <w:keepNext/>
            </w:pPr>
            <w:r w:rsidRPr="00B7760C">
              <w:t>Sprememba</w:t>
            </w:r>
          </w:p>
        </w:tc>
      </w:tr>
      <w:tr w:rsidR="003663AF" w:rsidRPr="00B7760C" w14:paraId="3AD201D8" w14:textId="77777777" w:rsidTr="00E804B7">
        <w:trPr>
          <w:jc w:val="center"/>
        </w:trPr>
        <w:tc>
          <w:tcPr>
            <w:tcW w:w="4876" w:type="dxa"/>
          </w:tcPr>
          <w:p w14:paraId="4BB3BDE9" w14:textId="77777777" w:rsidR="003663AF" w:rsidRPr="00B7760C" w:rsidRDefault="003663AF" w:rsidP="00E804B7">
            <w:pPr>
              <w:pStyle w:val="Normal6"/>
            </w:pPr>
          </w:p>
        </w:tc>
        <w:tc>
          <w:tcPr>
            <w:tcW w:w="4876" w:type="dxa"/>
            <w:hideMark/>
          </w:tcPr>
          <w:p w14:paraId="49897ECB" w14:textId="77777777" w:rsidR="003663AF" w:rsidRPr="00B7760C" w:rsidRDefault="003663AF" w:rsidP="00E804B7">
            <w:pPr>
              <w:pStyle w:val="Normal6"/>
              <w:rPr>
                <w:szCs w:val="24"/>
              </w:rPr>
            </w:pPr>
            <w:r w:rsidRPr="00B7760C">
              <w:rPr>
                <w:b/>
                <w:i/>
              </w:rPr>
              <w:t>1a.</w:t>
            </w:r>
            <w:r w:rsidRPr="00B7760C">
              <w:rPr>
                <w:b/>
                <w:i/>
              </w:rPr>
              <w:tab/>
              <w:t>Z odstopanjem od odstavka 1 se lahko vezana podpora odobri tudi kmetom, ki nimajo na voljo upravičenih hektarov.</w:t>
            </w:r>
          </w:p>
        </w:tc>
      </w:tr>
      <w:tr w:rsidR="003663AF" w:rsidRPr="00B7760C" w14:paraId="7D35EB2B" w14:textId="77777777" w:rsidTr="00E804B7">
        <w:trPr>
          <w:jc w:val="center"/>
        </w:trPr>
        <w:tc>
          <w:tcPr>
            <w:tcW w:w="4876" w:type="dxa"/>
          </w:tcPr>
          <w:p w14:paraId="259D9BFA" w14:textId="77777777" w:rsidR="003663AF" w:rsidRPr="00B7760C" w:rsidRDefault="003663AF" w:rsidP="00E804B7">
            <w:pPr>
              <w:pStyle w:val="Normal6"/>
            </w:pPr>
          </w:p>
        </w:tc>
        <w:tc>
          <w:tcPr>
            <w:tcW w:w="4876" w:type="dxa"/>
            <w:hideMark/>
          </w:tcPr>
          <w:p w14:paraId="2A759DDD" w14:textId="77777777" w:rsidR="003663AF" w:rsidRPr="00B7760C" w:rsidRDefault="003663AF" w:rsidP="00E804B7">
            <w:pPr>
              <w:pStyle w:val="Normal6"/>
              <w:rPr>
                <w:szCs w:val="24"/>
              </w:rPr>
            </w:pPr>
            <w:r w:rsidRPr="00B7760C">
              <w:rPr>
                <w:b/>
                <w:i/>
              </w:rPr>
              <w:t>Države članice zagotovijo, da so ob odobritvi vezane podpore izpolnjeni naslednji pogoji:</w:t>
            </w:r>
          </w:p>
        </w:tc>
      </w:tr>
      <w:tr w:rsidR="003663AF" w:rsidRPr="00B7760C" w14:paraId="202755B0" w14:textId="77777777" w:rsidTr="00E804B7">
        <w:trPr>
          <w:jc w:val="center"/>
        </w:trPr>
        <w:tc>
          <w:tcPr>
            <w:tcW w:w="4876" w:type="dxa"/>
          </w:tcPr>
          <w:p w14:paraId="188BC031" w14:textId="77777777" w:rsidR="003663AF" w:rsidRPr="00B7760C" w:rsidRDefault="003663AF" w:rsidP="00E804B7">
            <w:pPr>
              <w:pStyle w:val="Normal6"/>
            </w:pPr>
          </w:p>
        </w:tc>
        <w:tc>
          <w:tcPr>
            <w:tcW w:w="4876" w:type="dxa"/>
            <w:hideMark/>
          </w:tcPr>
          <w:p w14:paraId="4458DD1C" w14:textId="293B7E75" w:rsidR="003663AF" w:rsidRPr="00B7760C" w:rsidRDefault="003663AF" w:rsidP="00E804B7">
            <w:pPr>
              <w:pStyle w:val="Normal6"/>
              <w:rPr>
                <w:szCs w:val="24"/>
              </w:rPr>
            </w:pPr>
            <w:r w:rsidRPr="00B7760C">
              <w:rPr>
                <w:b/>
                <w:i/>
              </w:rPr>
              <w:t>(a)</w:t>
            </w:r>
            <w:r w:rsidRPr="00B7760C">
              <w:rPr>
                <w:b/>
                <w:i/>
              </w:rPr>
              <w:tab/>
              <w:t>obstaja jasna okoljska ali socialnoekonomska potreba ali korist;</w:t>
            </w:r>
          </w:p>
        </w:tc>
      </w:tr>
      <w:tr w:rsidR="003663AF" w:rsidRPr="00B7760C" w14:paraId="04840E7D" w14:textId="77777777" w:rsidTr="00E804B7">
        <w:trPr>
          <w:jc w:val="center"/>
        </w:trPr>
        <w:tc>
          <w:tcPr>
            <w:tcW w:w="4876" w:type="dxa"/>
          </w:tcPr>
          <w:p w14:paraId="200F049A" w14:textId="77777777" w:rsidR="003663AF" w:rsidRPr="00B7760C" w:rsidRDefault="003663AF" w:rsidP="00E804B7">
            <w:pPr>
              <w:pStyle w:val="Normal6"/>
            </w:pPr>
          </w:p>
        </w:tc>
        <w:tc>
          <w:tcPr>
            <w:tcW w:w="4876" w:type="dxa"/>
            <w:hideMark/>
          </w:tcPr>
          <w:p w14:paraId="7B303C3E" w14:textId="77777777" w:rsidR="003663AF" w:rsidRPr="00B7760C" w:rsidRDefault="003663AF" w:rsidP="00E804B7">
            <w:pPr>
              <w:pStyle w:val="Normal6"/>
              <w:rPr>
                <w:szCs w:val="24"/>
              </w:rPr>
            </w:pPr>
            <w:r w:rsidRPr="00B7760C">
              <w:rPr>
                <w:b/>
                <w:i/>
              </w:rPr>
              <w:t xml:space="preserve">(b) </w:t>
            </w:r>
            <w:r w:rsidRPr="00B7760C">
              <w:rPr>
                <w:b/>
                <w:i/>
              </w:rPr>
              <w:tab/>
              <w:t>podpora ne ustvarja večjih izkrivljanj na notranjem trgu ter</w:t>
            </w:r>
          </w:p>
        </w:tc>
      </w:tr>
      <w:tr w:rsidR="003663AF" w:rsidRPr="00B7760C" w14:paraId="154CF0D2" w14:textId="77777777" w:rsidTr="00E804B7">
        <w:trPr>
          <w:jc w:val="center"/>
        </w:trPr>
        <w:tc>
          <w:tcPr>
            <w:tcW w:w="4876" w:type="dxa"/>
          </w:tcPr>
          <w:p w14:paraId="592C7D8B" w14:textId="77777777" w:rsidR="003663AF" w:rsidRPr="00B7760C" w:rsidRDefault="003663AF" w:rsidP="00E804B7">
            <w:pPr>
              <w:pStyle w:val="Normal6"/>
            </w:pPr>
          </w:p>
        </w:tc>
        <w:tc>
          <w:tcPr>
            <w:tcW w:w="4876" w:type="dxa"/>
            <w:hideMark/>
          </w:tcPr>
          <w:p w14:paraId="1AD916D0" w14:textId="77777777" w:rsidR="003663AF" w:rsidRPr="00B7760C" w:rsidRDefault="003663AF" w:rsidP="00E804B7">
            <w:pPr>
              <w:pStyle w:val="Normal6"/>
              <w:rPr>
                <w:szCs w:val="24"/>
              </w:rPr>
            </w:pPr>
            <w:r w:rsidRPr="00B7760C">
              <w:rPr>
                <w:b/>
                <w:i/>
              </w:rPr>
              <w:t xml:space="preserve">(c) </w:t>
            </w:r>
            <w:r w:rsidRPr="00B7760C">
              <w:rPr>
                <w:b/>
                <w:i/>
              </w:rPr>
              <w:tab/>
              <w:t>podpora za živinorejo mora biti v skladu z Okvirno direktivo o vodah 2000/60/ES.</w:t>
            </w:r>
          </w:p>
        </w:tc>
      </w:tr>
    </w:tbl>
    <w:p w14:paraId="43BF782A" w14:textId="3723B974" w:rsidR="003663AF" w:rsidRPr="00B7760C" w:rsidRDefault="003663AF" w:rsidP="003663AF"/>
    <w:p w14:paraId="219A23E0" w14:textId="368F8CAB" w:rsidR="00996AD7" w:rsidRPr="00B7760C" w:rsidRDefault="00996AD7" w:rsidP="00996AD7">
      <w:pPr>
        <w:pStyle w:val="AmNumberTabs0"/>
      </w:pPr>
      <w:r w:rsidRPr="00B7760C">
        <w:t>Sprememb</w:t>
      </w:r>
      <w:r w:rsidR="009A7B0F" w:rsidRPr="00B7760C">
        <w:t>i</w:t>
      </w:r>
      <w:r w:rsidRPr="00B7760C">
        <w:tab/>
      </w:r>
      <w:r w:rsidRPr="00B7760C">
        <w:tab/>
        <w:t>1229</w:t>
      </w:r>
      <w:r w:rsidR="009A7B0F" w:rsidRPr="00B7760C">
        <w:t xml:space="preserve"> in 1353</w:t>
      </w:r>
    </w:p>
    <w:p w14:paraId="315F1554" w14:textId="77777777" w:rsidR="00996AD7" w:rsidRPr="00B7760C" w:rsidRDefault="00996AD7" w:rsidP="00996AD7">
      <w:pPr>
        <w:pStyle w:val="NormalBold12b"/>
      </w:pPr>
      <w:r w:rsidRPr="00B7760C">
        <w:t>Predlog uredbe</w:t>
      </w:r>
    </w:p>
    <w:p w14:paraId="27C1FFE6" w14:textId="5AD81BD1" w:rsidR="00996AD7" w:rsidRPr="00B7760C" w:rsidRDefault="00996AD7" w:rsidP="009A7B0F">
      <w:pPr>
        <w:pStyle w:val="NormalBold"/>
      </w:pPr>
      <w:r w:rsidRPr="00B7760C">
        <w:t xml:space="preserve">Člen 31 – odstavek </w:t>
      </w:r>
      <w:r w:rsidR="009A7B0F" w:rsidRPr="00B7760C">
        <w:t>1</w:t>
      </w:r>
      <w:r w:rsidRPr="00B7760C">
        <w:t xml:space="preserve"> b (novo)</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996AD7" w:rsidRPr="00B7760C" w14:paraId="2FD2FBCD" w14:textId="77777777" w:rsidTr="00C7565D">
        <w:trPr>
          <w:jc w:val="center"/>
        </w:trPr>
        <w:tc>
          <w:tcPr>
            <w:tcW w:w="9752" w:type="dxa"/>
            <w:gridSpan w:val="2"/>
          </w:tcPr>
          <w:p w14:paraId="5882DFDD" w14:textId="77777777" w:rsidR="00996AD7" w:rsidRPr="00B7760C" w:rsidRDefault="00996AD7" w:rsidP="00C7565D">
            <w:pPr>
              <w:keepNext/>
            </w:pPr>
          </w:p>
        </w:tc>
      </w:tr>
      <w:tr w:rsidR="00996AD7" w:rsidRPr="00B7760C" w14:paraId="328BF50D" w14:textId="77777777" w:rsidTr="00C7565D">
        <w:trPr>
          <w:jc w:val="center"/>
        </w:trPr>
        <w:tc>
          <w:tcPr>
            <w:tcW w:w="4876" w:type="dxa"/>
          </w:tcPr>
          <w:p w14:paraId="4C12AB22" w14:textId="77777777" w:rsidR="00996AD7" w:rsidRPr="00B7760C" w:rsidRDefault="00996AD7" w:rsidP="00C7565D">
            <w:pPr>
              <w:pStyle w:val="AmColumnHeading"/>
              <w:keepNext/>
            </w:pPr>
            <w:r w:rsidRPr="00B7760C">
              <w:t>Besedilo, ki ga predlaga Komisija</w:t>
            </w:r>
          </w:p>
        </w:tc>
        <w:tc>
          <w:tcPr>
            <w:tcW w:w="4876" w:type="dxa"/>
          </w:tcPr>
          <w:p w14:paraId="033C1205" w14:textId="113E920A" w:rsidR="00996AD7" w:rsidRPr="00B7760C" w:rsidRDefault="00996AD7" w:rsidP="00C7565D">
            <w:pPr>
              <w:pStyle w:val="AmColumnHeading"/>
              <w:keepNext/>
            </w:pPr>
            <w:r w:rsidRPr="00B7760C">
              <w:t>Sprememba</w:t>
            </w:r>
          </w:p>
        </w:tc>
      </w:tr>
      <w:tr w:rsidR="00996AD7" w:rsidRPr="00B7760C" w14:paraId="1244C810" w14:textId="77777777" w:rsidTr="00C7565D">
        <w:trPr>
          <w:jc w:val="center"/>
        </w:trPr>
        <w:tc>
          <w:tcPr>
            <w:tcW w:w="4876" w:type="dxa"/>
          </w:tcPr>
          <w:p w14:paraId="3E44C626" w14:textId="77777777" w:rsidR="00996AD7" w:rsidRPr="00B7760C" w:rsidRDefault="00996AD7" w:rsidP="00C7565D">
            <w:pPr>
              <w:pStyle w:val="Normal6a"/>
            </w:pPr>
          </w:p>
        </w:tc>
        <w:tc>
          <w:tcPr>
            <w:tcW w:w="4876" w:type="dxa"/>
          </w:tcPr>
          <w:p w14:paraId="6F7262CA" w14:textId="1B723F88" w:rsidR="00996AD7" w:rsidRPr="00B7760C" w:rsidRDefault="009A7B0F" w:rsidP="00C7565D">
            <w:pPr>
              <w:pStyle w:val="Normal6a"/>
              <w:rPr>
                <w:szCs w:val="24"/>
              </w:rPr>
            </w:pPr>
            <w:r w:rsidRPr="00B7760C">
              <w:rPr>
                <w:b/>
                <w:i/>
              </w:rPr>
              <w:t>1</w:t>
            </w:r>
            <w:r w:rsidR="00996AD7" w:rsidRPr="00B7760C">
              <w:rPr>
                <w:b/>
                <w:i/>
              </w:rPr>
              <w:t>b.</w:t>
            </w:r>
            <w:r w:rsidR="00996AD7" w:rsidRPr="00B7760C">
              <w:rPr>
                <w:b/>
                <w:i/>
              </w:rPr>
              <w:tab/>
              <w:t>Dohodek iz vezane podpore bo sorazmerno izključil število glav goveda, katerih končni namen je prodaja za dejavnosti, povezane z bikoborbami, tako z neposredno prodajo kot s prodajo prek posrednikov.</w:t>
            </w:r>
          </w:p>
        </w:tc>
      </w:tr>
    </w:tbl>
    <w:p w14:paraId="708E63DE" w14:textId="77777777" w:rsidR="00996AD7" w:rsidRPr="00B7760C" w:rsidRDefault="00996AD7" w:rsidP="003663AF"/>
    <w:p w14:paraId="758F5B74" w14:textId="77777777" w:rsidR="00996AD7" w:rsidRPr="00B7760C" w:rsidRDefault="00996AD7" w:rsidP="003663AF"/>
    <w:p w14:paraId="2371AEDD" w14:textId="028B53BF" w:rsidR="003663AF" w:rsidRPr="00B7760C" w:rsidRDefault="00877691" w:rsidP="003663AF">
      <w:pPr>
        <w:pStyle w:val="AMNumberTabs"/>
      </w:pPr>
      <w:r w:rsidRPr="00B7760C">
        <w:t>Sprememba</w:t>
      </w:r>
      <w:r w:rsidR="003663AF" w:rsidRPr="00B7760C">
        <w:tab/>
      </w:r>
      <w:r w:rsidR="003663AF" w:rsidRPr="00B7760C">
        <w:tab/>
        <w:t>245</w:t>
      </w:r>
    </w:p>
    <w:p w14:paraId="5B4E1253" w14:textId="77777777" w:rsidR="003663AF" w:rsidRPr="00B7760C" w:rsidRDefault="003663AF" w:rsidP="003663AF">
      <w:pPr>
        <w:pStyle w:val="NormalBold12b"/>
      </w:pPr>
      <w:r w:rsidRPr="00B7760C">
        <w:t>Predlog uredbe</w:t>
      </w:r>
    </w:p>
    <w:p w14:paraId="5D21E346" w14:textId="77777777" w:rsidR="003663AF" w:rsidRPr="00B7760C" w:rsidRDefault="003663AF" w:rsidP="003663AF">
      <w:pPr>
        <w:pStyle w:val="NormalBold"/>
      </w:pPr>
      <w:r w:rsidRPr="00B7760C">
        <w:t>Člen 33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F84E6FF" w14:textId="77777777" w:rsidTr="00E804B7">
        <w:trPr>
          <w:trHeight w:hRule="exact" w:val="240"/>
          <w:jc w:val="center"/>
        </w:trPr>
        <w:tc>
          <w:tcPr>
            <w:tcW w:w="9752" w:type="dxa"/>
            <w:gridSpan w:val="2"/>
          </w:tcPr>
          <w:p w14:paraId="7818EE8F" w14:textId="77777777" w:rsidR="003663AF" w:rsidRPr="00B7760C" w:rsidRDefault="003663AF" w:rsidP="00E804B7"/>
        </w:tc>
      </w:tr>
      <w:tr w:rsidR="003663AF" w:rsidRPr="00B7760C" w14:paraId="21C659D5" w14:textId="77777777" w:rsidTr="00E804B7">
        <w:trPr>
          <w:trHeight w:val="240"/>
          <w:jc w:val="center"/>
        </w:trPr>
        <w:tc>
          <w:tcPr>
            <w:tcW w:w="4876" w:type="dxa"/>
          </w:tcPr>
          <w:p w14:paraId="589EB900" w14:textId="77777777" w:rsidR="003663AF" w:rsidRPr="00B7760C" w:rsidRDefault="003663AF" w:rsidP="00E804B7">
            <w:pPr>
              <w:pStyle w:val="ColumnHeading"/>
            </w:pPr>
            <w:r w:rsidRPr="00B7760C">
              <w:t>Besedilo, ki ga predlaga Komisija</w:t>
            </w:r>
          </w:p>
        </w:tc>
        <w:tc>
          <w:tcPr>
            <w:tcW w:w="4876" w:type="dxa"/>
          </w:tcPr>
          <w:p w14:paraId="5C2C1249" w14:textId="6189C1AB" w:rsidR="003663AF" w:rsidRPr="00B7760C" w:rsidRDefault="00877691" w:rsidP="00E804B7">
            <w:pPr>
              <w:pStyle w:val="ColumnHeading"/>
            </w:pPr>
            <w:r w:rsidRPr="00B7760C">
              <w:t>Sprememba</w:t>
            </w:r>
          </w:p>
        </w:tc>
      </w:tr>
      <w:tr w:rsidR="003663AF" w:rsidRPr="00B7760C" w14:paraId="398BA033" w14:textId="77777777" w:rsidTr="00E804B7">
        <w:trPr>
          <w:jc w:val="center"/>
        </w:trPr>
        <w:tc>
          <w:tcPr>
            <w:tcW w:w="4876" w:type="dxa"/>
          </w:tcPr>
          <w:p w14:paraId="5170F5A7" w14:textId="77777777" w:rsidR="003663AF" w:rsidRPr="00B7760C" w:rsidRDefault="003663AF" w:rsidP="00E804B7">
            <w:pPr>
              <w:pStyle w:val="Normal6"/>
            </w:pPr>
            <w:r w:rsidRPr="00B7760C">
              <w:rPr>
                <w:b/>
                <w:i/>
              </w:rPr>
              <w:t>[...]</w:t>
            </w:r>
          </w:p>
        </w:tc>
        <w:tc>
          <w:tcPr>
            <w:tcW w:w="4876" w:type="dxa"/>
          </w:tcPr>
          <w:p w14:paraId="758CE720" w14:textId="77777777" w:rsidR="003663AF" w:rsidRPr="00B7760C" w:rsidRDefault="003663AF" w:rsidP="00E804B7">
            <w:pPr>
              <w:pStyle w:val="Normal6"/>
            </w:pPr>
            <w:r w:rsidRPr="00B7760C">
              <w:rPr>
                <w:b/>
                <w:i/>
              </w:rPr>
              <w:t>črtano</w:t>
            </w:r>
          </w:p>
        </w:tc>
      </w:tr>
    </w:tbl>
    <w:p w14:paraId="3C8D9BD2" w14:textId="77777777" w:rsidR="003663AF" w:rsidRPr="00B7760C" w:rsidRDefault="003663AF" w:rsidP="003663AF"/>
    <w:p w14:paraId="1F9F9238" w14:textId="7CD7A7AA" w:rsidR="003663AF" w:rsidRPr="00B7760C" w:rsidRDefault="00877691" w:rsidP="003663AF">
      <w:pPr>
        <w:pStyle w:val="AMNumberTabs"/>
      </w:pPr>
      <w:r w:rsidRPr="00B7760C">
        <w:t>Sprememba</w:t>
      </w:r>
      <w:r w:rsidR="003663AF" w:rsidRPr="00B7760C">
        <w:tab/>
      </w:r>
      <w:r w:rsidR="003663AF" w:rsidRPr="00B7760C">
        <w:tab/>
        <w:t>246</w:t>
      </w:r>
    </w:p>
    <w:p w14:paraId="47B93A65" w14:textId="77777777" w:rsidR="003663AF" w:rsidRPr="00B7760C" w:rsidRDefault="003663AF" w:rsidP="003663AF">
      <w:pPr>
        <w:pStyle w:val="NormalBold12b"/>
      </w:pPr>
      <w:r w:rsidRPr="00B7760C">
        <w:t>Predlog uredbe</w:t>
      </w:r>
    </w:p>
    <w:p w14:paraId="28021C8B" w14:textId="77777777" w:rsidR="003663AF" w:rsidRPr="00B7760C" w:rsidRDefault="003663AF" w:rsidP="003663AF">
      <w:pPr>
        <w:pStyle w:val="NormalBold"/>
      </w:pPr>
      <w:r w:rsidRPr="00B7760C">
        <w:t>Člen 34 – 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113B735" w14:textId="77777777" w:rsidTr="00E804B7">
        <w:trPr>
          <w:trHeight w:hRule="exact" w:val="240"/>
          <w:jc w:val="center"/>
        </w:trPr>
        <w:tc>
          <w:tcPr>
            <w:tcW w:w="9752" w:type="dxa"/>
            <w:gridSpan w:val="2"/>
          </w:tcPr>
          <w:p w14:paraId="740DD0E4" w14:textId="77777777" w:rsidR="003663AF" w:rsidRPr="00B7760C" w:rsidRDefault="003663AF" w:rsidP="00E804B7"/>
        </w:tc>
      </w:tr>
      <w:tr w:rsidR="003663AF" w:rsidRPr="00B7760C" w14:paraId="35122891" w14:textId="77777777" w:rsidTr="00E804B7">
        <w:trPr>
          <w:trHeight w:val="240"/>
          <w:jc w:val="center"/>
        </w:trPr>
        <w:tc>
          <w:tcPr>
            <w:tcW w:w="4876" w:type="dxa"/>
          </w:tcPr>
          <w:p w14:paraId="7C685A2C" w14:textId="77777777" w:rsidR="003663AF" w:rsidRPr="00B7760C" w:rsidRDefault="003663AF" w:rsidP="00E804B7">
            <w:pPr>
              <w:pStyle w:val="ColumnHeading"/>
            </w:pPr>
            <w:r w:rsidRPr="00B7760C">
              <w:t>Besedilo, ki ga predlaga Komisija</w:t>
            </w:r>
          </w:p>
        </w:tc>
        <w:tc>
          <w:tcPr>
            <w:tcW w:w="4876" w:type="dxa"/>
          </w:tcPr>
          <w:p w14:paraId="4A5835BB" w14:textId="78483032" w:rsidR="003663AF" w:rsidRPr="00B7760C" w:rsidRDefault="00877691" w:rsidP="00E804B7">
            <w:pPr>
              <w:pStyle w:val="ColumnHeading"/>
            </w:pPr>
            <w:r w:rsidRPr="00B7760C">
              <w:t>Sprememba</w:t>
            </w:r>
          </w:p>
        </w:tc>
      </w:tr>
      <w:tr w:rsidR="003663AF" w:rsidRPr="00B7760C" w14:paraId="2B55248E" w14:textId="77777777" w:rsidTr="00E804B7">
        <w:trPr>
          <w:jc w:val="center"/>
        </w:trPr>
        <w:tc>
          <w:tcPr>
            <w:tcW w:w="4876" w:type="dxa"/>
          </w:tcPr>
          <w:p w14:paraId="14AB1028" w14:textId="77777777" w:rsidR="003663AF" w:rsidRPr="00B7760C" w:rsidRDefault="003663AF" w:rsidP="00E804B7">
            <w:pPr>
              <w:pStyle w:val="Normal6"/>
            </w:pPr>
            <w:r w:rsidRPr="00B7760C">
              <w:t xml:space="preserve">Države članice na kmetijsko rastlino vezano plačilo za bombaž odobrijo </w:t>
            </w:r>
            <w:r w:rsidRPr="00B7760C">
              <w:rPr>
                <w:b/>
                <w:i/>
              </w:rPr>
              <w:t>pravim</w:t>
            </w:r>
            <w:r w:rsidRPr="00B7760C">
              <w:t xml:space="preserve"> kmetom, ki pridelujejo bombaž iz oznake KN 5201 00, v skladu s pogoji iz tega pododdelka. </w:t>
            </w:r>
          </w:p>
        </w:tc>
        <w:tc>
          <w:tcPr>
            <w:tcW w:w="4876" w:type="dxa"/>
          </w:tcPr>
          <w:p w14:paraId="01977AF8" w14:textId="77777777" w:rsidR="003663AF" w:rsidRPr="00B7760C" w:rsidRDefault="003663AF" w:rsidP="00E804B7">
            <w:pPr>
              <w:pStyle w:val="Normal6"/>
            </w:pPr>
            <w:r w:rsidRPr="00B7760C">
              <w:t xml:space="preserve">Države članice na kmetijsko rastlino vezano plačilo za bombaž odobrijo </w:t>
            </w:r>
            <w:r w:rsidRPr="00B7760C">
              <w:rPr>
                <w:b/>
                <w:i/>
              </w:rPr>
              <w:t>dejavnim</w:t>
            </w:r>
            <w:r w:rsidRPr="00B7760C">
              <w:t xml:space="preserve"> kmetom, ki pridelujejo bombaž iz oznake KN 5201 00, v skladu s pogoji iz tega pododdelka.</w:t>
            </w:r>
          </w:p>
        </w:tc>
      </w:tr>
    </w:tbl>
    <w:p w14:paraId="7C6838B8" w14:textId="77777777" w:rsidR="003663AF" w:rsidRPr="00B7760C" w:rsidRDefault="003663AF" w:rsidP="003663AF"/>
    <w:p w14:paraId="4554EE15" w14:textId="046DEFB8" w:rsidR="003663AF" w:rsidRPr="00B7760C" w:rsidRDefault="00877691" w:rsidP="003663AF">
      <w:pPr>
        <w:pStyle w:val="AMNumberTabs"/>
      </w:pPr>
      <w:r w:rsidRPr="00B7760C">
        <w:t>Sprememba</w:t>
      </w:r>
      <w:r w:rsidR="003663AF" w:rsidRPr="00B7760C">
        <w:tab/>
      </w:r>
      <w:r w:rsidR="003663AF" w:rsidRPr="00B7760C">
        <w:tab/>
        <w:t>247</w:t>
      </w:r>
    </w:p>
    <w:p w14:paraId="663E67D4" w14:textId="77777777" w:rsidR="003663AF" w:rsidRPr="00B7760C" w:rsidRDefault="003663AF" w:rsidP="003663AF">
      <w:pPr>
        <w:pStyle w:val="NormalBold12b"/>
      </w:pPr>
      <w:r w:rsidRPr="00B7760C">
        <w:t>Predlog uredbe</w:t>
      </w:r>
    </w:p>
    <w:p w14:paraId="032225CF" w14:textId="77777777" w:rsidR="003663AF" w:rsidRPr="00B7760C" w:rsidRDefault="003663AF" w:rsidP="003663AF">
      <w:pPr>
        <w:pStyle w:val="NormalBold"/>
      </w:pPr>
      <w:r w:rsidRPr="00B7760C">
        <w:t>Člen 36 – odstavek 3 – alinea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AD2420B" w14:textId="77777777" w:rsidTr="00E804B7">
        <w:trPr>
          <w:trHeight w:val="240"/>
          <w:jc w:val="center"/>
        </w:trPr>
        <w:tc>
          <w:tcPr>
            <w:tcW w:w="9752" w:type="dxa"/>
            <w:gridSpan w:val="2"/>
          </w:tcPr>
          <w:p w14:paraId="501117FE" w14:textId="77777777" w:rsidR="003663AF" w:rsidRPr="00B7760C" w:rsidRDefault="003663AF" w:rsidP="00E804B7"/>
        </w:tc>
      </w:tr>
      <w:tr w:rsidR="003663AF" w:rsidRPr="00B7760C" w14:paraId="4C666149" w14:textId="77777777" w:rsidTr="00E804B7">
        <w:trPr>
          <w:trHeight w:val="240"/>
          <w:jc w:val="center"/>
        </w:trPr>
        <w:tc>
          <w:tcPr>
            <w:tcW w:w="4876" w:type="dxa"/>
            <w:hideMark/>
          </w:tcPr>
          <w:p w14:paraId="2F3C7784" w14:textId="77777777" w:rsidR="003663AF" w:rsidRPr="00B7760C" w:rsidRDefault="003663AF" w:rsidP="00E804B7">
            <w:pPr>
              <w:pStyle w:val="ColumnHeading"/>
            </w:pPr>
            <w:r w:rsidRPr="00B7760C">
              <w:t>Besedilo, ki ga predlaga Komisija</w:t>
            </w:r>
          </w:p>
        </w:tc>
        <w:tc>
          <w:tcPr>
            <w:tcW w:w="4876" w:type="dxa"/>
            <w:hideMark/>
          </w:tcPr>
          <w:p w14:paraId="3DC1BC6C" w14:textId="08921B92" w:rsidR="003663AF" w:rsidRPr="00B7760C" w:rsidRDefault="00877691" w:rsidP="00E804B7">
            <w:pPr>
              <w:pStyle w:val="ColumnHeading"/>
            </w:pPr>
            <w:r w:rsidRPr="00B7760C">
              <w:t>Sprememba</w:t>
            </w:r>
          </w:p>
        </w:tc>
      </w:tr>
      <w:tr w:rsidR="003663AF" w:rsidRPr="00B7760C" w14:paraId="62E3CE05" w14:textId="77777777" w:rsidTr="00E804B7">
        <w:trPr>
          <w:jc w:val="center"/>
        </w:trPr>
        <w:tc>
          <w:tcPr>
            <w:tcW w:w="4876" w:type="dxa"/>
            <w:hideMark/>
          </w:tcPr>
          <w:p w14:paraId="0EAF167F" w14:textId="77777777" w:rsidR="003663AF" w:rsidRPr="00B7760C" w:rsidRDefault="003663AF" w:rsidP="00E804B7">
            <w:pPr>
              <w:pStyle w:val="Normal6"/>
            </w:pPr>
            <w:r w:rsidRPr="00B7760C">
              <w:t>–</w:t>
            </w:r>
            <w:r w:rsidRPr="00B7760C">
              <w:tab/>
              <w:t xml:space="preserve">Bolgarija: </w:t>
            </w:r>
            <w:r w:rsidRPr="00B7760C">
              <w:rPr>
                <w:b/>
                <w:i/>
              </w:rPr>
              <w:t>624,11</w:t>
            </w:r>
            <w:r w:rsidRPr="00B7760C">
              <w:t xml:space="preserve"> EUR,</w:t>
            </w:r>
          </w:p>
        </w:tc>
        <w:tc>
          <w:tcPr>
            <w:tcW w:w="4876" w:type="dxa"/>
            <w:hideMark/>
          </w:tcPr>
          <w:p w14:paraId="6DFECBF8" w14:textId="77777777" w:rsidR="003663AF" w:rsidRPr="00B7760C" w:rsidRDefault="003663AF" w:rsidP="00E804B7">
            <w:pPr>
              <w:pStyle w:val="Normal6"/>
            </w:pPr>
            <w:r w:rsidRPr="00B7760C">
              <w:t>–</w:t>
            </w:r>
            <w:r w:rsidRPr="00B7760C">
              <w:tab/>
              <w:t xml:space="preserve">Bolgarija: </w:t>
            </w:r>
            <w:r w:rsidRPr="00B7760C">
              <w:rPr>
                <w:b/>
                <w:i/>
              </w:rPr>
              <w:t>X</w:t>
            </w:r>
            <w:r w:rsidRPr="00B7760C">
              <w:t xml:space="preserve"> EUR,</w:t>
            </w:r>
          </w:p>
        </w:tc>
      </w:tr>
    </w:tbl>
    <w:p w14:paraId="5863896E" w14:textId="77777777" w:rsidR="003663AF" w:rsidRPr="00B7760C" w:rsidRDefault="003663AF" w:rsidP="003663AF"/>
    <w:p w14:paraId="7D9C2536" w14:textId="68386C94" w:rsidR="003663AF" w:rsidRPr="00B7760C" w:rsidRDefault="00877691" w:rsidP="003663AF">
      <w:pPr>
        <w:pStyle w:val="AMNumberTabs"/>
      </w:pPr>
      <w:r w:rsidRPr="00B7760C">
        <w:t>Sprememba</w:t>
      </w:r>
      <w:r w:rsidR="003663AF" w:rsidRPr="00B7760C">
        <w:tab/>
      </w:r>
      <w:r w:rsidR="003663AF" w:rsidRPr="00B7760C">
        <w:tab/>
        <w:t>248</w:t>
      </w:r>
    </w:p>
    <w:p w14:paraId="6A4C8A2A" w14:textId="77777777" w:rsidR="003663AF" w:rsidRPr="00B7760C" w:rsidRDefault="003663AF" w:rsidP="003663AF">
      <w:pPr>
        <w:pStyle w:val="NormalBold12b"/>
      </w:pPr>
      <w:r w:rsidRPr="00B7760C">
        <w:t>Predlog uredbe</w:t>
      </w:r>
    </w:p>
    <w:p w14:paraId="155D6FB6" w14:textId="77777777" w:rsidR="003663AF" w:rsidRPr="00B7760C" w:rsidRDefault="003663AF" w:rsidP="003663AF">
      <w:pPr>
        <w:pStyle w:val="NormalBold"/>
      </w:pPr>
      <w:r w:rsidRPr="00B7760C">
        <w:t>Člen 36 – odstavek 3 – alinea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B4A053D" w14:textId="77777777" w:rsidTr="00E804B7">
        <w:trPr>
          <w:trHeight w:val="240"/>
          <w:jc w:val="center"/>
        </w:trPr>
        <w:tc>
          <w:tcPr>
            <w:tcW w:w="9752" w:type="dxa"/>
            <w:gridSpan w:val="2"/>
          </w:tcPr>
          <w:p w14:paraId="3C9355A9" w14:textId="77777777" w:rsidR="003663AF" w:rsidRPr="00B7760C" w:rsidRDefault="003663AF" w:rsidP="00E804B7"/>
        </w:tc>
      </w:tr>
      <w:tr w:rsidR="003663AF" w:rsidRPr="00B7760C" w14:paraId="19728A2F" w14:textId="77777777" w:rsidTr="00E804B7">
        <w:trPr>
          <w:trHeight w:val="240"/>
          <w:jc w:val="center"/>
        </w:trPr>
        <w:tc>
          <w:tcPr>
            <w:tcW w:w="4876" w:type="dxa"/>
            <w:hideMark/>
          </w:tcPr>
          <w:p w14:paraId="61B7F4FC" w14:textId="77777777" w:rsidR="003663AF" w:rsidRPr="00B7760C" w:rsidRDefault="003663AF" w:rsidP="00E804B7">
            <w:pPr>
              <w:pStyle w:val="ColumnHeading"/>
            </w:pPr>
            <w:r w:rsidRPr="00B7760C">
              <w:t>Besedilo, ki ga predlaga Komisija</w:t>
            </w:r>
          </w:p>
        </w:tc>
        <w:tc>
          <w:tcPr>
            <w:tcW w:w="4876" w:type="dxa"/>
            <w:hideMark/>
          </w:tcPr>
          <w:p w14:paraId="693E6340" w14:textId="57AA60FA" w:rsidR="003663AF" w:rsidRPr="00B7760C" w:rsidRDefault="00877691" w:rsidP="00E804B7">
            <w:pPr>
              <w:pStyle w:val="ColumnHeading"/>
            </w:pPr>
            <w:r w:rsidRPr="00B7760C">
              <w:t>Sprememba</w:t>
            </w:r>
          </w:p>
        </w:tc>
      </w:tr>
      <w:tr w:rsidR="003663AF" w:rsidRPr="00B7760C" w14:paraId="7252C84E" w14:textId="77777777" w:rsidTr="00E804B7">
        <w:trPr>
          <w:jc w:val="center"/>
        </w:trPr>
        <w:tc>
          <w:tcPr>
            <w:tcW w:w="4876" w:type="dxa"/>
            <w:hideMark/>
          </w:tcPr>
          <w:p w14:paraId="5A2BF12F" w14:textId="77777777" w:rsidR="003663AF" w:rsidRPr="00B7760C" w:rsidRDefault="003663AF" w:rsidP="00E804B7">
            <w:pPr>
              <w:pStyle w:val="Normal6"/>
            </w:pPr>
            <w:r w:rsidRPr="00B7760C">
              <w:t>–</w:t>
            </w:r>
            <w:r w:rsidRPr="00B7760C">
              <w:tab/>
              <w:t xml:space="preserve">Grčija: </w:t>
            </w:r>
            <w:r w:rsidRPr="00B7760C">
              <w:rPr>
                <w:b/>
                <w:i/>
              </w:rPr>
              <w:t>225,04</w:t>
            </w:r>
            <w:r w:rsidRPr="00B7760C">
              <w:t xml:space="preserve"> EUR,</w:t>
            </w:r>
          </w:p>
        </w:tc>
        <w:tc>
          <w:tcPr>
            <w:tcW w:w="4876" w:type="dxa"/>
            <w:hideMark/>
          </w:tcPr>
          <w:p w14:paraId="62D0762F" w14:textId="77777777" w:rsidR="003663AF" w:rsidRPr="00B7760C" w:rsidRDefault="003663AF" w:rsidP="00E804B7">
            <w:pPr>
              <w:pStyle w:val="Normal6"/>
            </w:pPr>
            <w:r w:rsidRPr="00B7760C">
              <w:t>–</w:t>
            </w:r>
            <w:r w:rsidRPr="00B7760C">
              <w:tab/>
              <w:t xml:space="preserve">Grčija: </w:t>
            </w:r>
            <w:r w:rsidRPr="00B7760C">
              <w:rPr>
                <w:b/>
                <w:i/>
              </w:rPr>
              <w:t>X</w:t>
            </w:r>
            <w:r w:rsidRPr="00B7760C">
              <w:t xml:space="preserve"> EUR,</w:t>
            </w:r>
          </w:p>
        </w:tc>
      </w:tr>
    </w:tbl>
    <w:p w14:paraId="6CDB535E" w14:textId="77777777" w:rsidR="003663AF" w:rsidRPr="00B7760C" w:rsidRDefault="003663AF" w:rsidP="003663AF"/>
    <w:p w14:paraId="351A20E1" w14:textId="3E573049" w:rsidR="003663AF" w:rsidRPr="00B7760C" w:rsidRDefault="00877691" w:rsidP="003663AF">
      <w:pPr>
        <w:pStyle w:val="AMNumberTabs"/>
      </w:pPr>
      <w:r w:rsidRPr="00B7760C">
        <w:t>Sprememba</w:t>
      </w:r>
      <w:r w:rsidR="003663AF" w:rsidRPr="00B7760C">
        <w:tab/>
      </w:r>
      <w:r w:rsidR="003663AF" w:rsidRPr="00B7760C">
        <w:tab/>
        <w:t>249</w:t>
      </w:r>
    </w:p>
    <w:p w14:paraId="466C2896" w14:textId="77777777" w:rsidR="003663AF" w:rsidRPr="00B7760C" w:rsidRDefault="003663AF" w:rsidP="003663AF">
      <w:pPr>
        <w:pStyle w:val="NormalBold12b"/>
      </w:pPr>
      <w:r w:rsidRPr="00B7760C">
        <w:t>Predlog uredbe</w:t>
      </w:r>
    </w:p>
    <w:p w14:paraId="3E5DDBF5" w14:textId="77777777" w:rsidR="003663AF" w:rsidRPr="00B7760C" w:rsidRDefault="003663AF" w:rsidP="003663AF">
      <w:pPr>
        <w:pStyle w:val="NormalBold"/>
      </w:pPr>
      <w:r w:rsidRPr="00B7760C">
        <w:t>Člen 36 – odstavek 3 – alinea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E3C3B28" w14:textId="77777777" w:rsidTr="00E804B7">
        <w:trPr>
          <w:trHeight w:val="240"/>
          <w:jc w:val="center"/>
        </w:trPr>
        <w:tc>
          <w:tcPr>
            <w:tcW w:w="9752" w:type="dxa"/>
            <w:gridSpan w:val="2"/>
          </w:tcPr>
          <w:p w14:paraId="31CC1B33" w14:textId="77777777" w:rsidR="003663AF" w:rsidRPr="00B7760C" w:rsidRDefault="003663AF" w:rsidP="00E804B7"/>
        </w:tc>
      </w:tr>
      <w:tr w:rsidR="003663AF" w:rsidRPr="00B7760C" w14:paraId="74D8ED08" w14:textId="77777777" w:rsidTr="00E804B7">
        <w:trPr>
          <w:trHeight w:val="240"/>
          <w:jc w:val="center"/>
        </w:trPr>
        <w:tc>
          <w:tcPr>
            <w:tcW w:w="4876" w:type="dxa"/>
            <w:hideMark/>
          </w:tcPr>
          <w:p w14:paraId="67B6603F" w14:textId="77777777" w:rsidR="003663AF" w:rsidRPr="00B7760C" w:rsidRDefault="003663AF" w:rsidP="00E804B7">
            <w:pPr>
              <w:pStyle w:val="ColumnHeading"/>
            </w:pPr>
            <w:r w:rsidRPr="00B7760C">
              <w:t>Besedilo, ki ga predlaga Komisija</w:t>
            </w:r>
          </w:p>
        </w:tc>
        <w:tc>
          <w:tcPr>
            <w:tcW w:w="4876" w:type="dxa"/>
            <w:hideMark/>
          </w:tcPr>
          <w:p w14:paraId="5A972E52" w14:textId="31E435B7" w:rsidR="003663AF" w:rsidRPr="00B7760C" w:rsidRDefault="00877691" w:rsidP="00E804B7">
            <w:pPr>
              <w:pStyle w:val="ColumnHeading"/>
            </w:pPr>
            <w:r w:rsidRPr="00B7760C">
              <w:t>Sprememba</w:t>
            </w:r>
          </w:p>
        </w:tc>
      </w:tr>
      <w:tr w:rsidR="003663AF" w:rsidRPr="00B7760C" w14:paraId="4A5A4822" w14:textId="77777777" w:rsidTr="00E804B7">
        <w:trPr>
          <w:jc w:val="center"/>
        </w:trPr>
        <w:tc>
          <w:tcPr>
            <w:tcW w:w="4876" w:type="dxa"/>
            <w:hideMark/>
          </w:tcPr>
          <w:p w14:paraId="410A45AA" w14:textId="77777777" w:rsidR="003663AF" w:rsidRPr="00B7760C" w:rsidRDefault="003663AF" w:rsidP="00E804B7">
            <w:pPr>
              <w:pStyle w:val="Normal6"/>
            </w:pPr>
            <w:r w:rsidRPr="00B7760C">
              <w:t>–</w:t>
            </w:r>
            <w:r w:rsidRPr="00B7760C">
              <w:tab/>
              <w:t xml:space="preserve">Španija: </w:t>
            </w:r>
            <w:r w:rsidRPr="00B7760C">
              <w:rPr>
                <w:b/>
                <w:i/>
              </w:rPr>
              <w:t>348,03</w:t>
            </w:r>
            <w:r w:rsidRPr="00B7760C">
              <w:t xml:space="preserve"> EUR,</w:t>
            </w:r>
          </w:p>
        </w:tc>
        <w:tc>
          <w:tcPr>
            <w:tcW w:w="4876" w:type="dxa"/>
            <w:hideMark/>
          </w:tcPr>
          <w:p w14:paraId="421F6B0A" w14:textId="77777777" w:rsidR="003663AF" w:rsidRPr="00B7760C" w:rsidRDefault="003663AF" w:rsidP="00E804B7">
            <w:pPr>
              <w:pStyle w:val="Normal6"/>
            </w:pPr>
            <w:r w:rsidRPr="00B7760C">
              <w:t>–</w:t>
            </w:r>
            <w:r w:rsidRPr="00B7760C">
              <w:tab/>
              <w:t xml:space="preserve">Španija: </w:t>
            </w:r>
            <w:r w:rsidRPr="00B7760C">
              <w:rPr>
                <w:b/>
                <w:i/>
              </w:rPr>
              <w:t>X</w:t>
            </w:r>
            <w:r w:rsidRPr="00B7760C">
              <w:t xml:space="preserve"> EUR,</w:t>
            </w:r>
          </w:p>
        </w:tc>
      </w:tr>
    </w:tbl>
    <w:p w14:paraId="048E109B" w14:textId="77777777" w:rsidR="003663AF" w:rsidRPr="00B7760C" w:rsidRDefault="003663AF" w:rsidP="003663AF"/>
    <w:p w14:paraId="591FAC06" w14:textId="1AED751D" w:rsidR="003663AF" w:rsidRPr="00B7760C" w:rsidRDefault="00877691" w:rsidP="003663AF">
      <w:pPr>
        <w:pStyle w:val="AMNumberTabs"/>
      </w:pPr>
      <w:r w:rsidRPr="00B7760C">
        <w:t>Sprememba</w:t>
      </w:r>
      <w:r w:rsidR="003663AF" w:rsidRPr="00B7760C">
        <w:tab/>
      </w:r>
      <w:r w:rsidR="003663AF" w:rsidRPr="00B7760C">
        <w:tab/>
        <w:t>250</w:t>
      </w:r>
    </w:p>
    <w:p w14:paraId="2F175858" w14:textId="77777777" w:rsidR="003663AF" w:rsidRPr="00B7760C" w:rsidRDefault="003663AF" w:rsidP="003663AF">
      <w:pPr>
        <w:pStyle w:val="NormalBold12b"/>
      </w:pPr>
      <w:r w:rsidRPr="00B7760C">
        <w:t>Predlog uredbe</w:t>
      </w:r>
    </w:p>
    <w:p w14:paraId="2DA4EC9B" w14:textId="77777777" w:rsidR="003663AF" w:rsidRPr="00B7760C" w:rsidRDefault="003663AF" w:rsidP="003663AF">
      <w:pPr>
        <w:pStyle w:val="NormalBold"/>
      </w:pPr>
      <w:r w:rsidRPr="00B7760C">
        <w:t>Člen 36 – odstavek 3 – alinea 4</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B52BC57" w14:textId="77777777" w:rsidTr="00E804B7">
        <w:trPr>
          <w:trHeight w:val="240"/>
          <w:jc w:val="center"/>
        </w:trPr>
        <w:tc>
          <w:tcPr>
            <w:tcW w:w="9752" w:type="dxa"/>
            <w:gridSpan w:val="2"/>
          </w:tcPr>
          <w:p w14:paraId="2B15B879" w14:textId="77777777" w:rsidR="003663AF" w:rsidRPr="00B7760C" w:rsidRDefault="003663AF" w:rsidP="00E804B7"/>
        </w:tc>
      </w:tr>
      <w:tr w:rsidR="003663AF" w:rsidRPr="00B7760C" w14:paraId="0D1B8EFE" w14:textId="77777777" w:rsidTr="00E804B7">
        <w:trPr>
          <w:trHeight w:val="240"/>
          <w:jc w:val="center"/>
        </w:trPr>
        <w:tc>
          <w:tcPr>
            <w:tcW w:w="4876" w:type="dxa"/>
            <w:hideMark/>
          </w:tcPr>
          <w:p w14:paraId="30105343" w14:textId="77777777" w:rsidR="003663AF" w:rsidRPr="00B7760C" w:rsidRDefault="003663AF" w:rsidP="00E804B7">
            <w:pPr>
              <w:pStyle w:val="ColumnHeading"/>
            </w:pPr>
            <w:r w:rsidRPr="00B7760C">
              <w:t>Besedilo, ki ga predlaga Komisija</w:t>
            </w:r>
          </w:p>
        </w:tc>
        <w:tc>
          <w:tcPr>
            <w:tcW w:w="4876" w:type="dxa"/>
            <w:hideMark/>
          </w:tcPr>
          <w:p w14:paraId="7D56FC57" w14:textId="22B2A5E4" w:rsidR="003663AF" w:rsidRPr="00B7760C" w:rsidRDefault="00877691" w:rsidP="00E804B7">
            <w:pPr>
              <w:pStyle w:val="ColumnHeading"/>
            </w:pPr>
            <w:r w:rsidRPr="00B7760C">
              <w:t>Sprememba</w:t>
            </w:r>
          </w:p>
        </w:tc>
      </w:tr>
      <w:tr w:rsidR="003663AF" w:rsidRPr="00B7760C" w14:paraId="263D5E58" w14:textId="77777777" w:rsidTr="00E804B7">
        <w:trPr>
          <w:jc w:val="center"/>
        </w:trPr>
        <w:tc>
          <w:tcPr>
            <w:tcW w:w="4876" w:type="dxa"/>
            <w:hideMark/>
          </w:tcPr>
          <w:p w14:paraId="754963A3" w14:textId="77777777" w:rsidR="003663AF" w:rsidRPr="00B7760C" w:rsidRDefault="003663AF" w:rsidP="00E804B7">
            <w:pPr>
              <w:pStyle w:val="Normal6"/>
            </w:pPr>
            <w:r w:rsidRPr="00B7760C">
              <w:t>–</w:t>
            </w:r>
            <w:r w:rsidRPr="00B7760C">
              <w:tab/>
              <w:t xml:space="preserve">Portugalska: </w:t>
            </w:r>
            <w:r w:rsidRPr="00B7760C">
              <w:rPr>
                <w:b/>
                <w:i/>
              </w:rPr>
              <w:t>219,09</w:t>
            </w:r>
            <w:r w:rsidRPr="00B7760C">
              <w:t xml:space="preserve"> EUR.</w:t>
            </w:r>
          </w:p>
        </w:tc>
        <w:tc>
          <w:tcPr>
            <w:tcW w:w="4876" w:type="dxa"/>
            <w:hideMark/>
          </w:tcPr>
          <w:p w14:paraId="1B805B5A" w14:textId="77777777" w:rsidR="003663AF" w:rsidRPr="00B7760C" w:rsidRDefault="003663AF" w:rsidP="00E804B7">
            <w:pPr>
              <w:pStyle w:val="Normal6"/>
            </w:pPr>
            <w:r w:rsidRPr="00B7760C">
              <w:t>–</w:t>
            </w:r>
            <w:r w:rsidRPr="00B7760C">
              <w:tab/>
              <w:t xml:space="preserve">Portugalska: </w:t>
            </w:r>
            <w:r w:rsidRPr="00B7760C">
              <w:rPr>
                <w:b/>
                <w:i/>
              </w:rPr>
              <w:t>X</w:t>
            </w:r>
            <w:r w:rsidRPr="00B7760C">
              <w:t xml:space="preserve"> EUR.</w:t>
            </w:r>
          </w:p>
        </w:tc>
      </w:tr>
    </w:tbl>
    <w:p w14:paraId="1B5916DC" w14:textId="77777777" w:rsidR="003663AF" w:rsidRPr="00B7760C" w:rsidRDefault="003663AF" w:rsidP="003663AF"/>
    <w:p w14:paraId="43CEB4F0" w14:textId="77777777" w:rsidR="003663AF" w:rsidRPr="00B7760C" w:rsidRDefault="003663AF" w:rsidP="003663AF">
      <w:pPr>
        <w:pStyle w:val="Normal6"/>
      </w:pPr>
    </w:p>
    <w:p w14:paraId="6C002BCF" w14:textId="51ED69C4" w:rsidR="003663AF" w:rsidRPr="00B7760C" w:rsidRDefault="00877691" w:rsidP="003663AF">
      <w:pPr>
        <w:pStyle w:val="AMNumberTabs"/>
        <w:keepNext/>
      </w:pPr>
      <w:r w:rsidRPr="00B7760C">
        <w:t>Sprememb</w:t>
      </w:r>
      <w:r w:rsidR="00996AD7" w:rsidRPr="00B7760C">
        <w:t>i</w:t>
      </w:r>
      <w:r w:rsidR="003663AF" w:rsidRPr="00B7760C">
        <w:tab/>
      </w:r>
      <w:r w:rsidR="003663AF" w:rsidRPr="00B7760C">
        <w:tab/>
        <w:t>251</w:t>
      </w:r>
      <w:r w:rsidR="00996AD7" w:rsidRPr="00B7760C">
        <w:t xml:space="preserve"> in 1042</w:t>
      </w:r>
    </w:p>
    <w:p w14:paraId="5D9D8F1F" w14:textId="77777777" w:rsidR="003663AF" w:rsidRPr="00B7760C" w:rsidRDefault="003663AF" w:rsidP="003663AF">
      <w:pPr>
        <w:pStyle w:val="NormalBold12b"/>
      </w:pPr>
      <w:r w:rsidRPr="00B7760C">
        <w:t>Predlog uredbe</w:t>
      </w:r>
    </w:p>
    <w:p w14:paraId="008879E6" w14:textId="77777777" w:rsidR="003663AF" w:rsidRPr="00B7760C" w:rsidRDefault="003663AF" w:rsidP="003663AF">
      <w:pPr>
        <w:pStyle w:val="NormalBold"/>
      </w:pPr>
      <w:r w:rsidRPr="00B7760C">
        <w:t>Člen 39 – odstavek 1 – točka 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D3459EA" w14:textId="77777777" w:rsidTr="00E804B7">
        <w:trPr>
          <w:jc w:val="center"/>
        </w:trPr>
        <w:tc>
          <w:tcPr>
            <w:tcW w:w="9752" w:type="dxa"/>
            <w:gridSpan w:val="2"/>
          </w:tcPr>
          <w:p w14:paraId="0EB913AC" w14:textId="77777777" w:rsidR="003663AF" w:rsidRPr="00B7760C" w:rsidRDefault="003663AF" w:rsidP="00E804B7">
            <w:pPr>
              <w:keepNext/>
            </w:pPr>
          </w:p>
        </w:tc>
      </w:tr>
      <w:tr w:rsidR="003663AF" w:rsidRPr="00B7760C" w14:paraId="3FE9CB7F" w14:textId="77777777" w:rsidTr="00E804B7">
        <w:trPr>
          <w:jc w:val="center"/>
        </w:trPr>
        <w:tc>
          <w:tcPr>
            <w:tcW w:w="4876" w:type="dxa"/>
            <w:hideMark/>
          </w:tcPr>
          <w:p w14:paraId="0C6A66B3" w14:textId="77777777" w:rsidR="003663AF" w:rsidRPr="00B7760C" w:rsidRDefault="003663AF" w:rsidP="00E804B7">
            <w:pPr>
              <w:pStyle w:val="ColumnHeading"/>
              <w:keepNext/>
            </w:pPr>
            <w:r w:rsidRPr="00B7760C">
              <w:t>Besedilo, ki ga predlaga Komisija</w:t>
            </w:r>
          </w:p>
        </w:tc>
        <w:tc>
          <w:tcPr>
            <w:tcW w:w="4876" w:type="dxa"/>
            <w:hideMark/>
          </w:tcPr>
          <w:p w14:paraId="68F2A67C" w14:textId="2DAECEEE" w:rsidR="003663AF" w:rsidRPr="00B7760C" w:rsidRDefault="00877691" w:rsidP="00E804B7">
            <w:pPr>
              <w:pStyle w:val="ColumnHeading"/>
              <w:keepNext/>
            </w:pPr>
            <w:r w:rsidRPr="00B7760C">
              <w:t>Sprememba</w:t>
            </w:r>
          </w:p>
        </w:tc>
      </w:tr>
      <w:tr w:rsidR="003663AF" w:rsidRPr="00B7760C" w14:paraId="07895B94" w14:textId="77777777" w:rsidTr="00E804B7">
        <w:trPr>
          <w:jc w:val="center"/>
        </w:trPr>
        <w:tc>
          <w:tcPr>
            <w:tcW w:w="4876" w:type="dxa"/>
            <w:hideMark/>
          </w:tcPr>
          <w:p w14:paraId="0730A8EC" w14:textId="77777777" w:rsidR="003663AF" w:rsidRPr="00B7760C" w:rsidRDefault="003663AF" w:rsidP="00E804B7">
            <w:pPr>
              <w:pStyle w:val="Normal6"/>
            </w:pPr>
            <w:r w:rsidRPr="00B7760C">
              <w:t>(a)</w:t>
            </w:r>
            <w:r w:rsidRPr="00B7760C">
              <w:tab/>
              <w:t>sektor sadja in zelenjave iz točke (i) člena 1(2) Uredbe (EU) št. 1308/2013;</w:t>
            </w:r>
          </w:p>
        </w:tc>
        <w:tc>
          <w:tcPr>
            <w:tcW w:w="4876" w:type="dxa"/>
            <w:hideMark/>
          </w:tcPr>
          <w:p w14:paraId="70CD1AC8" w14:textId="77777777" w:rsidR="003663AF" w:rsidRPr="00B7760C" w:rsidRDefault="003663AF" w:rsidP="00E804B7">
            <w:pPr>
              <w:pStyle w:val="Normal6"/>
              <w:rPr>
                <w:szCs w:val="24"/>
              </w:rPr>
            </w:pPr>
            <w:r w:rsidRPr="00B7760C">
              <w:t>(a)</w:t>
            </w:r>
            <w:r w:rsidRPr="00B7760C">
              <w:tab/>
              <w:t>sektor sadja in zelenjave iz točke (i) člena 1(2) Uredbe (EU) št. 1308/2013</w:t>
            </w:r>
            <w:r w:rsidRPr="00B7760C">
              <w:rPr>
                <w:b/>
                <w:i/>
              </w:rPr>
              <w:t xml:space="preserve"> ter navedeni proizvodi, ki so namenjeni za predelavo</w:t>
            </w:r>
            <w:r w:rsidRPr="00B7760C">
              <w:t>;</w:t>
            </w:r>
          </w:p>
        </w:tc>
      </w:tr>
    </w:tbl>
    <w:p w14:paraId="3B8AE60D" w14:textId="77777777" w:rsidR="003663AF" w:rsidRPr="00B7760C" w:rsidRDefault="003663AF" w:rsidP="003663AF"/>
    <w:p w14:paraId="5AA85DC8" w14:textId="264557FB" w:rsidR="003663AF" w:rsidRPr="00B7760C" w:rsidRDefault="00877691" w:rsidP="003663AF">
      <w:pPr>
        <w:pStyle w:val="AMNumberTabs"/>
        <w:keepNext/>
      </w:pPr>
      <w:r w:rsidRPr="00B7760C">
        <w:t>Sprememba</w:t>
      </w:r>
      <w:r w:rsidR="003663AF" w:rsidRPr="00B7760C">
        <w:tab/>
      </w:r>
      <w:r w:rsidR="003663AF" w:rsidRPr="00B7760C">
        <w:tab/>
        <w:t>252</w:t>
      </w:r>
    </w:p>
    <w:p w14:paraId="0822B26D" w14:textId="77777777" w:rsidR="003663AF" w:rsidRPr="00B7760C" w:rsidRDefault="003663AF" w:rsidP="003663AF">
      <w:pPr>
        <w:pStyle w:val="NormalBold12b"/>
      </w:pPr>
      <w:r w:rsidRPr="00B7760C">
        <w:t>Predlog uredbe</w:t>
      </w:r>
    </w:p>
    <w:p w14:paraId="3623C13C" w14:textId="77777777" w:rsidR="003663AF" w:rsidRPr="00B7760C" w:rsidRDefault="003663AF" w:rsidP="003663AF">
      <w:pPr>
        <w:pStyle w:val="NormalBold"/>
      </w:pPr>
      <w:r w:rsidRPr="00B7760C">
        <w:t>Člen 1 – odstavek 1 – točka f</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73A5B21" w14:textId="77777777" w:rsidTr="00E804B7">
        <w:trPr>
          <w:jc w:val="center"/>
        </w:trPr>
        <w:tc>
          <w:tcPr>
            <w:tcW w:w="9752" w:type="dxa"/>
            <w:gridSpan w:val="2"/>
          </w:tcPr>
          <w:p w14:paraId="14B8F922" w14:textId="77777777" w:rsidR="003663AF" w:rsidRPr="00B7760C" w:rsidRDefault="003663AF" w:rsidP="00E804B7">
            <w:pPr>
              <w:keepNext/>
            </w:pPr>
          </w:p>
        </w:tc>
      </w:tr>
      <w:tr w:rsidR="003663AF" w:rsidRPr="00B7760C" w14:paraId="315416EA" w14:textId="77777777" w:rsidTr="00E804B7">
        <w:trPr>
          <w:jc w:val="center"/>
        </w:trPr>
        <w:tc>
          <w:tcPr>
            <w:tcW w:w="4876" w:type="dxa"/>
            <w:hideMark/>
          </w:tcPr>
          <w:p w14:paraId="34C6C94C" w14:textId="77777777" w:rsidR="003663AF" w:rsidRPr="00B7760C" w:rsidRDefault="003663AF" w:rsidP="00E804B7">
            <w:pPr>
              <w:pStyle w:val="ColumnHeading"/>
              <w:keepNext/>
            </w:pPr>
            <w:r w:rsidRPr="00B7760C">
              <w:t>Besedilo, ki ga predlaga Komisija</w:t>
            </w:r>
          </w:p>
        </w:tc>
        <w:tc>
          <w:tcPr>
            <w:tcW w:w="4876" w:type="dxa"/>
            <w:hideMark/>
          </w:tcPr>
          <w:p w14:paraId="492526F3" w14:textId="4D4CF1A7" w:rsidR="003663AF" w:rsidRPr="00B7760C" w:rsidRDefault="00877691" w:rsidP="00E804B7">
            <w:pPr>
              <w:pStyle w:val="ColumnHeading"/>
              <w:keepNext/>
            </w:pPr>
            <w:r w:rsidRPr="00B7760C">
              <w:t>Sprememba</w:t>
            </w:r>
          </w:p>
        </w:tc>
      </w:tr>
      <w:tr w:rsidR="003663AF" w:rsidRPr="00B7760C" w14:paraId="24C7132B" w14:textId="77777777" w:rsidTr="00E804B7">
        <w:trPr>
          <w:jc w:val="center"/>
        </w:trPr>
        <w:tc>
          <w:tcPr>
            <w:tcW w:w="4876" w:type="dxa"/>
            <w:hideMark/>
          </w:tcPr>
          <w:p w14:paraId="01FFD24C" w14:textId="77777777" w:rsidR="003663AF" w:rsidRPr="00B7760C" w:rsidRDefault="003663AF" w:rsidP="00E804B7">
            <w:pPr>
              <w:pStyle w:val="Normal6"/>
            </w:pPr>
            <w:r w:rsidRPr="00B7760C">
              <w:t>(f)</w:t>
            </w:r>
            <w:r w:rsidRPr="00B7760C">
              <w:tab/>
              <w:t>drugi sektorji iz točk od (a) do (h), (k), (m), od (o) do (t) in (w) člena 1(2)</w:t>
            </w:r>
            <w:r w:rsidRPr="00B7760C">
              <w:rPr>
                <w:b/>
                <w:i/>
              </w:rPr>
              <w:t xml:space="preserve"> </w:t>
            </w:r>
            <w:r w:rsidRPr="00B7760C">
              <w:t>Uredbe (EU) št. 1308/2013.</w:t>
            </w:r>
          </w:p>
        </w:tc>
        <w:tc>
          <w:tcPr>
            <w:tcW w:w="4876" w:type="dxa"/>
            <w:hideMark/>
          </w:tcPr>
          <w:p w14:paraId="4E33656E" w14:textId="77777777" w:rsidR="003663AF" w:rsidRPr="00B7760C" w:rsidRDefault="003663AF" w:rsidP="00E804B7">
            <w:pPr>
              <w:pStyle w:val="Normal6"/>
              <w:rPr>
                <w:szCs w:val="24"/>
              </w:rPr>
            </w:pPr>
            <w:r w:rsidRPr="00B7760C">
              <w:t>(f)</w:t>
            </w:r>
            <w:r w:rsidRPr="00B7760C">
              <w:tab/>
              <w:t>drugi sektorji iz točk od (a) do (h), (k), (m), od (o) do (t) in (w) člena 1(2)Uredbe (EU) št. 1308/2013</w:t>
            </w:r>
            <w:r w:rsidRPr="00B7760C">
              <w:rPr>
                <w:b/>
                <w:i/>
              </w:rPr>
              <w:t xml:space="preserve"> ter beljakovinske rastline</w:t>
            </w:r>
            <w:r w:rsidRPr="00B7760C">
              <w:t>.</w:t>
            </w:r>
          </w:p>
        </w:tc>
      </w:tr>
    </w:tbl>
    <w:p w14:paraId="043719D0" w14:textId="77777777" w:rsidR="003663AF" w:rsidRPr="00B7760C" w:rsidRDefault="003663AF" w:rsidP="003663AF"/>
    <w:p w14:paraId="50E5F516" w14:textId="1BDF79B9" w:rsidR="003663AF" w:rsidRPr="00B7760C" w:rsidRDefault="00877691" w:rsidP="003663AF">
      <w:pPr>
        <w:pStyle w:val="AMNumberTabs"/>
        <w:keepNext/>
      </w:pPr>
      <w:r w:rsidRPr="00B7760C">
        <w:t>Sprememba</w:t>
      </w:r>
      <w:r w:rsidR="003663AF" w:rsidRPr="00B7760C">
        <w:tab/>
      </w:r>
      <w:r w:rsidR="003663AF" w:rsidRPr="00B7760C">
        <w:tab/>
        <w:t>253</w:t>
      </w:r>
    </w:p>
    <w:p w14:paraId="20F8337F" w14:textId="77777777" w:rsidR="003663AF" w:rsidRPr="00B7760C" w:rsidRDefault="003663AF" w:rsidP="003663AF">
      <w:pPr>
        <w:pStyle w:val="NormalBold12b"/>
      </w:pPr>
      <w:r w:rsidRPr="00B7760C">
        <w:t>Predlog uredbe</w:t>
      </w:r>
    </w:p>
    <w:p w14:paraId="6CDC5531" w14:textId="77777777" w:rsidR="003663AF" w:rsidRPr="00B7760C" w:rsidRDefault="003663AF" w:rsidP="003663AF">
      <w:pPr>
        <w:pStyle w:val="NormalBold"/>
      </w:pPr>
      <w:r w:rsidRPr="00B7760C">
        <w:t>Člen 40 – odstavek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44C582F" w14:textId="77777777" w:rsidTr="00E804B7">
        <w:trPr>
          <w:jc w:val="center"/>
        </w:trPr>
        <w:tc>
          <w:tcPr>
            <w:tcW w:w="9752" w:type="dxa"/>
            <w:gridSpan w:val="2"/>
          </w:tcPr>
          <w:p w14:paraId="5BBD32A2" w14:textId="77777777" w:rsidR="003663AF" w:rsidRPr="00B7760C" w:rsidRDefault="003663AF" w:rsidP="00E804B7">
            <w:pPr>
              <w:keepNext/>
            </w:pPr>
          </w:p>
        </w:tc>
      </w:tr>
      <w:tr w:rsidR="003663AF" w:rsidRPr="00B7760C" w14:paraId="33905DA2" w14:textId="77777777" w:rsidTr="00E804B7">
        <w:trPr>
          <w:jc w:val="center"/>
        </w:trPr>
        <w:tc>
          <w:tcPr>
            <w:tcW w:w="4876" w:type="dxa"/>
            <w:hideMark/>
          </w:tcPr>
          <w:p w14:paraId="7FDFA2B1" w14:textId="77777777" w:rsidR="003663AF" w:rsidRPr="00B7760C" w:rsidRDefault="003663AF" w:rsidP="00E804B7">
            <w:pPr>
              <w:pStyle w:val="ColumnHeading"/>
              <w:keepNext/>
            </w:pPr>
            <w:r w:rsidRPr="00B7760C">
              <w:t>Besedilo, ki ga predlaga Komisija</w:t>
            </w:r>
          </w:p>
        </w:tc>
        <w:tc>
          <w:tcPr>
            <w:tcW w:w="4876" w:type="dxa"/>
            <w:hideMark/>
          </w:tcPr>
          <w:p w14:paraId="4171532B" w14:textId="674D70D1" w:rsidR="003663AF" w:rsidRPr="00B7760C" w:rsidRDefault="00877691" w:rsidP="00E804B7">
            <w:pPr>
              <w:pStyle w:val="ColumnHeading"/>
              <w:keepNext/>
            </w:pPr>
            <w:r w:rsidRPr="00B7760C">
              <w:t>Sprememba</w:t>
            </w:r>
          </w:p>
        </w:tc>
      </w:tr>
      <w:tr w:rsidR="003663AF" w:rsidRPr="00B7760C" w14:paraId="7BCE8F88" w14:textId="77777777" w:rsidTr="00E804B7">
        <w:trPr>
          <w:jc w:val="center"/>
        </w:trPr>
        <w:tc>
          <w:tcPr>
            <w:tcW w:w="4876" w:type="dxa"/>
            <w:hideMark/>
          </w:tcPr>
          <w:p w14:paraId="4464CE7E" w14:textId="77777777" w:rsidR="003663AF" w:rsidRPr="00B7760C" w:rsidRDefault="003663AF" w:rsidP="00E804B7">
            <w:pPr>
              <w:pStyle w:val="Normal6"/>
            </w:pPr>
            <w:r w:rsidRPr="00B7760C">
              <w:t>3.</w:t>
            </w:r>
            <w:r w:rsidRPr="00B7760C">
              <w:tab/>
              <w:t>Države članice se v svojem strateškem načrtu SKP lahko odločijo za izvajanje sektorskih vrst intervencij iz točk (d), (e) in (f) člena 39</w:t>
            </w:r>
            <w:r w:rsidRPr="00B7760C">
              <w:rPr>
                <w:b/>
                <w:i/>
              </w:rPr>
              <w:t>.</w:t>
            </w:r>
            <w:r w:rsidRPr="00B7760C">
              <w:t xml:space="preserve"> </w:t>
            </w:r>
          </w:p>
        </w:tc>
        <w:tc>
          <w:tcPr>
            <w:tcW w:w="4876" w:type="dxa"/>
            <w:hideMark/>
          </w:tcPr>
          <w:p w14:paraId="6A528BEA" w14:textId="77777777" w:rsidR="003663AF" w:rsidRPr="00B7760C" w:rsidRDefault="003663AF" w:rsidP="00E804B7">
            <w:pPr>
              <w:pStyle w:val="Normal6"/>
              <w:rPr>
                <w:szCs w:val="24"/>
              </w:rPr>
            </w:pPr>
            <w:r w:rsidRPr="00B7760C">
              <w:t>3.</w:t>
            </w:r>
            <w:r w:rsidRPr="00B7760C">
              <w:tab/>
              <w:t>Države članice se v svojem strateškem načrtu SKP lahko odločijo za izvajanje sektorskih vrst intervencij iz točk (d), (e) in (f) člena 39</w:t>
            </w:r>
            <w:r w:rsidRPr="00B7760C">
              <w:rPr>
                <w:b/>
                <w:i/>
              </w:rPr>
              <w:t>, svojo odločitev za sektorje in vrste intervencij pa morajo utemeljiti.</w:t>
            </w:r>
          </w:p>
        </w:tc>
      </w:tr>
    </w:tbl>
    <w:p w14:paraId="3E655A74" w14:textId="77777777" w:rsidR="003663AF" w:rsidRPr="00B7760C" w:rsidRDefault="003663AF" w:rsidP="003663AF"/>
    <w:p w14:paraId="514BEC55" w14:textId="20EDEE20" w:rsidR="003663AF" w:rsidRPr="00B7760C" w:rsidRDefault="00877691" w:rsidP="003663AF">
      <w:pPr>
        <w:pStyle w:val="AMNumberTabs"/>
        <w:keepNext/>
      </w:pPr>
      <w:r w:rsidRPr="00B7760C">
        <w:t>Sprememba</w:t>
      </w:r>
      <w:r w:rsidR="003663AF" w:rsidRPr="00B7760C">
        <w:tab/>
      </w:r>
      <w:r w:rsidR="003663AF" w:rsidRPr="00B7760C">
        <w:tab/>
        <w:t>254</w:t>
      </w:r>
    </w:p>
    <w:p w14:paraId="68B64AB3" w14:textId="77777777" w:rsidR="003663AF" w:rsidRPr="00B7760C" w:rsidRDefault="003663AF" w:rsidP="003663AF">
      <w:pPr>
        <w:pStyle w:val="NormalBold12b"/>
      </w:pPr>
      <w:r w:rsidRPr="00B7760C">
        <w:t>Predlog uredbe</w:t>
      </w:r>
    </w:p>
    <w:p w14:paraId="345C9C5B" w14:textId="77777777" w:rsidR="003663AF" w:rsidRPr="00B7760C" w:rsidRDefault="003663AF" w:rsidP="003663AF">
      <w:pPr>
        <w:pStyle w:val="NormalBold"/>
      </w:pPr>
      <w:r w:rsidRPr="00B7760C">
        <w:t>Člen 41 – odstavek 1 – točka 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F1F1380" w14:textId="77777777" w:rsidTr="00E804B7">
        <w:trPr>
          <w:jc w:val="center"/>
        </w:trPr>
        <w:tc>
          <w:tcPr>
            <w:tcW w:w="9752" w:type="dxa"/>
            <w:gridSpan w:val="2"/>
          </w:tcPr>
          <w:p w14:paraId="5FE7150A" w14:textId="77777777" w:rsidR="003663AF" w:rsidRPr="00B7760C" w:rsidRDefault="003663AF" w:rsidP="00E804B7">
            <w:pPr>
              <w:keepNext/>
            </w:pPr>
          </w:p>
        </w:tc>
      </w:tr>
      <w:tr w:rsidR="003663AF" w:rsidRPr="00B7760C" w14:paraId="30C24BB0" w14:textId="77777777" w:rsidTr="00E804B7">
        <w:trPr>
          <w:jc w:val="center"/>
        </w:trPr>
        <w:tc>
          <w:tcPr>
            <w:tcW w:w="4876" w:type="dxa"/>
            <w:hideMark/>
          </w:tcPr>
          <w:p w14:paraId="263BDA70" w14:textId="77777777" w:rsidR="003663AF" w:rsidRPr="00B7760C" w:rsidRDefault="003663AF" w:rsidP="00E804B7">
            <w:pPr>
              <w:pStyle w:val="ColumnHeading"/>
              <w:keepNext/>
            </w:pPr>
            <w:r w:rsidRPr="00B7760C">
              <w:t>Besedilo, ki ga predlaga Komisija</w:t>
            </w:r>
          </w:p>
        </w:tc>
        <w:tc>
          <w:tcPr>
            <w:tcW w:w="4876" w:type="dxa"/>
            <w:hideMark/>
          </w:tcPr>
          <w:p w14:paraId="6137B25C" w14:textId="207524FB" w:rsidR="003663AF" w:rsidRPr="00B7760C" w:rsidRDefault="00877691" w:rsidP="00E804B7">
            <w:pPr>
              <w:pStyle w:val="ColumnHeading"/>
              <w:keepNext/>
            </w:pPr>
            <w:r w:rsidRPr="00B7760C">
              <w:t>Sprememba</w:t>
            </w:r>
          </w:p>
        </w:tc>
      </w:tr>
      <w:tr w:rsidR="003663AF" w:rsidRPr="00B7760C" w14:paraId="234B81A7" w14:textId="77777777" w:rsidTr="00E804B7">
        <w:trPr>
          <w:jc w:val="center"/>
        </w:trPr>
        <w:tc>
          <w:tcPr>
            <w:tcW w:w="4876" w:type="dxa"/>
            <w:hideMark/>
          </w:tcPr>
          <w:p w14:paraId="28DE77BB" w14:textId="77777777" w:rsidR="003663AF" w:rsidRPr="00B7760C" w:rsidRDefault="003663AF" w:rsidP="00E804B7">
            <w:pPr>
              <w:pStyle w:val="Normal6"/>
            </w:pPr>
            <w:r w:rsidRPr="00B7760C">
              <w:t>(a)</w:t>
            </w:r>
            <w:r w:rsidRPr="00B7760C">
              <w:tab/>
              <w:t>zagotovitev pravilnega delovanja vrst intervencij iz tega poglavja;</w:t>
            </w:r>
          </w:p>
        </w:tc>
        <w:tc>
          <w:tcPr>
            <w:tcW w:w="4876" w:type="dxa"/>
            <w:hideMark/>
          </w:tcPr>
          <w:p w14:paraId="79A3FDC6" w14:textId="77777777" w:rsidR="003663AF" w:rsidRPr="00B7760C" w:rsidRDefault="003663AF" w:rsidP="00E804B7">
            <w:pPr>
              <w:pStyle w:val="Normal6"/>
              <w:rPr>
                <w:szCs w:val="24"/>
              </w:rPr>
            </w:pPr>
            <w:r w:rsidRPr="00B7760C">
              <w:t>(a)</w:t>
            </w:r>
            <w:r w:rsidRPr="00B7760C">
              <w:tab/>
              <w:t>zagotovitev pravilnega delovanja vrst intervencij iz tega poglavja</w:t>
            </w:r>
            <w:r w:rsidRPr="00B7760C">
              <w:rPr>
                <w:b/>
                <w:i/>
              </w:rPr>
              <w:t>, zlasti da se prepreči izkrivljanje konkurence na notranjem trgu</w:t>
            </w:r>
            <w:r w:rsidRPr="00B7760C">
              <w:t>;</w:t>
            </w:r>
          </w:p>
        </w:tc>
      </w:tr>
    </w:tbl>
    <w:p w14:paraId="22B9ACBA" w14:textId="77777777" w:rsidR="003663AF" w:rsidRPr="00B7760C" w:rsidRDefault="003663AF" w:rsidP="003663AF"/>
    <w:p w14:paraId="482412DE" w14:textId="4918681B" w:rsidR="003663AF" w:rsidRPr="00B7760C" w:rsidRDefault="00877691" w:rsidP="003663AF">
      <w:pPr>
        <w:pStyle w:val="AMNumberTabs"/>
        <w:keepNext/>
      </w:pPr>
      <w:r w:rsidRPr="00B7760C">
        <w:t>Sprememba</w:t>
      </w:r>
      <w:r w:rsidR="003663AF" w:rsidRPr="00B7760C">
        <w:tab/>
      </w:r>
      <w:r w:rsidR="003663AF" w:rsidRPr="00B7760C">
        <w:tab/>
        <w:t>255</w:t>
      </w:r>
    </w:p>
    <w:p w14:paraId="2AF4AA70" w14:textId="77777777" w:rsidR="003663AF" w:rsidRPr="00B7760C" w:rsidRDefault="003663AF" w:rsidP="003663AF">
      <w:pPr>
        <w:pStyle w:val="NormalBold12b"/>
      </w:pPr>
      <w:r w:rsidRPr="00B7760C">
        <w:t>Predlog uredbe</w:t>
      </w:r>
    </w:p>
    <w:p w14:paraId="073B51B9" w14:textId="77777777" w:rsidR="003663AF" w:rsidRPr="00B7760C" w:rsidRDefault="003663AF" w:rsidP="003663AF">
      <w:pPr>
        <w:pStyle w:val="NormalBold"/>
      </w:pPr>
      <w:r w:rsidRPr="00B7760C">
        <w:t>Člen 41 – odstavek 1 – točka a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15D5350" w14:textId="77777777" w:rsidTr="00E804B7">
        <w:trPr>
          <w:jc w:val="center"/>
        </w:trPr>
        <w:tc>
          <w:tcPr>
            <w:tcW w:w="9752" w:type="dxa"/>
            <w:gridSpan w:val="2"/>
          </w:tcPr>
          <w:p w14:paraId="09BAE12E" w14:textId="77777777" w:rsidR="003663AF" w:rsidRPr="00B7760C" w:rsidRDefault="003663AF" w:rsidP="00E804B7">
            <w:pPr>
              <w:keepNext/>
            </w:pPr>
          </w:p>
        </w:tc>
      </w:tr>
      <w:tr w:rsidR="003663AF" w:rsidRPr="00B7760C" w14:paraId="4BA99078" w14:textId="77777777" w:rsidTr="00E804B7">
        <w:trPr>
          <w:jc w:val="center"/>
        </w:trPr>
        <w:tc>
          <w:tcPr>
            <w:tcW w:w="4876" w:type="dxa"/>
            <w:hideMark/>
          </w:tcPr>
          <w:p w14:paraId="54520757" w14:textId="77777777" w:rsidR="003663AF" w:rsidRPr="00B7760C" w:rsidRDefault="003663AF" w:rsidP="00E804B7">
            <w:pPr>
              <w:pStyle w:val="ColumnHeading"/>
              <w:keepNext/>
            </w:pPr>
            <w:r w:rsidRPr="00B7760C">
              <w:t>Besedilo, ki ga predlaga Komisija</w:t>
            </w:r>
          </w:p>
        </w:tc>
        <w:tc>
          <w:tcPr>
            <w:tcW w:w="4876" w:type="dxa"/>
            <w:hideMark/>
          </w:tcPr>
          <w:p w14:paraId="69F0884B" w14:textId="485EB31E" w:rsidR="003663AF" w:rsidRPr="00B7760C" w:rsidRDefault="00877691" w:rsidP="00E804B7">
            <w:pPr>
              <w:pStyle w:val="ColumnHeading"/>
              <w:keepNext/>
            </w:pPr>
            <w:r w:rsidRPr="00B7760C">
              <w:t>Sprememba</w:t>
            </w:r>
          </w:p>
        </w:tc>
      </w:tr>
      <w:tr w:rsidR="003663AF" w:rsidRPr="00B7760C" w14:paraId="00109613" w14:textId="77777777" w:rsidTr="00E804B7">
        <w:trPr>
          <w:jc w:val="center"/>
        </w:trPr>
        <w:tc>
          <w:tcPr>
            <w:tcW w:w="4876" w:type="dxa"/>
          </w:tcPr>
          <w:p w14:paraId="431822A9" w14:textId="77777777" w:rsidR="003663AF" w:rsidRPr="00B7760C" w:rsidRDefault="003663AF" w:rsidP="00E804B7">
            <w:pPr>
              <w:pStyle w:val="Normal6"/>
            </w:pPr>
          </w:p>
        </w:tc>
        <w:tc>
          <w:tcPr>
            <w:tcW w:w="4876" w:type="dxa"/>
            <w:hideMark/>
          </w:tcPr>
          <w:p w14:paraId="0FF689C9" w14:textId="77777777" w:rsidR="003663AF" w:rsidRPr="00B7760C" w:rsidRDefault="003663AF" w:rsidP="00E804B7">
            <w:pPr>
              <w:pStyle w:val="Normal6"/>
              <w:rPr>
                <w:szCs w:val="24"/>
              </w:rPr>
            </w:pPr>
            <w:r w:rsidRPr="00B7760C">
              <w:rPr>
                <w:b/>
                <w:i/>
              </w:rPr>
              <w:t>(aa)</w:t>
            </w:r>
            <w:r w:rsidRPr="00B7760C">
              <w:rPr>
                <w:b/>
                <w:i/>
              </w:rPr>
              <w:tab/>
              <w:t>zagotavljanje podpore za organizacije proizvajalcev v zvezi z izpolnjevanjem njihovih specifičnih nalog iz tega poglavja;</w:t>
            </w:r>
          </w:p>
        </w:tc>
      </w:tr>
    </w:tbl>
    <w:p w14:paraId="175A1745" w14:textId="77777777" w:rsidR="003663AF" w:rsidRPr="00B7760C" w:rsidRDefault="003663AF" w:rsidP="003663AF"/>
    <w:p w14:paraId="763B66AA" w14:textId="740A6188" w:rsidR="003663AF" w:rsidRPr="00B7760C" w:rsidRDefault="00877691" w:rsidP="003663AF">
      <w:pPr>
        <w:pStyle w:val="AMNumberTabs"/>
        <w:keepNext/>
      </w:pPr>
      <w:r w:rsidRPr="00B7760C">
        <w:t>Sprememba</w:t>
      </w:r>
      <w:r w:rsidR="003663AF" w:rsidRPr="00B7760C">
        <w:tab/>
      </w:r>
      <w:r w:rsidR="003663AF" w:rsidRPr="00B7760C">
        <w:tab/>
        <w:t>256</w:t>
      </w:r>
    </w:p>
    <w:p w14:paraId="5FDE82E2" w14:textId="77777777" w:rsidR="003663AF" w:rsidRPr="00B7760C" w:rsidRDefault="003663AF" w:rsidP="003663AF">
      <w:pPr>
        <w:pStyle w:val="NormalBold12b"/>
      </w:pPr>
      <w:r w:rsidRPr="00B7760C">
        <w:t>Predlog uredbe</w:t>
      </w:r>
    </w:p>
    <w:p w14:paraId="764FFAEE" w14:textId="77777777" w:rsidR="003663AF" w:rsidRPr="00B7760C" w:rsidRDefault="003663AF" w:rsidP="003663AF">
      <w:pPr>
        <w:pStyle w:val="NormalBold"/>
      </w:pPr>
      <w:r w:rsidRPr="00B7760C">
        <w:t>Člen 41 – odstavek 1 – točka c</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9091321" w14:textId="77777777" w:rsidTr="00E804B7">
        <w:trPr>
          <w:jc w:val="center"/>
        </w:trPr>
        <w:tc>
          <w:tcPr>
            <w:tcW w:w="9752" w:type="dxa"/>
            <w:gridSpan w:val="2"/>
          </w:tcPr>
          <w:p w14:paraId="755A6CB3" w14:textId="77777777" w:rsidR="003663AF" w:rsidRPr="00B7760C" w:rsidRDefault="003663AF" w:rsidP="00E804B7">
            <w:pPr>
              <w:keepNext/>
            </w:pPr>
          </w:p>
        </w:tc>
      </w:tr>
      <w:tr w:rsidR="003663AF" w:rsidRPr="00B7760C" w14:paraId="22A85430" w14:textId="77777777" w:rsidTr="00E804B7">
        <w:trPr>
          <w:jc w:val="center"/>
        </w:trPr>
        <w:tc>
          <w:tcPr>
            <w:tcW w:w="4876" w:type="dxa"/>
            <w:hideMark/>
          </w:tcPr>
          <w:p w14:paraId="5C2F9574" w14:textId="77777777" w:rsidR="003663AF" w:rsidRPr="00B7760C" w:rsidRDefault="003663AF" w:rsidP="00E804B7">
            <w:pPr>
              <w:pStyle w:val="ColumnHeading"/>
              <w:keepNext/>
            </w:pPr>
            <w:r w:rsidRPr="00B7760C">
              <w:t>Besedilo, ki ga predlaga Komisija</w:t>
            </w:r>
          </w:p>
        </w:tc>
        <w:tc>
          <w:tcPr>
            <w:tcW w:w="4876" w:type="dxa"/>
            <w:hideMark/>
          </w:tcPr>
          <w:p w14:paraId="28857363" w14:textId="4D4CA43A" w:rsidR="003663AF" w:rsidRPr="00B7760C" w:rsidRDefault="00877691" w:rsidP="00E804B7">
            <w:pPr>
              <w:pStyle w:val="ColumnHeading"/>
              <w:keepNext/>
            </w:pPr>
            <w:r w:rsidRPr="00B7760C">
              <w:t>Sprememba</w:t>
            </w:r>
          </w:p>
        </w:tc>
      </w:tr>
      <w:tr w:rsidR="003663AF" w:rsidRPr="00B7760C" w14:paraId="4059BFF2" w14:textId="77777777" w:rsidTr="00E804B7">
        <w:trPr>
          <w:jc w:val="center"/>
        </w:trPr>
        <w:tc>
          <w:tcPr>
            <w:tcW w:w="4876" w:type="dxa"/>
            <w:hideMark/>
          </w:tcPr>
          <w:p w14:paraId="2EB28A42" w14:textId="77777777" w:rsidR="003663AF" w:rsidRPr="00B7760C" w:rsidRDefault="003663AF" w:rsidP="00E804B7">
            <w:pPr>
              <w:pStyle w:val="Normal6"/>
            </w:pPr>
            <w:r w:rsidRPr="00B7760C">
              <w:t>(c)</w:t>
            </w:r>
            <w:r w:rsidRPr="00B7760C">
              <w:tab/>
              <w:t>največjo stopnjo finančne pomoči Unije za umike s trga iz točke (a) člena 46(4) in za vrste intervencij iz člena 52(3);</w:t>
            </w:r>
          </w:p>
        </w:tc>
        <w:tc>
          <w:tcPr>
            <w:tcW w:w="4876" w:type="dxa"/>
            <w:hideMark/>
          </w:tcPr>
          <w:p w14:paraId="126ED122" w14:textId="77777777" w:rsidR="003663AF" w:rsidRPr="00B7760C" w:rsidRDefault="003663AF" w:rsidP="00E804B7">
            <w:pPr>
              <w:pStyle w:val="Normal6"/>
              <w:rPr>
                <w:szCs w:val="24"/>
              </w:rPr>
            </w:pPr>
            <w:r w:rsidRPr="00B7760C">
              <w:t>(c)</w:t>
            </w:r>
            <w:r w:rsidRPr="00B7760C">
              <w:tab/>
              <w:t>največjo stopnjo finančne pomoči Unije za umike s trga iz točke (a) člena 46(4) in za vrste intervencij iz člena 52(3)</w:t>
            </w:r>
            <w:r w:rsidRPr="00B7760C">
              <w:rPr>
                <w:b/>
                <w:i/>
              </w:rPr>
              <w:t xml:space="preserve"> ter za stroške pakiranja in prevoza umaknjenega izdelka za brezplačno razdelitev in stroške, povezane s predelavo proizvoda pred njegovo oddajo za ta namen</w:t>
            </w:r>
            <w:r w:rsidRPr="00B7760C">
              <w:t>;</w:t>
            </w:r>
          </w:p>
        </w:tc>
      </w:tr>
    </w:tbl>
    <w:p w14:paraId="4E258267" w14:textId="77777777" w:rsidR="003663AF" w:rsidRPr="00B7760C" w:rsidRDefault="003663AF" w:rsidP="003663AF"/>
    <w:p w14:paraId="10087AF1" w14:textId="492106E6" w:rsidR="003663AF" w:rsidRPr="00B7760C" w:rsidRDefault="00877691" w:rsidP="003663AF">
      <w:pPr>
        <w:pStyle w:val="AMNumberTabs"/>
        <w:keepNext/>
      </w:pPr>
      <w:r w:rsidRPr="00B7760C">
        <w:t>Sprememba</w:t>
      </w:r>
      <w:r w:rsidR="003663AF" w:rsidRPr="00B7760C">
        <w:tab/>
      </w:r>
      <w:r w:rsidR="003663AF" w:rsidRPr="00B7760C">
        <w:tab/>
        <w:t>257</w:t>
      </w:r>
    </w:p>
    <w:p w14:paraId="30613B01" w14:textId="77777777" w:rsidR="003663AF" w:rsidRPr="00B7760C" w:rsidRDefault="003663AF" w:rsidP="003663AF">
      <w:pPr>
        <w:pStyle w:val="NormalBold12b"/>
      </w:pPr>
      <w:r w:rsidRPr="00B7760C">
        <w:t>Predlog uredbe</w:t>
      </w:r>
    </w:p>
    <w:p w14:paraId="1D216BD5" w14:textId="77777777" w:rsidR="003663AF" w:rsidRPr="00B7760C" w:rsidRDefault="003663AF" w:rsidP="003663AF">
      <w:pPr>
        <w:pStyle w:val="NormalBold"/>
      </w:pPr>
      <w:r w:rsidRPr="00B7760C">
        <w:t>Člen 41 – odstavek 1 – točka c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D99A39E" w14:textId="77777777" w:rsidTr="00E804B7">
        <w:trPr>
          <w:jc w:val="center"/>
        </w:trPr>
        <w:tc>
          <w:tcPr>
            <w:tcW w:w="9752" w:type="dxa"/>
            <w:gridSpan w:val="2"/>
          </w:tcPr>
          <w:p w14:paraId="26329562" w14:textId="77777777" w:rsidR="003663AF" w:rsidRPr="00B7760C" w:rsidRDefault="003663AF" w:rsidP="00E804B7">
            <w:pPr>
              <w:keepNext/>
            </w:pPr>
          </w:p>
        </w:tc>
      </w:tr>
      <w:tr w:rsidR="003663AF" w:rsidRPr="00B7760C" w14:paraId="725B3539" w14:textId="77777777" w:rsidTr="00E804B7">
        <w:trPr>
          <w:jc w:val="center"/>
        </w:trPr>
        <w:tc>
          <w:tcPr>
            <w:tcW w:w="4876" w:type="dxa"/>
            <w:hideMark/>
          </w:tcPr>
          <w:p w14:paraId="0A26EE7F" w14:textId="77777777" w:rsidR="003663AF" w:rsidRPr="00B7760C" w:rsidRDefault="003663AF" w:rsidP="00E804B7">
            <w:pPr>
              <w:pStyle w:val="ColumnHeading"/>
              <w:keepNext/>
            </w:pPr>
            <w:r w:rsidRPr="00B7760C">
              <w:t>Besedilo, ki ga predlaga Komisija</w:t>
            </w:r>
          </w:p>
        </w:tc>
        <w:tc>
          <w:tcPr>
            <w:tcW w:w="4876" w:type="dxa"/>
            <w:hideMark/>
          </w:tcPr>
          <w:p w14:paraId="129828A0" w14:textId="131287A4" w:rsidR="003663AF" w:rsidRPr="00B7760C" w:rsidRDefault="00877691" w:rsidP="00E804B7">
            <w:pPr>
              <w:pStyle w:val="ColumnHeading"/>
              <w:keepNext/>
            </w:pPr>
            <w:r w:rsidRPr="00B7760C">
              <w:t>Sprememba</w:t>
            </w:r>
          </w:p>
        </w:tc>
      </w:tr>
      <w:tr w:rsidR="003663AF" w:rsidRPr="00B7760C" w14:paraId="2948E677" w14:textId="77777777" w:rsidTr="00E804B7">
        <w:trPr>
          <w:jc w:val="center"/>
        </w:trPr>
        <w:tc>
          <w:tcPr>
            <w:tcW w:w="4876" w:type="dxa"/>
          </w:tcPr>
          <w:p w14:paraId="3015C744" w14:textId="77777777" w:rsidR="003663AF" w:rsidRPr="00B7760C" w:rsidRDefault="003663AF" w:rsidP="00E804B7">
            <w:pPr>
              <w:pStyle w:val="Normal6"/>
            </w:pPr>
          </w:p>
        </w:tc>
        <w:tc>
          <w:tcPr>
            <w:tcW w:w="4876" w:type="dxa"/>
            <w:hideMark/>
          </w:tcPr>
          <w:p w14:paraId="4E8A4369" w14:textId="77777777" w:rsidR="003663AF" w:rsidRPr="00B7760C" w:rsidRDefault="003663AF" w:rsidP="00E804B7">
            <w:pPr>
              <w:pStyle w:val="Normal6"/>
              <w:rPr>
                <w:szCs w:val="24"/>
              </w:rPr>
            </w:pPr>
            <w:r w:rsidRPr="00B7760C">
              <w:rPr>
                <w:b/>
                <w:i/>
              </w:rPr>
              <w:t>(ca)</w:t>
            </w:r>
            <w:r w:rsidRPr="00B7760C">
              <w:rPr>
                <w:b/>
                <w:i/>
              </w:rPr>
              <w:tab/>
              <w:t>določitev pogojev za vzpostavitev in upravljanje operativnega sklada ter zahtevke za pomoč in predplačila.</w:t>
            </w:r>
          </w:p>
        </w:tc>
      </w:tr>
    </w:tbl>
    <w:p w14:paraId="6CBE3C78" w14:textId="77777777" w:rsidR="003663AF" w:rsidRPr="00B7760C" w:rsidRDefault="003663AF" w:rsidP="003663AF"/>
    <w:p w14:paraId="5922AE3F" w14:textId="5F04A425" w:rsidR="003663AF" w:rsidRPr="00B7760C" w:rsidRDefault="00877691" w:rsidP="003663AF">
      <w:pPr>
        <w:pStyle w:val="AMNumberTabs"/>
        <w:keepNext/>
      </w:pPr>
      <w:r w:rsidRPr="00B7760C">
        <w:t>Sprememba</w:t>
      </w:r>
      <w:r w:rsidR="003663AF" w:rsidRPr="00B7760C">
        <w:tab/>
      </w:r>
      <w:r w:rsidR="003663AF" w:rsidRPr="00B7760C">
        <w:tab/>
        <w:t>258</w:t>
      </w:r>
    </w:p>
    <w:p w14:paraId="22837B09" w14:textId="77777777" w:rsidR="003663AF" w:rsidRPr="00B7760C" w:rsidRDefault="003663AF" w:rsidP="003663AF">
      <w:pPr>
        <w:pStyle w:val="NormalBold12b"/>
      </w:pPr>
      <w:r w:rsidRPr="00B7760C">
        <w:t>Predlog uredbe</w:t>
      </w:r>
    </w:p>
    <w:p w14:paraId="2913BB13" w14:textId="77777777" w:rsidR="003663AF" w:rsidRPr="00B7760C" w:rsidRDefault="003663AF" w:rsidP="003663AF">
      <w:pPr>
        <w:pStyle w:val="NormalBold"/>
      </w:pPr>
      <w:r w:rsidRPr="00B7760C">
        <w:t>Člen 42 – odstavek 1 – uvodni del</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5F63FD3" w14:textId="77777777" w:rsidTr="00E804B7">
        <w:trPr>
          <w:jc w:val="center"/>
        </w:trPr>
        <w:tc>
          <w:tcPr>
            <w:tcW w:w="9752" w:type="dxa"/>
            <w:gridSpan w:val="2"/>
          </w:tcPr>
          <w:p w14:paraId="74FC8138" w14:textId="77777777" w:rsidR="003663AF" w:rsidRPr="00B7760C" w:rsidRDefault="003663AF" w:rsidP="00E804B7">
            <w:pPr>
              <w:keepNext/>
            </w:pPr>
          </w:p>
        </w:tc>
      </w:tr>
      <w:tr w:rsidR="003663AF" w:rsidRPr="00B7760C" w14:paraId="71BAAEAB" w14:textId="77777777" w:rsidTr="00E804B7">
        <w:trPr>
          <w:jc w:val="center"/>
        </w:trPr>
        <w:tc>
          <w:tcPr>
            <w:tcW w:w="4876" w:type="dxa"/>
            <w:hideMark/>
          </w:tcPr>
          <w:p w14:paraId="22FB4C82" w14:textId="77777777" w:rsidR="003663AF" w:rsidRPr="00B7760C" w:rsidRDefault="003663AF" w:rsidP="00E804B7">
            <w:pPr>
              <w:pStyle w:val="ColumnHeading"/>
              <w:keepNext/>
            </w:pPr>
            <w:r w:rsidRPr="00B7760C">
              <w:t>Besedilo, ki ga predlaga Komisija</w:t>
            </w:r>
          </w:p>
        </w:tc>
        <w:tc>
          <w:tcPr>
            <w:tcW w:w="4876" w:type="dxa"/>
            <w:hideMark/>
          </w:tcPr>
          <w:p w14:paraId="1DB2DC50" w14:textId="501A16E0" w:rsidR="003663AF" w:rsidRPr="00B7760C" w:rsidRDefault="00877691" w:rsidP="00E804B7">
            <w:pPr>
              <w:pStyle w:val="ColumnHeading"/>
              <w:keepNext/>
            </w:pPr>
            <w:r w:rsidRPr="00B7760C">
              <w:t>Sprememba</w:t>
            </w:r>
          </w:p>
        </w:tc>
      </w:tr>
      <w:tr w:rsidR="003663AF" w:rsidRPr="00B7760C" w14:paraId="74FFEB5D" w14:textId="77777777" w:rsidTr="00E804B7">
        <w:trPr>
          <w:jc w:val="center"/>
        </w:trPr>
        <w:tc>
          <w:tcPr>
            <w:tcW w:w="4876" w:type="dxa"/>
            <w:hideMark/>
          </w:tcPr>
          <w:p w14:paraId="21CBCC83" w14:textId="77777777" w:rsidR="003663AF" w:rsidRPr="00B7760C" w:rsidRDefault="003663AF" w:rsidP="00E804B7">
            <w:pPr>
              <w:pStyle w:val="Normal6"/>
            </w:pPr>
            <w:r w:rsidRPr="00B7760C">
              <w:t>V sektorju sadja in zelenjave</w:t>
            </w:r>
            <w:r w:rsidRPr="00B7760C">
              <w:rPr>
                <w:b/>
                <w:i/>
              </w:rPr>
              <w:t xml:space="preserve"> se</w:t>
            </w:r>
            <w:r w:rsidRPr="00B7760C">
              <w:t xml:space="preserve"> uresničujejo naslednji cilji:</w:t>
            </w:r>
          </w:p>
        </w:tc>
        <w:tc>
          <w:tcPr>
            <w:tcW w:w="4876" w:type="dxa"/>
            <w:hideMark/>
          </w:tcPr>
          <w:p w14:paraId="227170C5" w14:textId="77777777" w:rsidR="003663AF" w:rsidRPr="00B7760C" w:rsidRDefault="003663AF" w:rsidP="00E804B7">
            <w:pPr>
              <w:pStyle w:val="Normal6"/>
              <w:rPr>
                <w:szCs w:val="24"/>
              </w:rPr>
            </w:pPr>
            <w:r w:rsidRPr="00B7760C">
              <w:rPr>
                <w:b/>
                <w:i/>
              </w:rPr>
              <w:t xml:space="preserve">V skladu s členoma 5 in 6 o skupnih ciljih se </w:t>
            </w:r>
            <w:r w:rsidRPr="00B7760C">
              <w:t>v sektorju sadja in zelenjave uresničujejo naslednji cilji:</w:t>
            </w:r>
          </w:p>
        </w:tc>
      </w:tr>
    </w:tbl>
    <w:p w14:paraId="18F538A9" w14:textId="77777777" w:rsidR="003663AF" w:rsidRPr="00B7760C" w:rsidRDefault="003663AF" w:rsidP="003663AF"/>
    <w:p w14:paraId="128B7833" w14:textId="13EC7DBF" w:rsidR="003663AF" w:rsidRPr="00B7760C" w:rsidRDefault="00877691" w:rsidP="003663AF">
      <w:pPr>
        <w:pStyle w:val="AMNumberTabs"/>
        <w:keepNext/>
      </w:pPr>
      <w:r w:rsidRPr="00B7760C">
        <w:t>Sprememba</w:t>
      </w:r>
      <w:r w:rsidR="003663AF" w:rsidRPr="00B7760C">
        <w:tab/>
      </w:r>
      <w:r w:rsidR="003663AF" w:rsidRPr="00B7760C">
        <w:tab/>
        <w:t>259</w:t>
      </w:r>
    </w:p>
    <w:p w14:paraId="0B8EF6FA" w14:textId="77777777" w:rsidR="003663AF" w:rsidRPr="00B7760C" w:rsidRDefault="003663AF" w:rsidP="003663AF">
      <w:pPr>
        <w:pStyle w:val="NormalBold12b"/>
      </w:pPr>
      <w:r w:rsidRPr="00B7760C">
        <w:t>Predlog uredbe</w:t>
      </w:r>
    </w:p>
    <w:p w14:paraId="06A57C03" w14:textId="77777777" w:rsidR="003663AF" w:rsidRPr="00B7760C" w:rsidRDefault="003663AF" w:rsidP="003663AF">
      <w:pPr>
        <w:pStyle w:val="NormalBold"/>
      </w:pPr>
      <w:r w:rsidRPr="00B7760C">
        <w:t>Člen 42 – odstavek 1 – točka b</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B04D67A" w14:textId="77777777" w:rsidTr="00E804B7">
        <w:trPr>
          <w:jc w:val="center"/>
        </w:trPr>
        <w:tc>
          <w:tcPr>
            <w:tcW w:w="9752" w:type="dxa"/>
            <w:gridSpan w:val="2"/>
          </w:tcPr>
          <w:p w14:paraId="1593327E" w14:textId="77777777" w:rsidR="003663AF" w:rsidRPr="00B7760C" w:rsidRDefault="003663AF" w:rsidP="00E804B7">
            <w:pPr>
              <w:keepNext/>
            </w:pPr>
          </w:p>
        </w:tc>
      </w:tr>
      <w:tr w:rsidR="003663AF" w:rsidRPr="00B7760C" w14:paraId="22D816B6" w14:textId="77777777" w:rsidTr="00E804B7">
        <w:trPr>
          <w:jc w:val="center"/>
        </w:trPr>
        <w:tc>
          <w:tcPr>
            <w:tcW w:w="4876" w:type="dxa"/>
            <w:hideMark/>
          </w:tcPr>
          <w:p w14:paraId="13A4E3D5" w14:textId="77777777" w:rsidR="003663AF" w:rsidRPr="00B7760C" w:rsidRDefault="003663AF" w:rsidP="00E804B7">
            <w:pPr>
              <w:pStyle w:val="ColumnHeading"/>
              <w:keepNext/>
            </w:pPr>
            <w:r w:rsidRPr="00B7760C">
              <w:t>Besedilo, ki ga predlaga Komisija</w:t>
            </w:r>
          </w:p>
        </w:tc>
        <w:tc>
          <w:tcPr>
            <w:tcW w:w="4876" w:type="dxa"/>
            <w:hideMark/>
          </w:tcPr>
          <w:p w14:paraId="37C5303B" w14:textId="72A0D137" w:rsidR="003663AF" w:rsidRPr="00B7760C" w:rsidRDefault="00877691" w:rsidP="00E804B7">
            <w:pPr>
              <w:pStyle w:val="ColumnHeading"/>
              <w:keepNext/>
            </w:pPr>
            <w:r w:rsidRPr="00B7760C">
              <w:t>Sprememba</w:t>
            </w:r>
          </w:p>
        </w:tc>
      </w:tr>
      <w:tr w:rsidR="003663AF" w:rsidRPr="00B7760C" w14:paraId="420E6561" w14:textId="77777777" w:rsidTr="00E804B7">
        <w:trPr>
          <w:jc w:val="center"/>
        </w:trPr>
        <w:tc>
          <w:tcPr>
            <w:tcW w:w="4876" w:type="dxa"/>
            <w:hideMark/>
          </w:tcPr>
          <w:p w14:paraId="56EBFE56" w14:textId="77777777" w:rsidR="003663AF" w:rsidRPr="00B7760C" w:rsidRDefault="003663AF" w:rsidP="00E804B7">
            <w:pPr>
              <w:pStyle w:val="Normal6"/>
            </w:pPr>
            <w:r w:rsidRPr="00B7760C">
              <w:t>(b)</w:t>
            </w:r>
            <w:r w:rsidRPr="00B7760C">
              <w:tab/>
              <w:t>koncentracija ponudbe in dajanje na trg proizvodov iz sektorja sadja in zelenjave, vključno z neposrednim trženjem; ta cilja se nanašata na specifične cilje iz točk (a) in (c) člena 6(1);</w:t>
            </w:r>
          </w:p>
        </w:tc>
        <w:tc>
          <w:tcPr>
            <w:tcW w:w="4876" w:type="dxa"/>
            <w:hideMark/>
          </w:tcPr>
          <w:p w14:paraId="36890841" w14:textId="77777777" w:rsidR="003663AF" w:rsidRPr="00B7760C" w:rsidRDefault="003663AF" w:rsidP="00E804B7">
            <w:pPr>
              <w:pStyle w:val="Normal6"/>
              <w:rPr>
                <w:szCs w:val="24"/>
              </w:rPr>
            </w:pPr>
            <w:r w:rsidRPr="00B7760C">
              <w:t>(b)</w:t>
            </w:r>
            <w:r w:rsidRPr="00B7760C">
              <w:tab/>
              <w:t>koncentracija ponudbe in</w:t>
            </w:r>
            <w:r w:rsidRPr="00B7760C">
              <w:rPr>
                <w:b/>
                <w:i/>
              </w:rPr>
              <w:t>/ali</w:t>
            </w:r>
            <w:r w:rsidRPr="00B7760C">
              <w:t xml:space="preserve"> dajanje na trg proizvodov iz sektorja sadja in zelenjave, vključno z neposrednim trženjem</w:t>
            </w:r>
            <w:r w:rsidRPr="00B7760C">
              <w:rPr>
                <w:b/>
                <w:i/>
              </w:rPr>
              <w:t xml:space="preserve"> in kratkimi dobavnimi verigami, ter spodbujanje kolektivnih pogajanj o pogodbah</w:t>
            </w:r>
            <w:r w:rsidRPr="00B7760C">
              <w:t>; ta cilja se nanašata na specifične cilje iz točk (a</w:t>
            </w:r>
            <w:r w:rsidRPr="00B7760C">
              <w:rPr>
                <w:b/>
                <w:i/>
              </w:rPr>
              <w:t>), (b</w:t>
            </w:r>
            <w:r w:rsidRPr="00B7760C">
              <w:t>) in (c) člena 6(1);</w:t>
            </w:r>
          </w:p>
        </w:tc>
      </w:tr>
    </w:tbl>
    <w:p w14:paraId="3D5403D1" w14:textId="77777777" w:rsidR="003663AF" w:rsidRPr="00B7760C" w:rsidRDefault="003663AF" w:rsidP="003663AF"/>
    <w:p w14:paraId="5B235100" w14:textId="1E871A1A" w:rsidR="003663AF" w:rsidRPr="00B7760C" w:rsidRDefault="00877691" w:rsidP="003663AF">
      <w:pPr>
        <w:pStyle w:val="AMNumberTabs"/>
        <w:keepNext/>
      </w:pPr>
      <w:r w:rsidRPr="00B7760C">
        <w:t>Sprememba</w:t>
      </w:r>
      <w:r w:rsidR="003663AF" w:rsidRPr="00B7760C">
        <w:tab/>
      </w:r>
      <w:r w:rsidR="003663AF" w:rsidRPr="00B7760C">
        <w:tab/>
        <w:t>260</w:t>
      </w:r>
    </w:p>
    <w:p w14:paraId="74E7524D" w14:textId="77777777" w:rsidR="003663AF" w:rsidRPr="00B7760C" w:rsidRDefault="003663AF" w:rsidP="003663AF">
      <w:pPr>
        <w:pStyle w:val="NormalBold12b"/>
      </w:pPr>
      <w:r w:rsidRPr="00B7760C">
        <w:t>Predlog uredbe</w:t>
      </w:r>
    </w:p>
    <w:p w14:paraId="694D43FD" w14:textId="77777777" w:rsidR="003663AF" w:rsidRPr="00B7760C" w:rsidRDefault="003663AF" w:rsidP="003663AF">
      <w:pPr>
        <w:pStyle w:val="NormalBold"/>
      </w:pPr>
      <w:r w:rsidRPr="00B7760C">
        <w:t>Člen 42 – odstavek 1 – točka c</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DDD64B2" w14:textId="77777777" w:rsidTr="00E804B7">
        <w:trPr>
          <w:jc w:val="center"/>
        </w:trPr>
        <w:tc>
          <w:tcPr>
            <w:tcW w:w="9752" w:type="dxa"/>
            <w:gridSpan w:val="2"/>
          </w:tcPr>
          <w:p w14:paraId="54363007" w14:textId="77777777" w:rsidR="003663AF" w:rsidRPr="00B7760C" w:rsidRDefault="003663AF" w:rsidP="00E804B7">
            <w:pPr>
              <w:keepNext/>
            </w:pPr>
          </w:p>
        </w:tc>
      </w:tr>
      <w:tr w:rsidR="003663AF" w:rsidRPr="00B7760C" w14:paraId="37B2523E" w14:textId="77777777" w:rsidTr="00E804B7">
        <w:trPr>
          <w:jc w:val="center"/>
        </w:trPr>
        <w:tc>
          <w:tcPr>
            <w:tcW w:w="4876" w:type="dxa"/>
            <w:hideMark/>
          </w:tcPr>
          <w:p w14:paraId="716CC692" w14:textId="77777777" w:rsidR="003663AF" w:rsidRPr="00B7760C" w:rsidRDefault="003663AF" w:rsidP="00E804B7">
            <w:pPr>
              <w:pStyle w:val="ColumnHeading"/>
              <w:keepNext/>
            </w:pPr>
            <w:r w:rsidRPr="00B7760C">
              <w:t>Besedilo, ki ga predlaga Komisija</w:t>
            </w:r>
          </w:p>
        </w:tc>
        <w:tc>
          <w:tcPr>
            <w:tcW w:w="4876" w:type="dxa"/>
            <w:hideMark/>
          </w:tcPr>
          <w:p w14:paraId="750ABAEF" w14:textId="4001194F" w:rsidR="003663AF" w:rsidRPr="00B7760C" w:rsidRDefault="00877691" w:rsidP="00E804B7">
            <w:pPr>
              <w:pStyle w:val="ColumnHeading"/>
              <w:keepNext/>
            </w:pPr>
            <w:r w:rsidRPr="00B7760C">
              <w:t>Sprememba</w:t>
            </w:r>
          </w:p>
        </w:tc>
      </w:tr>
      <w:tr w:rsidR="003663AF" w:rsidRPr="00B7760C" w14:paraId="484BDF35" w14:textId="77777777" w:rsidTr="00E804B7">
        <w:trPr>
          <w:jc w:val="center"/>
        </w:trPr>
        <w:tc>
          <w:tcPr>
            <w:tcW w:w="4876" w:type="dxa"/>
            <w:hideMark/>
          </w:tcPr>
          <w:p w14:paraId="4F09F242" w14:textId="77777777" w:rsidR="003663AF" w:rsidRPr="00B7760C" w:rsidRDefault="003663AF" w:rsidP="00E804B7">
            <w:pPr>
              <w:pStyle w:val="Normal6"/>
            </w:pPr>
            <w:r w:rsidRPr="00B7760C">
              <w:t>(c)</w:t>
            </w:r>
            <w:r w:rsidRPr="00B7760C">
              <w:tab/>
              <w:t>raziskave in razvoj na področju trajnostnih proizvodnih metod, vključno z odpornostjo na škodljivce in inovativnimi praksami, ki spodbujajo gospodarsko konkurenčnost in krepijo razvoj trga; ti cilji se nanašajo na specifične cilje iz točk (a), (c) in (i) člena</w:t>
            </w:r>
            <w:r w:rsidRPr="00B7760C">
              <w:rPr>
                <w:b/>
                <w:i/>
              </w:rPr>
              <w:t xml:space="preserve"> </w:t>
            </w:r>
            <w:r w:rsidRPr="00B7760C">
              <w:t>6(1);</w:t>
            </w:r>
          </w:p>
        </w:tc>
        <w:tc>
          <w:tcPr>
            <w:tcW w:w="4876" w:type="dxa"/>
            <w:hideMark/>
          </w:tcPr>
          <w:p w14:paraId="4B9FB0BB" w14:textId="77777777" w:rsidR="003663AF" w:rsidRPr="00B7760C" w:rsidRDefault="003663AF" w:rsidP="00E804B7">
            <w:pPr>
              <w:pStyle w:val="Normal6"/>
              <w:rPr>
                <w:szCs w:val="24"/>
              </w:rPr>
            </w:pPr>
            <w:r w:rsidRPr="00B7760C">
              <w:t>(c)</w:t>
            </w:r>
            <w:r w:rsidRPr="00B7760C">
              <w:tab/>
              <w:t>raziskave in razvoj na področju trajnostnih proizvodnih metod</w:t>
            </w:r>
            <w:r w:rsidRPr="00B7760C">
              <w:rPr>
                <w:b/>
                <w:i/>
              </w:rPr>
              <w:t xml:space="preserve"> in njihova uporaba</w:t>
            </w:r>
            <w:r w:rsidRPr="00B7760C">
              <w:t>, vključno z odpornostjo na škodljivce in inovativnimi praksami, ki spodbujajo gospodarsko konkurenčnost in krepijo razvoj trga; ti cilji se nanašajo na specifične cilje iz točk (a), (</w:t>
            </w:r>
            <w:r w:rsidRPr="00B7760C">
              <w:rPr>
                <w:b/>
                <w:i/>
              </w:rPr>
              <w:t>b), (</w:t>
            </w:r>
            <w:r w:rsidRPr="00B7760C">
              <w:t>c) in (i) člena</w:t>
            </w:r>
            <w:r w:rsidRPr="00B7760C">
              <w:rPr>
                <w:b/>
                <w:i/>
              </w:rPr>
              <w:t> </w:t>
            </w:r>
            <w:r w:rsidRPr="00B7760C">
              <w:t>6(1);</w:t>
            </w:r>
          </w:p>
        </w:tc>
      </w:tr>
    </w:tbl>
    <w:p w14:paraId="21BED5F6" w14:textId="77777777" w:rsidR="003663AF" w:rsidRPr="00B7760C" w:rsidRDefault="003663AF" w:rsidP="003663AF"/>
    <w:p w14:paraId="312312D0" w14:textId="0534B894" w:rsidR="003663AF" w:rsidRPr="00B7760C" w:rsidRDefault="00877691" w:rsidP="003663AF">
      <w:pPr>
        <w:pStyle w:val="AMNumberTabs"/>
        <w:keepNext/>
      </w:pPr>
      <w:r w:rsidRPr="00B7760C">
        <w:t>Sprememba</w:t>
      </w:r>
      <w:r w:rsidR="003663AF" w:rsidRPr="00B7760C">
        <w:tab/>
      </w:r>
      <w:r w:rsidR="003663AF" w:rsidRPr="00B7760C">
        <w:tab/>
        <w:t>261</w:t>
      </w:r>
    </w:p>
    <w:p w14:paraId="2995843D" w14:textId="77777777" w:rsidR="003663AF" w:rsidRPr="00B7760C" w:rsidRDefault="003663AF" w:rsidP="003663AF">
      <w:pPr>
        <w:pStyle w:val="NormalBold12b"/>
      </w:pPr>
      <w:r w:rsidRPr="00B7760C">
        <w:t>Predlog uredbe</w:t>
      </w:r>
    </w:p>
    <w:p w14:paraId="67FEE75B" w14:textId="77777777" w:rsidR="003663AF" w:rsidRPr="00B7760C" w:rsidRDefault="003663AF" w:rsidP="003663AF">
      <w:pPr>
        <w:pStyle w:val="NormalBold"/>
      </w:pPr>
      <w:r w:rsidRPr="00B7760C">
        <w:t>Člen 42 – odstavek 1 – točka d</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89BD267" w14:textId="77777777" w:rsidTr="00E804B7">
        <w:trPr>
          <w:jc w:val="center"/>
        </w:trPr>
        <w:tc>
          <w:tcPr>
            <w:tcW w:w="9752" w:type="dxa"/>
            <w:gridSpan w:val="2"/>
          </w:tcPr>
          <w:p w14:paraId="38FE8E09" w14:textId="77777777" w:rsidR="003663AF" w:rsidRPr="00B7760C" w:rsidRDefault="003663AF" w:rsidP="00E804B7">
            <w:pPr>
              <w:keepNext/>
            </w:pPr>
          </w:p>
        </w:tc>
      </w:tr>
      <w:tr w:rsidR="003663AF" w:rsidRPr="00B7760C" w14:paraId="3160E24B" w14:textId="77777777" w:rsidTr="00E804B7">
        <w:trPr>
          <w:jc w:val="center"/>
        </w:trPr>
        <w:tc>
          <w:tcPr>
            <w:tcW w:w="4876" w:type="dxa"/>
            <w:hideMark/>
          </w:tcPr>
          <w:p w14:paraId="2CE378CF" w14:textId="77777777" w:rsidR="003663AF" w:rsidRPr="00B7760C" w:rsidRDefault="003663AF" w:rsidP="00E804B7">
            <w:pPr>
              <w:pStyle w:val="ColumnHeading"/>
              <w:keepNext/>
            </w:pPr>
            <w:r w:rsidRPr="00B7760C">
              <w:t>Besedilo, ki ga predlaga Komisija</w:t>
            </w:r>
          </w:p>
        </w:tc>
        <w:tc>
          <w:tcPr>
            <w:tcW w:w="4876" w:type="dxa"/>
            <w:hideMark/>
          </w:tcPr>
          <w:p w14:paraId="2D9E6A4D" w14:textId="5299C72D" w:rsidR="003663AF" w:rsidRPr="00B7760C" w:rsidRDefault="00877691" w:rsidP="00E804B7">
            <w:pPr>
              <w:pStyle w:val="ColumnHeading"/>
              <w:keepNext/>
            </w:pPr>
            <w:r w:rsidRPr="00B7760C">
              <w:t>Sprememba</w:t>
            </w:r>
          </w:p>
        </w:tc>
      </w:tr>
      <w:tr w:rsidR="003663AF" w:rsidRPr="00B7760C" w14:paraId="10097F49" w14:textId="77777777" w:rsidTr="00E804B7">
        <w:trPr>
          <w:jc w:val="center"/>
        </w:trPr>
        <w:tc>
          <w:tcPr>
            <w:tcW w:w="4876" w:type="dxa"/>
            <w:hideMark/>
          </w:tcPr>
          <w:p w14:paraId="6CD6144F" w14:textId="77777777" w:rsidR="003663AF" w:rsidRPr="00B7760C" w:rsidRDefault="003663AF" w:rsidP="00E804B7">
            <w:pPr>
              <w:pStyle w:val="Normal6"/>
            </w:pPr>
            <w:r w:rsidRPr="00B7760C">
              <w:t>(d)</w:t>
            </w:r>
            <w:r w:rsidRPr="00B7760C">
              <w:tab/>
              <w:t>razvoj, izvajanje in spodbujanje proizvodnih metod, ki spoštujejo okolje, okolju prijaznih postopkov gojenja in pridelave, trajnostne uporabe naravnih virov, zlasti varovanja vode, tal, zraka, biotske raznovrstnosti in drugih naravnih virov; ti cilji se nanašajo na specifične cilje iz točk (e) in (</w:t>
            </w:r>
            <w:r w:rsidRPr="00B7760C">
              <w:rPr>
                <w:b/>
                <w:i/>
              </w:rPr>
              <w:t>f</w:t>
            </w:r>
            <w:r w:rsidRPr="00B7760C">
              <w:t>) člena 6(1);</w:t>
            </w:r>
          </w:p>
        </w:tc>
        <w:tc>
          <w:tcPr>
            <w:tcW w:w="4876" w:type="dxa"/>
            <w:hideMark/>
          </w:tcPr>
          <w:p w14:paraId="6BD61C53" w14:textId="77777777" w:rsidR="003663AF" w:rsidRPr="00B7760C" w:rsidRDefault="003663AF" w:rsidP="00E804B7">
            <w:pPr>
              <w:pStyle w:val="Normal6"/>
              <w:rPr>
                <w:szCs w:val="24"/>
              </w:rPr>
            </w:pPr>
            <w:r w:rsidRPr="00B7760C">
              <w:t>(d)</w:t>
            </w:r>
            <w:r w:rsidRPr="00B7760C">
              <w:tab/>
              <w:t>razvoj, izvajanje in spodbujanje proizvodnih metod, ki spoštujejo okolje, okolju prijaznih postopkov gojenja in pridelave, trajnostne uporabe naravnih virov, zlasti varovanja vode, tal, zraka, biotske raznovrstnosti in drugih naravnih virov; ti cilji se nanašajo na specifične cilje iz točk (</w:t>
            </w:r>
            <w:r w:rsidRPr="00B7760C">
              <w:rPr>
                <w:b/>
                <w:i/>
              </w:rPr>
              <w:t>d), (</w:t>
            </w:r>
            <w:r w:rsidRPr="00B7760C">
              <w:t>e)</w:t>
            </w:r>
            <w:r w:rsidRPr="00B7760C">
              <w:rPr>
                <w:b/>
                <w:i/>
              </w:rPr>
              <w:t>, (f)</w:t>
            </w:r>
            <w:r w:rsidRPr="00B7760C">
              <w:t xml:space="preserve"> in (</w:t>
            </w:r>
            <w:r w:rsidRPr="00B7760C">
              <w:rPr>
                <w:b/>
                <w:i/>
              </w:rPr>
              <w:t>i</w:t>
            </w:r>
            <w:r w:rsidRPr="00B7760C">
              <w:t>) člena 6(1);</w:t>
            </w:r>
          </w:p>
        </w:tc>
      </w:tr>
    </w:tbl>
    <w:p w14:paraId="5764D2FC" w14:textId="77777777" w:rsidR="003663AF" w:rsidRPr="00B7760C" w:rsidRDefault="003663AF" w:rsidP="003663AF"/>
    <w:p w14:paraId="51FEE19E" w14:textId="707AF923" w:rsidR="003663AF" w:rsidRPr="00B7760C" w:rsidRDefault="00877691" w:rsidP="003663AF">
      <w:pPr>
        <w:pStyle w:val="AMNumberTabs"/>
        <w:keepNext/>
      </w:pPr>
      <w:r w:rsidRPr="00B7760C">
        <w:t>Sprememba</w:t>
      </w:r>
      <w:r w:rsidR="003663AF" w:rsidRPr="00B7760C">
        <w:tab/>
      </w:r>
      <w:r w:rsidR="003663AF" w:rsidRPr="00B7760C">
        <w:tab/>
        <w:t>262</w:t>
      </w:r>
    </w:p>
    <w:p w14:paraId="3A223C98" w14:textId="77777777" w:rsidR="003663AF" w:rsidRPr="00B7760C" w:rsidRDefault="003663AF" w:rsidP="003663AF">
      <w:pPr>
        <w:pStyle w:val="NormalBold12b"/>
      </w:pPr>
      <w:r w:rsidRPr="00B7760C">
        <w:t>Predlog uredbe</w:t>
      </w:r>
    </w:p>
    <w:p w14:paraId="4E7B7706" w14:textId="77777777" w:rsidR="003663AF" w:rsidRPr="00B7760C" w:rsidRDefault="003663AF" w:rsidP="003663AF">
      <w:pPr>
        <w:pStyle w:val="NormalBold"/>
      </w:pPr>
      <w:r w:rsidRPr="00B7760C">
        <w:t>Člen 42 – odstavek 1 – točka f</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807441D" w14:textId="77777777" w:rsidTr="00E804B7">
        <w:trPr>
          <w:jc w:val="center"/>
        </w:trPr>
        <w:tc>
          <w:tcPr>
            <w:tcW w:w="9752" w:type="dxa"/>
            <w:gridSpan w:val="2"/>
          </w:tcPr>
          <w:p w14:paraId="7191F8EB" w14:textId="77777777" w:rsidR="003663AF" w:rsidRPr="00B7760C" w:rsidRDefault="003663AF" w:rsidP="00E804B7">
            <w:pPr>
              <w:keepNext/>
            </w:pPr>
          </w:p>
        </w:tc>
      </w:tr>
      <w:tr w:rsidR="003663AF" w:rsidRPr="00B7760C" w14:paraId="1296863B" w14:textId="77777777" w:rsidTr="00E804B7">
        <w:trPr>
          <w:jc w:val="center"/>
        </w:trPr>
        <w:tc>
          <w:tcPr>
            <w:tcW w:w="4876" w:type="dxa"/>
            <w:hideMark/>
          </w:tcPr>
          <w:p w14:paraId="19CCC003" w14:textId="77777777" w:rsidR="003663AF" w:rsidRPr="00B7760C" w:rsidRDefault="003663AF" w:rsidP="00E804B7">
            <w:pPr>
              <w:pStyle w:val="ColumnHeading"/>
              <w:keepNext/>
            </w:pPr>
            <w:r w:rsidRPr="00B7760C">
              <w:t>Besedilo, ki ga predlaga Komisija</w:t>
            </w:r>
          </w:p>
        </w:tc>
        <w:tc>
          <w:tcPr>
            <w:tcW w:w="4876" w:type="dxa"/>
            <w:hideMark/>
          </w:tcPr>
          <w:p w14:paraId="5EEF04C3" w14:textId="38B4B438" w:rsidR="003663AF" w:rsidRPr="00B7760C" w:rsidRDefault="00877691" w:rsidP="00E804B7">
            <w:pPr>
              <w:pStyle w:val="ColumnHeading"/>
              <w:keepNext/>
            </w:pPr>
            <w:r w:rsidRPr="00B7760C">
              <w:t>Sprememba</w:t>
            </w:r>
          </w:p>
        </w:tc>
      </w:tr>
      <w:tr w:rsidR="003663AF" w:rsidRPr="00B7760C" w14:paraId="61F5EBC8" w14:textId="77777777" w:rsidTr="00E804B7">
        <w:trPr>
          <w:jc w:val="center"/>
        </w:trPr>
        <w:tc>
          <w:tcPr>
            <w:tcW w:w="4876" w:type="dxa"/>
            <w:hideMark/>
          </w:tcPr>
          <w:p w14:paraId="33A853A9" w14:textId="77777777" w:rsidR="003663AF" w:rsidRPr="00B7760C" w:rsidRDefault="003663AF" w:rsidP="00E804B7">
            <w:pPr>
              <w:pStyle w:val="Normal6"/>
            </w:pPr>
            <w:r w:rsidRPr="00B7760C">
              <w:t>(f)</w:t>
            </w:r>
            <w:r w:rsidRPr="00B7760C">
              <w:tab/>
              <w:t xml:space="preserve">povečanje tržne vrednosti in kakovosti proizvodov, vključno z izboljšanjem </w:t>
            </w:r>
            <w:r w:rsidRPr="00B7760C">
              <w:rPr>
                <w:b/>
                <w:i/>
              </w:rPr>
              <w:t>kakovosti proizvodov</w:t>
            </w:r>
            <w:r w:rsidRPr="00B7760C">
              <w:t xml:space="preserve"> in razvijanjem proizvodov z zaščiteno označbo porekla in zaščiteno geografsko označbo ali proizvodov, ki so zajeti v </w:t>
            </w:r>
            <w:r w:rsidRPr="00B7760C">
              <w:rPr>
                <w:b/>
                <w:i/>
              </w:rPr>
              <w:t>nacionalni shemi</w:t>
            </w:r>
            <w:r w:rsidRPr="00B7760C">
              <w:t xml:space="preserve"> kakovosti; ti cilji se nanašajo na specifični cilj iz točke (b) člena 6(1);</w:t>
            </w:r>
          </w:p>
        </w:tc>
        <w:tc>
          <w:tcPr>
            <w:tcW w:w="4876" w:type="dxa"/>
            <w:hideMark/>
          </w:tcPr>
          <w:p w14:paraId="5B9E4625" w14:textId="77777777" w:rsidR="003663AF" w:rsidRPr="00B7760C" w:rsidRDefault="003663AF" w:rsidP="00E804B7">
            <w:pPr>
              <w:pStyle w:val="Normal6"/>
              <w:rPr>
                <w:szCs w:val="24"/>
              </w:rPr>
            </w:pPr>
            <w:r w:rsidRPr="00B7760C">
              <w:t>(f)</w:t>
            </w:r>
            <w:r w:rsidRPr="00B7760C">
              <w:tab/>
              <w:t xml:space="preserve">povečanje tržne vrednosti in kakovosti proizvodov, vključno z izboljšanjem </w:t>
            </w:r>
            <w:r w:rsidRPr="00B7760C">
              <w:rPr>
                <w:b/>
                <w:i/>
              </w:rPr>
              <w:t>proizvodov za predelavo</w:t>
            </w:r>
            <w:r w:rsidRPr="00B7760C">
              <w:t xml:space="preserve"> in razvijanjem proizvodov z zaščiteno označbo porekla in zaščiteno geografsko označbo ali proizvodov, ki so zajeti v </w:t>
            </w:r>
            <w:r w:rsidRPr="00B7760C">
              <w:rPr>
                <w:b/>
                <w:i/>
              </w:rPr>
              <w:t>drugih javnih ali zasebnih shemah</w:t>
            </w:r>
            <w:r w:rsidRPr="00B7760C">
              <w:t xml:space="preserve"> kakovosti; ti cilji se nanašajo na specifični cilj iz točke (b) člena 6(1);</w:t>
            </w:r>
          </w:p>
        </w:tc>
      </w:tr>
    </w:tbl>
    <w:p w14:paraId="3263388A" w14:textId="77777777" w:rsidR="003663AF" w:rsidRPr="00B7760C" w:rsidRDefault="003663AF" w:rsidP="003663AF"/>
    <w:p w14:paraId="237CDAA7" w14:textId="07728F9B" w:rsidR="003663AF" w:rsidRPr="00B7760C" w:rsidRDefault="00877691" w:rsidP="003663AF">
      <w:pPr>
        <w:pStyle w:val="AMNumberTabs"/>
        <w:keepNext/>
      </w:pPr>
      <w:r w:rsidRPr="00B7760C">
        <w:t>Sprememba</w:t>
      </w:r>
      <w:r w:rsidR="003663AF" w:rsidRPr="00B7760C">
        <w:tab/>
      </w:r>
      <w:r w:rsidR="003663AF" w:rsidRPr="00B7760C">
        <w:tab/>
        <w:t>263</w:t>
      </w:r>
    </w:p>
    <w:p w14:paraId="07DD0E51" w14:textId="77777777" w:rsidR="003663AF" w:rsidRPr="00B7760C" w:rsidRDefault="003663AF" w:rsidP="003663AF">
      <w:pPr>
        <w:pStyle w:val="NormalBold12b"/>
      </w:pPr>
      <w:r w:rsidRPr="00B7760C">
        <w:t>Predlog uredbe</w:t>
      </w:r>
    </w:p>
    <w:p w14:paraId="467ADE24" w14:textId="77777777" w:rsidR="003663AF" w:rsidRPr="00B7760C" w:rsidRDefault="003663AF" w:rsidP="003663AF">
      <w:pPr>
        <w:pStyle w:val="NormalBold"/>
      </w:pPr>
      <w:r w:rsidRPr="00B7760C">
        <w:t>Člen 42 – odstavek 1 – točka g</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4689CC9" w14:textId="77777777" w:rsidTr="00E804B7">
        <w:trPr>
          <w:jc w:val="center"/>
        </w:trPr>
        <w:tc>
          <w:tcPr>
            <w:tcW w:w="9752" w:type="dxa"/>
            <w:gridSpan w:val="2"/>
          </w:tcPr>
          <w:p w14:paraId="72A8E510" w14:textId="77777777" w:rsidR="003663AF" w:rsidRPr="00B7760C" w:rsidRDefault="003663AF" w:rsidP="00E804B7">
            <w:pPr>
              <w:keepNext/>
            </w:pPr>
          </w:p>
        </w:tc>
      </w:tr>
      <w:tr w:rsidR="003663AF" w:rsidRPr="00B7760C" w14:paraId="58736E4A" w14:textId="77777777" w:rsidTr="00E804B7">
        <w:trPr>
          <w:jc w:val="center"/>
        </w:trPr>
        <w:tc>
          <w:tcPr>
            <w:tcW w:w="4876" w:type="dxa"/>
            <w:hideMark/>
          </w:tcPr>
          <w:p w14:paraId="4C539C2B" w14:textId="77777777" w:rsidR="003663AF" w:rsidRPr="00B7760C" w:rsidRDefault="003663AF" w:rsidP="00E804B7">
            <w:pPr>
              <w:pStyle w:val="ColumnHeading"/>
              <w:keepNext/>
            </w:pPr>
            <w:r w:rsidRPr="00B7760C">
              <w:t>Besedilo, ki ga predlaga Komisija</w:t>
            </w:r>
          </w:p>
        </w:tc>
        <w:tc>
          <w:tcPr>
            <w:tcW w:w="4876" w:type="dxa"/>
            <w:hideMark/>
          </w:tcPr>
          <w:p w14:paraId="3E9AEC99" w14:textId="50FBD6D1" w:rsidR="003663AF" w:rsidRPr="00B7760C" w:rsidRDefault="00877691" w:rsidP="00E804B7">
            <w:pPr>
              <w:pStyle w:val="ColumnHeading"/>
              <w:keepNext/>
            </w:pPr>
            <w:r w:rsidRPr="00B7760C">
              <w:t>Sprememba</w:t>
            </w:r>
          </w:p>
        </w:tc>
      </w:tr>
      <w:tr w:rsidR="003663AF" w:rsidRPr="00B7760C" w14:paraId="0F0ED388" w14:textId="77777777" w:rsidTr="00E804B7">
        <w:trPr>
          <w:jc w:val="center"/>
        </w:trPr>
        <w:tc>
          <w:tcPr>
            <w:tcW w:w="4876" w:type="dxa"/>
            <w:hideMark/>
          </w:tcPr>
          <w:p w14:paraId="5F5AFC60" w14:textId="77777777" w:rsidR="003663AF" w:rsidRPr="00B7760C" w:rsidRDefault="003663AF" w:rsidP="00E804B7">
            <w:pPr>
              <w:pStyle w:val="Normal6"/>
            </w:pPr>
            <w:r w:rsidRPr="00B7760C">
              <w:t>(g)</w:t>
            </w:r>
            <w:r w:rsidRPr="00B7760C">
              <w:tab/>
              <w:t xml:space="preserve">promocija in trženja proizvodov iz sektorja sadja in zelenjave, svežih ali predelanih; </w:t>
            </w:r>
            <w:r w:rsidRPr="00B7760C">
              <w:rPr>
                <w:b/>
                <w:i/>
              </w:rPr>
              <w:t>ta cilja</w:t>
            </w:r>
            <w:r w:rsidRPr="00B7760C">
              <w:t xml:space="preserve"> se </w:t>
            </w:r>
            <w:r w:rsidRPr="00B7760C">
              <w:rPr>
                <w:b/>
                <w:i/>
              </w:rPr>
              <w:t>nanašata</w:t>
            </w:r>
            <w:r w:rsidRPr="00B7760C">
              <w:t xml:space="preserve"> na specifične cilje iz točk (b)</w:t>
            </w:r>
            <w:r w:rsidRPr="00B7760C">
              <w:rPr>
                <w:b/>
                <w:i/>
              </w:rPr>
              <w:t xml:space="preserve"> in</w:t>
            </w:r>
            <w:r w:rsidRPr="00B7760C">
              <w:t xml:space="preserve"> (c) člena</w:t>
            </w:r>
            <w:r w:rsidRPr="00B7760C">
              <w:rPr>
                <w:b/>
                <w:i/>
              </w:rPr>
              <w:t> </w:t>
            </w:r>
            <w:r w:rsidRPr="00B7760C">
              <w:t>6(1);</w:t>
            </w:r>
          </w:p>
        </w:tc>
        <w:tc>
          <w:tcPr>
            <w:tcW w:w="4876" w:type="dxa"/>
            <w:hideMark/>
          </w:tcPr>
          <w:p w14:paraId="4090D381" w14:textId="77777777" w:rsidR="003663AF" w:rsidRPr="00B7760C" w:rsidRDefault="003663AF" w:rsidP="00E804B7">
            <w:pPr>
              <w:pStyle w:val="Normal6"/>
              <w:rPr>
                <w:szCs w:val="24"/>
              </w:rPr>
            </w:pPr>
            <w:r w:rsidRPr="00B7760C">
              <w:t>(g)</w:t>
            </w:r>
            <w:r w:rsidRPr="00B7760C">
              <w:tab/>
              <w:t xml:space="preserve">promocija in trženja proizvodov iz sektorja sadja in zelenjave, svežih ali predelanih; </w:t>
            </w:r>
            <w:r w:rsidRPr="00B7760C">
              <w:rPr>
                <w:b/>
                <w:i/>
              </w:rPr>
              <w:t>ti cilji</w:t>
            </w:r>
            <w:r w:rsidRPr="00B7760C">
              <w:t xml:space="preserve"> se </w:t>
            </w:r>
            <w:r w:rsidRPr="00B7760C">
              <w:rPr>
                <w:b/>
                <w:i/>
              </w:rPr>
              <w:t>nanašajo</w:t>
            </w:r>
            <w:r w:rsidRPr="00B7760C">
              <w:t xml:space="preserve"> na specifične cilje iz točk (b)</w:t>
            </w:r>
            <w:r w:rsidRPr="00B7760C">
              <w:rPr>
                <w:b/>
                <w:i/>
              </w:rPr>
              <w:t>,</w:t>
            </w:r>
            <w:r w:rsidRPr="00B7760C">
              <w:t xml:space="preserve"> (c) </w:t>
            </w:r>
            <w:r w:rsidRPr="00B7760C">
              <w:rPr>
                <w:b/>
                <w:i/>
              </w:rPr>
              <w:t>in (i)</w:t>
            </w:r>
            <w:r w:rsidRPr="00B7760C">
              <w:t>člena</w:t>
            </w:r>
            <w:r w:rsidRPr="00B7760C">
              <w:rPr>
                <w:b/>
                <w:i/>
              </w:rPr>
              <w:t xml:space="preserve"> </w:t>
            </w:r>
            <w:r w:rsidRPr="00B7760C">
              <w:t>6(1);</w:t>
            </w:r>
          </w:p>
        </w:tc>
      </w:tr>
    </w:tbl>
    <w:p w14:paraId="46D5CFD0" w14:textId="77777777" w:rsidR="003663AF" w:rsidRPr="00B7760C" w:rsidRDefault="003663AF" w:rsidP="003663AF"/>
    <w:p w14:paraId="13923C60" w14:textId="686D01E4" w:rsidR="003663AF" w:rsidRPr="00B7760C" w:rsidRDefault="00877691" w:rsidP="003663AF">
      <w:pPr>
        <w:pStyle w:val="AMNumberTabs"/>
        <w:keepNext/>
      </w:pPr>
      <w:r w:rsidRPr="00B7760C">
        <w:t>Sprememba</w:t>
      </w:r>
      <w:r w:rsidR="003663AF" w:rsidRPr="00B7760C">
        <w:tab/>
      </w:r>
      <w:r w:rsidR="003663AF" w:rsidRPr="00B7760C">
        <w:tab/>
        <w:t>264</w:t>
      </w:r>
    </w:p>
    <w:p w14:paraId="6C22F23C" w14:textId="77777777" w:rsidR="003663AF" w:rsidRPr="00B7760C" w:rsidRDefault="003663AF" w:rsidP="003663AF">
      <w:pPr>
        <w:pStyle w:val="NormalBold12b"/>
      </w:pPr>
      <w:r w:rsidRPr="00B7760C">
        <w:t>Predlog uredbe</w:t>
      </w:r>
    </w:p>
    <w:p w14:paraId="13B3CCF4" w14:textId="77777777" w:rsidR="003663AF" w:rsidRPr="00B7760C" w:rsidRDefault="003663AF" w:rsidP="003663AF">
      <w:pPr>
        <w:pStyle w:val="NormalBold"/>
      </w:pPr>
      <w:r w:rsidRPr="00B7760C">
        <w:t>Člen 42 – odstavek 1 – točka i</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7182216" w14:textId="77777777" w:rsidTr="00E804B7">
        <w:trPr>
          <w:jc w:val="center"/>
        </w:trPr>
        <w:tc>
          <w:tcPr>
            <w:tcW w:w="9752" w:type="dxa"/>
            <w:gridSpan w:val="2"/>
          </w:tcPr>
          <w:p w14:paraId="73CA6881" w14:textId="77777777" w:rsidR="003663AF" w:rsidRPr="00B7760C" w:rsidRDefault="003663AF" w:rsidP="00E804B7">
            <w:pPr>
              <w:keepNext/>
            </w:pPr>
          </w:p>
        </w:tc>
      </w:tr>
      <w:tr w:rsidR="003663AF" w:rsidRPr="00B7760C" w14:paraId="3AE3E64D" w14:textId="77777777" w:rsidTr="00E804B7">
        <w:trPr>
          <w:jc w:val="center"/>
        </w:trPr>
        <w:tc>
          <w:tcPr>
            <w:tcW w:w="4876" w:type="dxa"/>
            <w:hideMark/>
          </w:tcPr>
          <w:p w14:paraId="33E07E55" w14:textId="77777777" w:rsidR="003663AF" w:rsidRPr="00B7760C" w:rsidRDefault="003663AF" w:rsidP="00E804B7">
            <w:pPr>
              <w:pStyle w:val="ColumnHeading"/>
              <w:keepNext/>
            </w:pPr>
            <w:r w:rsidRPr="00B7760C">
              <w:t>Besedilo, ki ga predlaga Komisija</w:t>
            </w:r>
          </w:p>
        </w:tc>
        <w:tc>
          <w:tcPr>
            <w:tcW w:w="4876" w:type="dxa"/>
            <w:hideMark/>
          </w:tcPr>
          <w:p w14:paraId="465B62A3" w14:textId="38EE6C3C" w:rsidR="003663AF" w:rsidRPr="00B7760C" w:rsidRDefault="00877691" w:rsidP="00E804B7">
            <w:pPr>
              <w:pStyle w:val="ColumnHeading"/>
              <w:keepNext/>
            </w:pPr>
            <w:r w:rsidRPr="00B7760C">
              <w:t>Sprememba</w:t>
            </w:r>
          </w:p>
        </w:tc>
      </w:tr>
      <w:tr w:rsidR="003663AF" w:rsidRPr="00B7760C" w14:paraId="11DB7F12" w14:textId="77777777" w:rsidTr="00E804B7">
        <w:trPr>
          <w:jc w:val="center"/>
        </w:trPr>
        <w:tc>
          <w:tcPr>
            <w:tcW w:w="4876" w:type="dxa"/>
            <w:hideMark/>
          </w:tcPr>
          <w:p w14:paraId="5406DEB4" w14:textId="77777777" w:rsidR="003663AF" w:rsidRPr="00B7760C" w:rsidRDefault="003663AF" w:rsidP="00E804B7">
            <w:pPr>
              <w:pStyle w:val="Normal6"/>
            </w:pPr>
            <w:r w:rsidRPr="00B7760C">
              <w:t>(i)</w:t>
            </w:r>
            <w:r w:rsidRPr="00B7760C">
              <w:tab/>
              <w:t xml:space="preserve">preprečevanje kriz in obvladovanje tveganj, </w:t>
            </w:r>
            <w:r w:rsidRPr="00B7760C">
              <w:rPr>
                <w:b/>
                <w:i/>
              </w:rPr>
              <w:t>namenjena</w:t>
            </w:r>
            <w:r w:rsidRPr="00B7760C">
              <w:t xml:space="preserve"> preprečevanju in reševanju kriz na trgih sadja in zelenjave; ta cilja se nanašata na specifične cilje iz točk (a), (b) in (c) člena 6(1)</w:t>
            </w:r>
            <w:r w:rsidRPr="00B7760C">
              <w:rPr>
                <w:b/>
                <w:i/>
              </w:rPr>
              <w:t>.</w:t>
            </w:r>
          </w:p>
        </w:tc>
        <w:tc>
          <w:tcPr>
            <w:tcW w:w="4876" w:type="dxa"/>
            <w:hideMark/>
          </w:tcPr>
          <w:p w14:paraId="269A8B37" w14:textId="77777777" w:rsidR="003663AF" w:rsidRPr="00B7760C" w:rsidRDefault="003663AF" w:rsidP="00E804B7">
            <w:pPr>
              <w:pStyle w:val="Normal6"/>
              <w:rPr>
                <w:szCs w:val="24"/>
              </w:rPr>
            </w:pPr>
            <w:r w:rsidRPr="00B7760C">
              <w:t>(i)</w:t>
            </w:r>
            <w:r w:rsidRPr="00B7760C">
              <w:tab/>
              <w:t xml:space="preserve">preprečevanje kriz </w:t>
            </w:r>
            <w:r w:rsidRPr="00B7760C">
              <w:rPr>
                <w:b/>
                <w:i/>
              </w:rPr>
              <w:t xml:space="preserve">ter blažitev </w:t>
            </w:r>
            <w:r w:rsidRPr="00B7760C">
              <w:t xml:space="preserve">in obvladovanje tveganj, </w:t>
            </w:r>
            <w:r w:rsidRPr="00B7760C">
              <w:rPr>
                <w:b/>
                <w:i/>
              </w:rPr>
              <w:t>vključno s fitosanitarnimi vidiki, namenjeni</w:t>
            </w:r>
            <w:r w:rsidRPr="00B7760C">
              <w:t xml:space="preserve"> preprečevanju in reševanju kriz na trgih sadja in zelenjave; ta cilja se nanašata na specifične cilje iz točk (a), (b) in (c) člena 6(1)</w:t>
            </w:r>
            <w:r w:rsidRPr="00B7760C">
              <w:rPr>
                <w:b/>
                <w:i/>
              </w:rPr>
              <w:t>;</w:t>
            </w:r>
          </w:p>
        </w:tc>
      </w:tr>
    </w:tbl>
    <w:p w14:paraId="2CA690F5" w14:textId="77777777" w:rsidR="003663AF" w:rsidRPr="00B7760C" w:rsidRDefault="003663AF" w:rsidP="003663AF"/>
    <w:p w14:paraId="0D13E26B" w14:textId="2DBAFC8F" w:rsidR="003663AF" w:rsidRPr="00B7760C" w:rsidRDefault="00877691" w:rsidP="003663AF">
      <w:pPr>
        <w:pStyle w:val="AMNumberTabs"/>
        <w:keepNext/>
      </w:pPr>
      <w:r w:rsidRPr="00B7760C">
        <w:t>Sprememba</w:t>
      </w:r>
      <w:r w:rsidR="003663AF" w:rsidRPr="00B7760C">
        <w:tab/>
      </w:r>
      <w:r w:rsidR="003663AF" w:rsidRPr="00B7760C">
        <w:tab/>
        <w:t>265</w:t>
      </w:r>
    </w:p>
    <w:p w14:paraId="4EE1ED6D" w14:textId="77777777" w:rsidR="003663AF" w:rsidRPr="00B7760C" w:rsidRDefault="003663AF" w:rsidP="003663AF">
      <w:pPr>
        <w:pStyle w:val="NormalBold12b"/>
      </w:pPr>
      <w:r w:rsidRPr="00B7760C">
        <w:t>Predlog uredbe</w:t>
      </w:r>
    </w:p>
    <w:p w14:paraId="4C5E3E2C" w14:textId="77777777" w:rsidR="003663AF" w:rsidRPr="00B7760C" w:rsidRDefault="003663AF" w:rsidP="003663AF">
      <w:pPr>
        <w:pStyle w:val="NormalBold"/>
      </w:pPr>
      <w:r w:rsidRPr="00B7760C">
        <w:t>Člen 42 – odstavek 1 – točka i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F3771CB" w14:textId="77777777" w:rsidTr="00E804B7">
        <w:trPr>
          <w:jc w:val="center"/>
        </w:trPr>
        <w:tc>
          <w:tcPr>
            <w:tcW w:w="9752" w:type="dxa"/>
            <w:gridSpan w:val="2"/>
          </w:tcPr>
          <w:p w14:paraId="5683F413" w14:textId="77777777" w:rsidR="003663AF" w:rsidRPr="00B7760C" w:rsidRDefault="003663AF" w:rsidP="00E804B7">
            <w:pPr>
              <w:keepNext/>
            </w:pPr>
          </w:p>
        </w:tc>
      </w:tr>
      <w:tr w:rsidR="003663AF" w:rsidRPr="00B7760C" w14:paraId="3B3D7683" w14:textId="77777777" w:rsidTr="00E804B7">
        <w:trPr>
          <w:jc w:val="center"/>
        </w:trPr>
        <w:tc>
          <w:tcPr>
            <w:tcW w:w="4876" w:type="dxa"/>
            <w:hideMark/>
          </w:tcPr>
          <w:p w14:paraId="2D153A03" w14:textId="77777777" w:rsidR="003663AF" w:rsidRPr="00B7760C" w:rsidRDefault="003663AF" w:rsidP="00E804B7">
            <w:pPr>
              <w:pStyle w:val="ColumnHeading"/>
              <w:keepNext/>
            </w:pPr>
            <w:r w:rsidRPr="00B7760C">
              <w:t>Besedilo, ki ga predlaga Komisija</w:t>
            </w:r>
          </w:p>
        </w:tc>
        <w:tc>
          <w:tcPr>
            <w:tcW w:w="4876" w:type="dxa"/>
            <w:hideMark/>
          </w:tcPr>
          <w:p w14:paraId="225F4096" w14:textId="7977CDB7" w:rsidR="003663AF" w:rsidRPr="00B7760C" w:rsidRDefault="00877691" w:rsidP="00E804B7">
            <w:pPr>
              <w:pStyle w:val="ColumnHeading"/>
              <w:keepNext/>
            </w:pPr>
            <w:r w:rsidRPr="00B7760C">
              <w:t>Sprememba</w:t>
            </w:r>
          </w:p>
        </w:tc>
      </w:tr>
      <w:tr w:rsidR="003663AF" w:rsidRPr="00B7760C" w14:paraId="37ADD88F" w14:textId="77777777" w:rsidTr="00E804B7">
        <w:trPr>
          <w:jc w:val="center"/>
        </w:trPr>
        <w:tc>
          <w:tcPr>
            <w:tcW w:w="4876" w:type="dxa"/>
          </w:tcPr>
          <w:p w14:paraId="3FF84606" w14:textId="77777777" w:rsidR="003663AF" w:rsidRPr="00B7760C" w:rsidRDefault="003663AF" w:rsidP="00E804B7">
            <w:pPr>
              <w:pStyle w:val="Normal6"/>
            </w:pPr>
          </w:p>
        </w:tc>
        <w:tc>
          <w:tcPr>
            <w:tcW w:w="4876" w:type="dxa"/>
            <w:hideMark/>
          </w:tcPr>
          <w:p w14:paraId="32A32421" w14:textId="77777777" w:rsidR="003663AF" w:rsidRPr="00B7760C" w:rsidRDefault="003663AF" w:rsidP="00E804B7">
            <w:pPr>
              <w:pStyle w:val="Normal6"/>
              <w:rPr>
                <w:szCs w:val="24"/>
              </w:rPr>
            </w:pPr>
            <w:r w:rsidRPr="00B7760C">
              <w:rPr>
                <w:b/>
                <w:i/>
              </w:rPr>
              <w:t>(ia)</w:t>
            </w:r>
            <w:r w:rsidRPr="00B7760C">
              <w:rPr>
                <w:b/>
                <w:i/>
              </w:rPr>
              <w:tab/>
              <w:t>upravljanje in zmanjševanje stranskih proizvodov in odpadkov;</w:t>
            </w:r>
          </w:p>
        </w:tc>
      </w:tr>
    </w:tbl>
    <w:p w14:paraId="2359C63C" w14:textId="77777777" w:rsidR="003663AF" w:rsidRPr="00B7760C" w:rsidRDefault="003663AF" w:rsidP="003663AF"/>
    <w:p w14:paraId="4616AEEF" w14:textId="041BE889" w:rsidR="003663AF" w:rsidRPr="00B7760C" w:rsidRDefault="00877691" w:rsidP="003663AF">
      <w:pPr>
        <w:pStyle w:val="AMNumberTabs"/>
        <w:keepNext/>
      </w:pPr>
      <w:r w:rsidRPr="00B7760C">
        <w:t>Sprememba</w:t>
      </w:r>
      <w:r w:rsidR="003663AF" w:rsidRPr="00B7760C">
        <w:tab/>
      </w:r>
      <w:r w:rsidR="003663AF" w:rsidRPr="00B7760C">
        <w:tab/>
        <w:t>266</w:t>
      </w:r>
    </w:p>
    <w:p w14:paraId="6F41D712" w14:textId="77777777" w:rsidR="003663AF" w:rsidRPr="00B7760C" w:rsidRDefault="003663AF" w:rsidP="003663AF">
      <w:pPr>
        <w:pStyle w:val="NormalBold12b"/>
      </w:pPr>
      <w:r w:rsidRPr="00B7760C">
        <w:t>Predlog uredbe</w:t>
      </w:r>
    </w:p>
    <w:p w14:paraId="4BE4BBFC" w14:textId="77777777" w:rsidR="003663AF" w:rsidRPr="00B7760C" w:rsidRDefault="003663AF" w:rsidP="003663AF">
      <w:pPr>
        <w:pStyle w:val="NormalBold"/>
      </w:pPr>
      <w:r w:rsidRPr="00B7760C">
        <w:t>Člen 42 – odstavek 1 – točka i b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7F714B4" w14:textId="77777777" w:rsidTr="00E804B7">
        <w:trPr>
          <w:jc w:val="center"/>
        </w:trPr>
        <w:tc>
          <w:tcPr>
            <w:tcW w:w="9752" w:type="dxa"/>
            <w:gridSpan w:val="2"/>
          </w:tcPr>
          <w:p w14:paraId="210C827F" w14:textId="77777777" w:rsidR="003663AF" w:rsidRPr="00B7760C" w:rsidRDefault="003663AF" w:rsidP="00E804B7">
            <w:pPr>
              <w:keepNext/>
            </w:pPr>
          </w:p>
        </w:tc>
      </w:tr>
      <w:tr w:rsidR="003663AF" w:rsidRPr="00B7760C" w14:paraId="430293AF" w14:textId="77777777" w:rsidTr="00E804B7">
        <w:trPr>
          <w:jc w:val="center"/>
        </w:trPr>
        <w:tc>
          <w:tcPr>
            <w:tcW w:w="4876" w:type="dxa"/>
            <w:hideMark/>
          </w:tcPr>
          <w:p w14:paraId="5CE24409" w14:textId="77777777" w:rsidR="003663AF" w:rsidRPr="00B7760C" w:rsidRDefault="003663AF" w:rsidP="00E804B7">
            <w:pPr>
              <w:pStyle w:val="ColumnHeading"/>
              <w:keepNext/>
            </w:pPr>
            <w:r w:rsidRPr="00B7760C">
              <w:t>Besedilo, ki ga predlaga Komisija</w:t>
            </w:r>
          </w:p>
        </w:tc>
        <w:tc>
          <w:tcPr>
            <w:tcW w:w="4876" w:type="dxa"/>
            <w:hideMark/>
          </w:tcPr>
          <w:p w14:paraId="6F58F6D7" w14:textId="3DB47768" w:rsidR="003663AF" w:rsidRPr="00B7760C" w:rsidRDefault="00877691" w:rsidP="00E804B7">
            <w:pPr>
              <w:pStyle w:val="ColumnHeading"/>
              <w:keepNext/>
            </w:pPr>
            <w:r w:rsidRPr="00B7760C">
              <w:t>Sprememba</w:t>
            </w:r>
          </w:p>
        </w:tc>
      </w:tr>
      <w:tr w:rsidR="003663AF" w:rsidRPr="00B7760C" w14:paraId="4E55EC0C" w14:textId="77777777" w:rsidTr="00E804B7">
        <w:trPr>
          <w:jc w:val="center"/>
        </w:trPr>
        <w:tc>
          <w:tcPr>
            <w:tcW w:w="4876" w:type="dxa"/>
          </w:tcPr>
          <w:p w14:paraId="54E88AE6" w14:textId="77777777" w:rsidR="003663AF" w:rsidRPr="00B7760C" w:rsidRDefault="003663AF" w:rsidP="00E804B7">
            <w:pPr>
              <w:pStyle w:val="Normal6"/>
            </w:pPr>
          </w:p>
        </w:tc>
        <w:tc>
          <w:tcPr>
            <w:tcW w:w="4876" w:type="dxa"/>
            <w:hideMark/>
          </w:tcPr>
          <w:p w14:paraId="782569BA" w14:textId="77777777" w:rsidR="003663AF" w:rsidRPr="00B7760C" w:rsidRDefault="003663AF" w:rsidP="00E804B7">
            <w:pPr>
              <w:pStyle w:val="Normal6"/>
              <w:rPr>
                <w:szCs w:val="24"/>
              </w:rPr>
            </w:pPr>
            <w:r w:rsidRPr="00B7760C">
              <w:rPr>
                <w:b/>
                <w:i/>
              </w:rPr>
              <w:t>(ib)</w:t>
            </w:r>
            <w:r w:rsidRPr="00B7760C">
              <w:rPr>
                <w:b/>
                <w:i/>
              </w:rPr>
              <w:tab/>
              <w:t>spodbujanje genske raznovrstnosti.</w:t>
            </w:r>
          </w:p>
        </w:tc>
      </w:tr>
    </w:tbl>
    <w:p w14:paraId="514D5C5A" w14:textId="77777777" w:rsidR="003663AF" w:rsidRPr="00B7760C" w:rsidRDefault="003663AF" w:rsidP="003663AF"/>
    <w:p w14:paraId="1FDCDA4A" w14:textId="1BFF616B" w:rsidR="003663AF" w:rsidRPr="00B7760C" w:rsidRDefault="00877691" w:rsidP="00996AD7">
      <w:pPr>
        <w:pStyle w:val="AMNumberTabs"/>
        <w:keepNext/>
      </w:pPr>
      <w:r w:rsidRPr="00B7760C">
        <w:t>Sprememb</w:t>
      </w:r>
      <w:r w:rsidR="00996AD7" w:rsidRPr="00B7760C">
        <w:t>i</w:t>
      </w:r>
      <w:r w:rsidR="003663AF" w:rsidRPr="00B7760C">
        <w:tab/>
      </w:r>
      <w:r w:rsidR="003663AF" w:rsidRPr="00B7760C">
        <w:tab/>
        <w:t>267</w:t>
      </w:r>
      <w:r w:rsidR="00996AD7" w:rsidRPr="00B7760C">
        <w:t xml:space="preserve"> in 819 cp2</w:t>
      </w:r>
    </w:p>
    <w:p w14:paraId="76AF0A71" w14:textId="77777777" w:rsidR="003663AF" w:rsidRPr="00B7760C" w:rsidRDefault="003663AF" w:rsidP="003663AF">
      <w:pPr>
        <w:pStyle w:val="NormalBold12b"/>
      </w:pPr>
      <w:r w:rsidRPr="00B7760C">
        <w:t>Predlog uredbe</w:t>
      </w:r>
    </w:p>
    <w:p w14:paraId="34308EC8" w14:textId="77777777" w:rsidR="003663AF" w:rsidRPr="00B7760C" w:rsidRDefault="003663AF" w:rsidP="003663AF">
      <w:pPr>
        <w:pStyle w:val="NormalBold"/>
      </w:pPr>
      <w:r w:rsidRPr="00B7760C">
        <w:t>Člen 43 – odstavek 1 – točka 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8A4AF43" w14:textId="77777777" w:rsidTr="00E804B7">
        <w:trPr>
          <w:jc w:val="center"/>
        </w:trPr>
        <w:tc>
          <w:tcPr>
            <w:tcW w:w="9752" w:type="dxa"/>
            <w:gridSpan w:val="2"/>
          </w:tcPr>
          <w:p w14:paraId="45E260B4" w14:textId="77777777" w:rsidR="003663AF" w:rsidRPr="00B7760C" w:rsidRDefault="003663AF" w:rsidP="00E804B7">
            <w:pPr>
              <w:keepNext/>
            </w:pPr>
          </w:p>
        </w:tc>
      </w:tr>
      <w:tr w:rsidR="003663AF" w:rsidRPr="00B7760C" w14:paraId="4C3F3902" w14:textId="77777777" w:rsidTr="00E804B7">
        <w:trPr>
          <w:jc w:val="center"/>
        </w:trPr>
        <w:tc>
          <w:tcPr>
            <w:tcW w:w="4876" w:type="dxa"/>
            <w:hideMark/>
          </w:tcPr>
          <w:p w14:paraId="00E456F7" w14:textId="77777777" w:rsidR="003663AF" w:rsidRPr="00B7760C" w:rsidRDefault="003663AF" w:rsidP="00E804B7">
            <w:pPr>
              <w:pStyle w:val="ColumnHeading"/>
              <w:keepNext/>
            </w:pPr>
            <w:r w:rsidRPr="00B7760C">
              <w:t>Besedilo, ki ga predlaga Komisija</w:t>
            </w:r>
          </w:p>
        </w:tc>
        <w:tc>
          <w:tcPr>
            <w:tcW w:w="4876" w:type="dxa"/>
            <w:hideMark/>
          </w:tcPr>
          <w:p w14:paraId="52E8E8FE" w14:textId="2500C19E" w:rsidR="003663AF" w:rsidRPr="00B7760C" w:rsidRDefault="00877691" w:rsidP="00E804B7">
            <w:pPr>
              <w:pStyle w:val="ColumnHeading"/>
              <w:keepNext/>
            </w:pPr>
            <w:r w:rsidRPr="00B7760C">
              <w:t>Sprememba</w:t>
            </w:r>
          </w:p>
        </w:tc>
      </w:tr>
      <w:tr w:rsidR="003663AF" w:rsidRPr="00B7760C" w14:paraId="73F8FA17" w14:textId="77777777" w:rsidTr="00E804B7">
        <w:trPr>
          <w:jc w:val="center"/>
        </w:trPr>
        <w:tc>
          <w:tcPr>
            <w:tcW w:w="4876" w:type="dxa"/>
            <w:hideMark/>
          </w:tcPr>
          <w:p w14:paraId="307AD3C6" w14:textId="77777777" w:rsidR="003663AF" w:rsidRPr="00B7760C" w:rsidRDefault="003663AF" w:rsidP="00E804B7">
            <w:pPr>
              <w:pStyle w:val="Normal6"/>
            </w:pPr>
            <w:r w:rsidRPr="00B7760C">
              <w:t>(a)</w:t>
            </w:r>
            <w:r w:rsidRPr="00B7760C">
              <w:tab/>
              <w:t>naložbe v opredmetena in neopredmetena sredstva, ki se osredotočajo</w:t>
            </w:r>
            <w:r w:rsidRPr="00B7760C">
              <w:rPr>
                <w:b/>
                <w:i/>
              </w:rPr>
              <w:t xml:space="preserve"> zlasti</w:t>
            </w:r>
            <w:r w:rsidRPr="00B7760C">
              <w:t xml:space="preserve"> na varčevanje z vodo, varčevanje z energijo, ekološko pakiranje</w:t>
            </w:r>
            <w:r w:rsidRPr="00B7760C">
              <w:rPr>
                <w:b/>
                <w:i/>
              </w:rPr>
              <w:t xml:space="preserve"> in</w:t>
            </w:r>
            <w:r w:rsidRPr="00B7760C">
              <w:t xml:space="preserve"> zmanjšanje količine odpadkov;</w:t>
            </w:r>
          </w:p>
        </w:tc>
        <w:tc>
          <w:tcPr>
            <w:tcW w:w="4876" w:type="dxa"/>
            <w:hideMark/>
          </w:tcPr>
          <w:p w14:paraId="731B28CB" w14:textId="2F48F7DA" w:rsidR="003663AF" w:rsidRPr="00B7760C" w:rsidRDefault="003663AF" w:rsidP="00DA6A03">
            <w:pPr>
              <w:pStyle w:val="Normal6"/>
              <w:rPr>
                <w:szCs w:val="24"/>
              </w:rPr>
            </w:pPr>
            <w:r w:rsidRPr="00B7760C">
              <w:t>(a)</w:t>
            </w:r>
            <w:r w:rsidRPr="00B7760C">
              <w:tab/>
              <w:t xml:space="preserve">naložbe v opredmetena in neopredmetena sredstva, </w:t>
            </w:r>
            <w:r w:rsidRPr="00B7760C">
              <w:rPr>
                <w:b/>
                <w:i/>
              </w:rPr>
              <w:t>tudi sredstva,</w:t>
            </w:r>
            <w:r w:rsidR="009A2A4B" w:rsidRPr="00B7760C">
              <w:rPr>
                <w:b/>
                <w:i/>
              </w:rPr>
              <w:t xml:space="preserve"> </w:t>
            </w:r>
            <w:r w:rsidRPr="00B7760C">
              <w:t xml:space="preserve">ki se osredotočajo na varčevanje z vodo, </w:t>
            </w:r>
            <w:r w:rsidRPr="00B7760C">
              <w:rPr>
                <w:b/>
                <w:i/>
              </w:rPr>
              <w:t>kakovost vode, proizvodnjo energije,</w:t>
            </w:r>
            <w:r w:rsidR="009A2A4B" w:rsidRPr="00B7760C">
              <w:rPr>
                <w:b/>
                <w:i/>
              </w:rPr>
              <w:t xml:space="preserve"> </w:t>
            </w:r>
            <w:r w:rsidRPr="00B7760C">
              <w:t>varčevanje z energijo, ekološko pakiranje</w:t>
            </w:r>
            <w:r w:rsidRPr="00B7760C">
              <w:rPr>
                <w:b/>
                <w:i/>
              </w:rPr>
              <w:t>,</w:t>
            </w:r>
            <w:r w:rsidRPr="00B7760C">
              <w:t xml:space="preserve"> zmanjšanje količine</w:t>
            </w:r>
            <w:r w:rsidRPr="00B7760C">
              <w:rPr>
                <w:b/>
                <w:i/>
              </w:rPr>
              <w:t xml:space="preserve"> odpadkov</w:t>
            </w:r>
            <w:r w:rsidR="00DA6A03" w:rsidRPr="00B7760C">
              <w:rPr>
                <w:b/>
                <w:i/>
              </w:rPr>
              <w:t>,</w:t>
            </w:r>
            <w:r w:rsidRPr="00B7760C">
              <w:rPr>
                <w:b/>
                <w:i/>
              </w:rPr>
              <w:t xml:space="preserve"> spremljanje tokov</w:t>
            </w:r>
            <w:r w:rsidRPr="00B7760C">
              <w:t xml:space="preserve"> odpadkov</w:t>
            </w:r>
            <w:r w:rsidR="00996AD7" w:rsidRPr="00B7760C">
              <w:t xml:space="preserve"> </w:t>
            </w:r>
            <w:r w:rsidR="00996AD7" w:rsidRPr="00B7760C">
              <w:rPr>
                <w:b/>
                <w:i/>
              </w:rPr>
              <w:t>in spremljanje proizvodnje</w:t>
            </w:r>
            <w:r w:rsidRPr="00B7760C">
              <w:t>;</w:t>
            </w:r>
          </w:p>
        </w:tc>
      </w:tr>
    </w:tbl>
    <w:p w14:paraId="4ED7570A" w14:textId="77777777" w:rsidR="00996AD7" w:rsidRPr="00B7760C" w:rsidRDefault="00996AD7" w:rsidP="003663AF"/>
    <w:p w14:paraId="444448A6" w14:textId="291083CC" w:rsidR="003663AF" w:rsidRPr="00B7760C" w:rsidRDefault="00877691" w:rsidP="003663AF">
      <w:pPr>
        <w:pStyle w:val="AMNumberTabs"/>
        <w:keepNext/>
      </w:pPr>
      <w:r w:rsidRPr="00B7760C">
        <w:t>Sprememba</w:t>
      </w:r>
      <w:r w:rsidR="003663AF" w:rsidRPr="00B7760C">
        <w:tab/>
      </w:r>
      <w:r w:rsidR="003663AF" w:rsidRPr="00B7760C">
        <w:tab/>
        <w:t>268</w:t>
      </w:r>
    </w:p>
    <w:p w14:paraId="0AA3D1BD" w14:textId="77777777" w:rsidR="003663AF" w:rsidRPr="00B7760C" w:rsidRDefault="003663AF" w:rsidP="003663AF">
      <w:pPr>
        <w:pStyle w:val="NormalBold12b"/>
      </w:pPr>
      <w:r w:rsidRPr="00B7760C">
        <w:t>Predlog uredbe</w:t>
      </w:r>
    </w:p>
    <w:p w14:paraId="49B1F36F" w14:textId="77777777" w:rsidR="003663AF" w:rsidRPr="00B7760C" w:rsidRDefault="003663AF" w:rsidP="003663AF">
      <w:pPr>
        <w:pStyle w:val="NormalBold"/>
      </w:pPr>
      <w:r w:rsidRPr="00B7760C">
        <w:t>Člen 43 – odstavek 1 – točka a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243F1EA" w14:textId="77777777" w:rsidTr="00E804B7">
        <w:trPr>
          <w:jc w:val="center"/>
        </w:trPr>
        <w:tc>
          <w:tcPr>
            <w:tcW w:w="9752" w:type="dxa"/>
            <w:gridSpan w:val="2"/>
          </w:tcPr>
          <w:p w14:paraId="4AD4D6DE" w14:textId="77777777" w:rsidR="003663AF" w:rsidRPr="00B7760C" w:rsidRDefault="003663AF" w:rsidP="00E804B7">
            <w:pPr>
              <w:keepNext/>
            </w:pPr>
          </w:p>
        </w:tc>
      </w:tr>
      <w:tr w:rsidR="003663AF" w:rsidRPr="00B7760C" w14:paraId="0C0ACC09" w14:textId="77777777" w:rsidTr="00E804B7">
        <w:trPr>
          <w:jc w:val="center"/>
        </w:trPr>
        <w:tc>
          <w:tcPr>
            <w:tcW w:w="4876" w:type="dxa"/>
            <w:hideMark/>
          </w:tcPr>
          <w:p w14:paraId="63A49418" w14:textId="77777777" w:rsidR="003663AF" w:rsidRPr="00B7760C" w:rsidRDefault="003663AF" w:rsidP="00E804B7">
            <w:pPr>
              <w:pStyle w:val="ColumnHeading"/>
              <w:keepNext/>
            </w:pPr>
            <w:r w:rsidRPr="00B7760C">
              <w:t>Besedilo, ki ga predlaga Komisija</w:t>
            </w:r>
          </w:p>
        </w:tc>
        <w:tc>
          <w:tcPr>
            <w:tcW w:w="4876" w:type="dxa"/>
            <w:hideMark/>
          </w:tcPr>
          <w:p w14:paraId="3BD240C0" w14:textId="799CE1D4" w:rsidR="003663AF" w:rsidRPr="00B7760C" w:rsidRDefault="00877691" w:rsidP="00E804B7">
            <w:pPr>
              <w:pStyle w:val="ColumnHeading"/>
              <w:keepNext/>
            </w:pPr>
            <w:r w:rsidRPr="00B7760C">
              <w:t>Sprememba</w:t>
            </w:r>
          </w:p>
        </w:tc>
      </w:tr>
      <w:tr w:rsidR="003663AF" w:rsidRPr="00B7760C" w14:paraId="11B8CCA1" w14:textId="77777777" w:rsidTr="00E804B7">
        <w:trPr>
          <w:jc w:val="center"/>
        </w:trPr>
        <w:tc>
          <w:tcPr>
            <w:tcW w:w="4876" w:type="dxa"/>
          </w:tcPr>
          <w:p w14:paraId="15423749" w14:textId="77777777" w:rsidR="003663AF" w:rsidRPr="00B7760C" w:rsidRDefault="003663AF" w:rsidP="00E804B7">
            <w:pPr>
              <w:pStyle w:val="Normal6"/>
            </w:pPr>
          </w:p>
        </w:tc>
        <w:tc>
          <w:tcPr>
            <w:tcW w:w="4876" w:type="dxa"/>
            <w:hideMark/>
          </w:tcPr>
          <w:p w14:paraId="284F9FF9" w14:textId="77777777" w:rsidR="003663AF" w:rsidRPr="00B7760C" w:rsidRDefault="003663AF" w:rsidP="00E804B7">
            <w:pPr>
              <w:pStyle w:val="Normal6"/>
              <w:rPr>
                <w:szCs w:val="24"/>
              </w:rPr>
            </w:pPr>
            <w:r w:rsidRPr="00B7760C">
              <w:rPr>
                <w:b/>
                <w:i/>
              </w:rPr>
              <w:t>(aa)</w:t>
            </w:r>
            <w:r w:rsidRPr="00B7760C">
              <w:rPr>
                <w:b/>
                <w:i/>
              </w:rPr>
              <w:tab/>
              <w:t>ukrepi za načrtovanje in prilagajanje proizvodnje glede na povpraševanje po proizvodih iz sektorja sadja in zelenjave, zlasti v smislu kakovosti in količine;</w:t>
            </w:r>
          </w:p>
        </w:tc>
      </w:tr>
    </w:tbl>
    <w:p w14:paraId="798F06AA" w14:textId="77777777" w:rsidR="003663AF" w:rsidRPr="00B7760C" w:rsidRDefault="003663AF" w:rsidP="003663AF"/>
    <w:p w14:paraId="7EFFA137" w14:textId="12906F1D" w:rsidR="003663AF" w:rsidRPr="00B7760C" w:rsidRDefault="00877691" w:rsidP="003663AF">
      <w:pPr>
        <w:pStyle w:val="AMNumberTabs"/>
        <w:keepNext/>
      </w:pPr>
      <w:r w:rsidRPr="00B7760C">
        <w:t>Sprememba</w:t>
      </w:r>
      <w:r w:rsidR="003663AF" w:rsidRPr="00B7760C">
        <w:tab/>
      </w:r>
      <w:r w:rsidR="003663AF" w:rsidRPr="00B7760C">
        <w:tab/>
        <w:t>269</w:t>
      </w:r>
    </w:p>
    <w:p w14:paraId="2FD8A5C1" w14:textId="77777777" w:rsidR="003663AF" w:rsidRPr="00B7760C" w:rsidRDefault="003663AF" w:rsidP="003663AF">
      <w:pPr>
        <w:pStyle w:val="NormalBold12b"/>
      </w:pPr>
      <w:r w:rsidRPr="00B7760C">
        <w:t>Predlog uredbe</w:t>
      </w:r>
    </w:p>
    <w:p w14:paraId="255BB0CF" w14:textId="77777777" w:rsidR="003663AF" w:rsidRPr="00B7760C" w:rsidRDefault="003663AF" w:rsidP="003663AF">
      <w:pPr>
        <w:pStyle w:val="NormalBold"/>
      </w:pPr>
      <w:r w:rsidRPr="00B7760C">
        <w:t>Člen 43 – odstavek 1 – točka a b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2676B6B" w14:textId="77777777" w:rsidTr="00E804B7">
        <w:trPr>
          <w:jc w:val="center"/>
        </w:trPr>
        <w:tc>
          <w:tcPr>
            <w:tcW w:w="9752" w:type="dxa"/>
            <w:gridSpan w:val="2"/>
          </w:tcPr>
          <w:p w14:paraId="499ACAEB" w14:textId="77777777" w:rsidR="003663AF" w:rsidRPr="00B7760C" w:rsidRDefault="003663AF" w:rsidP="00E804B7">
            <w:pPr>
              <w:keepNext/>
            </w:pPr>
          </w:p>
        </w:tc>
      </w:tr>
      <w:tr w:rsidR="003663AF" w:rsidRPr="00B7760C" w14:paraId="6AB61691" w14:textId="77777777" w:rsidTr="00E804B7">
        <w:trPr>
          <w:jc w:val="center"/>
        </w:trPr>
        <w:tc>
          <w:tcPr>
            <w:tcW w:w="4876" w:type="dxa"/>
            <w:hideMark/>
          </w:tcPr>
          <w:p w14:paraId="6490BDBD" w14:textId="77777777" w:rsidR="003663AF" w:rsidRPr="00B7760C" w:rsidRDefault="003663AF" w:rsidP="00E804B7">
            <w:pPr>
              <w:pStyle w:val="ColumnHeading"/>
              <w:keepNext/>
            </w:pPr>
            <w:r w:rsidRPr="00B7760C">
              <w:t>Besedilo, ki ga predlaga Komisija</w:t>
            </w:r>
          </w:p>
        </w:tc>
        <w:tc>
          <w:tcPr>
            <w:tcW w:w="4876" w:type="dxa"/>
            <w:hideMark/>
          </w:tcPr>
          <w:p w14:paraId="1FCBDBA5" w14:textId="4A0370FE" w:rsidR="003663AF" w:rsidRPr="00B7760C" w:rsidRDefault="00877691" w:rsidP="00E804B7">
            <w:pPr>
              <w:pStyle w:val="ColumnHeading"/>
              <w:keepNext/>
            </w:pPr>
            <w:r w:rsidRPr="00B7760C">
              <w:t>Sprememba</w:t>
            </w:r>
          </w:p>
        </w:tc>
      </w:tr>
      <w:tr w:rsidR="003663AF" w:rsidRPr="00B7760C" w14:paraId="28291875" w14:textId="77777777" w:rsidTr="00E804B7">
        <w:trPr>
          <w:jc w:val="center"/>
        </w:trPr>
        <w:tc>
          <w:tcPr>
            <w:tcW w:w="4876" w:type="dxa"/>
          </w:tcPr>
          <w:p w14:paraId="668C9968" w14:textId="77777777" w:rsidR="003663AF" w:rsidRPr="00B7760C" w:rsidRDefault="003663AF" w:rsidP="00E804B7">
            <w:pPr>
              <w:pStyle w:val="Normal6"/>
            </w:pPr>
          </w:p>
        </w:tc>
        <w:tc>
          <w:tcPr>
            <w:tcW w:w="4876" w:type="dxa"/>
            <w:hideMark/>
          </w:tcPr>
          <w:p w14:paraId="3AE617BA" w14:textId="77777777" w:rsidR="003663AF" w:rsidRPr="00B7760C" w:rsidRDefault="003663AF" w:rsidP="00E804B7">
            <w:pPr>
              <w:pStyle w:val="Normal6"/>
              <w:rPr>
                <w:szCs w:val="24"/>
              </w:rPr>
            </w:pPr>
            <w:r w:rsidRPr="00B7760C">
              <w:rPr>
                <w:b/>
                <w:i/>
              </w:rPr>
              <w:t>(ab)</w:t>
            </w:r>
            <w:r w:rsidRPr="00B7760C">
              <w:rPr>
                <w:b/>
                <w:i/>
              </w:rPr>
              <w:tab/>
              <w:t>ukrepi za povečanje tržne vrednosti proizvodov;</w:t>
            </w:r>
          </w:p>
        </w:tc>
      </w:tr>
    </w:tbl>
    <w:p w14:paraId="4B9C0AD5" w14:textId="77777777" w:rsidR="003663AF" w:rsidRPr="00B7760C" w:rsidRDefault="003663AF" w:rsidP="003663AF"/>
    <w:p w14:paraId="3C586E69" w14:textId="0112A8BA" w:rsidR="003663AF" w:rsidRPr="00B7760C" w:rsidRDefault="00877691" w:rsidP="003663AF">
      <w:pPr>
        <w:pStyle w:val="AMNumberTabs"/>
        <w:keepNext/>
      </w:pPr>
      <w:r w:rsidRPr="00B7760C">
        <w:t>Sprememba</w:t>
      </w:r>
      <w:r w:rsidR="003663AF" w:rsidRPr="00B7760C">
        <w:tab/>
      </w:r>
      <w:r w:rsidR="003663AF" w:rsidRPr="00B7760C">
        <w:tab/>
        <w:t>270</w:t>
      </w:r>
    </w:p>
    <w:p w14:paraId="2790949A" w14:textId="77777777" w:rsidR="003663AF" w:rsidRPr="00B7760C" w:rsidRDefault="003663AF" w:rsidP="003663AF">
      <w:pPr>
        <w:pStyle w:val="NormalBold12b"/>
      </w:pPr>
      <w:r w:rsidRPr="00B7760C">
        <w:t>Predlog uredbe</w:t>
      </w:r>
    </w:p>
    <w:p w14:paraId="70A1A558" w14:textId="77777777" w:rsidR="003663AF" w:rsidRPr="00B7760C" w:rsidRDefault="003663AF" w:rsidP="003663AF">
      <w:pPr>
        <w:pStyle w:val="NormalBold"/>
      </w:pPr>
      <w:r w:rsidRPr="00B7760C">
        <w:t>Člen 43 – odstavek 1 – točka a c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558DED7" w14:textId="77777777" w:rsidTr="00E804B7">
        <w:trPr>
          <w:jc w:val="center"/>
        </w:trPr>
        <w:tc>
          <w:tcPr>
            <w:tcW w:w="9752" w:type="dxa"/>
            <w:gridSpan w:val="2"/>
          </w:tcPr>
          <w:p w14:paraId="0451132A" w14:textId="77777777" w:rsidR="003663AF" w:rsidRPr="00B7760C" w:rsidRDefault="003663AF" w:rsidP="00E804B7">
            <w:pPr>
              <w:keepNext/>
            </w:pPr>
          </w:p>
        </w:tc>
      </w:tr>
      <w:tr w:rsidR="003663AF" w:rsidRPr="00B7760C" w14:paraId="4EEBC59E" w14:textId="77777777" w:rsidTr="00E804B7">
        <w:trPr>
          <w:jc w:val="center"/>
        </w:trPr>
        <w:tc>
          <w:tcPr>
            <w:tcW w:w="4876" w:type="dxa"/>
            <w:hideMark/>
          </w:tcPr>
          <w:p w14:paraId="2D69BADE" w14:textId="77777777" w:rsidR="003663AF" w:rsidRPr="00B7760C" w:rsidRDefault="003663AF" w:rsidP="00E804B7">
            <w:pPr>
              <w:pStyle w:val="ColumnHeading"/>
              <w:keepNext/>
            </w:pPr>
            <w:r w:rsidRPr="00B7760C">
              <w:t>Besedilo, ki ga predlaga Komisija</w:t>
            </w:r>
          </w:p>
        </w:tc>
        <w:tc>
          <w:tcPr>
            <w:tcW w:w="4876" w:type="dxa"/>
            <w:hideMark/>
          </w:tcPr>
          <w:p w14:paraId="4C32AB8B" w14:textId="43DFA2FD" w:rsidR="003663AF" w:rsidRPr="00B7760C" w:rsidRDefault="00877691" w:rsidP="00E804B7">
            <w:pPr>
              <w:pStyle w:val="ColumnHeading"/>
              <w:keepNext/>
            </w:pPr>
            <w:r w:rsidRPr="00B7760C">
              <w:t>Sprememba</w:t>
            </w:r>
          </w:p>
        </w:tc>
      </w:tr>
      <w:tr w:rsidR="003663AF" w:rsidRPr="00B7760C" w14:paraId="0B612966" w14:textId="77777777" w:rsidTr="00E804B7">
        <w:trPr>
          <w:jc w:val="center"/>
        </w:trPr>
        <w:tc>
          <w:tcPr>
            <w:tcW w:w="4876" w:type="dxa"/>
          </w:tcPr>
          <w:p w14:paraId="46091B3C" w14:textId="77777777" w:rsidR="003663AF" w:rsidRPr="00B7760C" w:rsidRDefault="003663AF" w:rsidP="00E804B7">
            <w:pPr>
              <w:pStyle w:val="Normal6"/>
            </w:pPr>
          </w:p>
        </w:tc>
        <w:tc>
          <w:tcPr>
            <w:tcW w:w="4876" w:type="dxa"/>
            <w:hideMark/>
          </w:tcPr>
          <w:p w14:paraId="6666A8A8" w14:textId="77777777" w:rsidR="003663AF" w:rsidRPr="00B7760C" w:rsidRDefault="003663AF" w:rsidP="00E804B7">
            <w:pPr>
              <w:pStyle w:val="Normal6"/>
              <w:rPr>
                <w:szCs w:val="24"/>
              </w:rPr>
            </w:pPr>
            <w:r w:rsidRPr="00B7760C">
              <w:rPr>
                <w:b/>
                <w:i/>
              </w:rPr>
              <w:t>(ac)</w:t>
            </w:r>
            <w:r w:rsidRPr="00B7760C">
              <w:rPr>
                <w:b/>
                <w:i/>
              </w:rPr>
              <w:tab/>
              <w:t>skupno skladiščenje proizvodov, ki jih proizvaja organizacija proizvajalcev ali člani organizacije proizvajalcev;</w:t>
            </w:r>
          </w:p>
        </w:tc>
      </w:tr>
    </w:tbl>
    <w:p w14:paraId="297DE4E7" w14:textId="77777777" w:rsidR="003663AF" w:rsidRPr="00B7760C" w:rsidRDefault="003663AF" w:rsidP="003663AF"/>
    <w:p w14:paraId="5DC34A42" w14:textId="757C9F52" w:rsidR="003663AF" w:rsidRPr="00B7760C" w:rsidRDefault="00877691" w:rsidP="003663AF">
      <w:pPr>
        <w:pStyle w:val="AMNumberTabs"/>
        <w:keepNext/>
      </w:pPr>
      <w:r w:rsidRPr="00B7760C">
        <w:t>Sprememba</w:t>
      </w:r>
      <w:r w:rsidR="003663AF" w:rsidRPr="00B7760C">
        <w:tab/>
      </w:r>
      <w:r w:rsidR="003663AF" w:rsidRPr="00B7760C">
        <w:tab/>
        <w:t>271</w:t>
      </w:r>
    </w:p>
    <w:p w14:paraId="2804A5BD" w14:textId="77777777" w:rsidR="003663AF" w:rsidRPr="00B7760C" w:rsidRDefault="003663AF" w:rsidP="003663AF">
      <w:pPr>
        <w:pStyle w:val="NormalBold12b"/>
      </w:pPr>
      <w:r w:rsidRPr="00B7760C">
        <w:t>Predlog uredbe</w:t>
      </w:r>
    </w:p>
    <w:p w14:paraId="5556FC61" w14:textId="77777777" w:rsidR="003663AF" w:rsidRPr="00B7760C" w:rsidRDefault="003663AF" w:rsidP="003663AF">
      <w:pPr>
        <w:pStyle w:val="NormalBold"/>
      </w:pPr>
      <w:r w:rsidRPr="00B7760C">
        <w:t>Člen 43 – odstavek 1 – točka b</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4EF62B3" w14:textId="77777777" w:rsidTr="00E804B7">
        <w:trPr>
          <w:jc w:val="center"/>
        </w:trPr>
        <w:tc>
          <w:tcPr>
            <w:tcW w:w="9752" w:type="dxa"/>
            <w:gridSpan w:val="2"/>
          </w:tcPr>
          <w:p w14:paraId="051D0256" w14:textId="77777777" w:rsidR="003663AF" w:rsidRPr="00B7760C" w:rsidRDefault="003663AF" w:rsidP="00E804B7">
            <w:pPr>
              <w:keepNext/>
            </w:pPr>
          </w:p>
        </w:tc>
      </w:tr>
      <w:tr w:rsidR="003663AF" w:rsidRPr="00B7760C" w14:paraId="651CBFDB" w14:textId="77777777" w:rsidTr="00E804B7">
        <w:trPr>
          <w:jc w:val="center"/>
        </w:trPr>
        <w:tc>
          <w:tcPr>
            <w:tcW w:w="4876" w:type="dxa"/>
            <w:hideMark/>
          </w:tcPr>
          <w:p w14:paraId="2EAA557B" w14:textId="77777777" w:rsidR="003663AF" w:rsidRPr="00B7760C" w:rsidRDefault="003663AF" w:rsidP="00E804B7">
            <w:pPr>
              <w:pStyle w:val="ColumnHeading"/>
              <w:keepNext/>
            </w:pPr>
            <w:r w:rsidRPr="00B7760C">
              <w:t>Besedilo, ki ga predlaga Komisija</w:t>
            </w:r>
          </w:p>
        </w:tc>
        <w:tc>
          <w:tcPr>
            <w:tcW w:w="4876" w:type="dxa"/>
            <w:hideMark/>
          </w:tcPr>
          <w:p w14:paraId="579E0B1A" w14:textId="48F9092B" w:rsidR="003663AF" w:rsidRPr="00B7760C" w:rsidRDefault="00877691" w:rsidP="00E804B7">
            <w:pPr>
              <w:pStyle w:val="ColumnHeading"/>
              <w:keepNext/>
            </w:pPr>
            <w:r w:rsidRPr="00B7760C">
              <w:t>Sprememba</w:t>
            </w:r>
          </w:p>
        </w:tc>
      </w:tr>
      <w:tr w:rsidR="003663AF" w:rsidRPr="00B7760C" w14:paraId="4BD38F49" w14:textId="77777777" w:rsidTr="00E804B7">
        <w:trPr>
          <w:jc w:val="center"/>
        </w:trPr>
        <w:tc>
          <w:tcPr>
            <w:tcW w:w="4876" w:type="dxa"/>
            <w:hideMark/>
          </w:tcPr>
          <w:p w14:paraId="1AF9257A" w14:textId="77777777" w:rsidR="003663AF" w:rsidRPr="00B7760C" w:rsidRDefault="003663AF" w:rsidP="00E804B7">
            <w:pPr>
              <w:pStyle w:val="Normal6"/>
            </w:pPr>
            <w:r w:rsidRPr="00B7760C">
              <w:t>(b)</w:t>
            </w:r>
            <w:r w:rsidRPr="00B7760C">
              <w:tab/>
              <w:t xml:space="preserve">raziskave in poskusna proizvodnja, ki se osredotočajo </w:t>
            </w:r>
            <w:r w:rsidRPr="00B7760C">
              <w:rPr>
                <w:b/>
                <w:i/>
              </w:rPr>
              <w:t>zlasti na</w:t>
            </w:r>
            <w:r w:rsidRPr="00B7760C">
              <w:t xml:space="preserve"> varčevanje z vodo, varčevanje z energijo, ekološko pakiranje, zmanjšanje količine odpadkov, odpornost na škodljivce, zmanjšanje tveganj in učinkov rabe pesticidov, preprečevanje škode zaradi slabih vremenskih razmer ter spodbujanje uporabe sort sadja in zelenjave, prilagojenih spreminjajočim se podnebnim razmeram;</w:t>
            </w:r>
          </w:p>
        </w:tc>
        <w:tc>
          <w:tcPr>
            <w:tcW w:w="4876" w:type="dxa"/>
            <w:hideMark/>
          </w:tcPr>
          <w:p w14:paraId="631F88E4" w14:textId="77777777" w:rsidR="003663AF" w:rsidRPr="00B7760C" w:rsidRDefault="003663AF" w:rsidP="00E804B7">
            <w:pPr>
              <w:pStyle w:val="Normal6"/>
              <w:rPr>
                <w:szCs w:val="24"/>
              </w:rPr>
            </w:pPr>
            <w:r w:rsidRPr="00B7760C">
              <w:t>(b)</w:t>
            </w:r>
            <w:r w:rsidRPr="00B7760C">
              <w:tab/>
              <w:t xml:space="preserve">raziskave in poskusna proizvodnja, ki se </w:t>
            </w:r>
            <w:r w:rsidRPr="00B7760C">
              <w:rPr>
                <w:b/>
                <w:i/>
              </w:rPr>
              <w:t xml:space="preserve">med drugim </w:t>
            </w:r>
            <w:r w:rsidRPr="00B7760C">
              <w:t xml:space="preserve">osredotočajo </w:t>
            </w:r>
            <w:r w:rsidRPr="00B7760C">
              <w:rPr>
                <w:b/>
                <w:i/>
              </w:rPr>
              <w:t>na ukrepe, kot so</w:t>
            </w:r>
            <w:r w:rsidRPr="00B7760C">
              <w:t xml:space="preserve"> varčevanje z vodo, </w:t>
            </w:r>
            <w:r w:rsidRPr="00B7760C">
              <w:rPr>
                <w:b/>
                <w:i/>
              </w:rPr>
              <w:t xml:space="preserve">kakovost vode, proizvodnja energije, </w:t>
            </w:r>
            <w:r w:rsidRPr="00B7760C">
              <w:t xml:space="preserve">varčevanje z energijo, ekološko pakiranje, zmanjšanje količine odpadkov, odpornost na škodljivce, </w:t>
            </w:r>
            <w:r w:rsidRPr="00B7760C">
              <w:rPr>
                <w:b/>
                <w:i/>
              </w:rPr>
              <w:t xml:space="preserve">integrirano varstvo rastlin pred škodljivimi organizmi, </w:t>
            </w:r>
            <w:r w:rsidRPr="00B7760C">
              <w:t>zmanjšanje tveganj in učinkov rabe pesticidov</w:t>
            </w:r>
            <w:r w:rsidRPr="00B7760C">
              <w:rPr>
                <w:b/>
                <w:i/>
              </w:rPr>
              <w:t>, ohranjanje opraševalcev</w:t>
            </w:r>
            <w:r w:rsidRPr="00B7760C">
              <w:t>, preprečevanje škode zaradi slabih vremenskih razmer ter spodbujanje uporabe sort sadja in zelenjave, prilagojenih spreminjajočim se podnebnim razmeram;</w:t>
            </w:r>
          </w:p>
        </w:tc>
      </w:tr>
    </w:tbl>
    <w:p w14:paraId="0E2CB20C" w14:textId="77777777" w:rsidR="003663AF" w:rsidRPr="00B7760C" w:rsidRDefault="003663AF" w:rsidP="003663AF"/>
    <w:p w14:paraId="63B7379F" w14:textId="14E1A48B" w:rsidR="003663AF" w:rsidRPr="00B7760C" w:rsidRDefault="00877691" w:rsidP="003663AF">
      <w:pPr>
        <w:pStyle w:val="AMNumberTabs"/>
        <w:keepNext/>
      </w:pPr>
      <w:r w:rsidRPr="00B7760C">
        <w:t>Sprememba</w:t>
      </w:r>
      <w:r w:rsidR="003663AF" w:rsidRPr="00B7760C">
        <w:tab/>
      </w:r>
      <w:r w:rsidR="003663AF" w:rsidRPr="00B7760C">
        <w:tab/>
        <w:t>272</w:t>
      </w:r>
    </w:p>
    <w:p w14:paraId="06DDB09F" w14:textId="77777777" w:rsidR="003663AF" w:rsidRPr="00B7760C" w:rsidRDefault="003663AF" w:rsidP="003663AF">
      <w:pPr>
        <w:pStyle w:val="NormalBold12b"/>
      </w:pPr>
      <w:r w:rsidRPr="00B7760C">
        <w:t>Predlog uredbe</w:t>
      </w:r>
    </w:p>
    <w:p w14:paraId="01CD7FC9" w14:textId="77777777" w:rsidR="003663AF" w:rsidRPr="00B7760C" w:rsidRDefault="003663AF" w:rsidP="003663AF">
      <w:pPr>
        <w:pStyle w:val="NormalBold"/>
      </w:pPr>
      <w:r w:rsidRPr="00B7760C">
        <w:t>Člen 43 – odstavek 1 – točka c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40D5C4F" w14:textId="77777777" w:rsidTr="00E804B7">
        <w:trPr>
          <w:jc w:val="center"/>
        </w:trPr>
        <w:tc>
          <w:tcPr>
            <w:tcW w:w="9752" w:type="dxa"/>
            <w:gridSpan w:val="2"/>
          </w:tcPr>
          <w:p w14:paraId="43ABE217" w14:textId="77777777" w:rsidR="003663AF" w:rsidRPr="00B7760C" w:rsidRDefault="003663AF" w:rsidP="00E804B7">
            <w:pPr>
              <w:keepNext/>
            </w:pPr>
          </w:p>
        </w:tc>
      </w:tr>
      <w:tr w:rsidR="003663AF" w:rsidRPr="00B7760C" w14:paraId="7094EC3E" w14:textId="77777777" w:rsidTr="00E804B7">
        <w:trPr>
          <w:jc w:val="center"/>
        </w:trPr>
        <w:tc>
          <w:tcPr>
            <w:tcW w:w="4876" w:type="dxa"/>
            <w:hideMark/>
          </w:tcPr>
          <w:p w14:paraId="7F9B05E8" w14:textId="77777777" w:rsidR="003663AF" w:rsidRPr="00B7760C" w:rsidRDefault="003663AF" w:rsidP="00E804B7">
            <w:pPr>
              <w:pStyle w:val="ColumnHeading"/>
              <w:keepNext/>
            </w:pPr>
            <w:r w:rsidRPr="00B7760C">
              <w:t>Besedilo, ki ga predlaga Komisija</w:t>
            </w:r>
          </w:p>
        </w:tc>
        <w:tc>
          <w:tcPr>
            <w:tcW w:w="4876" w:type="dxa"/>
            <w:hideMark/>
          </w:tcPr>
          <w:p w14:paraId="793E92DC" w14:textId="4A56F238" w:rsidR="003663AF" w:rsidRPr="00B7760C" w:rsidRDefault="00877691" w:rsidP="00E804B7">
            <w:pPr>
              <w:pStyle w:val="ColumnHeading"/>
              <w:keepNext/>
            </w:pPr>
            <w:r w:rsidRPr="00B7760C">
              <w:t>Sprememba</w:t>
            </w:r>
          </w:p>
        </w:tc>
      </w:tr>
      <w:tr w:rsidR="003663AF" w:rsidRPr="00B7760C" w14:paraId="5E5D14C7" w14:textId="77777777" w:rsidTr="00E804B7">
        <w:trPr>
          <w:jc w:val="center"/>
        </w:trPr>
        <w:tc>
          <w:tcPr>
            <w:tcW w:w="4876" w:type="dxa"/>
          </w:tcPr>
          <w:p w14:paraId="1C37FD23" w14:textId="77777777" w:rsidR="003663AF" w:rsidRPr="00B7760C" w:rsidRDefault="003663AF" w:rsidP="00E804B7">
            <w:pPr>
              <w:pStyle w:val="Normal6"/>
            </w:pPr>
          </w:p>
        </w:tc>
        <w:tc>
          <w:tcPr>
            <w:tcW w:w="4876" w:type="dxa"/>
            <w:hideMark/>
          </w:tcPr>
          <w:p w14:paraId="2AF6EFDF" w14:textId="77777777" w:rsidR="003663AF" w:rsidRPr="00B7760C" w:rsidRDefault="003663AF" w:rsidP="00E804B7">
            <w:pPr>
              <w:pStyle w:val="Normal6"/>
              <w:rPr>
                <w:szCs w:val="24"/>
              </w:rPr>
            </w:pPr>
            <w:r w:rsidRPr="00B7760C">
              <w:rPr>
                <w:b/>
                <w:i/>
              </w:rPr>
              <w:t>(ca)</w:t>
            </w:r>
            <w:r w:rsidRPr="00B7760C">
              <w:rPr>
                <w:b/>
                <w:i/>
              </w:rPr>
              <w:tab/>
              <w:t>ukrepi za izboljšanje okolja ter blažitev podnebnih sprememb in prilagajanje nanje;</w:t>
            </w:r>
          </w:p>
        </w:tc>
      </w:tr>
    </w:tbl>
    <w:p w14:paraId="33F2FD2C" w14:textId="77777777" w:rsidR="003663AF" w:rsidRPr="00B7760C" w:rsidRDefault="003663AF" w:rsidP="003663AF"/>
    <w:p w14:paraId="0BE74386" w14:textId="04973440" w:rsidR="003663AF" w:rsidRPr="00B7760C" w:rsidRDefault="00877691" w:rsidP="003663AF">
      <w:pPr>
        <w:pStyle w:val="AMNumberTabs"/>
        <w:keepNext/>
      </w:pPr>
      <w:r w:rsidRPr="00B7760C">
        <w:t>Sprememba</w:t>
      </w:r>
      <w:r w:rsidR="003663AF" w:rsidRPr="00B7760C">
        <w:tab/>
      </w:r>
      <w:r w:rsidR="003663AF" w:rsidRPr="00B7760C">
        <w:tab/>
        <w:t>273</w:t>
      </w:r>
    </w:p>
    <w:p w14:paraId="42162A8B" w14:textId="77777777" w:rsidR="003663AF" w:rsidRPr="00B7760C" w:rsidRDefault="003663AF" w:rsidP="003663AF">
      <w:pPr>
        <w:pStyle w:val="NormalBold12b"/>
      </w:pPr>
      <w:r w:rsidRPr="00B7760C">
        <w:t>Predlog uredbe</w:t>
      </w:r>
    </w:p>
    <w:p w14:paraId="676AFF8B" w14:textId="77777777" w:rsidR="003663AF" w:rsidRPr="00B7760C" w:rsidRDefault="003663AF" w:rsidP="003663AF">
      <w:pPr>
        <w:pStyle w:val="NormalBold"/>
      </w:pPr>
      <w:r w:rsidRPr="00B7760C">
        <w:t>Člen 43 – odstavek 1 – točka d</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C3AB633" w14:textId="77777777" w:rsidTr="00E804B7">
        <w:trPr>
          <w:jc w:val="center"/>
        </w:trPr>
        <w:tc>
          <w:tcPr>
            <w:tcW w:w="9752" w:type="dxa"/>
            <w:gridSpan w:val="2"/>
          </w:tcPr>
          <w:p w14:paraId="0EDA6AAA" w14:textId="77777777" w:rsidR="003663AF" w:rsidRPr="00B7760C" w:rsidRDefault="003663AF" w:rsidP="00E804B7">
            <w:pPr>
              <w:keepNext/>
            </w:pPr>
          </w:p>
        </w:tc>
      </w:tr>
      <w:tr w:rsidR="003663AF" w:rsidRPr="00B7760C" w14:paraId="3D698A80" w14:textId="77777777" w:rsidTr="00E804B7">
        <w:trPr>
          <w:jc w:val="center"/>
        </w:trPr>
        <w:tc>
          <w:tcPr>
            <w:tcW w:w="4876" w:type="dxa"/>
            <w:hideMark/>
          </w:tcPr>
          <w:p w14:paraId="236CB672" w14:textId="77777777" w:rsidR="003663AF" w:rsidRPr="00B7760C" w:rsidRDefault="003663AF" w:rsidP="00E804B7">
            <w:pPr>
              <w:pStyle w:val="ColumnHeading"/>
              <w:keepNext/>
            </w:pPr>
            <w:r w:rsidRPr="00B7760C">
              <w:t>Besedilo, ki ga predlaga Komisija</w:t>
            </w:r>
          </w:p>
        </w:tc>
        <w:tc>
          <w:tcPr>
            <w:tcW w:w="4876" w:type="dxa"/>
            <w:hideMark/>
          </w:tcPr>
          <w:p w14:paraId="1C9FE6E4" w14:textId="37BC2FED" w:rsidR="003663AF" w:rsidRPr="00B7760C" w:rsidRDefault="00877691" w:rsidP="00E804B7">
            <w:pPr>
              <w:pStyle w:val="ColumnHeading"/>
              <w:keepNext/>
            </w:pPr>
            <w:r w:rsidRPr="00B7760C">
              <w:t>Sprememba</w:t>
            </w:r>
          </w:p>
        </w:tc>
      </w:tr>
      <w:tr w:rsidR="003663AF" w:rsidRPr="00B7760C" w14:paraId="03458AD8" w14:textId="77777777" w:rsidTr="00E804B7">
        <w:trPr>
          <w:jc w:val="center"/>
        </w:trPr>
        <w:tc>
          <w:tcPr>
            <w:tcW w:w="4876" w:type="dxa"/>
            <w:hideMark/>
          </w:tcPr>
          <w:p w14:paraId="14F329E4" w14:textId="77777777" w:rsidR="003663AF" w:rsidRPr="00B7760C" w:rsidRDefault="003663AF" w:rsidP="00E804B7">
            <w:pPr>
              <w:pStyle w:val="Normal6"/>
            </w:pPr>
            <w:r w:rsidRPr="00B7760C">
              <w:t>(d)</w:t>
            </w:r>
            <w:r w:rsidRPr="00B7760C">
              <w:tab/>
              <w:t>integrirana pridelava;</w:t>
            </w:r>
          </w:p>
        </w:tc>
        <w:tc>
          <w:tcPr>
            <w:tcW w:w="4876" w:type="dxa"/>
            <w:hideMark/>
          </w:tcPr>
          <w:p w14:paraId="4F9ADE0D" w14:textId="77777777" w:rsidR="003663AF" w:rsidRPr="00B7760C" w:rsidRDefault="003663AF" w:rsidP="00E804B7">
            <w:pPr>
              <w:pStyle w:val="Normal6"/>
              <w:rPr>
                <w:szCs w:val="24"/>
              </w:rPr>
            </w:pPr>
            <w:r w:rsidRPr="00B7760C">
              <w:t>(d)</w:t>
            </w:r>
            <w:r w:rsidRPr="00B7760C">
              <w:tab/>
              <w:t>integrirana pridelava</w:t>
            </w:r>
            <w:r w:rsidRPr="00B7760C">
              <w:rPr>
                <w:b/>
                <w:i/>
              </w:rPr>
              <w:t>, pri kateri se spodbuja trajnostna raba naravnih virov in zmanjšuje odvisnost od pesticidov in drugih vložkov</w:t>
            </w:r>
            <w:r w:rsidRPr="00B7760C">
              <w:t>;</w:t>
            </w:r>
          </w:p>
        </w:tc>
      </w:tr>
    </w:tbl>
    <w:p w14:paraId="1DEC2616" w14:textId="77777777" w:rsidR="003663AF" w:rsidRPr="00B7760C" w:rsidRDefault="003663AF" w:rsidP="003663AF"/>
    <w:p w14:paraId="077DD484" w14:textId="4987652C" w:rsidR="003663AF" w:rsidRPr="00B7760C" w:rsidRDefault="00877691" w:rsidP="003663AF">
      <w:pPr>
        <w:pStyle w:val="AMNumberTabs"/>
        <w:keepNext/>
      </w:pPr>
      <w:r w:rsidRPr="00B7760C">
        <w:t>Sprememba</w:t>
      </w:r>
      <w:r w:rsidR="003663AF" w:rsidRPr="00B7760C">
        <w:tab/>
      </w:r>
      <w:r w:rsidR="003663AF" w:rsidRPr="00B7760C">
        <w:tab/>
        <w:t>274</w:t>
      </w:r>
    </w:p>
    <w:p w14:paraId="014E911E" w14:textId="77777777" w:rsidR="003663AF" w:rsidRPr="00B7760C" w:rsidRDefault="003663AF" w:rsidP="003663AF">
      <w:pPr>
        <w:pStyle w:val="NormalBold12b"/>
      </w:pPr>
      <w:r w:rsidRPr="00B7760C">
        <w:t>Predlog uredbe</w:t>
      </w:r>
    </w:p>
    <w:p w14:paraId="3E21D21D" w14:textId="77777777" w:rsidR="003663AF" w:rsidRPr="00B7760C" w:rsidRDefault="003663AF" w:rsidP="003663AF">
      <w:pPr>
        <w:pStyle w:val="NormalBold"/>
      </w:pPr>
      <w:r w:rsidRPr="00B7760C">
        <w:t>Člen 43 – odstavek 1 – točka e</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A47A410" w14:textId="77777777" w:rsidTr="00E804B7">
        <w:trPr>
          <w:jc w:val="center"/>
        </w:trPr>
        <w:tc>
          <w:tcPr>
            <w:tcW w:w="9752" w:type="dxa"/>
            <w:gridSpan w:val="2"/>
          </w:tcPr>
          <w:p w14:paraId="32866E71" w14:textId="77777777" w:rsidR="003663AF" w:rsidRPr="00B7760C" w:rsidRDefault="003663AF" w:rsidP="00E804B7">
            <w:pPr>
              <w:keepNext/>
            </w:pPr>
          </w:p>
        </w:tc>
      </w:tr>
      <w:tr w:rsidR="003663AF" w:rsidRPr="00B7760C" w14:paraId="5FE9ED76" w14:textId="77777777" w:rsidTr="00E804B7">
        <w:trPr>
          <w:jc w:val="center"/>
        </w:trPr>
        <w:tc>
          <w:tcPr>
            <w:tcW w:w="4876" w:type="dxa"/>
            <w:hideMark/>
          </w:tcPr>
          <w:p w14:paraId="596DF0CC" w14:textId="77777777" w:rsidR="003663AF" w:rsidRPr="00B7760C" w:rsidRDefault="003663AF" w:rsidP="00E804B7">
            <w:pPr>
              <w:pStyle w:val="ColumnHeading"/>
              <w:keepNext/>
            </w:pPr>
            <w:r w:rsidRPr="00B7760C">
              <w:t>Besedilo, ki ga predlaga Komisija</w:t>
            </w:r>
          </w:p>
        </w:tc>
        <w:tc>
          <w:tcPr>
            <w:tcW w:w="4876" w:type="dxa"/>
            <w:hideMark/>
          </w:tcPr>
          <w:p w14:paraId="69BBAD08" w14:textId="616E787A" w:rsidR="003663AF" w:rsidRPr="00B7760C" w:rsidRDefault="00877691" w:rsidP="00E804B7">
            <w:pPr>
              <w:pStyle w:val="ColumnHeading"/>
              <w:keepNext/>
            </w:pPr>
            <w:r w:rsidRPr="00B7760C">
              <w:t>Sprememba</w:t>
            </w:r>
          </w:p>
        </w:tc>
      </w:tr>
      <w:tr w:rsidR="003663AF" w:rsidRPr="00B7760C" w14:paraId="155D3538" w14:textId="77777777" w:rsidTr="00E804B7">
        <w:trPr>
          <w:jc w:val="center"/>
        </w:trPr>
        <w:tc>
          <w:tcPr>
            <w:tcW w:w="4876" w:type="dxa"/>
            <w:hideMark/>
          </w:tcPr>
          <w:p w14:paraId="2C47B4BD" w14:textId="77777777" w:rsidR="003663AF" w:rsidRPr="00B7760C" w:rsidRDefault="003663AF" w:rsidP="00E804B7">
            <w:pPr>
              <w:pStyle w:val="Normal6"/>
            </w:pPr>
            <w:r w:rsidRPr="00B7760C">
              <w:t>(e)</w:t>
            </w:r>
            <w:r w:rsidRPr="00B7760C">
              <w:tab/>
              <w:t xml:space="preserve">ukrepi za ohranjanje tal </w:t>
            </w:r>
            <w:r w:rsidRPr="00B7760C">
              <w:rPr>
                <w:b/>
                <w:i/>
              </w:rPr>
              <w:t>in</w:t>
            </w:r>
            <w:r w:rsidRPr="00B7760C">
              <w:t xml:space="preserve"> povečanje zalog ogljika v tleh;</w:t>
            </w:r>
          </w:p>
        </w:tc>
        <w:tc>
          <w:tcPr>
            <w:tcW w:w="4876" w:type="dxa"/>
            <w:hideMark/>
          </w:tcPr>
          <w:p w14:paraId="55ED8D93" w14:textId="77777777" w:rsidR="003663AF" w:rsidRPr="00B7760C" w:rsidRDefault="003663AF" w:rsidP="00E804B7">
            <w:pPr>
              <w:pStyle w:val="Normal6"/>
              <w:rPr>
                <w:szCs w:val="24"/>
              </w:rPr>
            </w:pPr>
            <w:r w:rsidRPr="00B7760C">
              <w:t>(e)</w:t>
            </w:r>
            <w:r w:rsidRPr="00B7760C">
              <w:tab/>
              <w:t xml:space="preserve">ukrepi za ohranjanje </w:t>
            </w:r>
            <w:r w:rsidRPr="00B7760C">
              <w:rPr>
                <w:b/>
                <w:i/>
              </w:rPr>
              <w:t xml:space="preserve">in obnavljanje strukture </w:t>
            </w:r>
            <w:r w:rsidRPr="00B7760C">
              <w:t xml:space="preserve">tal </w:t>
            </w:r>
            <w:r w:rsidRPr="00B7760C">
              <w:rPr>
                <w:b/>
                <w:i/>
              </w:rPr>
              <w:t>ter</w:t>
            </w:r>
            <w:r w:rsidRPr="00B7760C">
              <w:t xml:space="preserve"> povečanje zalog ogljika v tleh</w:t>
            </w:r>
            <w:r w:rsidRPr="00B7760C">
              <w:rPr>
                <w:b/>
                <w:i/>
              </w:rPr>
              <w:t>, tudi za preprečevanje osiromašenja tal</w:t>
            </w:r>
            <w:r w:rsidRPr="00B7760C">
              <w:t>;</w:t>
            </w:r>
          </w:p>
        </w:tc>
      </w:tr>
    </w:tbl>
    <w:p w14:paraId="33CF5FA4" w14:textId="77777777" w:rsidR="003663AF" w:rsidRPr="00B7760C" w:rsidRDefault="003663AF" w:rsidP="003663AF"/>
    <w:p w14:paraId="3594D631" w14:textId="6610C074" w:rsidR="003663AF" w:rsidRPr="00B7760C" w:rsidRDefault="00877691" w:rsidP="003663AF">
      <w:pPr>
        <w:pStyle w:val="AMNumberTabs"/>
        <w:keepNext/>
      </w:pPr>
      <w:r w:rsidRPr="00B7760C">
        <w:t>Sprememba</w:t>
      </w:r>
      <w:r w:rsidR="003663AF" w:rsidRPr="00B7760C">
        <w:tab/>
      </w:r>
      <w:r w:rsidR="003663AF" w:rsidRPr="00B7760C">
        <w:tab/>
        <w:t>275</w:t>
      </w:r>
    </w:p>
    <w:p w14:paraId="29E9F7CF" w14:textId="77777777" w:rsidR="003663AF" w:rsidRPr="00B7760C" w:rsidRDefault="003663AF" w:rsidP="003663AF">
      <w:pPr>
        <w:pStyle w:val="NormalBold12b"/>
      </w:pPr>
      <w:r w:rsidRPr="00B7760C">
        <w:t>Predlog uredbe</w:t>
      </w:r>
    </w:p>
    <w:p w14:paraId="0FD48A28" w14:textId="77777777" w:rsidR="003663AF" w:rsidRPr="00B7760C" w:rsidRDefault="003663AF" w:rsidP="003663AF">
      <w:pPr>
        <w:pStyle w:val="NormalBold"/>
      </w:pPr>
      <w:r w:rsidRPr="00B7760C">
        <w:t>Člen 43 – odstavek 1 – točka h</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6A12FE9" w14:textId="77777777" w:rsidTr="00E804B7">
        <w:trPr>
          <w:jc w:val="center"/>
        </w:trPr>
        <w:tc>
          <w:tcPr>
            <w:tcW w:w="9752" w:type="dxa"/>
            <w:gridSpan w:val="2"/>
          </w:tcPr>
          <w:p w14:paraId="67C4DEB8" w14:textId="77777777" w:rsidR="003663AF" w:rsidRPr="00B7760C" w:rsidRDefault="003663AF" w:rsidP="00E804B7">
            <w:pPr>
              <w:keepNext/>
            </w:pPr>
          </w:p>
        </w:tc>
      </w:tr>
      <w:tr w:rsidR="003663AF" w:rsidRPr="00B7760C" w14:paraId="6E6A802B" w14:textId="77777777" w:rsidTr="00E804B7">
        <w:trPr>
          <w:jc w:val="center"/>
        </w:trPr>
        <w:tc>
          <w:tcPr>
            <w:tcW w:w="4876" w:type="dxa"/>
            <w:hideMark/>
          </w:tcPr>
          <w:p w14:paraId="70B7A2CE" w14:textId="77777777" w:rsidR="003663AF" w:rsidRPr="00B7760C" w:rsidRDefault="003663AF" w:rsidP="00E804B7">
            <w:pPr>
              <w:pStyle w:val="ColumnHeading"/>
              <w:keepNext/>
            </w:pPr>
            <w:r w:rsidRPr="00B7760C">
              <w:t>Besedilo, ki ga predlaga Komisija</w:t>
            </w:r>
          </w:p>
        </w:tc>
        <w:tc>
          <w:tcPr>
            <w:tcW w:w="4876" w:type="dxa"/>
            <w:hideMark/>
          </w:tcPr>
          <w:p w14:paraId="4FEDBCA2" w14:textId="2BB3FDB4" w:rsidR="003663AF" w:rsidRPr="00B7760C" w:rsidRDefault="00877691" w:rsidP="00E804B7">
            <w:pPr>
              <w:pStyle w:val="ColumnHeading"/>
              <w:keepNext/>
            </w:pPr>
            <w:r w:rsidRPr="00B7760C">
              <w:t>Sprememba</w:t>
            </w:r>
          </w:p>
        </w:tc>
      </w:tr>
      <w:tr w:rsidR="003663AF" w:rsidRPr="00B7760C" w14:paraId="5E95D784" w14:textId="77777777" w:rsidTr="00E804B7">
        <w:trPr>
          <w:jc w:val="center"/>
        </w:trPr>
        <w:tc>
          <w:tcPr>
            <w:tcW w:w="4876" w:type="dxa"/>
            <w:hideMark/>
          </w:tcPr>
          <w:p w14:paraId="06C3F25A" w14:textId="77777777" w:rsidR="003663AF" w:rsidRPr="00B7760C" w:rsidRDefault="003663AF" w:rsidP="00E804B7">
            <w:pPr>
              <w:pStyle w:val="Normal6"/>
            </w:pPr>
            <w:r w:rsidRPr="00B7760C">
              <w:t>(h)</w:t>
            </w:r>
            <w:r w:rsidRPr="00B7760C">
              <w:tab/>
              <w:t>ukrepi za izboljšanje odpornosti na škodljivce;</w:t>
            </w:r>
          </w:p>
        </w:tc>
        <w:tc>
          <w:tcPr>
            <w:tcW w:w="4876" w:type="dxa"/>
            <w:hideMark/>
          </w:tcPr>
          <w:p w14:paraId="26351C92" w14:textId="77777777" w:rsidR="003663AF" w:rsidRPr="00B7760C" w:rsidRDefault="003663AF" w:rsidP="00E804B7">
            <w:pPr>
              <w:pStyle w:val="Normal6"/>
              <w:rPr>
                <w:szCs w:val="24"/>
              </w:rPr>
            </w:pPr>
            <w:r w:rsidRPr="00B7760C">
              <w:t>(h)</w:t>
            </w:r>
            <w:r w:rsidRPr="00B7760C">
              <w:tab/>
              <w:t>ukrepi za izboljšanje odpornosti na škodljivce</w:t>
            </w:r>
            <w:r w:rsidRPr="00B7760C">
              <w:rPr>
                <w:b/>
                <w:i/>
              </w:rPr>
              <w:t xml:space="preserve"> in blažitev škode zaradi škodljivcev, tudi s spodbujanjem integriranega varstva rastlin pred škodljivimi organizmi</w:t>
            </w:r>
            <w:r w:rsidRPr="00B7760C">
              <w:t>;</w:t>
            </w:r>
          </w:p>
        </w:tc>
      </w:tr>
    </w:tbl>
    <w:p w14:paraId="3579D1EC" w14:textId="77777777" w:rsidR="003663AF" w:rsidRPr="00B7760C" w:rsidRDefault="003663AF" w:rsidP="003663AF"/>
    <w:p w14:paraId="1D7724F3" w14:textId="3318BAE2" w:rsidR="003663AF" w:rsidRPr="00B7760C" w:rsidRDefault="00877691" w:rsidP="003663AF">
      <w:pPr>
        <w:pStyle w:val="AMNumberTabs"/>
        <w:keepNext/>
      </w:pPr>
      <w:r w:rsidRPr="00B7760C">
        <w:t>Sprememba</w:t>
      </w:r>
      <w:r w:rsidR="003663AF" w:rsidRPr="00B7760C">
        <w:tab/>
      </w:r>
      <w:r w:rsidR="003663AF" w:rsidRPr="00B7760C">
        <w:tab/>
        <w:t>276</w:t>
      </w:r>
    </w:p>
    <w:p w14:paraId="7ED14C6D" w14:textId="77777777" w:rsidR="003663AF" w:rsidRPr="00B7760C" w:rsidRDefault="003663AF" w:rsidP="003663AF">
      <w:pPr>
        <w:pStyle w:val="NormalBold12b"/>
      </w:pPr>
      <w:r w:rsidRPr="00B7760C">
        <w:t>Predlog uredbe</w:t>
      </w:r>
    </w:p>
    <w:p w14:paraId="3E6DDCBF" w14:textId="77777777" w:rsidR="003663AF" w:rsidRPr="00B7760C" w:rsidRDefault="003663AF" w:rsidP="003663AF">
      <w:pPr>
        <w:pStyle w:val="NormalBold"/>
      </w:pPr>
      <w:r w:rsidRPr="00B7760C">
        <w:t>Člen 43 – odstavek 1 – točka h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35A444B" w14:textId="77777777" w:rsidTr="00E804B7">
        <w:trPr>
          <w:jc w:val="center"/>
        </w:trPr>
        <w:tc>
          <w:tcPr>
            <w:tcW w:w="9752" w:type="dxa"/>
            <w:gridSpan w:val="2"/>
          </w:tcPr>
          <w:p w14:paraId="17BA5BA3" w14:textId="77777777" w:rsidR="003663AF" w:rsidRPr="00B7760C" w:rsidRDefault="003663AF" w:rsidP="00E804B7">
            <w:pPr>
              <w:keepNext/>
            </w:pPr>
          </w:p>
        </w:tc>
      </w:tr>
      <w:tr w:rsidR="003663AF" w:rsidRPr="00B7760C" w14:paraId="620F99D1" w14:textId="77777777" w:rsidTr="00E804B7">
        <w:trPr>
          <w:jc w:val="center"/>
        </w:trPr>
        <w:tc>
          <w:tcPr>
            <w:tcW w:w="4876" w:type="dxa"/>
            <w:hideMark/>
          </w:tcPr>
          <w:p w14:paraId="18FAE769" w14:textId="77777777" w:rsidR="003663AF" w:rsidRPr="00B7760C" w:rsidRDefault="003663AF" w:rsidP="00E804B7">
            <w:pPr>
              <w:pStyle w:val="ColumnHeading"/>
              <w:keepNext/>
            </w:pPr>
            <w:r w:rsidRPr="00B7760C">
              <w:t>Besedilo, ki ga predlaga Komisija</w:t>
            </w:r>
          </w:p>
        </w:tc>
        <w:tc>
          <w:tcPr>
            <w:tcW w:w="4876" w:type="dxa"/>
            <w:hideMark/>
          </w:tcPr>
          <w:p w14:paraId="6C8C6BC7" w14:textId="56C6376F" w:rsidR="003663AF" w:rsidRPr="00B7760C" w:rsidRDefault="00877691" w:rsidP="00E804B7">
            <w:pPr>
              <w:pStyle w:val="ColumnHeading"/>
              <w:keepNext/>
            </w:pPr>
            <w:r w:rsidRPr="00B7760C">
              <w:t>Sprememba</w:t>
            </w:r>
          </w:p>
        </w:tc>
      </w:tr>
      <w:tr w:rsidR="003663AF" w:rsidRPr="00B7760C" w14:paraId="1EE754E6" w14:textId="77777777" w:rsidTr="00E804B7">
        <w:trPr>
          <w:jc w:val="center"/>
        </w:trPr>
        <w:tc>
          <w:tcPr>
            <w:tcW w:w="4876" w:type="dxa"/>
          </w:tcPr>
          <w:p w14:paraId="0B8CCFC1" w14:textId="77777777" w:rsidR="003663AF" w:rsidRPr="00B7760C" w:rsidRDefault="003663AF" w:rsidP="00E804B7">
            <w:pPr>
              <w:pStyle w:val="Normal6"/>
            </w:pPr>
          </w:p>
        </w:tc>
        <w:tc>
          <w:tcPr>
            <w:tcW w:w="4876" w:type="dxa"/>
            <w:hideMark/>
          </w:tcPr>
          <w:p w14:paraId="340AD703" w14:textId="77777777" w:rsidR="003663AF" w:rsidRPr="00B7760C" w:rsidRDefault="003663AF" w:rsidP="00E804B7">
            <w:pPr>
              <w:pStyle w:val="Normal6"/>
              <w:rPr>
                <w:szCs w:val="24"/>
              </w:rPr>
            </w:pPr>
            <w:r w:rsidRPr="00B7760C">
              <w:rPr>
                <w:b/>
                <w:i/>
              </w:rPr>
              <w:t>(ha)</w:t>
            </w:r>
            <w:r w:rsidRPr="00B7760C">
              <w:rPr>
                <w:b/>
                <w:i/>
              </w:rPr>
              <w:tab/>
              <w:t>ukrepi za uvajanje pridelovalnih sistemov, ki povečujejo zlasti biotsko in strukturno raznovrstnost;</w:t>
            </w:r>
          </w:p>
        </w:tc>
      </w:tr>
    </w:tbl>
    <w:p w14:paraId="2BB0C7FC" w14:textId="77777777" w:rsidR="003663AF" w:rsidRPr="00B7760C" w:rsidRDefault="003663AF" w:rsidP="003663AF"/>
    <w:p w14:paraId="37F4CC83" w14:textId="0D49742B" w:rsidR="003663AF" w:rsidRPr="00B7760C" w:rsidRDefault="00877691" w:rsidP="003663AF">
      <w:pPr>
        <w:pStyle w:val="AMNumberTabs"/>
        <w:keepNext/>
      </w:pPr>
      <w:r w:rsidRPr="00B7760C">
        <w:t>Sprememba</w:t>
      </w:r>
      <w:r w:rsidR="003663AF" w:rsidRPr="00B7760C">
        <w:tab/>
      </w:r>
      <w:r w:rsidR="003663AF" w:rsidRPr="00B7760C">
        <w:tab/>
        <w:t>277</w:t>
      </w:r>
    </w:p>
    <w:p w14:paraId="45569FBF" w14:textId="77777777" w:rsidR="003663AF" w:rsidRPr="00B7760C" w:rsidRDefault="003663AF" w:rsidP="003663AF">
      <w:pPr>
        <w:pStyle w:val="NormalBold12b"/>
      </w:pPr>
      <w:r w:rsidRPr="00B7760C">
        <w:t>Predlog uredbe</w:t>
      </w:r>
    </w:p>
    <w:p w14:paraId="273B3A48" w14:textId="77777777" w:rsidR="003663AF" w:rsidRPr="00B7760C" w:rsidRDefault="003663AF" w:rsidP="003663AF">
      <w:pPr>
        <w:pStyle w:val="NormalBold"/>
      </w:pPr>
      <w:r w:rsidRPr="00B7760C">
        <w:t>Člen 43 – odstavek 1 – točka k</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CECE742" w14:textId="77777777" w:rsidTr="00E804B7">
        <w:trPr>
          <w:jc w:val="center"/>
        </w:trPr>
        <w:tc>
          <w:tcPr>
            <w:tcW w:w="9752" w:type="dxa"/>
            <w:gridSpan w:val="2"/>
          </w:tcPr>
          <w:p w14:paraId="2637921B" w14:textId="77777777" w:rsidR="003663AF" w:rsidRPr="00B7760C" w:rsidRDefault="003663AF" w:rsidP="00E804B7">
            <w:pPr>
              <w:keepNext/>
            </w:pPr>
          </w:p>
        </w:tc>
      </w:tr>
      <w:tr w:rsidR="003663AF" w:rsidRPr="00B7760C" w14:paraId="7E768321" w14:textId="77777777" w:rsidTr="00E804B7">
        <w:trPr>
          <w:jc w:val="center"/>
        </w:trPr>
        <w:tc>
          <w:tcPr>
            <w:tcW w:w="4876" w:type="dxa"/>
            <w:hideMark/>
          </w:tcPr>
          <w:p w14:paraId="67709375" w14:textId="77777777" w:rsidR="003663AF" w:rsidRPr="00B7760C" w:rsidRDefault="003663AF" w:rsidP="00E804B7">
            <w:pPr>
              <w:pStyle w:val="ColumnHeading"/>
              <w:keepNext/>
            </w:pPr>
            <w:r w:rsidRPr="00B7760C">
              <w:t>Besedilo, ki ga predlaga Komisija</w:t>
            </w:r>
          </w:p>
        </w:tc>
        <w:tc>
          <w:tcPr>
            <w:tcW w:w="4876" w:type="dxa"/>
            <w:hideMark/>
          </w:tcPr>
          <w:p w14:paraId="64D5F074" w14:textId="55FA5D1A" w:rsidR="003663AF" w:rsidRPr="00B7760C" w:rsidRDefault="00877691" w:rsidP="00E804B7">
            <w:pPr>
              <w:pStyle w:val="ColumnHeading"/>
              <w:keepNext/>
            </w:pPr>
            <w:r w:rsidRPr="00B7760C">
              <w:t>Sprememba</w:t>
            </w:r>
          </w:p>
        </w:tc>
      </w:tr>
      <w:tr w:rsidR="003663AF" w:rsidRPr="00B7760C" w14:paraId="11DA1E08" w14:textId="77777777" w:rsidTr="00E804B7">
        <w:trPr>
          <w:jc w:val="center"/>
        </w:trPr>
        <w:tc>
          <w:tcPr>
            <w:tcW w:w="4876" w:type="dxa"/>
            <w:hideMark/>
          </w:tcPr>
          <w:p w14:paraId="239185E5" w14:textId="77777777" w:rsidR="003663AF" w:rsidRPr="00B7760C" w:rsidRDefault="003663AF" w:rsidP="00E804B7">
            <w:pPr>
              <w:pStyle w:val="Normal6"/>
            </w:pPr>
            <w:r w:rsidRPr="00B7760C">
              <w:t>(k)</w:t>
            </w:r>
            <w:r w:rsidRPr="00B7760C">
              <w:tab/>
              <w:t>ukrepi za povečanje trajnostnosti in učinkovitosti prevoza ter skladiščenja proizvodov iz sektorja sadja in zelenjave;</w:t>
            </w:r>
          </w:p>
        </w:tc>
        <w:tc>
          <w:tcPr>
            <w:tcW w:w="4876" w:type="dxa"/>
            <w:hideMark/>
          </w:tcPr>
          <w:p w14:paraId="20CA743D" w14:textId="77777777" w:rsidR="003663AF" w:rsidRPr="00B7760C" w:rsidRDefault="003663AF" w:rsidP="00E804B7">
            <w:pPr>
              <w:pStyle w:val="Normal6"/>
              <w:rPr>
                <w:szCs w:val="24"/>
              </w:rPr>
            </w:pPr>
            <w:r w:rsidRPr="00B7760C">
              <w:t>(k)</w:t>
            </w:r>
            <w:r w:rsidRPr="00B7760C">
              <w:tab/>
              <w:t>ukrepi za povečanje trajnostnosti in učinkovitosti prevoza ter skladiščenja proizvodov iz sektorja sadja in zelenjave</w:t>
            </w:r>
            <w:r w:rsidRPr="00B7760C">
              <w:rPr>
                <w:b/>
                <w:i/>
              </w:rPr>
              <w:t xml:space="preserve"> ter spodbujanje kratkih dobavnih verig</w:t>
            </w:r>
            <w:r w:rsidRPr="00B7760C">
              <w:t>;</w:t>
            </w:r>
          </w:p>
        </w:tc>
      </w:tr>
    </w:tbl>
    <w:p w14:paraId="77BED286" w14:textId="77777777" w:rsidR="003663AF" w:rsidRPr="00B7760C" w:rsidRDefault="003663AF" w:rsidP="003663AF"/>
    <w:p w14:paraId="7AE95B92" w14:textId="77777777" w:rsidR="003663AF" w:rsidRPr="00B7760C" w:rsidRDefault="003663AF" w:rsidP="003663AF"/>
    <w:p w14:paraId="656AE693" w14:textId="2BC31065" w:rsidR="003663AF" w:rsidRPr="00B7760C" w:rsidRDefault="00877691" w:rsidP="003663AF">
      <w:pPr>
        <w:pStyle w:val="AMNumberTabs"/>
        <w:keepNext/>
      </w:pPr>
      <w:r w:rsidRPr="00B7760C">
        <w:t>Sprememba</w:t>
      </w:r>
      <w:r w:rsidR="003663AF" w:rsidRPr="00B7760C">
        <w:tab/>
      </w:r>
      <w:r w:rsidR="003663AF" w:rsidRPr="00B7760C">
        <w:tab/>
        <w:t>279</w:t>
      </w:r>
    </w:p>
    <w:p w14:paraId="511C7D07" w14:textId="658C8A0C" w:rsidR="003663AF" w:rsidRPr="00B7760C" w:rsidRDefault="003663AF" w:rsidP="003663AF">
      <w:pPr>
        <w:pStyle w:val="NormalBold12b"/>
      </w:pPr>
      <w:r w:rsidRPr="00B7760C">
        <w:t>Predlog uredbe</w:t>
      </w:r>
    </w:p>
    <w:p w14:paraId="4CF55766" w14:textId="14E25D8A" w:rsidR="003663AF" w:rsidRPr="00B7760C" w:rsidRDefault="003663AF" w:rsidP="003663AF">
      <w:pPr>
        <w:pStyle w:val="NormalBold"/>
      </w:pPr>
      <w:r w:rsidRPr="00B7760C">
        <w:t>Člen 43 – odstavek 1 – točka n</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9977D1F" w14:textId="53A6A1FB" w:rsidTr="00E804B7">
        <w:trPr>
          <w:jc w:val="center"/>
        </w:trPr>
        <w:tc>
          <w:tcPr>
            <w:tcW w:w="9752" w:type="dxa"/>
            <w:gridSpan w:val="2"/>
          </w:tcPr>
          <w:p w14:paraId="7B26C66F" w14:textId="4B2B353F" w:rsidR="003663AF" w:rsidRPr="00B7760C" w:rsidRDefault="003663AF" w:rsidP="00E804B7">
            <w:pPr>
              <w:keepNext/>
            </w:pPr>
          </w:p>
        </w:tc>
      </w:tr>
      <w:tr w:rsidR="003663AF" w:rsidRPr="00B7760C" w14:paraId="5C1C61B8" w14:textId="4E37876A" w:rsidTr="00E804B7">
        <w:trPr>
          <w:jc w:val="center"/>
        </w:trPr>
        <w:tc>
          <w:tcPr>
            <w:tcW w:w="4876" w:type="dxa"/>
            <w:hideMark/>
          </w:tcPr>
          <w:p w14:paraId="63A7DE35" w14:textId="4A376D71" w:rsidR="003663AF" w:rsidRPr="00B7760C" w:rsidRDefault="003663AF" w:rsidP="00E804B7">
            <w:pPr>
              <w:pStyle w:val="ColumnHeading"/>
              <w:keepNext/>
            </w:pPr>
            <w:r w:rsidRPr="00B7760C">
              <w:t>Besedilo, ki ga predlaga Komisija</w:t>
            </w:r>
          </w:p>
        </w:tc>
        <w:tc>
          <w:tcPr>
            <w:tcW w:w="4876" w:type="dxa"/>
            <w:hideMark/>
          </w:tcPr>
          <w:p w14:paraId="3A049030" w14:textId="625E1424" w:rsidR="003663AF" w:rsidRPr="00B7760C" w:rsidRDefault="00877691" w:rsidP="00E804B7">
            <w:pPr>
              <w:pStyle w:val="ColumnHeading"/>
              <w:keepNext/>
            </w:pPr>
            <w:r w:rsidRPr="00B7760C">
              <w:t>Sprememba</w:t>
            </w:r>
          </w:p>
        </w:tc>
      </w:tr>
      <w:tr w:rsidR="003663AF" w:rsidRPr="00B7760C" w14:paraId="75326D6C" w14:textId="66728D50" w:rsidTr="00E804B7">
        <w:trPr>
          <w:jc w:val="center"/>
        </w:trPr>
        <w:tc>
          <w:tcPr>
            <w:tcW w:w="4876" w:type="dxa"/>
            <w:hideMark/>
          </w:tcPr>
          <w:p w14:paraId="47DDB958" w14:textId="6D1E2E5B" w:rsidR="003663AF" w:rsidRPr="00B7760C" w:rsidRDefault="003663AF" w:rsidP="00E804B7">
            <w:pPr>
              <w:pStyle w:val="Normal6"/>
            </w:pPr>
            <w:r w:rsidRPr="00B7760C">
              <w:t>(n)</w:t>
            </w:r>
            <w:r w:rsidRPr="00B7760C">
              <w:tab/>
              <w:t>promocija in obveščanje, vključno z ukrepi in dejavnostmi za diverzifikacijo in konsolidacijo na trgih sadja in zelenjave, ter informiranje o zdravstvenih koristih uživanja sadja in zelenjave;</w:t>
            </w:r>
          </w:p>
        </w:tc>
        <w:tc>
          <w:tcPr>
            <w:tcW w:w="4876" w:type="dxa"/>
            <w:hideMark/>
          </w:tcPr>
          <w:p w14:paraId="201C3538" w14:textId="272F8E4B" w:rsidR="003663AF" w:rsidRPr="00B7760C" w:rsidRDefault="003663AF" w:rsidP="00E804B7">
            <w:pPr>
              <w:pStyle w:val="Normal6"/>
              <w:rPr>
                <w:szCs w:val="24"/>
              </w:rPr>
            </w:pPr>
            <w:r w:rsidRPr="00B7760C">
              <w:t>(n)</w:t>
            </w:r>
            <w:r w:rsidRPr="00B7760C">
              <w:tab/>
              <w:t xml:space="preserve">promocija in obveščanje, vključno z ukrepi in dejavnostmi za diverzifikacijo in konsolidacijo na trgih sadja in zelenjave, </w:t>
            </w:r>
            <w:r w:rsidRPr="00B7760C">
              <w:rPr>
                <w:b/>
                <w:i/>
              </w:rPr>
              <w:t xml:space="preserve">iskanje novih tržnih možnosti </w:t>
            </w:r>
            <w:r w:rsidRPr="00B7760C">
              <w:t>ter informiranje o zdravstvenih koristih uživanja sadja in zelenjave;</w:t>
            </w:r>
          </w:p>
        </w:tc>
      </w:tr>
    </w:tbl>
    <w:p w14:paraId="2A9CBE66" w14:textId="77777777" w:rsidR="003663AF" w:rsidRPr="00B7760C" w:rsidRDefault="003663AF" w:rsidP="003663AF"/>
    <w:p w14:paraId="5A4113C3" w14:textId="501F0147" w:rsidR="003663AF" w:rsidRPr="00B7760C" w:rsidRDefault="00877691" w:rsidP="003663AF">
      <w:pPr>
        <w:pStyle w:val="AMNumberTabs"/>
        <w:keepNext/>
      </w:pPr>
      <w:r w:rsidRPr="00B7760C">
        <w:t>Sprememba</w:t>
      </w:r>
      <w:r w:rsidR="003663AF" w:rsidRPr="00B7760C">
        <w:tab/>
      </w:r>
      <w:r w:rsidR="003663AF" w:rsidRPr="00B7760C">
        <w:tab/>
        <w:t>280</w:t>
      </w:r>
    </w:p>
    <w:p w14:paraId="0DA00F56" w14:textId="77777777" w:rsidR="003663AF" w:rsidRPr="00B7760C" w:rsidRDefault="003663AF" w:rsidP="003663AF">
      <w:pPr>
        <w:pStyle w:val="NormalBold12b"/>
      </w:pPr>
      <w:r w:rsidRPr="00B7760C">
        <w:t>Predlog uredbe</w:t>
      </w:r>
    </w:p>
    <w:p w14:paraId="50791482" w14:textId="77777777" w:rsidR="003663AF" w:rsidRPr="00B7760C" w:rsidRDefault="003663AF" w:rsidP="003663AF">
      <w:pPr>
        <w:pStyle w:val="NormalBold"/>
      </w:pPr>
      <w:r w:rsidRPr="00B7760C">
        <w:t>Člen 43 – odstavek 1 – točka 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0ED9699" w14:textId="77777777" w:rsidTr="00E804B7">
        <w:trPr>
          <w:jc w:val="center"/>
        </w:trPr>
        <w:tc>
          <w:tcPr>
            <w:tcW w:w="9752" w:type="dxa"/>
            <w:gridSpan w:val="2"/>
          </w:tcPr>
          <w:p w14:paraId="501496E4" w14:textId="77777777" w:rsidR="003663AF" w:rsidRPr="00B7760C" w:rsidRDefault="003663AF" w:rsidP="00E804B7">
            <w:pPr>
              <w:keepNext/>
            </w:pPr>
          </w:p>
        </w:tc>
      </w:tr>
      <w:tr w:rsidR="003663AF" w:rsidRPr="00B7760C" w14:paraId="4D22B6F3" w14:textId="77777777" w:rsidTr="00E804B7">
        <w:trPr>
          <w:jc w:val="center"/>
        </w:trPr>
        <w:tc>
          <w:tcPr>
            <w:tcW w:w="4876" w:type="dxa"/>
            <w:hideMark/>
          </w:tcPr>
          <w:p w14:paraId="75B74964" w14:textId="77777777" w:rsidR="003663AF" w:rsidRPr="00B7760C" w:rsidRDefault="003663AF" w:rsidP="00E804B7">
            <w:pPr>
              <w:pStyle w:val="ColumnHeading"/>
              <w:keepNext/>
            </w:pPr>
            <w:r w:rsidRPr="00B7760C">
              <w:t>Besedilo, ki ga predlaga Komisija</w:t>
            </w:r>
          </w:p>
        </w:tc>
        <w:tc>
          <w:tcPr>
            <w:tcW w:w="4876" w:type="dxa"/>
            <w:hideMark/>
          </w:tcPr>
          <w:p w14:paraId="13876B0E" w14:textId="5080F335" w:rsidR="003663AF" w:rsidRPr="00B7760C" w:rsidRDefault="00877691" w:rsidP="00E804B7">
            <w:pPr>
              <w:pStyle w:val="ColumnHeading"/>
              <w:keepNext/>
            </w:pPr>
            <w:r w:rsidRPr="00B7760C">
              <w:t>Sprememba</w:t>
            </w:r>
          </w:p>
        </w:tc>
      </w:tr>
      <w:tr w:rsidR="003663AF" w:rsidRPr="00B7760C" w14:paraId="0AE2B43D" w14:textId="77777777" w:rsidTr="00E804B7">
        <w:trPr>
          <w:jc w:val="center"/>
        </w:trPr>
        <w:tc>
          <w:tcPr>
            <w:tcW w:w="4876" w:type="dxa"/>
            <w:hideMark/>
          </w:tcPr>
          <w:p w14:paraId="47D17154" w14:textId="77777777" w:rsidR="003663AF" w:rsidRPr="00B7760C" w:rsidRDefault="003663AF" w:rsidP="00E804B7">
            <w:pPr>
              <w:pStyle w:val="Normal6"/>
            </w:pPr>
            <w:r w:rsidRPr="00B7760C">
              <w:t>(o)</w:t>
            </w:r>
            <w:r w:rsidRPr="00B7760C">
              <w:tab/>
              <w:t xml:space="preserve">storitve svetovanja in tehnična pomoč, </w:t>
            </w:r>
            <w:r w:rsidRPr="00B7760C">
              <w:rPr>
                <w:b/>
                <w:i/>
              </w:rPr>
              <w:t>zlasti</w:t>
            </w:r>
            <w:r w:rsidRPr="00B7760C">
              <w:t xml:space="preserve"> glede trajnostnih tehnik varstva pred škodljivci, trajnostne rabe pesticidov</w:t>
            </w:r>
            <w:r w:rsidRPr="00B7760C">
              <w:rPr>
                <w:b/>
                <w:i/>
              </w:rPr>
              <w:t xml:space="preserve"> ter</w:t>
            </w:r>
            <w:r w:rsidRPr="00B7760C">
              <w:t xml:space="preserve"> prilagajanja podnebnim spremembam in njihovi blažitvi;</w:t>
            </w:r>
          </w:p>
        </w:tc>
        <w:tc>
          <w:tcPr>
            <w:tcW w:w="4876" w:type="dxa"/>
            <w:hideMark/>
          </w:tcPr>
          <w:p w14:paraId="48F57051" w14:textId="77777777" w:rsidR="003663AF" w:rsidRPr="00B7760C" w:rsidRDefault="003663AF" w:rsidP="00E804B7">
            <w:pPr>
              <w:pStyle w:val="Normal6"/>
              <w:rPr>
                <w:szCs w:val="24"/>
              </w:rPr>
            </w:pPr>
            <w:r w:rsidRPr="00B7760C">
              <w:t>(o)</w:t>
            </w:r>
            <w:r w:rsidRPr="00B7760C">
              <w:tab/>
              <w:t xml:space="preserve">storitve svetovanja in tehnična pomoč, </w:t>
            </w:r>
            <w:r w:rsidRPr="00B7760C">
              <w:rPr>
                <w:b/>
                <w:i/>
              </w:rPr>
              <w:t>tudi</w:t>
            </w:r>
            <w:r w:rsidRPr="00B7760C">
              <w:t xml:space="preserve"> glede trajnostnih tehnik varstva pred škodljivci, trajnostne rabe </w:t>
            </w:r>
            <w:r w:rsidRPr="00B7760C">
              <w:rPr>
                <w:b/>
                <w:i/>
              </w:rPr>
              <w:t xml:space="preserve">in zmanjšanja uporabe </w:t>
            </w:r>
            <w:r w:rsidRPr="00B7760C">
              <w:t>pesticidov</w:t>
            </w:r>
            <w:r w:rsidRPr="00B7760C">
              <w:rPr>
                <w:b/>
                <w:i/>
              </w:rPr>
              <w:t>, integriranega varstva rastlin pred škodljivimi organizmi,</w:t>
            </w:r>
            <w:r w:rsidRPr="00B7760C">
              <w:t xml:space="preserve"> prilagajanja podnebnim spremembam in njihovi blažitvi</w:t>
            </w:r>
            <w:r w:rsidRPr="00B7760C">
              <w:rPr>
                <w:b/>
                <w:i/>
              </w:rPr>
              <w:t>, agroekoloških praks, izboljšanja kakovosti proizvodov in tržnih pogojev, kot tudi pogojev v zvezi s pogajanji ter uporabe fitosanitarnih protokolov za izvoz v tretje države</w:t>
            </w:r>
            <w:r w:rsidRPr="00B7760C">
              <w:t>;</w:t>
            </w:r>
          </w:p>
        </w:tc>
      </w:tr>
    </w:tbl>
    <w:p w14:paraId="36292F59" w14:textId="77777777" w:rsidR="003663AF" w:rsidRPr="00B7760C" w:rsidRDefault="003663AF" w:rsidP="003663AF"/>
    <w:p w14:paraId="650A4318" w14:textId="7DFF201A" w:rsidR="003663AF" w:rsidRPr="00B7760C" w:rsidRDefault="00877691" w:rsidP="003663AF">
      <w:pPr>
        <w:pStyle w:val="AMNumberTabs"/>
        <w:keepNext/>
      </w:pPr>
      <w:r w:rsidRPr="00B7760C">
        <w:t>Sprememba</w:t>
      </w:r>
      <w:r w:rsidR="003663AF" w:rsidRPr="00B7760C">
        <w:tab/>
      </w:r>
      <w:r w:rsidR="003663AF" w:rsidRPr="00B7760C">
        <w:tab/>
        <w:t>281</w:t>
      </w:r>
    </w:p>
    <w:p w14:paraId="55BCE0C9" w14:textId="77777777" w:rsidR="003663AF" w:rsidRPr="00B7760C" w:rsidRDefault="003663AF" w:rsidP="003663AF">
      <w:pPr>
        <w:pStyle w:val="NormalBold12b"/>
      </w:pPr>
      <w:r w:rsidRPr="00B7760C">
        <w:t>Predlog uredbe</w:t>
      </w:r>
    </w:p>
    <w:p w14:paraId="4A085C88" w14:textId="77777777" w:rsidR="003663AF" w:rsidRPr="00B7760C" w:rsidRDefault="003663AF" w:rsidP="003663AF">
      <w:pPr>
        <w:pStyle w:val="NormalBold"/>
      </w:pPr>
      <w:r w:rsidRPr="00B7760C">
        <w:t>Člen 43 – odstavek 1 – točka p</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39B0240" w14:textId="77777777" w:rsidTr="00E804B7">
        <w:trPr>
          <w:jc w:val="center"/>
        </w:trPr>
        <w:tc>
          <w:tcPr>
            <w:tcW w:w="9752" w:type="dxa"/>
            <w:gridSpan w:val="2"/>
          </w:tcPr>
          <w:p w14:paraId="3DD29B42" w14:textId="77777777" w:rsidR="003663AF" w:rsidRPr="00B7760C" w:rsidRDefault="003663AF" w:rsidP="00E804B7">
            <w:pPr>
              <w:keepNext/>
            </w:pPr>
          </w:p>
        </w:tc>
      </w:tr>
      <w:tr w:rsidR="003663AF" w:rsidRPr="00B7760C" w14:paraId="25729718" w14:textId="77777777" w:rsidTr="00E804B7">
        <w:trPr>
          <w:jc w:val="center"/>
        </w:trPr>
        <w:tc>
          <w:tcPr>
            <w:tcW w:w="4876" w:type="dxa"/>
            <w:hideMark/>
          </w:tcPr>
          <w:p w14:paraId="7CB231D4" w14:textId="77777777" w:rsidR="003663AF" w:rsidRPr="00B7760C" w:rsidRDefault="003663AF" w:rsidP="00E804B7">
            <w:pPr>
              <w:pStyle w:val="ColumnHeading"/>
              <w:keepNext/>
            </w:pPr>
            <w:r w:rsidRPr="00B7760C">
              <w:t>Besedilo, ki ga predlaga Komisija</w:t>
            </w:r>
          </w:p>
        </w:tc>
        <w:tc>
          <w:tcPr>
            <w:tcW w:w="4876" w:type="dxa"/>
            <w:hideMark/>
          </w:tcPr>
          <w:p w14:paraId="5B2E9763" w14:textId="3F7F7C35" w:rsidR="003663AF" w:rsidRPr="00B7760C" w:rsidRDefault="00877691" w:rsidP="00E804B7">
            <w:pPr>
              <w:pStyle w:val="ColumnHeading"/>
              <w:keepNext/>
            </w:pPr>
            <w:r w:rsidRPr="00B7760C">
              <w:t>Sprememba</w:t>
            </w:r>
          </w:p>
        </w:tc>
      </w:tr>
      <w:tr w:rsidR="003663AF" w:rsidRPr="00B7760C" w14:paraId="3A8842E1" w14:textId="77777777" w:rsidTr="00E804B7">
        <w:trPr>
          <w:jc w:val="center"/>
        </w:trPr>
        <w:tc>
          <w:tcPr>
            <w:tcW w:w="4876" w:type="dxa"/>
            <w:hideMark/>
          </w:tcPr>
          <w:p w14:paraId="381B3D4D" w14:textId="77777777" w:rsidR="003663AF" w:rsidRPr="00B7760C" w:rsidRDefault="003663AF" w:rsidP="00E804B7">
            <w:pPr>
              <w:pStyle w:val="Normal6"/>
            </w:pPr>
            <w:r w:rsidRPr="00B7760C">
              <w:t>(p)</w:t>
            </w:r>
            <w:r w:rsidRPr="00B7760C">
              <w:tab/>
              <w:t xml:space="preserve">usposabljanje in izmenjava dobrih praks, </w:t>
            </w:r>
            <w:r w:rsidRPr="00B7760C">
              <w:rPr>
                <w:b/>
                <w:i/>
              </w:rPr>
              <w:t>zlasti</w:t>
            </w:r>
            <w:r w:rsidRPr="00B7760C">
              <w:t xml:space="preserve"> glede trajnostnih tehnik varstva pred škodljivci, trajnostne rabe pesticidov ter prispevanja k prilagajanju podnebnim spremembam in njihovi blažitvi</w:t>
            </w:r>
            <w:r w:rsidRPr="00B7760C">
              <w:rPr>
                <w:b/>
                <w:i/>
              </w:rPr>
              <w:t>.</w:t>
            </w:r>
          </w:p>
        </w:tc>
        <w:tc>
          <w:tcPr>
            <w:tcW w:w="4876" w:type="dxa"/>
            <w:hideMark/>
          </w:tcPr>
          <w:p w14:paraId="080B74B0" w14:textId="77777777" w:rsidR="003663AF" w:rsidRPr="00B7760C" w:rsidRDefault="003663AF" w:rsidP="00E804B7">
            <w:pPr>
              <w:pStyle w:val="Normal6"/>
              <w:rPr>
                <w:szCs w:val="24"/>
              </w:rPr>
            </w:pPr>
            <w:r w:rsidRPr="00B7760C">
              <w:t>(p)</w:t>
            </w:r>
            <w:r w:rsidRPr="00B7760C">
              <w:tab/>
              <w:t xml:space="preserve">usposabljanje in izmenjava dobrih praks, </w:t>
            </w:r>
            <w:r w:rsidRPr="00B7760C">
              <w:rPr>
                <w:b/>
                <w:i/>
              </w:rPr>
              <w:t>tudi</w:t>
            </w:r>
            <w:r w:rsidRPr="00B7760C">
              <w:t xml:space="preserve"> glede trajnostnih tehnik varstva pred škodljivci, </w:t>
            </w:r>
            <w:r w:rsidRPr="00B7760C">
              <w:rPr>
                <w:b/>
                <w:i/>
              </w:rPr>
              <w:t xml:space="preserve">alternativ pesticidom, </w:t>
            </w:r>
            <w:r w:rsidRPr="00B7760C">
              <w:t xml:space="preserve">trajnostne rabe </w:t>
            </w:r>
            <w:r w:rsidRPr="00B7760C">
              <w:rPr>
                <w:b/>
                <w:i/>
              </w:rPr>
              <w:t xml:space="preserve">in zmanjšanja uporabe </w:t>
            </w:r>
            <w:r w:rsidRPr="00B7760C">
              <w:t>pesticidov ter prispevanja k prilagajanju podnebnim spremembam in njihovi blažitvi</w:t>
            </w:r>
            <w:r w:rsidRPr="00B7760C">
              <w:rPr>
                <w:b/>
                <w:i/>
              </w:rPr>
              <w:t>;</w:t>
            </w:r>
          </w:p>
        </w:tc>
      </w:tr>
    </w:tbl>
    <w:p w14:paraId="187A7B65" w14:textId="77777777" w:rsidR="003663AF" w:rsidRPr="00B7760C" w:rsidRDefault="003663AF" w:rsidP="003663AF"/>
    <w:p w14:paraId="2DDC9A60" w14:textId="18CCD359" w:rsidR="003663AF" w:rsidRPr="00B7760C" w:rsidRDefault="00877691" w:rsidP="003663AF">
      <w:pPr>
        <w:pStyle w:val="AMNumberTabs"/>
        <w:keepNext/>
      </w:pPr>
      <w:r w:rsidRPr="00B7760C">
        <w:t>Sprememba</w:t>
      </w:r>
      <w:r w:rsidR="003663AF" w:rsidRPr="00B7760C">
        <w:tab/>
      </w:r>
      <w:r w:rsidR="003663AF" w:rsidRPr="00B7760C">
        <w:tab/>
        <w:t>282</w:t>
      </w:r>
    </w:p>
    <w:p w14:paraId="031B0FB3" w14:textId="77777777" w:rsidR="003663AF" w:rsidRPr="00B7760C" w:rsidRDefault="003663AF" w:rsidP="003663AF">
      <w:pPr>
        <w:pStyle w:val="NormalBold12b"/>
      </w:pPr>
      <w:r w:rsidRPr="00B7760C">
        <w:t>Predlog uredbe</w:t>
      </w:r>
    </w:p>
    <w:p w14:paraId="4035E9B2" w14:textId="77777777" w:rsidR="003663AF" w:rsidRPr="00B7760C" w:rsidRDefault="003663AF" w:rsidP="003663AF">
      <w:pPr>
        <w:pStyle w:val="NormalBold"/>
      </w:pPr>
      <w:r w:rsidRPr="00B7760C">
        <w:t>Člen 43 – odstavek 1 – točka p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19F803B" w14:textId="77777777" w:rsidTr="00E804B7">
        <w:trPr>
          <w:jc w:val="center"/>
        </w:trPr>
        <w:tc>
          <w:tcPr>
            <w:tcW w:w="9752" w:type="dxa"/>
            <w:gridSpan w:val="2"/>
          </w:tcPr>
          <w:p w14:paraId="6F5316D3" w14:textId="77777777" w:rsidR="003663AF" w:rsidRPr="00B7760C" w:rsidRDefault="003663AF" w:rsidP="00E804B7">
            <w:pPr>
              <w:keepNext/>
            </w:pPr>
          </w:p>
        </w:tc>
      </w:tr>
      <w:tr w:rsidR="003663AF" w:rsidRPr="00B7760C" w14:paraId="7FBE204F" w14:textId="77777777" w:rsidTr="00E804B7">
        <w:trPr>
          <w:jc w:val="center"/>
        </w:trPr>
        <w:tc>
          <w:tcPr>
            <w:tcW w:w="4876" w:type="dxa"/>
            <w:hideMark/>
          </w:tcPr>
          <w:p w14:paraId="3F0740B5" w14:textId="77777777" w:rsidR="003663AF" w:rsidRPr="00B7760C" w:rsidRDefault="003663AF" w:rsidP="00E804B7">
            <w:pPr>
              <w:pStyle w:val="ColumnHeading"/>
              <w:keepNext/>
            </w:pPr>
            <w:r w:rsidRPr="00B7760C">
              <w:t>Besedilo, ki ga predlaga Komisija</w:t>
            </w:r>
          </w:p>
        </w:tc>
        <w:tc>
          <w:tcPr>
            <w:tcW w:w="4876" w:type="dxa"/>
            <w:hideMark/>
          </w:tcPr>
          <w:p w14:paraId="144A4177" w14:textId="04D4CBDC" w:rsidR="003663AF" w:rsidRPr="00B7760C" w:rsidRDefault="00877691" w:rsidP="00E804B7">
            <w:pPr>
              <w:pStyle w:val="ColumnHeading"/>
              <w:keepNext/>
            </w:pPr>
            <w:r w:rsidRPr="00B7760C">
              <w:t>Sprememba</w:t>
            </w:r>
          </w:p>
        </w:tc>
      </w:tr>
      <w:tr w:rsidR="003663AF" w:rsidRPr="00B7760C" w14:paraId="05179148" w14:textId="77777777" w:rsidTr="00E804B7">
        <w:trPr>
          <w:jc w:val="center"/>
        </w:trPr>
        <w:tc>
          <w:tcPr>
            <w:tcW w:w="4876" w:type="dxa"/>
          </w:tcPr>
          <w:p w14:paraId="3BEA6BBD" w14:textId="77777777" w:rsidR="003663AF" w:rsidRPr="00B7760C" w:rsidRDefault="003663AF" w:rsidP="00E804B7">
            <w:pPr>
              <w:pStyle w:val="Normal6"/>
            </w:pPr>
          </w:p>
        </w:tc>
        <w:tc>
          <w:tcPr>
            <w:tcW w:w="4876" w:type="dxa"/>
            <w:hideMark/>
          </w:tcPr>
          <w:p w14:paraId="2B340103" w14:textId="77777777" w:rsidR="003663AF" w:rsidRPr="00B7760C" w:rsidRDefault="003663AF" w:rsidP="00E804B7">
            <w:pPr>
              <w:pStyle w:val="Normal6"/>
              <w:rPr>
                <w:szCs w:val="24"/>
              </w:rPr>
            </w:pPr>
            <w:r w:rsidRPr="00B7760C">
              <w:rPr>
                <w:b/>
                <w:i/>
              </w:rPr>
              <w:t>(pa)</w:t>
            </w:r>
            <w:r w:rsidRPr="00B7760C">
              <w:rPr>
                <w:b/>
                <w:i/>
              </w:rPr>
              <w:tab/>
              <w:t>ukrepi za izboljšanje kakovosti s pomočjo inovacij;</w:t>
            </w:r>
          </w:p>
        </w:tc>
      </w:tr>
    </w:tbl>
    <w:p w14:paraId="742D2BAE" w14:textId="77777777" w:rsidR="003663AF" w:rsidRPr="00B7760C" w:rsidRDefault="003663AF" w:rsidP="003663AF"/>
    <w:p w14:paraId="03F198B8" w14:textId="729D782F" w:rsidR="003663AF" w:rsidRPr="00B7760C" w:rsidRDefault="00877691" w:rsidP="003663AF">
      <w:pPr>
        <w:pStyle w:val="AMNumberTabs"/>
        <w:keepNext/>
      </w:pPr>
      <w:r w:rsidRPr="00B7760C">
        <w:t>Sprememba</w:t>
      </w:r>
      <w:r w:rsidR="003663AF" w:rsidRPr="00B7760C">
        <w:tab/>
      </w:r>
      <w:r w:rsidR="003663AF" w:rsidRPr="00B7760C">
        <w:tab/>
        <w:t>283</w:t>
      </w:r>
    </w:p>
    <w:p w14:paraId="667C6A89" w14:textId="77777777" w:rsidR="003663AF" w:rsidRPr="00B7760C" w:rsidRDefault="003663AF" w:rsidP="003663AF">
      <w:pPr>
        <w:pStyle w:val="NormalBold12b"/>
      </w:pPr>
      <w:r w:rsidRPr="00B7760C">
        <w:t>Predlog uredbe</w:t>
      </w:r>
    </w:p>
    <w:p w14:paraId="4E10039A" w14:textId="77777777" w:rsidR="003663AF" w:rsidRPr="00B7760C" w:rsidRDefault="003663AF" w:rsidP="003663AF">
      <w:pPr>
        <w:pStyle w:val="NormalBold"/>
      </w:pPr>
      <w:r w:rsidRPr="00B7760C">
        <w:t>Člen 43 – odstavek 1 – točka p b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82F0DAC" w14:textId="77777777" w:rsidTr="00E804B7">
        <w:trPr>
          <w:jc w:val="center"/>
        </w:trPr>
        <w:tc>
          <w:tcPr>
            <w:tcW w:w="9752" w:type="dxa"/>
            <w:gridSpan w:val="2"/>
          </w:tcPr>
          <w:p w14:paraId="5767121F" w14:textId="77777777" w:rsidR="003663AF" w:rsidRPr="00B7760C" w:rsidRDefault="003663AF" w:rsidP="00E804B7">
            <w:pPr>
              <w:keepNext/>
            </w:pPr>
          </w:p>
        </w:tc>
      </w:tr>
      <w:tr w:rsidR="003663AF" w:rsidRPr="00B7760C" w14:paraId="5FD1D57A" w14:textId="77777777" w:rsidTr="00E804B7">
        <w:trPr>
          <w:jc w:val="center"/>
        </w:trPr>
        <w:tc>
          <w:tcPr>
            <w:tcW w:w="4876" w:type="dxa"/>
            <w:hideMark/>
          </w:tcPr>
          <w:p w14:paraId="302C543B" w14:textId="77777777" w:rsidR="003663AF" w:rsidRPr="00B7760C" w:rsidRDefault="003663AF" w:rsidP="00E804B7">
            <w:pPr>
              <w:pStyle w:val="ColumnHeading"/>
              <w:keepNext/>
            </w:pPr>
            <w:r w:rsidRPr="00B7760C">
              <w:t>Besedilo, ki ga predlaga Komisija</w:t>
            </w:r>
          </w:p>
        </w:tc>
        <w:tc>
          <w:tcPr>
            <w:tcW w:w="4876" w:type="dxa"/>
            <w:hideMark/>
          </w:tcPr>
          <w:p w14:paraId="2FA81F9F" w14:textId="2DB080FE" w:rsidR="003663AF" w:rsidRPr="00B7760C" w:rsidRDefault="00877691" w:rsidP="00E804B7">
            <w:pPr>
              <w:pStyle w:val="ColumnHeading"/>
              <w:keepNext/>
            </w:pPr>
            <w:r w:rsidRPr="00B7760C">
              <w:t>Sprememba</w:t>
            </w:r>
          </w:p>
        </w:tc>
      </w:tr>
      <w:tr w:rsidR="003663AF" w:rsidRPr="00B7760C" w14:paraId="1643D536" w14:textId="77777777" w:rsidTr="00E804B7">
        <w:trPr>
          <w:jc w:val="center"/>
        </w:trPr>
        <w:tc>
          <w:tcPr>
            <w:tcW w:w="4876" w:type="dxa"/>
          </w:tcPr>
          <w:p w14:paraId="0FF78470" w14:textId="77777777" w:rsidR="003663AF" w:rsidRPr="00B7760C" w:rsidRDefault="003663AF" w:rsidP="00E804B7">
            <w:pPr>
              <w:pStyle w:val="Normal6"/>
            </w:pPr>
          </w:p>
        </w:tc>
        <w:tc>
          <w:tcPr>
            <w:tcW w:w="4876" w:type="dxa"/>
            <w:hideMark/>
          </w:tcPr>
          <w:p w14:paraId="25A06B5F" w14:textId="77777777" w:rsidR="003663AF" w:rsidRPr="00B7760C" w:rsidRDefault="003663AF" w:rsidP="00E804B7">
            <w:pPr>
              <w:pStyle w:val="Normal6"/>
              <w:rPr>
                <w:szCs w:val="24"/>
              </w:rPr>
            </w:pPr>
            <w:r w:rsidRPr="00B7760C">
              <w:rPr>
                <w:b/>
                <w:i/>
              </w:rPr>
              <w:t>(pb)</w:t>
            </w:r>
            <w:r w:rsidRPr="00B7760C">
              <w:rPr>
                <w:b/>
                <w:i/>
              </w:rPr>
              <w:tab/>
              <w:t>vzpostavljanje sistemov sledljivosti/potrjevanja.</w:t>
            </w:r>
          </w:p>
        </w:tc>
      </w:tr>
    </w:tbl>
    <w:p w14:paraId="435726D9" w14:textId="77777777" w:rsidR="003663AF" w:rsidRPr="00B7760C" w:rsidRDefault="003663AF" w:rsidP="003663AF"/>
    <w:p w14:paraId="017A2F73" w14:textId="675164A4" w:rsidR="003663AF" w:rsidRPr="00B7760C" w:rsidRDefault="00877691" w:rsidP="003663AF">
      <w:pPr>
        <w:pStyle w:val="AMNumberTabs"/>
        <w:keepNext/>
      </w:pPr>
      <w:r w:rsidRPr="00B7760C">
        <w:t>Sprememba</w:t>
      </w:r>
      <w:r w:rsidR="003663AF" w:rsidRPr="00B7760C">
        <w:tab/>
      </w:r>
      <w:r w:rsidR="003663AF" w:rsidRPr="00B7760C">
        <w:tab/>
        <w:t>284</w:t>
      </w:r>
    </w:p>
    <w:p w14:paraId="477AEF5F" w14:textId="77777777" w:rsidR="003663AF" w:rsidRPr="00B7760C" w:rsidRDefault="003663AF" w:rsidP="003663AF">
      <w:pPr>
        <w:pStyle w:val="NormalBold12b"/>
      </w:pPr>
      <w:r w:rsidRPr="00B7760C">
        <w:t>Predlog uredbe</w:t>
      </w:r>
    </w:p>
    <w:p w14:paraId="523DE9E0" w14:textId="77777777" w:rsidR="003663AF" w:rsidRPr="00B7760C" w:rsidRDefault="003663AF" w:rsidP="003663AF">
      <w:pPr>
        <w:pStyle w:val="NormalBold"/>
      </w:pPr>
      <w:r w:rsidRPr="00B7760C">
        <w:t>Člen 43 – odstavek 2 – točka b</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F82E7FB" w14:textId="77777777" w:rsidTr="00E804B7">
        <w:trPr>
          <w:jc w:val="center"/>
        </w:trPr>
        <w:tc>
          <w:tcPr>
            <w:tcW w:w="9752" w:type="dxa"/>
            <w:gridSpan w:val="2"/>
          </w:tcPr>
          <w:p w14:paraId="2C421DED" w14:textId="77777777" w:rsidR="003663AF" w:rsidRPr="00B7760C" w:rsidRDefault="003663AF" w:rsidP="00E804B7">
            <w:pPr>
              <w:keepNext/>
            </w:pPr>
          </w:p>
        </w:tc>
      </w:tr>
      <w:tr w:rsidR="003663AF" w:rsidRPr="00B7760C" w14:paraId="5E23A120" w14:textId="77777777" w:rsidTr="00E804B7">
        <w:trPr>
          <w:jc w:val="center"/>
        </w:trPr>
        <w:tc>
          <w:tcPr>
            <w:tcW w:w="4876" w:type="dxa"/>
            <w:hideMark/>
          </w:tcPr>
          <w:p w14:paraId="5C0A950C" w14:textId="77777777" w:rsidR="003663AF" w:rsidRPr="00B7760C" w:rsidRDefault="003663AF" w:rsidP="00E804B7">
            <w:pPr>
              <w:pStyle w:val="ColumnHeading"/>
              <w:keepNext/>
            </w:pPr>
            <w:r w:rsidRPr="00B7760C">
              <w:t>Besedilo, ki ga predlaga Komisija</w:t>
            </w:r>
          </w:p>
        </w:tc>
        <w:tc>
          <w:tcPr>
            <w:tcW w:w="4876" w:type="dxa"/>
            <w:hideMark/>
          </w:tcPr>
          <w:p w14:paraId="1D04D9C8" w14:textId="388ED5A6" w:rsidR="003663AF" w:rsidRPr="00B7760C" w:rsidRDefault="00877691" w:rsidP="00E804B7">
            <w:pPr>
              <w:pStyle w:val="ColumnHeading"/>
              <w:keepNext/>
            </w:pPr>
            <w:r w:rsidRPr="00B7760C">
              <w:t>Sprememba</w:t>
            </w:r>
          </w:p>
        </w:tc>
      </w:tr>
      <w:tr w:rsidR="003663AF" w:rsidRPr="00B7760C" w14:paraId="711117D8" w14:textId="77777777" w:rsidTr="00E804B7">
        <w:trPr>
          <w:jc w:val="center"/>
        </w:trPr>
        <w:tc>
          <w:tcPr>
            <w:tcW w:w="4876" w:type="dxa"/>
            <w:hideMark/>
          </w:tcPr>
          <w:p w14:paraId="17E92FCE" w14:textId="77777777" w:rsidR="003663AF" w:rsidRPr="00B7760C" w:rsidRDefault="003663AF" w:rsidP="00E804B7">
            <w:pPr>
              <w:pStyle w:val="Normal6"/>
            </w:pPr>
            <w:r w:rsidRPr="00B7760C">
              <w:t>(b)</w:t>
            </w:r>
            <w:r w:rsidRPr="00B7760C">
              <w:tab/>
              <w:t>naložbe v opredmetena in neopredmetena sredstva, ki omogočajo učinkovitejše upravljanje količin, danih na trg;</w:t>
            </w:r>
          </w:p>
        </w:tc>
        <w:tc>
          <w:tcPr>
            <w:tcW w:w="4876" w:type="dxa"/>
            <w:hideMark/>
          </w:tcPr>
          <w:p w14:paraId="67DBA9E1" w14:textId="77777777" w:rsidR="003663AF" w:rsidRPr="00B7760C" w:rsidRDefault="003663AF" w:rsidP="00E804B7">
            <w:pPr>
              <w:pStyle w:val="Normal6"/>
              <w:rPr>
                <w:szCs w:val="24"/>
              </w:rPr>
            </w:pPr>
            <w:r w:rsidRPr="00B7760C">
              <w:t>(b)</w:t>
            </w:r>
            <w:r w:rsidRPr="00B7760C">
              <w:tab/>
              <w:t>naložbe v opredmetena in neopredmetena sredstva, ki omogočajo učinkovitejše upravljanje količin, danih na trg</w:t>
            </w:r>
            <w:r w:rsidRPr="00B7760C">
              <w:rPr>
                <w:b/>
                <w:i/>
              </w:rPr>
              <w:t>, vključno s skupnim skladiščenjem</w:t>
            </w:r>
            <w:r w:rsidRPr="00B7760C">
              <w:t>;</w:t>
            </w:r>
          </w:p>
        </w:tc>
      </w:tr>
    </w:tbl>
    <w:p w14:paraId="37CCA405" w14:textId="77777777" w:rsidR="003663AF" w:rsidRPr="00B7760C" w:rsidRDefault="003663AF" w:rsidP="003663AF"/>
    <w:p w14:paraId="40BD12AE" w14:textId="5AA714A0" w:rsidR="003663AF" w:rsidRPr="00B7760C" w:rsidRDefault="00877691" w:rsidP="003663AF">
      <w:pPr>
        <w:pStyle w:val="AMNumberTabs"/>
        <w:keepNext/>
      </w:pPr>
      <w:r w:rsidRPr="00B7760C">
        <w:t>Sprememba</w:t>
      </w:r>
      <w:r w:rsidR="003663AF" w:rsidRPr="00B7760C">
        <w:tab/>
      </w:r>
      <w:r w:rsidR="003663AF" w:rsidRPr="00B7760C">
        <w:tab/>
        <w:t>285</w:t>
      </w:r>
    </w:p>
    <w:p w14:paraId="30828643" w14:textId="77777777" w:rsidR="003663AF" w:rsidRPr="00B7760C" w:rsidRDefault="003663AF" w:rsidP="003663AF">
      <w:pPr>
        <w:pStyle w:val="NormalBold12b"/>
      </w:pPr>
      <w:r w:rsidRPr="00B7760C">
        <w:t>Predlog uredbe</w:t>
      </w:r>
    </w:p>
    <w:p w14:paraId="1A658525" w14:textId="77777777" w:rsidR="003663AF" w:rsidRPr="00B7760C" w:rsidRDefault="003663AF" w:rsidP="003663AF">
      <w:pPr>
        <w:pStyle w:val="NormalBold"/>
      </w:pPr>
      <w:r w:rsidRPr="00B7760C">
        <w:t>Člen 43 – odstavek 2 – točka d</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EF65005" w14:textId="77777777" w:rsidTr="00E804B7">
        <w:trPr>
          <w:jc w:val="center"/>
        </w:trPr>
        <w:tc>
          <w:tcPr>
            <w:tcW w:w="9752" w:type="dxa"/>
            <w:gridSpan w:val="2"/>
          </w:tcPr>
          <w:p w14:paraId="43B196E3" w14:textId="77777777" w:rsidR="003663AF" w:rsidRPr="00B7760C" w:rsidRDefault="003663AF" w:rsidP="00E804B7">
            <w:pPr>
              <w:keepNext/>
            </w:pPr>
          </w:p>
        </w:tc>
      </w:tr>
      <w:tr w:rsidR="003663AF" w:rsidRPr="00B7760C" w14:paraId="388097DF" w14:textId="77777777" w:rsidTr="00E804B7">
        <w:trPr>
          <w:jc w:val="center"/>
        </w:trPr>
        <w:tc>
          <w:tcPr>
            <w:tcW w:w="4876" w:type="dxa"/>
            <w:hideMark/>
          </w:tcPr>
          <w:p w14:paraId="1A688338" w14:textId="77777777" w:rsidR="003663AF" w:rsidRPr="00B7760C" w:rsidRDefault="003663AF" w:rsidP="00E804B7">
            <w:pPr>
              <w:pStyle w:val="ColumnHeading"/>
              <w:keepNext/>
            </w:pPr>
            <w:r w:rsidRPr="00B7760C">
              <w:t>Besedilo, ki ga predlaga Komisija</w:t>
            </w:r>
          </w:p>
        </w:tc>
        <w:tc>
          <w:tcPr>
            <w:tcW w:w="4876" w:type="dxa"/>
            <w:hideMark/>
          </w:tcPr>
          <w:p w14:paraId="367EC60C" w14:textId="56CF175D" w:rsidR="003663AF" w:rsidRPr="00B7760C" w:rsidRDefault="00877691" w:rsidP="00E804B7">
            <w:pPr>
              <w:pStyle w:val="ColumnHeading"/>
              <w:keepNext/>
            </w:pPr>
            <w:r w:rsidRPr="00B7760C">
              <w:t>Sprememba</w:t>
            </w:r>
          </w:p>
        </w:tc>
      </w:tr>
      <w:tr w:rsidR="003663AF" w:rsidRPr="00B7760C" w14:paraId="101C5289" w14:textId="77777777" w:rsidTr="00E804B7">
        <w:trPr>
          <w:jc w:val="center"/>
        </w:trPr>
        <w:tc>
          <w:tcPr>
            <w:tcW w:w="4876" w:type="dxa"/>
            <w:hideMark/>
          </w:tcPr>
          <w:p w14:paraId="384F13DD" w14:textId="77777777" w:rsidR="003663AF" w:rsidRPr="00B7760C" w:rsidRDefault="003663AF" w:rsidP="00E804B7">
            <w:pPr>
              <w:pStyle w:val="Normal6"/>
            </w:pPr>
            <w:r w:rsidRPr="00B7760C">
              <w:t>(d)</w:t>
            </w:r>
            <w:r w:rsidRPr="00B7760C">
              <w:tab/>
              <w:t>umik s trga za brezplačno razdelitev ali druge namene;</w:t>
            </w:r>
          </w:p>
        </w:tc>
        <w:tc>
          <w:tcPr>
            <w:tcW w:w="4876" w:type="dxa"/>
            <w:hideMark/>
          </w:tcPr>
          <w:p w14:paraId="4CB9D48F" w14:textId="77777777" w:rsidR="003663AF" w:rsidRPr="00B7760C" w:rsidRDefault="003663AF" w:rsidP="00E804B7">
            <w:pPr>
              <w:pStyle w:val="Normal6"/>
              <w:rPr>
                <w:szCs w:val="24"/>
              </w:rPr>
            </w:pPr>
            <w:r w:rsidRPr="00B7760C">
              <w:t>(d)</w:t>
            </w:r>
            <w:r w:rsidRPr="00B7760C">
              <w:tab/>
              <w:t>umik s trga za brezplačno razdelitev</w:t>
            </w:r>
            <w:r w:rsidRPr="00B7760C">
              <w:rPr>
                <w:b/>
                <w:i/>
              </w:rPr>
              <w:t>, vključno s stroški predelave umaknjenega proizvoda pred oddajo za brezplačno razdelitev,</w:t>
            </w:r>
            <w:r w:rsidRPr="00B7760C">
              <w:t xml:space="preserve"> ali druge namene;</w:t>
            </w:r>
          </w:p>
        </w:tc>
      </w:tr>
    </w:tbl>
    <w:p w14:paraId="29970A6B" w14:textId="77777777" w:rsidR="003663AF" w:rsidRPr="00B7760C" w:rsidRDefault="003663AF" w:rsidP="003663AF"/>
    <w:p w14:paraId="22776AA3" w14:textId="61C0316F" w:rsidR="003663AF" w:rsidRPr="00B7760C" w:rsidRDefault="00877691" w:rsidP="003663AF">
      <w:pPr>
        <w:pStyle w:val="AMNumberTabs"/>
        <w:keepNext/>
      </w:pPr>
      <w:r w:rsidRPr="00B7760C">
        <w:t>Sprememba</w:t>
      </w:r>
      <w:r w:rsidR="003663AF" w:rsidRPr="00B7760C">
        <w:tab/>
      </w:r>
      <w:r w:rsidR="003663AF" w:rsidRPr="00B7760C">
        <w:tab/>
        <w:t>286</w:t>
      </w:r>
    </w:p>
    <w:p w14:paraId="5A42B8CB" w14:textId="77777777" w:rsidR="003663AF" w:rsidRPr="00B7760C" w:rsidRDefault="003663AF" w:rsidP="003663AF">
      <w:pPr>
        <w:pStyle w:val="NormalBold12b"/>
      </w:pPr>
      <w:r w:rsidRPr="00B7760C">
        <w:t>Predlog uredbe</w:t>
      </w:r>
    </w:p>
    <w:p w14:paraId="4CB82BD2" w14:textId="77777777" w:rsidR="003663AF" w:rsidRPr="00B7760C" w:rsidRDefault="003663AF" w:rsidP="003663AF">
      <w:pPr>
        <w:pStyle w:val="NormalBold"/>
      </w:pPr>
      <w:r w:rsidRPr="00B7760C">
        <w:t>Člen 43 – odstavek 2 – točka g</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9681CDF" w14:textId="77777777" w:rsidTr="00E804B7">
        <w:trPr>
          <w:jc w:val="center"/>
        </w:trPr>
        <w:tc>
          <w:tcPr>
            <w:tcW w:w="9752" w:type="dxa"/>
            <w:gridSpan w:val="2"/>
          </w:tcPr>
          <w:p w14:paraId="5075FC97" w14:textId="77777777" w:rsidR="003663AF" w:rsidRPr="00B7760C" w:rsidRDefault="003663AF" w:rsidP="00E804B7">
            <w:pPr>
              <w:keepNext/>
            </w:pPr>
          </w:p>
        </w:tc>
      </w:tr>
      <w:tr w:rsidR="003663AF" w:rsidRPr="00B7760C" w14:paraId="07632919" w14:textId="77777777" w:rsidTr="00E804B7">
        <w:trPr>
          <w:jc w:val="center"/>
        </w:trPr>
        <w:tc>
          <w:tcPr>
            <w:tcW w:w="4876" w:type="dxa"/>
            <w:hideMark/>
          </w:tcPr>
          <w:p w14:paraId="0A28860F" w14:textId="77777777" w:rsidR="003663AF" w:rsidRPr="00B7760C" w:rsidRDefault="003663AF" w:rsidP="00E804B7">
            <w:pPr>
              <w:pStyle w:val="ColumnHeading"/>
              <w:keepNext/>
            </w:pPr>
            <w:r w:rsidRPr="00B7760C">
              <w:t>Besedilo, ki ga predlaga Komisija</w:t>
            </w:r>
          </w:p>
        </w:tc>
        <w:tc>
          <w:tcPr>
            <w:tcW w:w="4876" w:type="dxa"/>
            <w:hideMark/>
          </w:tcPr>
          <w:p w14:paraId="4FABA844" w14:textId="253569AF" w:rsidR="003663AF" w:rsidRPr="00B7760C" w:rsidRDefault="00877691" w:rsidP="00E804B7">
            <w:pPr>
              <w:pStyle w:val="ColumnHeading"/>
              <w:keepNext/>
            </w:pPr>
            <w:r w:rsidRPr="00B7760C">
              <w:t>Sprememba</w:t>
            </w:r>
          </w:p>
        </w:tc>
      </w:tr>
      <w:tr w:rsidR="003663AF" w:rsidRPr="00B7760C" w14:paraId="0EE47D5A" w14:textId="77777777" w:rsidTr="00E804B7">
        <w:trPr>
          <w:jc w:val="center"/>
        </w:trPr>
        <w:tc>
          <w:tcPr>
            <w:tcW w:w="4876" w:type="dxa"/>
            <w:hideMark/>
          </w:tcPr>
          <w:p w14:paraId="022C693F" w14:textId="77777777" w:rsidR="003663AF" w:rsidRPr="00B7760C" w:rsidRDefault="003663AF" w:rsidP="00E804B7">
            <w:pPr>
              <w:pStyle w:val="Normal6"/>
            </w:pPr>
            <w:r w:rsidRPr="00B7760C">
              <w:t>(g)</w:t>
            </w:r>
            <w:r w:rsidRPr="00B7760C">
              <w:tab/>
              <w:t>zavarovanje letine, ki prispeva k varovanju prihodkov pridelovalcev, kadar imajo izgube zaradi naravnih nesreč, neugodnih vremenskih dogodkov, bolezni ali napadov škodljivcev, ter hkrati zagotovitev, da upravičenci sprejmejo potrebne ukrepe za preprečevanje tveganj;</w:t>
            </w:r>
          </w:p>
        </w:tc>
        <w:tc>
          <w:tcPr>
            <w:tcW w:w="4876" w:type="dxa"/>
            <w:hideMark/>
          </w:tcPr>
          <w:p w14:paraId="7CCE3C19" w14:textId="77777777" w:rsidR="003663AF" w:rsidRPr="00B7760C" w:rsidRDefault="003663AF" w:rsidP="00E804B7">
            <w:pPr>
              <w:pStyle w:val="Normal6"/>
              <w:rPr>
                <w:szCs w:val="24"/>
              </w:rPr>
            </w:pPr>
            <w:r w:rsidRPr="00B7760C">
              <w:t>(g)</w:t>
            </w:r>
            <w:r w:rsidRPr="00B7760C">
              <w:tab/>
              <w:t xml:space="preserve">zavarovanje letine, </w:t>
            </w:r>
            <w:r w:rsidRPr="00B7760C">
              <w:rPr>
                <w:b/>
                <w:i/>
              </w:rPr>
              <w:t xml:space="preserve">vključno z indeksiranimi zavarovalnimi shemami za izmerljiva tveganja, </w:t>
            </w:r>
            <w:r w:rsidRPr="00B7760C">
              <w:t>ki prispeva k varovanju prihodkov pridelovalcev, kadar imajo izgube zaradi naravnih nesreč, neugodnih vremenskih dogodkov, bolezni ali napadov škodljivcev, ter hkrati zagotovitev, da upravičenci sprejmejo potrebne ukrepe za preprečevanje tveganj;</w:t>
            </w:r>
          </w:p>
        </w:tc>
      </w:tr>
    </w:tbl>
    <w:p w14:paraId="6EA9B03F" w14:textId="77777777" w:rsidR="003663AF" w:rsidRPr="00B7760C" w:rsidRDefault="003663AF" w:rsidP="003663AF"/>
    <w:p w14:paraId="7EDB56D2" w14:textId="0D2429CE" w:rsidR="003663AF" w:rsidRPr="00B7760C" w:rsidRDefault="00877691" w:rsidP="003663AF">
      <w:pPr>
        <w:pStyle w:val="AMNumberTabs"/>
        <w:keepNext/>
      </w:pPr>
      <w:r w:rsidRPr="00B7760C">
        <w:t>Sprememba</w:t>
      </w:r>
      <w:r w:rsidR="003663AF" w:rsidRPr="00B7760C">
        <w:tab/>
      </w:r>
      <w:r w:rsidR="003663AF" w:rsidRPr="00B7760C">
        <w:tab/>
        <w:t>287</w:t>
      </w:r>
    </w:p>
    <w:p w14:paraId="3F9EB2E5" w14:textId="77777777" w:rsidR="003663AF" w:rsidRPr="00B7760C" w:rsidRDefault="003663AF" w:rsidP="003663AF">
      <w:pPr>
        <w:pStyle w:val="NormalBold12b"/>
      </w:pPr>
      <w:r w:rsidRPr="00B7760C">
        <w:t>Predlog uredbe</w:t>
      </w:r>
    </w:p>
    <w:p w14:paraId="4641D7BA" w14:textId="77777777" w:rsidR="003663AF" w:rsidRPr="00B7760C" w:rsidRDefault="003663AF" w:rsidP="003663AF">
      <w:pPr>
        <w:pStyle w:val="NormalBold"/>
      </w:pPr>
      <w:r w:rsidRPr="00B7760C">
        <w:t>Člen 43 – odstavek 2 – točka h</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4AA9C38" w14:textId="77777777" w:rsidTr="00E804B7">
        <w:trPr>
          <w:jc w:val="center"/>
        </w:trPr>
        <w:tc>
          <w:tcPr>
            <w:tcW w:w="9752" w:type="dxa"/>
            <w:gridSpan w:val="2"/>
          </w:tcPr>
          <w:p w14:paraId="66FDE0EC" w14:textId="77777777" w:rsidR="003663AF" w:rsidRPr="00B7760C" w:rsidRDefault="003663AF" w:rsidP="00E804B7">
            <w:pPr>
              <w:keepNext/>
            </w:pPr>
          </w:p>
        </w:tc>
      </w:tr>
      <w:tr w:rsidR="003663AF" w:rsidRPr="00B7760C" w14:paraId="4291760B" w14:textId="77777777" w:rsidTr="00E804B7">
        <w:trPr>
          <w:jc w:val="center"/>
        </w:trPr>
        <w:tc>
          <w:tcPr>
            <w:tcW w:w="4876" w:type="dxa"/>
            <w:hideMark/>
          </w:tcPr>
          <w:p w14:paraId="1037EC0F" w14:textId="77777777" w:rsidR="003663AF" w:rsidRPr="00B7760C" w:rsidRDefault="003663AF" w:rsidP="00E804B7">
            <w:pPr>
              <w:pStyle w:val="ColumnHeading"/>
              <w:keepNext/>
            </w:pPr>
            <w:r w:rsidRPr="00B7760C">
              <w:t>Besedilo, ki ga predlaga Komisija</w:t>
            </w:r>
          </w:p>
        </w:tc>
        <w:tc>
          <w:tcPr>
            <w:tcW w:w="4876" w:type="dxa"/>
            <w:hideMark/>
          </w:tcPr>
          <w:p w14:paraId="4C67BB83" w14:textId="3F648566" w:rsidR="003663AF" w:rsidRPr="00B7760C" w:rsidRDefault="00877691" w:rsidP="00E804B7">
            <w:pPr>
              <w:pStyle w:val="ColumnHeading"/>
              <w:keepNext/>
            </w:pPr>
            <w:r w:rsidRPr="00B7760C">
              <w:t>Sprememba</w:t>
            </w:r>
          </w:p>
        </w:tc>
      </w:tr>
      <w:tr w:rsidR="003663AF" w:rsidRPr="00B7760C" w14:paraId="1E08CF2E" w14:textId="77777777" w:rsidTr="00E804B7">
        <w:trPr>
          <w:jc w:val="center"/>
        </w:trPr>
        <w:tc>
          <w:tcPr>
            <w:tcW w:w="4876" w:type="dxa"/>
            <w:hideMark/>
          </w:tcPr>
          <w:p w14:paraId="616A5B96" w14:textId="77777777" w:rsidR="003663AF" w:rsidRPr="00B7760C" w:rsidRDefault="003663AF" w:rsidP="00E804B7">
            <w:pPr>
              <w:pStyle w:val="Normal6"/>
            </w:pPr>
            <w:r w:rsidRPr="00B7760C">
              <w:t>(h)</w:t>
            </w:r>
            <w:r w:rsidRPr="00B7760C">
              <w:tab/>
              <w:t>mentoriranje drugih organizacij proizvajalcev in združenj organizacij proizvajalcev, priznanih na podlagi Uredbe (EU) št. 1308/2013, ali posameznih proizvajalcev;</w:t>
            </w:r>
          </w:p>
        </w:tc>
        <w:tc>
          <w:tcPr>
            <w:tcW w:w="4876" w:type="dxa"/>
            <w:hideMark/>
          </w:tcPr>
          <w:p w14:paraId="4848704B" w14:textId="77777777" w:rsidR="003663AF" w:rsidRPr="00B7760C" w:rsidRDefault="003663AF" w:rsidP="00E804B7">
            <w:pPr>
              <w:pStyle w:val="Normal6"/>
              <w:rPr>
                <w:szCs w:val="24"/>
              </w:rPr>
            </w:pPr>
            <w:r w:rsidRPr="00B7760C">
              <w:t>(h)</w:t>
            </w:r>
            <w:r w:rsidRPr="00B7760C">
              <w:tab/>
            </w:r>
            <w:r w:rsidRPr="00B7760C">
              <w:rPr>
                <w:b/>
                <w:i/>
              </w:rPr>
              <w:t xml:space="preserve">strokovna izmenjava in/ali </w:t>
            </w:r>
            <w:r w:rsidRPr="00B7760C">
              <w:t>mentoriranje drugih organizacij proizvajalcev in združenj organizacij proizvajalcev, priznanih na podlagi Uredbe (EU) št. 1308/2013, ali posameznih proizvajalcev;</w:t>
            </w:r>
          </w:p>
        </w:tc>
      </w:tr>
    </w:tbl>
    <w:p w14:paraId="5300DAB2" w14:textId="77777777" w:rsidR="003663AF" w:rsidRPr="00B7760C" w:rsidRDefault="003663AF" w:rsidP="003663AF"/>
    <w:p w14:paraId="62D2C756" w14:textId="58320E21" w:rsidR="003663AF" w:rsidRPr="00B7760C" w:rsidRDefault="00877691" w:rsidP="003663AF">
      <w:pPr>
        <w:pStyle w:val="AMNumberTabs"/>
        <w:keepNext/>
      </w:pPr>
      <w:r w:rsidRPr="00B7760C">
        <w:t>Sprememba</w:t>
      </w:r>
      <w:r w:rsidR="003663AF" w:rsidRPr="00B7760C">
        <w:tab/>
      </w:r>
      <w:r w:rsidR="003663AF" w:rsidRPr="00B7760C">
        <w:tab/>
        <w:t>288</w:t>
      </w:r>
    </w:p>
    <w:p w14:paraId="4B3624EE" w14:textId="77777777" w:rsidR="003663AF" w:rsidRPr="00B7760C" w:rsidRDefault="003663AF" w:rsidP="003663AF">
      <w:pPr>
        <w:pStyle w:val="NormalBold12b"/>
      </w:pPr>
      <w:r w:rsidRPr="00B7760C">
        <w:t>Predlog uredbe</w:t>
      </w:r>
    </w:p>
    <w:p w14:paraId="77338D82" w14:textId="77777777" w:rsidR="003663AF" w:rsidRPr="00B7760C" w:rsidRDefault="003663AF" w:rsidP="003663AF">
      <w:pPr>
        <w:pStyle w:val="NormalBold"/>
      </w:pPr>
      <w:r w:rsidRPr="00B7760C">
        <w:t>Člen 43 – odstavek 2 – točka h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F9F6A3A" w14:textId="77777777" w:rsidTr="00E804B7">
        <w:trPr>
          <w:jc w:val="center"/>
        </w:trPr>
        <w:tc>
          <w:tcPr>
            <w:tcW w:w="9752" w:type="dxa"/>
            <w:gridSpan w:val="2"/>
          </w:tcPr>
          <w:p w14:paraId="0FC8A645" w14:textId="77777777" w:rsidR="003663AF" w:rsidRPr="00B7760C" w:rsidRDefault="003663AF" w:rsidP="00E804B7">
            <w:pPr>
              <w:keepNext/>
            </w:pPr>
          </w:p>
        </w:tc>
      </w:tr>
      <w:tr w:rsidR="003663AF" w:rsidRPr="00B7760C" w14:paraId="7A617E2A" w14:textId="77777777" w:rsidTr="00E804B7">
        <w:trPr>
          <w:jc w:val="center"/>
        </w:trPr>
        <w:tc>
          <w:tcPr>
            <w:tcW w:w="4876" w:type="dxa"/>
            <w:hideMark/>
          </w:tcPr>
          <w:p w14:paraId="41BAFFA6" w14:textId="77777777" w:rsidR="003663AF" w:rsidRPr="00B7760C" w:rsidRDefault="003663AF" w:rsidP="00E804B7">
            <w:pPr>
              <w:pStyle w:val="ColumnHeading"/>
              <w:keepNext/>
            </w:pPr>
            <w:r w:rsidRPr="00B7760C">
              <w:t>Besedilo, ki ga predlaga Komisija</w:t>
            </w:r>
          </w:p>
        </w:tc>
        <w:tc>
          <w:tcPr>
            <w:tcW w:w="4876" w:type="dxa"/>
            <w:hideMark/>
          </w:tcPr>
          <w:p w14:paraId="3DEE4F35" w14:textId="1354F649" w:rsidR="003663AF" w:rsidRPr="00B7760C" w:rsidRDefault="00877691" w:rsidP="00E804B7">
            <w:pPr>
              <w:pStyle w:val="ColumnHeading"/>
              <w:keepNext/>
            </w:pPr>
            <w:r w:rsidRPr="00B7760C">
              <w:t>Sprememba</w:t>
            </w:r>
          </w:p>
        </w:tc>
      </w:tr>
      <w:tr w:rsidR="003663AF" w:rsidRPr="00B7760C" w14:paraId="75AEA224" w14:textId="77777777" w:rsidTr="00E804B7">
        <w:trPr>
          <w:jc w:val="center"/>
        </w:trPr>
        <w:tc>
          <w:tcPr>
            <w:tcW w:w="4876" w:type="dxa"/>
          </w:tcPr>
          <w:p w14:paraId="09321044" w14:textId="77777777" w:rsidR="003663AF" w:rsidRPr="00B7760C" w:rsidRDefault="003663AF" w:rsidP="00E804B7">
            <w:pPr>
              <w:pStyle w:val="Normal6"/>
            </w:pPr>
          </w:p>
        </w:tc>
        <w:tc>
          <w:tcPr>
            <w:tcW w:w="4876" w:type="dxa"/>
            <w:hideMark/>
          </w:tcPr>
          <w:p w14:paraId="60A6AFAE" w14:textId="77777777" w:rsidR="003663AF" w:rsidRPr="00B7760C" w:rsidRDefault="003663AF" w:rsidP="00E804B7">
            <w:pPr>
              <w:pStyle w:val="Normal6"/>
              <w:rPr>
                <w:szCs w:val="24"/>
              </w:rPr>
            </w:pPr>
            <w:r w:rsidRPr="00B7760C">
              <w:rPr>
                <w:b/>
                <w:i/>
              </w:rPr>
              <w:t>(ha)</w:t>
            </w:r>
            <w:r w:rsidRPr="00B7760C">
              <w:rPr>
                <w:b/>
                <w:i/>
              </w:rPr>
              <w:tab/>
              <w:t>promocija proizvodov in obveščanje o zdravstvenih koristih uživanja sadja in zelenjave kot odziv na tržne krize;</w:t>
            </w:r>
          </w:p>
        </w:tc>
      </w:tr>
    </w:tbl>
    <w:p w14:paraId="478F298D" w14:textId="77777777" w:rsidR="003663AF" w:rsidRPr="00B7760C" w:rsidRDefault="003663AF" w:rsidP="003663AF"/>
    <w:p w14:paraId="5A39E468" w14:textId="3D791062" w:rsidR="003663AF" w:rsidRPr="00B7760C" w:rsidRDefault="00877691" w:rsidP="003663AF">
      <w:pPr>
        <w:pStyle w:val="AMNumberTabs"/>
        <w:keepNext/>
      </w:pPr>
      <w:r w:rsidRPr="00B7760C">
        <w:t>Sprememba</w:t>
      </w:r>
      <w:r w:rsidR="003663AF" w:rsidRPr="00B7760C">
        <w:tab/>
      </w:r>
      <w:r w:rsidR="003663AF" w:rsidRPr="00B7760C">
        <w:tab/>
        <w:t>289</w:t>
      </w:r>
    </w:p>
    <w:p w14:paraId="79FC4FFB" w14:textId="77777777" w:rsidR="003663AF" w:rsidRPr="00B7760C" w:rsidRDefault="003663AF" w:rsidP="003663AF">
      <w:pPr>
        <w:pStyle w:val="NormalBold12b"/>
      </w:pPr>
      <w:r w:rsidRPr="00B7760C">
        <w:t>Predlog uredbe</w:t>
      </w:r>
    </w:p>
    <w:p w14:paraId="5F954718" w14:textId="77777777" w:rsidR="003663AF" w:rsidRPr="00B7760C" w:rsidRDefault="003663AF" w:rsidP="003663AF">
      <w:pPr>
        <w:pStyle w:val="NormalBold"/>
      </w:pPr>
      <w:r w:rsidRPr="00B7760C">
        <w:t>Člen 43 – odstavek 2 – točka i</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D2E5709" w14:textId="77777777" w:rsidTr="00E804B7">
        <w:trPr>
          <w:jc w:val="center"/>
        </w:trPr>
        <w:tc>
          <w:tcPr>
            <w:tcW w:w="9752" w:type="dxa"/>
            <w:gridSpan w:val="2"/>
          </w:tcPr>
          <w:p w14:paraId="7CD547BF" w14:textId="77777777" w:rsidR="003663AF" w:rsidRPr="00B7760C" w:rsidRDefault="003663AF" w:rsidP="00E804B7">
            <w:pPr>
              <w:keepNext/>
            </w:pPr>
          </w:p>
        </w:tc>
      </w:tr>
      <w:tr w:rsidR="003663AF" w:rsidRPr="00B7760C" w14:paraId="198F5769" w14:textId="77777777" w:rsidTr="00E804B7">
        <w:trPr>
          <w:jc w:val="center"/>
        </w:trPr>
        <w:tc>
          <w:tcPr>
            <w:tcW w:w="4876" w:type="dxa"/>
            <w:hideMark/>
          </w:tcPr>
          <w:p w14:paraId="15CDB66F" w14:textId="77777777" w:rsidR="003663AF" w:rsidRPr="00B7760C" w:rsidRDefault="003663AF" w:rsidP="00E804B7">
            <w:pPr>
              <w:pStyle w:val="ColumnHeading"/>
              <w:keepNext/>
            </w:pPr>
            <w:r w:rsidRPr="00B7760C">
              <w:t>Besedilo, ki ga predlaga Komisija</w:t>
            </w:r>
          </w:p>
        </w:tc>
        <w:tc>
          <w:tcPr>
            <w:tcW w:w="4876" w:type="dxa"/>
            <w:hideMark/>
          </w:tcPr>
          <w:p w14:paraId="0FDC82B7" w14:textId="68764C7A" w:rsidR="003663AF" w:rsidRPr="00B7760C" w:rsidRDefault="00877691" w:rsidP="00E804B7">
            <w:pPr>
              <w:pStyle w:val="ColumnHeading"/>
              <w:keepNext/>
            </w:pPr>
            <w:r w:rsidRPr="00B7760C">
              <w:t>Sprememba</w:t>
            </w:r>
          </w:p>
        </w:tc>
      </w:tr>
      <w:tr w:rsidR="003663AF" w:rsidRPr="00B7760C" w14:paraId="050DBE7F" w14:textId="77777777" w:rsidTr="00E804B7">
        <w:trPr>
          <w:jc w:val="center"/>
        </w:trPr>
        <w:tc>
          <w:tcPr>
            <w:tcW w:w="4876" w:type="dxa"/>
            <w:hideMark/>
          </w:tcPr>
          <w:p w14:paraId="2B192213" w14:textId="77777777" w:rsidR="003663AF" w:rsidRPr="00B7760C" w:rsidRDefault="003663AF" w:rsidP="00E804B7">
            <w:pPr>
              <w:pStyle w:val="Normal6"/>
            </w:pPr>
            <w:r w:rsidRPr="00B7760C">
              <w:t>(i)</w:t>
            </w:r>
            <w:r w:rsidRPr="00B7760C">
              <w:tab/>
            </w:r>
            <w:r w:rsidRPr="00B7760C">
              <w:rPr>
                <w:b/>
                <w:i/>
              </w:rPr>
              <w:t>izvajanje in upravljanje</w:t>
            </w:r>
            <w:r w:rsidRPr="00B7760C">
              <w:t xml:space="preserve"> fitosanitarnih </w:t>
            </w:r>
            <w:r w:rsidRPr="00B7760C">
              <w:rPr>
                <w:b/>
                <w:i/>
              </w:rPr>
              <w:t>protokolov</w:t>
            </w:r>
            <w:r w:rsidRPr="00B7760C">
              <w:t xml:space="preserve"> tretjih držav na ozemlju Unije, da se </w:t>
            </w:r>
            <w:r w:rsidRPr="00B7760C">
              <w:rPr>
                <w:b/>
                <w:i/>
              </w:rPr>
              <w:t>olajša dostop</w:t>
            </w:r>
            <w:r w:rsidRPr="00B7760C">
              <w:t xml:space="preserve"> do trgov tretjih držav;</w:t>
            </w:r>
          </w:p>
        </w:tc>
        <w:tc>
          <w:tcPr>
            <w:tcW w:w="4876" w:type="dxa"/>
            <w:hideMark/>
          </w:tcPr>
          <w:p w14:paraId="7E3CFEF3" w14:textId="77777777" w:rsidR="003663AF" w:rsidRPr="00B7760C" w:rsidRDefault="003663AF" w:rsidP="00E804B7">
            <w:pPr>
              <w:pStyle w:val="Normal6"/>
              <w:rPr>
                <w:szCs w:val="24"/>
              </w:rPr>
            </w:pPr>
            <w:r w:rsidRPr="00B7760C">
              <w:t>(i)</w:t>
            </w:r>
            <w:r w:rsidRPr="00B7760C">
              <w:tab/>
            </w:r>
            <w:r w:rsidRPr="00B7760C">
              <w:rPr>
                <w:b/>
                <w:i/>
              </w:rPr>
              <w:t>pogajanje o</w:t>
            </w:r>
            <w:r w:rsidRPr="00B7760C">
              <w:t xml:space="preserve"> fitosanitarnih </w:t>
            </w:r>
            <w:r w:rsidRPr="00B7760C">
              <w:rPr>
                <w:b/>
                <w:i/>
              </w:rPr>
              <w:t>protokolih</w:t>
            </w:r>
            <w:r w:rsidRPr="00B7760C">
              <w:t xml:space="preserve"> tretjih držav </w:t>
            </w:r>
            <w:r w:rsidRPr="00B7760C">
              <w:rPr>
                <w:b/>
                <w:i/>
              </w:rPr>
              <w:t xml:space="preserve">ter njihovo izvajanje in upravljanje </w:t>
            </w:r>
            <w:r w:rsidRPr="00B7760C">
              <w:t xml:space="preserve">na ozemlju Unije, da se </w:t>
            </w:r>
            <w:r w:rsidRPr="00B7760C">
              <w:rPr>
                <w:b/>
                <w:i/>
              </w:rPr>
              <w:t>omogoči dostop</w:t>
            </w:r>
            <w:r w:rsidRPr="00B7760C">
              <w:t xml:space="preserve"> do trgov tretjih držav</w:t>
            </w:r>
            <w:r w:rsidRPr="00B7760C">
              <w:rPr>
                <w:b/>
                <w:i/>
              </w:rPr>
              <w:t>, vključno s študijami trgov</w:t>
            </w:r>
            <w:r w:rsidRPr="00B7760C">
              <w:t>;</w:t>
            </w:r>
          </w:p>
        </w:tc>
      </w:tr>
    </w:tbl>
    <w:p w14:paraId="7B51B851" w14:textId="77777777" w:rsidR="003663AF" w:rsidRPr="00B7760C" w:rsidRDefault="003663AF" w:rsidP="003663AF"/>
    <w:p w14:paraId="091905BF" w14:textId="1D60CC19" w:rsidR="003663AF" w:rsidRPr="00B7760C" w:rsidRDefault="00877691" w:rsidP="003663AF">
      <w:pPr>
        <w:pStyle w:val="AMNumberTabs"/>
        <w:keepNext/>
      </w:pPr>
      <w:r w:rsidRPr="00B7760C">
        <w:t>Sprememba</w:t>
      </w:r>
      <w:r w:rsidR="003663AF" w:rsidRPr="00B7760C">
        <w:tab/>
      </w:r>
      <w:r w:rsidR="003663AF" w:rsidRPr="00B7760C">
        <w:tab/>
        <w:t>290</w:t>
      </w:r>
    </w:p>
    <w:p w14:paraId="1FFE2FDA" w14:textId="77777777" w:rsidR="003663AF" w:rsidRPr="00B7760C" w:rsidRDefault="003663AF" w:rsidP="003663AF">
      <w:pPr>
        <w:pStyle w:val="NormalBold12b"/>
      </w:pPr>
      <w:r w:rsidRPr="00B7760C">
        <w:t>Predlog uredbe</w:t>
      </w:r>
    </w:p>
    <w:p w14:paraId="757E9243" w14:textId="77777777" w:rsidR="003663AF" w:rsidRPr="00B7760C" w:rsidRDefault="003663AF" w:rsidP="003663AF">
      <w:pPr>
        <w:pStyle w:val="NormalBold"/>
      </w:pPr>
      <w:r w:rsidRPr="00B7760C">
        <w:t>Člen 43 – odstavek 2 – točka i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D01B76E" w14:textId="77777777" w:rsidTr="00E804B7">
        <w:trPr>
          <w:jc w:val="center"/>
        </w:trPr>
        <w:tc>
          <w:tcPr>
            <w:tcW w:w="9752" w:type="dxa"/>
            <w:gridSpan w:val="2"/>
          </w:tcPr>
          <w:p w14:paraId="13BE0CE7" w14:textId="77777777" w:rsidR="003663AF" w:rsidRPr="00B7760C" w:rsidRDefault="003663AF" w:rsidP="00E804B7">
            <w:pPr>
              <w:keepNext/>
            </w:pPr>
          </w:p>
        </w:tc>
      </w:tr>
      <w:tr w:rsidR="003663AF" w:rsidRPr="00B7760C" w14:paraId="76DD81BE" w14:textId="77777777" w:rsidTr="00E804B7">
        <w:trPr>
          <w:jc w:val="center"/>
        </w:trPr>
        <w:tc>
          <w:tcPr>
            <w:tcW w:w="4876" w:type="dxa"/>
            <w:hideMark/>
          </w:tcPr>
          <w:p w14:paraId="45E6FC09" w14:textId="77777777" w:rsidR="003663AF" w:rsidRPr="00B7760C" w:rsidRDefault="003663AF" w:rsidP="00E804B7">
            <w:pPr>
              <w:pStyle w:val="ColumnHeading"/>
              <w:keepNext/>
            </w:pPr>
            <w:r w:rsidRPr="00B7760C">
              <w:t>Besedilo, ki ga predlaga Komisija</w:t>
            </w:r>
          </w:p>
        </w:tc>
        <w:tc>
          <w:tcPr>
            <w:tcW w:w="4876" w:type="dxa"/>
            <w:hideMark/>
          </w:tcPr>
          <w:p w14:paraId="495FAF86" w14:textId="2582A484" w:rsidR="003663AF" w:rsidRPr="00B7760C" w:rsidRDefault="00877691" w:rsidP="00E804B7">
            <w:pPr>
              <w:pStyle w:val="ColumnHeading"/>
              <w:keepNext/>
            </w:pPr>
            <w:r w:rsidRPr="00B7760C">
              <w:t>Sprememba</w:t>
            </w:r>
          </w:p>
        </w:tc>
      </w:tr>
      <w:tr w:rsidR="003663AF" w:rsidRPr="00B7760C" w14:paraId="3C377BAD" w14:textId="77777777" w:rsidTr="00E804B7">
        <w:trPr>
          <w:jc w:val="center"/>
        </w:trPr>
        <w:tc>
          <w:tcPr>
            <w:tcW w:w="4876" w:type="dxa"/>
          </w:tcPr>
          <w:p w14:paraId="2AC73C9A" w14:textId="77777777" w:rsidR="003663AF" w:rsidRPr="00B7760C" w:rsidRDefault="003663AF" w:rsidP="00E804B7">
            <w:pPr>
              <w:pStyle w:val="Normal6"/>
            </w:pPr>
          </w:p>
        </w:tc>
        <w:tc>
          <w:tcPr>
            <w:tcW w:w="4876" w:type="dxa"/>
            <w:hideMark/>
          </w:tcPr>
          <w:p w14:paraId="386CAD0C" w14:textId="77777777" w:rsidR="003663AF" w:rsidRPr="00B7760C" w:rsidRDefault="003663AF" w:rsidP="00E804B7">
            <w:pPr>
              <w:pStyle w:val="Normal6"/>
              <w:rPr>
                <w:szCs w:val="24"/>
              </w:rPr>
            </w:pPr>
            <w:r w:rsidRPr="00B7760C">
              <w:rPr>
                <w:b/>
                <w:i/>
              </w:rPr>
              <w:t>(ia)</w:t>
            </w:r>
            <w:r w:rsidRPr="00B7760C">
              <w:rPr>
                <w:b/>
                <w:i/>
              </w:rPr>
              <w:tab/>
              <w:t>preprečevanje in obvladovanje fitosanitarnih kriz;</w:t>
            </w:r>
          </w:p>
        </w:tc>
      </w:tr>
    </w:tbl>
    <w:p w14:paraId="37907F47" w14:textId="77777777" w:rsidR="003663AF" w:rsidRPr="00B7760C" w:rsidRDefault="003663AF" w:rsidP="003663AF"/>
    <w:p w14:paraId="3D6FA20E" w14:textId="1FEE0FBB" w:rsidR="003663AF" w:rsidRPr="00B7760C" w:rsidRDefault="00877691" w:rsidP="003663AF">
      <w:pPr>
        <w:pStyle w:val="AMNumberTabs"/>
        <w:keepNext/>
      </w:pPr>
      <w:r w:rsidRPr="00B7760C">
        <w:t>Sprememba</w:t>
      </w:r>
      <w:r w:rsidR="003663AF" w:rsidRPr="00B7760C">
        <w:tab/>
      </w:r>
      <w:r w:rsidR="003663AF" w:rsidRPr="00B7760C">
        <w:tab/>
        <w:t>291</w:t>
      </w:r>
    </w:p>
    <w:p w14:paraId="7EA8D610" w14:textId="77777777" w:rsidR="003663AF" w:rsidRPr="00B7760C" w:rsidRDefault="003663AF" w:rsidP="003663AF">
      <w:pPr>
        <w:pStyle w:val="NormalBold12b"/>
      </w:pPr>
      <w:r w:rsidRPr="00B7760C">
        <w:t>Predlog uredbe</w:t>
      </w:r>
    </w:p>
    <w:p w14:paraId="2E2921FE" w14:textId="77777777" w:rsidR="003663AF" w:rsidRPr="00B7760C" w:rsidRDefault="003663AF" w:rsidP="003663AF">
      <w:pPr>
        <w:pStyle w:val="NormalBold"/>
      </w:pPr>
      <w:r w:rsidRPr="00B7760C">
        <w:t>Člen 43 – odstavek 2 – točka k</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5479CF7" w14:textId="77777777" w:rsidTr="00E804B7">
        <w:trPr>
          <w:jc w:val="center"/>
        </w:trPr>
        <w:tc>
          <w:tcPr>
            <w:tcW w:w="9752" w:type="dxa"/>
            <w:gridSpan w:val="2"/>
          </w:tcPr>
          <w:p w14:paraId="7B09E29D" w14:textId="77777777" w:rsidR="003663AF" w:rsidRPr="00B7760C" w:rsidRDefault="003663AF" w:rsidP="00E804B7">
            <w:pPr>
              <w:keepNext/>
            </w:pPr>
          </w:p>
        </w:tc>
      </w:tr>
      <w:tr w:rsidR="003663AF" w:rsidRPr="00B7760C" w14:paraId="08610205" w14:textId="77777777" w:rsidTr="00E804B7">
        <w:trPr>
          <w:jc w:val="center"/>
        </w:trPr>
        <w:tc>
          <w:tcPr>
            <w:tcW w:w="4876" w:type="dxa"/>
            <w:hideMark/>
          </w:tcPr>
          <w:p w14:paraId="675D9A5A" w14:textId="77777777" w:rsidR="003663AF" w:rsidRPr="00B7760C" w:rsidRDefault="003663AF" w:rsidP="00E804B7">
            <w:pPr>
              <w:pStyle w:val="ColumnHeading"/>
              <w:keepNext/>
            </w:pPr>
            <w:r w:rsidRPr="00B7760C">
              <w:t>Besedilo, ki ga predlaga Komisija</w:t>
            </w:r>
          </w:p>
        </w:tc>
        <w:tc>
          <w:tcPr>
            <w:tcW w:w="4876" w:type="dxa"/>
            <w:hideMark/>
          </w:tcPr>
          <w:p w14:paraId="0CF75ABF" w14:textId="0ADE401E" w:rsidR="003663AF" w:rsidRPr="00B7760C" w:rsidRDefault="00877691" w:rsidP="00E804B7">
            <w:pPr>
              <w:pStyle w:val="ColumnHeading"/>
              <w:keepNext/>
            </w:pPr>
            <w:r w:rsidRPr="00B7760C">
              <w:t>Sprememba</w:t>
            </w:r>
          </w:p>
        </w:tc>
      </w:tr>
      <w:tr w:rsidR="003663AF" w:rsidRPr="00B7760C" w14:paraId="2CB21437" w14:textId="77777777" w:rsidTr="00E804B7">
        <w:trPr>
          <w:jc w:val="center"/>
        </w:trPr>
        <w:tc>
          <w:tcPr>
            <w:tcW w:w="4876" w:type="dxa"/>
            <w:hideMark/>
          </w:tcPr>
          <w:p w14:paraId="0C9728E0" w14:textId="77777777" w:rsidR="003663AF" w:rsidRPr="00B7760C" w:rsidRDefault="003663AF" w:rsidP="00E804B7">
            <w:pPr>
              <w:pStyle w:val="Normal6"/>
            </w:pPr>
            <w:r w:rsidRPr="00B7760C">
              <w:t>(k)</w:t>
            </w:r>
            <w:r w:rsidRPr="00B7760C">
              <w:tab/>
              <w:t xml:space="preserve">storitve svetovanja in tehnična pomoč, </w:t>
            </w:r>
            <w:r w:rsidRPr="00B7760C">
              <w:rPr>
                <w:b/>
                <w:i/>
              </w:rPr>
              <w:t>zlasti</w:t>
            </w:r>
            <w:r w:rsidRPr="00B7760C">
              <w:t xml:space="preserve"> glede trajnostnih tehnik varstva pred škodljivci</w:t>
            </w:r>
            <w:r w:rsidRPr="00B7760C">
              <w:rPr>
                <w:b/>
                <w:i/>
              </w:rPr>
              <w:t xml:space="preserve"> in</w:t>
            </w:r>
            <w:r w:rsidRPr="00B7760C">
              <w:t xml:space="preserve"> trajnostne rabe pesticidov</w:t>
            </w:r>
            <w:r w:rsidRPr="00B7760C">
              <w:rPr>
                <w:b/>
                <w:i/>
              </w:rPr>
              <w:t>.</w:t>
            </w:r>
          </w:p>
        </w:tc>
        <w:tc>
          <w:tcPr>
            <w:tcW w:w="4876" w:type="dxa"/>
            <w:hideMark/>
          </w:tcPr>
          <w:p w14:paraId="1E07CF8D" w14:textId="77777777" w:rsidR="003663AF" w:rsidRPr="00B7760C" w:rsidRDefault="003663AF" w:rsidP="00E804B7">
            <w:pPr>
              <w:pStyle w:val="Normal6"/>
              <w:rPr>
                <w:szCs w:val="24"/>
              </w:rPr>
            </w:pPr>
            <w:r w:rsidRPr="00B7760C">
              <w:t>(k)</w:t>
            </w:r>
            <w:r w:rsidRPr="00B7760C">
              <w:tab/>
              <w:t xml:space="preserve">storitve svetovanja in tehnična pomoč, </w:t>
            </w:r>
            <w:r w:rsidRPr="00B7760C">
              <w:rPr>
                <w:b/>
                <w:i/>
              </w:rPr>
              <w:t>tudi</w:t>
            </w:r>
            <w:r w:rsidRPr="00B7760C">
              <w:t xml:space="preserve"> glede trajnostnih tehnik varstva pred škodljivci</w:t>
            </w:r>
            <w:r w:rsidRPr="00B7760C">
              <w:rPr>
                <w:b/>
                <w:i/>
              </w:rPr>
              <w:t>, kot je integrirano varstvo rastlin pred škodljivimi organizmi, ter</w:t>
            </w:r>
            <w:r w:rsidRPr="00B7760C">
              <w:t xml:space="preserve"> trajnostne rabe </w:t>
            </w:r>
            <w:r w:rsidRPr="00B7760C">
              <w:rPr>
                <w:b/>
                <w:i/>
              </w:rPr>
              <w:t xml:space="preserve">in zmanjšanja uporabe </w:t>
            </w:r>
            <w:r w:rsidRPr="00B7760C">
              <w:t>pesticidov</w:t>
            </w:r>
            <w:r w:rsidRPr="00B7760C">
              <w:rPr>
                <w:b/>
                <w:i/>
              </w:rPr>
              <w:t>;</w:t>
            </w:r>
          </w:p>
        </w:tc>
      </w:tr>
    </w:tbl>
    <w:p w14:paraId="46BE3A1A" w14:textId="77777777" w:rsidR="003663AF" w:rsidRPr="00B7760C" w:rsidRDefault="003663AF" w:rsidP="003663AF"/>
    <w:p w14:paraId="0AC7D329" w14:textId="0B4E87CF" w:rsidR="003663AF" w:rsidRPr="00B7760C" w:rsidRDefault="00877691" w:rsidP="003663AF">
      <w:pPr>
        <w:pStyle w:val="AMNumberTabs"/>
        <w:keepNext/>
      </w:pPr>
      <w:r w:rsidRPr="00B7760C">
        <w:t>Sprememba</w:t>
      </w:r>
      <w:r w:rsidR="003663AF" w:rsidRPr="00B7760C">
        <w:tab/>
      </w:r>
      <w:r w:rsidR="003663AF" w:rsidRPr="00B7760C">
        <w:tab/>
        <w:t>292</w:t>
      </w:r>
    </w:p>
    <w:p w14:paraId="2EFC8BF6" w14:textId="77777777" w:rsidR="003663AF" w:rsidRPr="00B7760C" w:rsidRDefault="003663AF" w:rsidP="003663AF">
      <w:pPr>
        <w:pStyle w:val="NormalBold12b"/>
      </w:pPr>
      <w:r w:rsidRPr="00B7760C">
        <w:t>Predlog uredbe</w:t>
      </w:r>
    </w:p>
    <w:p w14:paraId="29921B75" w14:textId="77777777" w:rsidR="003663AF" w:rsidRPr="00B7760C" w:rsidRDefault="003663AF" w:rsidP="003663AF">
      <w:pPr>
        <w:pStyle w:val="NormalBold"/>
      </w:pPr>
      <w:r w:rsidRPr="00B7760C">
        <w:t>Člen 43 – odstavek 2 – točka k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DFF9286" w14:textId="77777777" w:rsidTr="00E804B7">
        <w:trPr>
          <w:jc w:val="center"/>
        </w:trPr>
        <w:tc>
          <w:tcPr>
            <w:tcW w:w="9752" w:type="dxa"/>
            <w:gridSpan w:val="2"/>
          </w:tcPr>
          <w:p w14:paraId="65342F18" w14:textId="77777777" w:rsidR="003663AF" w:rsidRPr="00B7760C" w:rsidRDefault="003663AF" w:rsidP="00E804B7">
            <w:pPr>
              <w:keepNext/>
            </w:pPr>
          </w:p>
        </w:tc>
      </w:tr>
      <w:tr w:rsidR="003663AF" w:rsidRPr="00B7760C" w14:paraId="0FF1C2A0" w14:textId="77777777" w:rsidTr="00E804B7">
        <w:trPr>
          <w:jc w:val="center"/>
        </w:trPr>
        <w:tc>
          <w:tcPr>
            <w:tcW w:w="4876" w:type="dxa"/>
            <w:hideMark/>
          </w:tcPr>
          <w:p w14:paraId="70A4DA3F" w14:textId="77777777" w:rsidR="003663AF" w:rsidRPr="00B7760C" w:rsidRDefault="003663AF" w:rsidP="00E804B7">
            <w:pPr>
              <w:pStyle w:val="ColumnHeading"/>
              <w:keepNext/>
            </w:pPr>
            <w:r w:rsidRPr="00B7760C">
              <w:t>Besedilo, ki ga predlaga Komisija</w:t>
            </w:r>
          </w:p>
        </w:tc>
        <w:tc>
          <w:tcPr>
            <w:tcW w:w="4876" w:type="dxa"/>
            <w:hideMark/>
          </w:tcPr>
          <w:p w14:paraId="7F558C3B" w14:textId="5EBCB98F" w:rsidR="003663AF" w:rsidRPr="00B7760C" w:rsidRDefault="00877691" w:rsidP="00E804B7">
            <w:pPr>
              <w:pStyle w:val="ColumnHeading"/>
              <w:keepNext/>
            </w:pPr>
            <w:r w:rsidRPr="00B7760C">
              <w:t>Sprememba</w:t>
            </w:r>
          </w:p>
        </w:tc>
      </w:tr>
      <w:tr w:rsidR="003663AF" w:rsidRPr="00B7760C" w14:paraId="2F7B283B" w14:textId="77777777" w:rsidTr="00E804B7">
        <w:trPr>
          <w:jc w:val="center"/>
        </w:trPr>
        <w:tc>
          <w:tcPr>
            <w:tcW w:w="4876" w:type="dxa"/>
          </w:tcPr>
          <w:p w14:paraId="48C42C19" w14:textId="77777777" w:rsidR="003663AF" w:rsidRPr="00B7760C" w:rsidRDefault="003663AF" w:rsidP="00E804B7">
            <w:pPr>
              <w:pStyle w:val="Normal6"/>
            </w:pPr>
          </w:p>
        </w:tc>
        <w:tc>
          <w:tcPr>
            <w:tcW w:w="4876" w:type="dxa"/>
            <w:hideMark/>
          </w:tcPr>
          <w:p w14:paraId="28DC88DC" w14:textId="77777777" w:rsidR="003663AF" w:rsidRPr="00B7760C" w:rsidRDefault="003663AF" w:rsidP="00E804B7">
            <w:pPr>
              <w:pStyle w:val="Normal6"/>
              <w:rPr>
                <w:szCs w:val="24"/>
              </w:rPr>
            </w:pPr>
            <w:r w:rsidRPr="00B7760C">
              <w:rPr>
                <w:b/>
                <w:i/>
              </w:rPr>
              <w:t>(ka)</w:t>
            </w:r>
            <w:r w:rsidRPr="00B7760C">
              <w:rPr>
                <w:b/>
                <w:i/>
              </w:rPr>
              <w:tab/>
              <w:t>ukrepi za usposabljanje in izmenjavo dobrih praks.</w:t>
            </w:r>
          </w:p>
        </w:tc>
      </w:tr>
    </w:tbl>
    <w:p w14:paraId="22C31DC7" w14:textId="77777777" w:rsidR="003663AF" w:rsidRPr="00B7760C" w:rsidRDefault="003663AF" w:rsidP="003663AF"/>
    <w:p w14:paraId="325A1391" w14:textId="092786FB" w:rsidR="003663AF" w:rsidRPr="00B7760C" w:rsidRDefault="00877691" w:rsidP="003663AF">
      <w:pPr>
        <w:pStyle w:val="AMNumberTabs"/>
        <w:keepNext/>
      </w:pPr>
      <w:r w:rsidRPr="00B7760C">
        <w:t>Sprememba</w:t>
      </w:r>
      <w:r w:rsidR="003663AF" w:rsidRPr="00B7760C">
        <w:tab/>
      </w:r>
      <w:r w:rsidR="003663AF" w:rsidRPr="00B7760C">
        <w:tab/>
        <w:t>293</w:t>
      </w:r>
    </w:p>
    <w:p w14:paraId="44AD64F6" w14:textId="77777777" w:rsidR="003663AF" w:rsidRPr="00B7760C" w:rsidRDefault="003663AF" w:rsidP="003663AF">
      <w:pPr>
        <w:pStyle w:val="NormalBold12b"/>
      </w:pPr>
      <w:r w:rsidRPr="00B7760C">
        <w:t>Predlog uredbe</w:t>
      </w:r>
    </w:p>
    <w:p w14:paraId="4B070F8D" w14:textId="77777777" w:rsidR="003663AF" w:rsidRPr="00B7760C" w:rsidRDefault="003663AF" w:rsidP="003663AF">
      <w:pPr>
        <w:pStyle w:val="NormalBold"/>
      </w:pPr>
      <w:r w:rsidRPr="00B7760C">
        <w:t>Člen 44 – odstavek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3217825" w14:textId="77777777" w:rsidTr="00E804B7">
        <w:trPr>
          <w:jc w:val="center"/>
        </w:trPr>
        <w:tc>
          <w:tcPr>
            <w:tcW w:w="9752" w:type="dxa"/>
            <w:gridSpan w:val="2"/>
          </w:tcPr>
          <w:p w14:paraId="68EC7A6C" w14:textId="77777777" w:rsidR="003663AF" w:rsidRPr="00B7760C" w:rsidRDefault="003663AF" w:rsidP="00E804B7">
            <w:pPr>
              <w:keepNext/>
            </w:pPr>
          </w:p>
        </w:tc>
      </w:tr>
      <w:tr w:rsidR="003663AF" w:rsidRPr="00B7760C" w14:paraId="794D69A4" w14:textId="77777777" w:rsidTr="00E804B7">
        <w:trPr>
          <w:jc w:val="center"/>
        </w:trPr>
        <w:tc>
          <w:tcPr>
            <w:tcW w:w="4876" w:type="dxa"/>
            <w:hideMark/>
          </w:tcPr>
          <w:p w14:paraId="460B0765" w14:textId="77777777" w:rsidR="003663AF" w:rsidRPr="00B7760C" w:rsidRDefault="003663AF" w:rsidP="00E804B7">
            <w:pPr>
              <w:pStyle w:val="ColumnHeading"/>
              <w:keepNext/>
            </w:pPr>
            <w:r w:rsidRPr="00B7760C">
              <w:t>Besedilo, ki ga predlaga Komisija</w:t>
            </w:r>
          </w:p>
        </w:tc>
        <w:tc>
          <w:tcPr>
            <w:tcW w:w="4876" w:type="dxa"/>
            <w:hideMark/>
          </w:tcPr>
          <w:p w14:paraId="3027935F" w14:textId="4C721177" w:rsidR="003663AF" w:rsidRPr="00B7760C" w:rsidRDefault="00877691" w:rsidP="00E804B7">
            <w:pPr>
              <w:pStyle w:val="ColumnHeading"/>
              <w:keepNext/>
            </w:pPr>
            <w:r w:rsidRPr="00B7760C">
              <w:t>Sprememba</w:t>
            </w:r>
          </w:p>
        </w:tc>
      </w:tr>
      <w:tr w:rsidR="003663AF" w:rsidRPr="00B7760C" w14:paraId="646978E6" w14:textId="77777777" w:rsidTr="00E804B7">
        <w:trPr>
          <w:jc w:val="center"/>
        </w:trPr>
        <w:tc>
          <w:tcPr>
            <w:tcW w:w="4876" w:type="dxa"/>
            <w:hideMark/>
          </w:tcPr>
          <w:p w14:paraId="29DAB962" w14:textId="77777777" w:rsidR="003663AF" w:rsidRPr="00B7760C" w:rsidRDefault="003663AF" w:rsidP="00E804B7">
            <w:pPr>
              <w:pStyle w:val="Normal6"/>
            </w:pPr>
            <w:r w:rsidRPr="00B7760C">
              <w:t>2.</w:t>
            </w:r>
            <w:r w:rsidRPr="00B7760C">
              <w:tab/>
              <w:t>Operativni programi trajajo najmanj tri in največ sedem let. Prizadevajo si uresničiti cilje iz točk (d) in (e) člena 42 ter vsaj dva druga cilja iz navedenega člena.</w:t>
            </w:r>
          </w:p>
        </w:tc>
        <w:tc>
          <w:tcPr>
            <w:tcW w:w="4876" w:type="dxa"/>
            <w:hideMark/>
          </w:tcPr>
          <w:p w14:paraId="4706A15E" w14:textId="77777777" w:rsidR="003663AF" w:rsidRPr="00B7760C" w:rsidRDefault="003663AF" w:rsidP="00E804B7">
            <w:pPr>
              <w:pStyle w:val="Normal6"/>
              <w:rPr>
                <w:szCs w:val="24"/>
              </w:rPr>
            </w:pPr>
            <w:r w:rsidRPr="00B7760C">
              <w:t>2.</w:t>
            </w:r>
            <w:r w:rsidRPr="00B7760C">
              <w:tab/>
              <w:t>Operativni programi trajajo najmanj tri in največ sedem let. Prizadevajo si uresničiti cilje iz točk (</w:t>
            </w:r>
            <w:r w:rsidRPr="00B7760C">
              <w:rPr>
                <w:b/>
                <w:i/>
              </w:rPr>
              <w:t>b), (</w:t>
            </w:r>
            <w:r w:rsidRPr="00B7760C">
              <w:t>d) in (e) člena 42 ter vsaj dva druga cilja iz navedenega člena.</w:t>
            </w:r>
          </w:p>
        </w:tc>
      </w:tr>
    </w:tbl>
    <w:p w14:paraId="3D500305" w14:textId="77777777" w:rsidR="003663AF" w:rsidRPr="00B7760C" w:rsidRDefault="003663AF" w:rsidP="003663AF"/>
    <w:p w14:paraId="4190AD22" w14:textId="4F14EA9B" w:rsidR="003663AF" w:rsidRPr="00B7760C" w:rsidRDefault="00877691" w:rsidP="003663AF">
      <w:pPr>
        <w:pStyle w:val="AMNumberTabs"/>
        <w:keepNext/>
      </w:pPr>
      <w:r w:rsidRPr="00B7760C">
        <w:t>Sprememba</w:t>
      </w:r>
      <w:r w:rsidR="003663AF" w:rsidRPr="00B7760C">
        <w:tab/>
      </w:r>
      <w:r w:rsidR="003663AF" w:rsidRPr="00B7760C">
        <w:tab/>
        <w:t>294</w:t>
      </w:r>
    </w:p>
    <w:p w14:paraId="664ED4C8" w14:textId="77777777" w:rsidR="003663AF" w:rsidRPr="00B7760C" w:rsidRDefault="003663AF" w:rsidP="003663AF">
      <w:pPr>
        <w:pStyle w:val="NormalBold12b"/>
      </w:pPr>
      <w:r w:rsidRPr="00B7760C">
        <w:t>Predlog uredbe</w:t>
      </w:r>
    </w:p>
    <w:p w14:paraId="7945D7EA" w14:textId="77777777" w:rsidR="003663AF" w:rsidRPr="00B7760C" w:rsidRDefault="003663AF" w:rsidP="003663AF">
      <w:pPr>
        <w:pStyle w:val="NormalBold"/>
      </w:pPr>
      <w:r w:rsidRPr="00B7760C">
        <w:t>Člen 44 – odstavek 5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0009596" w14:textId="77777777" w:rsidTr="00E804B7">
        <w:trPr>
          <w:jc w:val="center"/>
        </w:trPr>
        <w:tc>
          <w:tcPr>
            <w:tcW w:w="9752" w:type="dxa"/>
            <w:gridSpan w:val="2"/>
          </w:tcPr>
          <w:p w14:paraId="0779355B" w14:textId="77777777" w:rsidR="003663AF" w:rsidRPr="00B7760C" w:rsidRDefault="003663AF" w:rsidP="00E804B7">
            <w:pPr>
              <w:keepNext/>
            </w:pPr>
          </w:p>
        </w:tc>
      </w:tr>
      <w:tr w:rsidR="003663AF" w:rsidRPr="00B7760C" w14:paraId="58BE1401" w14:textId="77777777" w:rsidTr="00E804B7">
        <w:trPr>
          <w:jc w:val="center"/>
        </w:trPr>
        <w:tc>
          <w:tcPr>
            <w:tcW w:w="4876" w:type="dxa"/>
            <w:hideMark/>
          </w:tcPr>
          <w:p w14:paraId="417777CE" w14:textId="77777777" w:rsidR="003663AF" w:rsidRPr="00B7760C" w:rsidRDefault="003663AF" w:rsidP="00E804B7">
            <w:pPr>
              <w:pStyle w:val="ColumnHeading"/>
              <w:keepNext/>
            </w:pPr>
            <w:r w:rsidRPr="00B7760C">
              <w:t>Besedilo, ki ga predlaga Komisija</w:t>
            </w:r>
          </w:p>
        </w:tc>
        <w:tc>
          <w:tcPr>
            <w:tcW w:w="4876" w:type="dxa"/>
            <w:hideMark/>
          </w:tcPr>
          <w:p w14:paraId="1F3BEB49" w14:textId="7079171E" w:rsidR="003663AF" w:rsidRPr="00B7760C" w:rsidRDefault="00877691" w:rsidP="00E804B7">
            <w:pPr>
              <w:pStyle w:val="ColumnHeading"/>
              <w:keepNext/>
            </w:pPr>
            <w:r w:rsidRPr="00B7760C">
              <w:t>Sprememba</w:t>
            </w:r>
          </w:p>
        </w:tc>
      </w:tr>
      <w:tr w:rsidR="003663AF" w:rsidRPr="00B7760C" w14:paraId="5D12A09B" w14:textId="77777777" w:rsidTr="00E804B7">
        <w:trPr>
          <w:jc w:val="center"/>
        </w:trPr>
        <w:tc>
          <w:tcPr>
            <w:tcW w:w="4876" w:type="dxa"/>
          </w:tcPr>
          <w:p w14:paraId="0F1244F4" w14:textId="77777777" w:rsidR="003663AF" w:rsidRPr="00B7760C" w:rsidRDefault="003663AF" w:rsidP="00E804B7">
            <w:pPr>
              <w:pStyle w:val="Normal6"/>
            </w:pPr>
          </w:p>
        </w:tc>
        <w:tc>
          <w:tcPr>
            <w:tcW w:w="4876" w:type="dxa"/>
            <w:hideMark/>
          </w:tcPr>
          <w:p w14:paraId="4AEC0F45" w14:textId="77777777" w:rsidR="003663AF" w:rsidRPr="00B7760C" w:rsidRDefault="003663AF" w:rsidP="00E804B7">
            <w:pPr>
              <w:pStyle w:val="Normal6"/>
              <w:rPr>
                <w:szCs w:val="24"/>
              </w:rPr>
            </w:pPr>
            <w:r w:rsidRPr="00B7760C">
              <w:rPr>
                <w:b/>
                <w:i/>
              </w:rPr>
              <w:t>5a.</w:t>
            </w:r>
            <w:r w:rsidRPr="00B7760C">
              <w:rPr>
                <w:b/>
                <w:i/>
              </w:rPr>
              <w:tab/>
              <w:t>Operativni programi združenj organizacij proizvajalcev so lahko delni ali popolni operativni programi. Popolni operativni programi izpolnjujejo enaka pravila in pogoje upravljanja kot operativni programi organizacij proizvajalcev.</w:t>
            </w:r>
          </w:p>
        </w:tc>
      </w:tr>
    </w:tbl>
    <w:p w14:paraId="2EA852A5" w14:textId="77777777" w:rsidR="003663AF" w:rsidRPr="00B7760C" w:rsidRDefault="003663AF" w:rsidP="003663AF"/>
    <w:p w14:paraId="0A7752D8" w14:textId="7078DFCB" w:rsidR="003663AF" w:rsidRPr="00B7760C" w:rsidRDefault="00877691" w:rsidP="003663AF">
      <w:pPr>
        <w:pStyle w:val="AMNumberTabs"/>
        <w:keepNext/>
      </w:pPr>
      <w:r w:rsidRPr="00B7760C">
        <w:t>Sprememba</w:t>
      </w:r>
      <w:r w:rsidR="003663AF" w:rsidRPr="00B7760C">
        <w:tab/>
      </w:r>
      <w:r w:rsidR="003663AF" w:rsidRPr="00B7760C">
        <w:tab/>
        <w:t>295</w:t>
      </w:r>
    </w:p>
    <w:p w14:paraId="1EB1E636" w14:textId="77777777" w:rsidR="003663AF" w:rsidRPr="00B7760C" w:rsidRDefault="003663AF" w:rsidP="003663AF">
      <w:pPr>
        <w:pStyle w:val="NormalBold12b"/>
      </w:pPr>
      <w:r w:rsidRPr="00B7760C">
        <w:t>Predlog uredbe</w:t>
      </w:r>
    </w:p>
    <w:p w14:paraId="29D972DF" w14:textId="77777777" w:rsidR="003663AF" w:rsidRPr="00B7760C" w:rsidRDefault="003663AF" w:rsidP="003663AF">
      <w:pPr>
        <w:pStyle w:val="NormalBold"/>
      </w:pPr>
      <w:r w:rsidRPr="00B7760C">
        <w:t>Člen 44 – odstavek 6 – pododstavek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7C8831B" w14:textId="77777777" w:rsidTr="00E804B7">
        <w:trPr>
          <w:jc w:val="center"/>
        </w:trPr>
        <w:tc>
          <w:tcPr>
            <w:tcW w:w="9752" w:type="dxa"/>
            <w:gridSpan w:val="2"/>
          </w:tcPr>
          <w:p w14:paraId="161892E8" w14:textId="77777777" w:rsidR="003663AF" w:rsidRPr="00B7760C" w:rsidRDefault="003663AF" w:rsidP="00E804B7">
            <w:pPr>
              <w:keepNext/>
            </w:pPr>
          </w:p>
        </w:tc>
      </w:tr>
      <w:tr w:rsidR="003663AF" w:rsidRPr="00B7760C" w14:paraId="28BAF81E" w14:textId="77777777" w:rsidTr="00E804B7">
        <w:trPr>
          <w:jc w:val="center"/>
        </w:trPr>
        <w:tc>
          <w:tcPr>
            <w:tcW w:w="4876" w:type="dxa"/>
            <w:hideMark/>
          </w:tcPr>
          <w:p w14:paraId="725A7ED1" w14:textId="77777777" w:rsidR="003663AF" w:rsidRPr="00B7760C" w:rsidRDefault="003663AF" w:rsidP="00E804B7">
            <w:pPr>
              <w:pStyle w:val="ColumnHeading"/>
              <w:keepNext/>
            </w:pPr>
            <w:r w:rsidRPr="00B7760C">
              <w:t>Besedilo, ki ga predlaga Komisija</w:t>
            </w:r>
          </w:p>
        </w:tc>
        <w:tc>
          <w:tcPr>
            <w:tcW w:w="4876" w:type="dxa"/>
            <w:hideMark/>
          </w:tcPr>
          <w:p w14:paraId="14C01A3B" w14:textId="682E5F5C" w:rsidR="003663AF" w:rsidRPr="00B7760C" w:rsidRDefault="00877691" w:rsidP="00E804B7">
            <w:pPr>
              <w:pStyle w:val="ColumnHeading"/>
              <w:keepNext/>
            </w:pPr>
            <w:r w:rsidRPr="00B7760C">
              <w:t>Sprememba</w:t>
            </w:r>
          </w:p>
        </w:tc>
      </w:tr>
      <w:tr w:rsidR="003663AF" w:rsidRPr="00B7760C" w14:paraId="4461272D" w14:textId="77777777" w:rsidTr="00E804B7">
        <w:trPr>
          <w:jc w:val="center"/>
        </w:trPr>
        <w:tc>
          <w:tcPr>
            <w:tcW w:w="4876" w:type="dxa"/>
            <w:hideMark/>
          </w:tcPr>
          <w:p w14:paraId="27CD5098" w14:textId="77777777" w:rsidR="003663AF" w:rsidRPr="00B7760C" w:rsidRDefault="003663AF" w:rsidP="00E804B7">
            <w:pPr>
              <w:pStyle w:val="Normal6"/>
            </w:pPr>
            <w:r w:rsidRPr="00B7760C">
              <w:t xml:space="preserve">Operativni programi združenj organizacij proizvajalcev ne zajemajo istih </w:t>
            </w:r>
            <w:r w:rsidRPr="00B7760C">
              <w:rPr>
                <w:b/>
                <w:i/>
              </w:rPr>
              <w:t>intervencij</w:t>
            </w:r>
            <w:r w:rsidRPr="00B7760C">
              <w:t xml:space="preserve"> kot operativni programi organizacij članic. Države članice preučijo operativne programe združenj organizacij proizvajalcev skupaj z operativnimi programi organizacij članic.</w:t>
            </w:r>
          </w:p>
        </w:tc>
        <w:tc>
          <w:tcPr>
            <w:tcW w:w="4876" w:type="dxa"/>
            <w:hideMark/>
          </w:tcPr>
          <w:p w14:paraId="0A99ABD1" w14:textId="77777777" w:rsidR="003663AF" w:rsidRPr="00B7760C" w:rsidRDefault="003663AF" w:rsidP="00E804B7">
            <w:pPr>
              <w:pStyle w:val="Normal6"/>
              <w:rPr>
                <w:szCs w:val="24"/>
              </w:rPr>
            </w:pPr>
            <w:r w:rsidRPr="00B7760C">
              <w:t xml:space="preserve">Operativni programi združenj organizacij proizvajalcev ne zajemajo istih </w:t>
            </w:r>
            <w:r w:rsidRPr="00B7760C">
              <w:rPr>
                <w:b/>
                <w:i/>
              </w:rPr>
              <w:t>operacij</w:t>
            </w:r>
            <w:r w:rsidRPr="00B7760C">
              <w:t xml:space="preserve"> kot operativni programi organizacij članic. Države članice preučijo operativne programe združenj organizacij proizvajalcev skupaj z operativnimi programi organizacij članic. </w:t>
            </w:r>
            <w:r w:rsidRPr="00B7760C">
              <w:rPr>
                <w:b/>
                <w:i/>
              </w:rPr>
              <w:t>Združenja organizacij proizvajalcev lahko predložijo delne operativne programe, sestavljene iz ukrepov, ki so jih organizacije članice opredelile v svojih operativnih programih, a jih niso izvedle.</w:t>
            </w:r>
          </w:p>
        </w:tc>
      </w:tr>
    </w:tbl>
    <w:p w14:paraId="5E28B04E" w14:textId="77777777" w:rsidR="003663AF" w:rsidRPr="00B7760C" w:rsidRDefault="003663AF" w:rsidP="003663AF"/>
    <w:p w14:paraId="5A007AB3" w14:textId="560D4CEC" w:rsidR="003663AF" w:rsidRPr="00B7760C" w:rsidRDefault="00877691" w:rsidP="003663AF">
      <w:pPr>
        <w:pStyle w:val="AMNumberTabs"/>
        <w:keepNext/>
      </w:pPr>
      <w:r w:rsidRPr="00B7760C">
        <w:t>Sprememba</w:t>
      </w:r>
      <w:r w:rsidR="003663AF" w:rsidRPr="00B7760C">
        <w:tab/>
      </w:r>
      <w:r w:rsidR="003663AF" w:rsidRPr="00B7760C">
        <w:tab/>
        <w:t>296</w:t>
      </w:r>
    </w:p>
    <w:p w14:paraId="5F70011D" w14:textId="77777777" w:rsidR="003663AF" w:rsidRPr="00B7760C" w:rsidRDefault="003663AF" w:rsidP="003663AF">
      <w:pPr>
        <w:pStyle w:val="NormalBold12b"/>
      </w:pPr>
      <w:r w:rsidRPr="00B7760C">
        <w:t>Predlog uredbe</w:t>
      </w:r>
    </w:p>
    <w:p w14:paraId="66E79870" w14:textId="77777777" w:rsidR="003663AF" w:rsidRPr="00B7760C" w:rsidRDefault="003663AF" w:rsidP="003663AF">
      <w:pPr>
        <w:pStyle w:val="NormalBold"/>
      </w:pPr>
      <w:r w:rsidRPr="00B7760C">
        <w:t>Člen 44 – odstavek 6 – pododstavek 2 – točka 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E660C06" w14:textId="77777777" w:rsidTr="00E804B7">
        <w:trPr>
          <w:jc w:val="center"/>
        </w:trPr>
        <w:tc>
          <w:tcPr>
            <w:tcW w:w="9752" w:type="dxa"/>
            <w:gridSpan w:val="2"/>
          </w:tcPr>
          <w:p w14:paraId="5DCFF7E6" w14:textId="77777777" w:rsidR="003663AF" w:rsidRPr="00B7760C" w:rsidRDefault="003663AF" w:rsidP="00E804B7">
            <w:pPr>
              <w:keepNext/>
            </w:pPr>
          </w:p>
        </w:tc>
      </w:tr>
      <w:tr w:rsidR="003663AF" w:rsidRPr="00B7760C" w14:paraId="3A9BD08F" w14:textId="77777777" w:rsidTr="00E804B7">
        <w:trPr>
          <w:jc w:val="center"/>
        </w:trPr>
        <w:tc>
          <w:tcPr>
            <w:tcW w:w="4876" w:type="dxa"/>
            <w:hideMark/>
          </w:tcPr>
          <w:p w14:paraId="7BE7F102" w14:textId="77777777" w:rsidR="003663AF" w:rsidRPr="00B7760C" w:rsidRDefault="003663AF" w:rsidP="00E804B7">
            <w:pPr>
              <w:pStyle w:val="ColumnHeading"/>
              <w:keepNext/>
            </w:pPr>
            <w:r w:rsidRPr="00B7760C">
              <w:t>Besedilo, ki ga predlaga Komisija</w:t>
            </w:r>
          </w:p>
        </w:tc>
        <w:tc>
          <w:tcPr>
            <w:tcW w:w="4876" w:type="dxa"/>
            <w:hideMark/>
          </w:tcPr>
          <w:p w14:paraId="0C15C7BA" w14:textId="574CE747" w:rsidR="003663AF" w:rsidRPr="00B7760C" w:rsidRDefault="00877691" w:rsidP="00E804B7">
            <w:pPr>
              <w:pStyle w:val="ColumnHeading"/>
              <w:keepNext/>
            </w:pPr>
            <w:r w:rsidRPr="00B7760C">
              <w:t>Sprememba</w:t>
            </w:r>
          </w:p>
        </w:tc>
      </w:tr>
      <w:tr w:rsidR="003663AF" w:rsidRPr="00B7760C" w14:paraId="02ED8D57" w14:textId="77777777" w:rsidTr="00E804B7">
        <w:trPr>
          <w:jc w:val="center"/>
        </w:trPr>
        <w:tc>
          <w:tcPr>
            <w:tcW w:w="4876" w:type="dxa"/>
            <w:hideMark/>
          </w:tcPr>
          <w:p w14:paraId="069CDB50" w14:textId="77777777" w:rsidR="003663AF" w:rsidRPr="00B7760C" w:rsidRDefault="003663AF" w:rsidP="00E804B7">
            <w:pPr>
              <w:pStyle w:val="Normal6"/>
            </w:pPr>
            <w:r w:rsidRPr="00B7760C">
              <w:t>(a)</w:t>
            </w:r>
            <w:r w:rsidRPr="00B7760C">
              <w:tab/>
              <w:t xml:space="preserve">se </w:t>
            </w:r>
            <w:r w:rsidRPr="00B7760C">
              <w:rPr>
                <w:b/>
                <w:i/>
              </w:rPr>
              <w:t>intervencije</w:t>
            </w:r>
            <w:r w:rsidRPr="00B7760C">
              <w:t xml:space="preserve"> na podlagi operativnih programov združenja organizacij proizvajalcev v celoti financirajo s prispevki teh organizacij članic združenja in da so taka sredstva pridobljena iz operativnih skladov teh organizacij članic;</w:t>
            </w:r>
          </w:p>
        </w:tc>
        <w:tc>
          <w:tcPr>
            <w:tcW w:w="4876" w:type="dxa"/>
            <w:hideMark/>
          </w:tcPr>
          <w:p w14:paraId="4A964BFA" w14:textId="77777777" w:rsidR="003663AF" w:rsidRPr="00B7760C" w:rsidRDefault="003663AF" w:rsidP="00E804B7">
            <w:pPr>
              <w:pStyle w:val="Normal6"/>
              <w:rPr>
                <w:szCs w:val="24"/>
              </w:rPr>
            </w:pPr>
            <w:r w:rsidRPr="00B7760C">
              <w:t>(a)</w:t>
            </w:r>
            <w:r w:rsidRPr="00B7760C">
              <w:tab/>
              <w:t xml:space="preserve">se </w:t>
            </w:r>
            <w:r w:rsidRPr="00B7760C">
              <w:rPr>
                <w:b/>
                <w:i/>
              </w:rPr>
              <w:t>operacije</w:t>
            </w:r>
            <w:r w:rsidRPr="00B7760C">
              <w:t xml:space="preserve"> na podlagi operativnih programov združenja organizacij proizvajalcev v celoti financirajo s prispevki teh organizacij članic združenja in da so taka sredstva pridobljena iz operativnih skladov teh organizacij članic;</w:t>
            </w:r>
          </w:p>
        </w:tc>
      </w:tr>
    </w:tbl>
    <w:p w14:paraId="6E53FC13" w14:textId="77777777" w:rsidR="003663AF" w:rsidRPr="00B7760C" w:rsidRDefault="003663AF" w:rsidP="003663AF"/>
    <w:p w14:paraId="757D287E" w14:textId="77777777" w:rsidR="003663AF" w:rsidRPr="00B7760C" w:rsidRDefault="003663AF" w:rsidP="003663AF"/>
    <w:p w14:paraId="5D8764A8" w14:textId="39879ACD" w:rsidR="003663AF" w:rsidRPr="00B7760C" w:rsidRDefault="00877691" w:rsidP="003663AF">
      <w:pPr>
        <w:pStyle w:val="AMNumberTabs"/>
        <w:keepNext/>
      </w:pPr>
      <w:r w:rsidRPr="00B7760C">
        <w:t>Sprememba</w:t>
      </w:r>
      <w:r w:rsidR="003663AF" w:rsidRPr="00B7760C">
        <w:tab/>
      </w:r>
      <w:r w:rsidR="003663AF" w:rsidRPr="00B7760C">
        <w:tab/>
        <w:t>298</w:t>
      </w:r>
    </w:p>
    <w:p w14:paraId="2E2D56AD" w14:textId="77777777" w:rsidR="003663AF" w:rsidRPr="00B7760C" w:rsidRDefault="003663AF" w:rsidP="003663AF">
      <w:pPr>
        <w:pStyle w:val="NormalBold12b"/>
      </w:pPr>
      <w:r w:rsidRPr="00B7760C">
        <w:t>Predlog uredbe</w:t>
      </w:r>
    </w:p>
    <w:p w14:paraId="1C62F5EE" w14:textId="77777777" w:rsidR="003663AF" w:rsidRPr="00B7760C" w:rsidRDefault="003663AF" w:rsidP="003663AF">
      <w:pPr>
        <w:pStyle w:val="NormalBold"/>
      </w:pPr>
      <w:r w:rsidRPr="00B7760C">
        <w:t>Člen 44 – odstavek 7 – točka a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D29AE9A" w14:textId="77777777" w:rsidTr="00E804B7">
        <w:trPr>
          <w:jc w:val="center"/>
        </w:trPr>
        <w:tc>
          <w:tcPr>
            <w:tcW w:w="9752" w:type="dxa"/>
            <w:gridSpan w:val="2"/>
          </w:tcPr>
          <w:p w14:paraId="1B815F17" w14:textId="77777777" w:rsidR="003663AF" w:rsidRPr="00B7760C" w:rsidRDefault="003663AF" w:rsidP="00E804B7">
            <w:pPr>
              <w:keepNext/>
            </w:pPr>
          </w:p>
        </w:tc>
      </w:tr>
      <w:tr w:rsidR="003663AF" w:rsidRPr="00B7760C" w14:paraId="05670F61" w14:textId="77777777" w:rsidTr="00E804B7">
        <w:trPr>
          <w:jc w:val="center"/>
        </w:trPr>
        <w:tc>
          <w:tcPr>
            <w:tcW w:w="4876" w:type="dxa"/>
            <w:hideMark/>
          </w:tcPr>
          <w:p w14:paraId="531C1B18" w14:textId="77777777" w:rsidR="003663AF" w:rsidRPr="00B7760C" w:rsidRDefault="003663AF" w:rsidP="00E804B7">
            <w:pPr>
              <w:pStyle w:val="ColumnHeading"/>
              <w:keepNext/>
            </w:pPr>
            <w:r w:rsidRPr="00B7760C">
              <w:t>Besedilo, ki ga predlaga Komisija</w:t>
            </w:r>
          </w:p>
        </w:tc>
        <w:tc>
          <w:tcPr>
            <w:tcW w:w="4876" w:type="dxa"/>
            <w:hideMark/>
          </w:tcPr>
          <w:p w14:paraId="784836B1" w14:textId="224A70C2" w:rsidR="003663AF" w:rsidRPr="00B7760C" w:rsidRDefault="00877691" w:rsidP="00E804B7">
            <w:pPr>
              <w:pStyle w:val="ColumnHeading"/>
              <w:keepNext/>
            </w:pPr>
            <w:r w:rsidRPr="00B7760C">
              <w:t>Sprememba</w:t>
            </w:r>
          </w:p>
        </w:tc>
      </w:tr>
      <w:tr w:rsidR="003663AF" w:rsidRPr="00B7760C" w14:paraId="743ECAD4" w14:textId="77777777" w:rsidTr="00E804B7">
        <w:trPr>
          <w:jc w:val="center"/>
        </w:trPr>
        <w:tc>
          <w:tcPr>
            <w:tcW w:w="4876" w:type="dxa"/>
          </w:tcPr>
          <w:p w14:paraId="5DC59F14" w14:textId="77777777" w:rsidR="003663AF" w:rsidRPr="00B7760C" w:rsidRDefault="003663AF" w:rsidP="00E804B7">
            <w:pPr>
              <w:pStyle w:val="Normal6"/>
            </w:pPr>
          </w:p>
        </w:tc>
        <w:tc>
          <w:tcPr>
            <w:tcW w:w="4876" w:type="dxa"/>
            <w:hideMark/>
          </w:tcPr>
          <w:p w14:paraId="0174ADDE" w14:textId="77777777" w:rsidR="003663AF" w:rsidRPr="00B7760C" w:rsidRDefault="003663AF" w:rsidP="00E804B7">
            <w:pPr>
              <w:pStyle w:val="Normal6"/>
              <w:rPr>
                <w:szCs w:val="24"/>
              </w:rPr>
            </w:pPr>
            <w:r w:rsidRPr="00B7760C">
              <w:rPr>
                <w:b/>
                <w:i/>
              </w:rPr>
              <w:t>(aa)</w:t>
            </w:r>
            <w:r w:rsidRPr="00B7760C">
              <w:rPr>
                <w:b/>
                <w:i/>
              </w:rPr>
              <w:tab/>
              <w:t>operativni programi zajemajo tri ali več ukrepov, ki so povezani s cilji iz točk (d) in (e) člena 42;</w:t>
            </w:r>
          </w:p>
        </w:tc>
      </w:tr>
    </w:tbl>
    <w:p w14:paraId="27F8152A" w14:textId="77777777" w:rsidR="003663AF" w:rsidRPr="00B7760C" w:rsidRDefault="003663AF" w:rsidP="003663AF"/>
    <w:p w14:paraId="7F486F08" w14:textId="77777777" w:rsidR="003663AF" w:rsidRPr="00B7760C" w:rsidRDefault="003663AF" w:rsidP="003663AF"/>
    <w:p w14:paraId="18D87C25" w14:textId="2A228C3E" w:rsidR="003663AF" w:rsidRPr="00B7760C" w:rsidRDefault="00877691" w:rsidP="003663AF">
      <w:pPr>
        <w:pStyle w:val="AMNumberTabs"/>
        <w:keepNext/>
      </w:pPr>
      <w:r w:rsidRPr="00B7760C">
        <w:t>Sprememba</w:t>
      </w:r>
      <w:r w:rsidR="003663AF" w:rsidRPr="00B7760C">
        <w:tab/>
      </w:r>
      <w:r w:rsidR="003663AF" w:rsidRPr="00B7760C">
        <w:tab/>
        <w:t>300</w:t>
      </w:r>
    </w:p>
    <w:p w14:paraId="441F6332" w14:textId="77777777" w:rsidR="003663AF" w:rsidRPr="00B7760C" w:rsidRDefault="003663AF" w:rsidP="003663AF">
      <w:pPr>
        <w:pStyle w:val="NormalBold12b"/>
      </w:pPr>
      <w:r w:rsidRPr="00B7760C">
        <w:t>Predlog uredbe</w:t>
      </w:r>
    </w:p>
    <w:p w14:paraId="032D4125" w14:textId="77777777" w:rsidR="003663AF" w:rsidRPr="00B7760C" w:rsidRDefault="003663AF" w:rsidP="003663AF">
      <w:pPr>
        <w:pStyle w:val="NormalBold"/>
      </w:pPr>
      <w:r w:rsidRPr="00B7760C">
        <w:t>Člen 44 – odstavek 7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D97CBE4" w14:textId="77777777" w:rsidTr="00E804B7">
        <w:trPr>
          <w:jc w:val="center"/>
        </w:trPr>
        <w:tc>
          <w:tcPr>
            <w:tcW w:w="9752" w:type="dxa"/>
            <w:gridSpan w:val="2"/>
          </w:tcPr>
          <w:p w14:paraId="7A28E2F5" w14:textId="77777777" w:rsidR="003663AF" w:rsidRPr="00B7760C" w:rsidRDefault="003663AF" w:rsidP="00E804B7">
            <w:pPr>
              <w:keepNext/>
            </w:pPr>
          </w:p>
        </w:tc>
      </w:tr>
      <w:tr w:rsidR="003663AF" w:rsidRPr="00B7760C" w14:paraId="62D1E190" w14:textId="77777777" w:rsidTr="00E804B7">
        <w:trPr>
          <w:jc w:val="center"/>
        </w:trPr>
        <w:tc>
          <w:tcPr>
            <w:tcW w:w="4876" w:type="dxa"/>
            <w:hideMark/>
          </w:tcPr>
          <w:p w14:paraId="1375B030" w14:textId="77777777" w:rsidR="003663AF" w:rsidRPr="00B7760C" w:rsidRDefault="003663AF" w:rsidP="00E804B7">
            <w:pPr>
              <w:pStyle w:val="ColumnHeading"/>
              <w:keepNext/>
            </w:pPr>
            <w:r w:rsidRPr="00B7760C">
              <w:t>Besedilo, ki ga predlaga Komisija</w:t>
            </w:r>
          </w:p>
        </w:tc>
        <w:tc>
          <w:tcPr>
            <w:tcW w:w="4876" w:type="dxa"/>
            <w:hideMark/>
          </w:tcPr>
          <w:p w14:paraId="24F4EA6B" w14:textId="0A6AF0B5" w:rsidR="003663AF" w:rsidRPr="00B7760C" w:rsidRDefault="00877691" w:rsidP="00E804B7">
            <w:pPr>
              <w:pStyle w:val="ColumnHeading"/>
              <w:keepNext/>
            </w:pPr>
            <w:r w:rsidRPr="00B7760C">
              <w:t>Sprememba</w:t>
            </w:r>
          </w:p>
        </w:tc>
      </w:tr>
      <w:tr w:rsidR="003663AF" w:rsidRPr="00B7760C" w14:paraId="3E71BAA4" w14:textId="77777777" w:rsidTr="00E804B7">
        <w:trPr>
          <w:jc w:val="center"/>
        </w:trPr>
        <w:tc>
          <w:tcPr>
            <w:tcW w:w="4876" w:type="dxa"/>
          </w:tcPr>
          <w:p w14:paraId="28C73139" w14:textId="77777777" w:rsidR="003663AF" w:rsidRPr="00B7760C" w:rsidRDefault="003663AF" w:rsidP="00E804B7">
            <w:pPr>
              <w:pStyle w:val="Normal6"/>
            </w:pPr>
          </w:p>
        </w:tc>
        <w:tc>
          <w:tcPr>
            <w:tcW w:w="4876" w:type="dxa"/>
            <w:hideMark/>
          </w:tcPr>
          <w:p w14:paraId="7CB81E5C" w14:textId="77777777" w:rsidR="003663AF" w:rsidRPr="00B7760C" w:rsidRDefault="003663AF" w:rsidP="00E804B7">
            <w:pPr>
              <w:pStyle w:val="Normal6"/>
              <w:rPr>
                <w:szCs w:val="24"/>
              </w:rPr>
            </w:pPr>
            <w:r w:rsidRPr="00B7760C">
              <w:rPr>
                <w:b/>
                <w:i/>
              </w:rPr>
              <w:t>7a.</w:t>
            </w:r>
            <w:r w:rsidRPr="00B7760C">
              <w:rPr>
                <w:b/>
                <w:i/>
              </w:rPr>
              <w:tab/>
              <w:t>Operativni programi, odobreni pred ... [datum začetka veljavnosti te uredbe], se do svojega zaključka izvajajo v skladu s predpisi, po katerih so bili odobreni, razen če se združenje proizvajalcev ali združenje organizacij proizvajalcev prostovoljno odloči za uporabo te uredbe.</w:t>
            </w:r>
          </w:p>
        </w:tc>
      </w:tr>
    </w:tbl>
    <w:p w14:paraId="2C11EBF0" w14:textId="77777777" w:rsidR="003663AF" w:rsidRPr="00B7760C" w:rsidRDefault="003663AF" w:rsidP="003663AF"/>
    <w:p w14:paraId="46951F2B" w14:textId="43A0FC7C" w:rsidR="003663AF" w:rsidRPr="00B7760C" w:rsidRDefault="00877691" w:rsidP="003663AF">
      <w:pPr>
        <w:pStyle w:val="AMNumberTabs"/>
      </w:pPr>
      <w:r w:rsidRPr="00B7760C">
        <w:t>Sprememba</w:t>
      </w:r>
      <w:r w:rsidR="003663AF" w:rsidRPr="00B7760C">
        <w:tab/>
      </w:r>
      <w:r w:rsidR="003663AF" w:rsidRPr="00B7760C">
        <w:tab/>
        <w:t>301</w:t>
      </w:r>
    </w:p>
    <w:p w14:paraId="61D98B50" w14:textId="77777777" w:rsidR="003663AF" w:rsidRPr="00B7760C" w:rsidRDefault="003663AF" w:rsidP="003663AF">
      <w:pPr>
        <w:pStyle w:val="NormalBold12b"/>
      </w:pPr>
      <w:r w:rsidRPr="00B7760C">
        <w:t>Predlog uredbe</w:t>
      </w:r>
    </w:p>
    <w:p w14:paraId="71C25BF8" w14:textId="77777777" w:rsidR="003663AF" w:rsidRPr="00B7760C" w:rsidRDefault="003663AF" w:rsidP="003663AF">
      <w:pPr>
        <w:pStyle w:val="NormalBold"/>
      </w:pPr>
      <w:r w:rsidRPr="00B7760C">
        <w:t>Člen 45 – odstavek 1 – točka 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F760B77" w14:textId="77777777" w:rsidTr="00E804B7">
        <w:trPr>
          <w:trHeight w:hRule="exact" w:val="240"/>
          <w:jc w:val="center"/>
        </w:trPr>
        <w:tc>
          <w:tcPr>
            <w:tcW w:w="9752" w:type="dxa"/>
            <w:gridSpan w:val="2"/>
          </w:tcPr>
          <w:p w14:paraId="484F261D" w14:textId="77777777" w:rsidR="003663AF" w:rsidRPr="00B7760C" w:rsidRDefault="003663AF" w:rsidP="00E804B7"/>
        </w:tc>
      </w:tr>
      <w:tr w:rsidR="003663AF" w:rsidRPr="00B7760C" w14:paraId="5B049B7C" w14:textId="77777777" w:rsidTr="00E804B7">
        <w:trPr>
          <w:trHeight w:val="240"/>
          <w:jc w:val="center"/>
        </w:trPr>
        <w:tc>
          <w:tcPr>
            <w:tcW w:w="4876" w:type="dxa"/>
          </w:tcPr>
          <w:p w14:paraId="0EA2A169" w14:textId="77777777" w:rsidR="003663AF" w:rsidRPr="00B7760C" w:rsidRDefault="003663AF" w:rsidP="00E804B7">
            <w:pPr>
              <w:pStyle w:val="ColumnHeading"/>
            </w:pPr>
            <w:r w:rsidRPr="00B7760C">
              <w:t>Besedilo, ki ga predlaga Komisija</w:t>
            </w:r>
          </w:p>
        </w:tc>
        <w:tc>
          <w:tcPr>
            <w:tcW w:w="4876" w:type="dxa"/>
          </w:tcPr>
          <w:p w14:paraId="1016F012" w14:textId="12030BBF" w:rsidR="003663AF" w:rsidRPr="00B7760C" w:rsidRDefault="00877691" w:rsidP="00E804B7">
            <w:pPr>
              <w:pStyle w:val="ColumnHeading"/>
            </w:pPr>
            <w:r w:rsidRPr="00B7760C">
              <w:t>Sprememba</w:t>
            </w:r>
          </w:p>
        </w:tc>
      </w:tr>
      <w:tr w:rsidR="003663AF" w:rsidRPr="00B7760C" w14:paraId="7886287A" w14:textId="77777777" w:rsidTr="00E804B7">
        <w:trPr>
          <w:jc w:val="center"/>
        </w:trPr>
        <w:tc>
          <w:tcPr>
            <w:tcW w:w="4876" w:type="dxa"/>
          </w:tcPr>
          <w:p w14:paraId="5ACDBFAF" w14:textId="77777777" w:rsidR="003663AF" w:rsidRPr="00B7760C" w:rsidRDefault="003663AF" w:rsidP="00E804B7">
            <w:pPr>
              <w:pStyle w:val="Normal6"/>
            </w:pPr>
            <w:r w:rsidRPr="00B7760C">
              <w:rPr>
                <w:b/>
                <w:i/>
              </w:rPr>
              <w:t>(a)</w:t>
            </w:r>
            <w:r w:rsidRPr="00B7760C">
              <w:tab/>
            </w:r>
            <w:r w:rsidRPr="00B7760C">
              <w:rPr>
                <w:b/>
                <w:i/>
              </w:rPr>
              <w:t>finančnih prispevkov:</w:t>
            </w:r>
          </w:p>
        </w:tc>
        <w:tc>
          <w:tcPr>
            <w:tcW w:w="4876" w:type="dxa"/>
          </w:tcPr>
          <w:p w14:paraId="223F7C09" w14:textId="77777777" w:rsidR="003663AF" w:rsidRPr="00B7760C" w:rsidRDefault="003663AF" w:rsidP="00E804B7">
            <w:pPr>
              <w:pStyle w:val="Normal6"/>
            </w:pPr>
            <w:r w:rsidRPr="00B7760C">
              <w:rPr>
                <w:b/>
                <w:i/>
              </w:rPr>
              <w:t>črtano</w:t>
            </w:r>
          </w:p>
        </w:tc>
      </w:tr>
      <w:tr w:rsidR="003663AF" w:rsidRPr="00B7760C" w14:paraId="0227B9EA" w14:textId="77777777" w:rsidTr="00E804B7">
        <w:trPr>
          <w:jc w:val="center"/>
        </w:trPr>
        <w:tc>
          <w:tcPr>
            <w:tcW w:w="4876" w:type="dxa"/>
          </w:tcPr>
          <w:p w14:paraId="4DCBCDE6" w14:textId="77777777" w:rsidR="003663AF" w:rsidRPr="00B7760C" w:rsidRDefault="003663AF" w:rsidP="00E804B7">
            <w:pPr>
              <w:pStyle w:val="Normal6"/>
            </w:pPr>
            <w:r w:rsidRPr="00B7760C">
              <w:rPr>
                <w:b/>
                <w:i/>
              </w:rPr>
              <w:t>(i)</w:t>
            </w:r>
            <w:r w:rsidRPr="00B7760C">
              <w:rPr>
                <w:b/>
                <w:i/>
              </w:rPr>
              <w:tab/>
              <w:t>članov organizacije proizvajalcev in/ali same organizacije proizvajalcev; ali</w:t>
            </w:r>
          </w:p>
        </w:tc>
        <w:tc>
          <w:tcPr>
            <w:tcW w:w="4876" w:type="dxa"/>
          </w:tcPr>
          <w:p w14:paraId="1EA6DAE1" w14:textId="77777777" w:rsidR="003663AF" w:rsidRPr="00B7760C" w:rsidRDefault="003663AF" w:rsidP="00E804B7">
            <w:pPr>
              <w:pStyle w:val="Normal6"/>
            </w:pPr>
          </w:p>
        </w:tc>
      </w:tr>
      <w:tr w:rsidR="003663AF" w:rsidRPr="00B7760C" w14:paraId="6B475A56" w14:textId="77777777" w:rsidTr="00E804B7">
        <w:trPr>
          <w:jc w:val="center"/>
        </w:trPr>
        <w:tc>
          <w:tcPr>
            <w:tcW w:w="4876" w:type="dxa"/>
          </w:tcPr>
          <w:p w14:paraId="4914071F" w14:textId="77777777" w:rsidR="003663AF" w:rsidRPr="00B7760C" w:rsidRDefault="003663AF" w:rsidP="00E804B7">
            <w:pPr>
              <w:pStyle w:val="Normal6"/>
            </w:pPr>
            <w:r w:rsidRPr="00B7760C">
              <w:rPr>
                <w:b/>
                <w:i/>
              </w:rPr>
              <w:t>(ii)</w:t>
            </w:r>
            <w:r w:rsidRPr="00B7760C">
              <w:rPr>
                <w:b/>
                <w:i/>
              </w:rPr>
              <w:tab/>
              <w:t>združenj organizacij proizvajalcev prek članov teh združenj;</w:t>
            </w:r>
          </w:p>
        </w:tc>
        <w:tc>
          <w:tcPr>
            <w:tcW w:w="4876" w:type="dxa"/>
          </w:tcPr>
          <w:p w14:paraId="20620430" w14:textId="77777777" w:rsidR="003663AF" w:rsidRPr="00B7760C" w:rsidRDefault="003663AF" w:rsidP="00E804B7">
            <w:pPr>
              <w:pStyle w:val="Normal6"/>
            </w:pPr>
          </w:p>
        </w:tc>
      </w:tr>
    </w:tbl>
    <w:p w14:paraId="2B617839" w14:textId="77777777" w:rsidR="003663AF" w:rsidRPr="00B7760C" w:rsidRDefault="003663AF" w:rsidP="003663AF"/>
    <w:p w14:paraId="554DFA99" w14:textId="77777777" w:rsidR="003663AF" w:rsidRPr="00B7760C" w:rsidRDefault="003663AF" w:rsidP="003663AF">
      <w:pPr>
        <w:pStyle w:val="Normal6"/>
      </w:pPr>
    </w:p>
    <w:p w14:paraId="2B939BE5" w14:textId="19E66B0A" w:rsidR="003663AF" w:rsidRPr="00B7760C" w:rsidRDefault="00877691" w:rsidP="003663AF">
      <w:pPr>
        <w:pStyle w:val="AMNumberTabs"/>
      </w:pPr>
      <w:r w:rsidRPr="00B7760C">
        <w:t>Sprememba</w:t>
      </w:r>
      <w:r w:rsidR="003663AF" w:rsidRPr="00B7760C">
        <w:tab/>
      </w:r>
      <w:r w:rsidR="003663AF" w:rsidRPr="00B7760C">
        <w:tab/>
        <w:t>302</w:t>
      </w:r>
    </w:p>
    <w:p w14:paraId="58D071A3" w14:textId="77777777" w:rsidR="003663AF" w:rsidRPr="00B7760C" w:rsidRDefault="003663AF" w:rsidP="003663AF">
      <w:pPr>
        <w:pStyle w:val="NormalBold12b"/>
      </w:pPr>
      <w:r w:rsidRPr="00B7760C">
        <w:t>Predlog uredbe</w:t>
      </w:r>
    </w:p>
    <w:p w14:paraId="4FA46510" w14:textId="6A6F1AC7" w:rsidR="003663AF" w:rsidRPr="00B7760C" w:rsidRDefault="003663AF" w:rsidP="003F6479">
      <w:pPr>
        <w:pStyle w:val="NormalBold"/>
      </w:pPr>
      <w:r w:rsidRPr="00B7760C">
        <w:t>Člen 4</w:t>
      </w:r>
      <w:r w:rsidR="003F6479" w:rsidRPr="00B7760C">
        <w:t>5</w:t>
      </w:r>
      <w:r w:rsidRPr="00B7760C">
        <w:t xml:space="preserve"> – odstavek 1 – uvodni del</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4CAC70B" w14:textId="77777777" w:rsidTr="00E804B7">
        <w:trPr>
          <w:trHeight w:hRule="exact" w:val="240"/>
          <w:jc w:val="center"/>
        </w:trPr>
        <w:tc>
          <w:tcPr>
            <w:tcW w:w="9752" w:type="dxa"/>
            <w:gridSpan w:val="2"/>
          </w:tcPr>
          <w:p w14:paraId="70C5F166" w14:textId="77777777" w:rsidR="003663AF" w:rsidRPr="00B7760C" w:rsidRDefault="003663AF" w:rsidP="00E804B7"/>
        </w:tc>
      </w:tr>
      <w:tr w:rsidR="003663AF" w:rsidRPr="00B7760C" w14:paraId="286C419A" w14:textId="77777777" w:rsidTr="00E804B7">
        <w:trPr>
          <w:trHeight w:val="240"/>
          <w:jc w:val="center"/>
        </w:trPr>
        <w:tc>
          <w:tcPr>
            <w:tcW w:w="4876" w:type="dxa"/>
          </w:tcPr>
          <w:p w14:paraId="2242EDE7" w14:textId="77777777" w:rsidR="003663AF" w:rsidRPr="00B7760C" w:rsidRDefault="003663AF" w:rsidP="00E804B7">
            <w:pPr>
              <w:pStyle w:val="ColumnHeading"/>
            </w:pPr>
            <w:r w:rsidRPr="00B7760C">
              <w:t>Besedilo, ki ga predlaga Komisija</w:t>
            </w:r>
          </w:p>
        </w:tc>
        <w:tc>
          <w:tcPr>
            <w:tcW w:w="4876" w:type="dxa"/>
          </w:tcPr>
          <w:p w14:paraId="7CAD88F6" w14:textId="37A53181" w:rsidR="003663AF" w:rsidRPr="00B7760C" w:rsidRDefault="00877691" w:rsidP="00E804B7">
            <w:pPr>
              <w:pStyle w:val="ColumnHeading"/>
            </w:pPr>
            <w:r w:rsidRPr="00B7760C">
              <w:t>Sprememba</w:t>
            </w:r>
          </w:p>
        </w:tc>
      </w:tr>
      <w:tr w:rsidR="003663AF" w:rsidRPr="00B7760C" w14:paraId="13BAE07D" w14:textId="77777777" w:rsidTr="00E804B7">
        <w:trPr>
          <w:jc w:val="center"/>
        </w:trPr>
        <w:tc>
          <w:tcPr>
            <w:tcW w:w="4876" w:type="dxa"/>
          </w:tcPr>
          <w:p w14:paraId="5C1D6AB7" w14:textId="77777777" w:rsidR="003663AF" w:rsidRPr="00B7760C" w:rsidRDefault="003663AF" w:rsidP="00E804B7">
            <w:pPr>
              <w:pStyle w:val="Normal6"/>
            </w:pPr>
            <w:r w:rsidRPr="00B7760C">
              <w:t>1.</w:t>
            </w:r>
            <w:r w:rsidRPr="00B7760C">
              <w:tab/>
              <w:t>Organizacije proizvajalcev v sektorju sadja in zelenjave in/ali njihova združenja lahko ustanovijo operativni sklad. Sklad se financira iz</w:t>
            </w:r>
            <w:r w:rsidRPr="00B7760C">
              <w:rPr>
                <w:b/>
                <w:i/>
              </w:rPr>
              <w:t>:</w:t>
            </w:r>
          </w:p>
        </w:tc>
        <w:tc>
          <w:tcPr>
            <w:tcW w:w="4876" w:type="dxa"/>
          </w:tcPr>
          <w:p w14:paraId="6F93CA0A" w14:textId="77777777" w:rsidR="003663AF" w:rsidRPr="00B7760C" w:rsidRDefault="003663AF" w:rsidP="00E804B7">
            <w:pPr>
              <w:pStyle w:val="Normal6"/>
            </w:pPr>
            <w:r w:rsidRPr="00B7760C">
              <w:t>1.</w:t>
            </w:r>
            <w:r w:rsidRPr="00B7760C">
              <w:tab/>
              <w:t>Organizacije proizvajalcev v sektorju sadja in zelenjave in/ali njihova združenja lahko ustanovijo operativni sklad</w:t>
            </w:r>
            <w:r w:rsidRPr="00B7760C">
              <w:rPr>
                <w:b/>
                <w:i/>
              </w:rPr>
              <w:t xml:space="preserve"> izključno za financiranje operativnih programov, ki jih odobrijo države članice</w:t>
            </w:r>
            <w:r w:rsidRPr="00B7760C">
              <w:t xml:space="preserve">. Sklad se financira </w:t>
            </w:r>
            <w:r w:rsidRPr="00B7760C">
              <w:rPr>
                <w:b/>
                <w:i/>
              </w:rPr>
              <w:t xml:space="preserve">s prispevki same organizacije proizvajalcev ali združenja organizacij proizvajalcev in/ali njenih partnerjev ter finančno pomočjo </w:t>
            </w:r>
            <w:r w:rsidRPr="00B7760C">
              <w:t>iz</w:t>
            </w:r>
            <w:r w:rsidRPr="00B7760C">
              <w:rPr>
                <w:b/>
                <w:i/>
              </w:rPr>
              <w:t xml:space="preserve"> člena 46.</w:t>
            </w:r>
          </w:p>
        </w:tc>
      </w:tr>
    </w:tbl>
    <w:p w14:paraId="0342E2D2" w14:textId="77777777" w:rsidR="003663AF" w:rsidRPr="00B7760C" w:rsidRDefault="003663AF" w:rsidP="003663AF"/>
    <w:p w14:paraId="380449BD" w14:textId="5768F7A8" w:rsidR="003663AF" w:rsidRPr="00B7760C" w:rsidRDefault="00877691" w:rsidP="003663AF">
      <w:pPr>
        <w:pStyle w:val="AMNumberTabs"/>
      </w:pPr>
      <w:r w:rsidRPr="00B7760C">
        <w:t>Sprememba</w:t>
      </w:r>
      <w:r w:rsidR="003663AF" w:rsidRPr="00B7760C">
        <w:tab/>
      </w:r>
      <w:r w:rsidR="003663AF" w:rsidRPr="00B7760C">
        <w:tab/>
        <w:t>303</w:t>
      </w:r>
    </w:p>
    <w:p w14:paraId="178D9B07" w14:textId="77777777" w:rsidR="003663AF" w:rsidRPr="00B7760C" w:rsidRDefault="003663AF" w:rsidP="003663AF">
      <w:pPr>
        <w:pStyle w:val="NormalBold12b"/>
      </w:pPr>
      <w:r w:rsidRPr="00B7760C">
        <w:t>Predlog uredbe</w:t>
      </w:r>
    </w:p>
    <w:p w14:paraId="2E810AF9" w14:textId="77777777" w:rsidR="003663AF" w:rsidRPr="00B7760C" w:rsidRDefault="003663AF" w:rsidP="003663AF">
      <w:pPr>
        <w:pStyle w:val="NormalBold"/>
      </w:pPr>
      <w:r w:rsidRPr="00B7760C">
        <w:t>Člen 46 – odstavek 2 – točka b</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C20B2B5" w14:textId="77777777" w:rsidTr="00E804B7">
        <w:trPr>
          <w:trHeight w:hRule="exact" w:val="240"/>
          <w:jc w:val="center"/>
        </w:trPr>
        <w:tc>
          <w:tcPr>
            <w:tcW w:w="9752" w:type="dxa"/>
            <w:gridSpan w:val="2"/>
          </w:tcPr>
          <w:p w14:paraId="278ECB79" w14:textId="77777777" w:rsidR="003663AF" w:rsidRPr="00B7760C" w:rsidRDefault="003663AF" w:rsidP="00E804B7"/>
        </w:tc>
      </w:tr>
      <w:tr w:rsidR="003663AF" w:rsidRPr="00B7760C" w14:paraId="66B26BC2" w14:textId="77777777" w:rsidTr="00E804B7">
        <w:trPr>
          <w:trHeight w:val="240"/>
          <w:jc w:val="center"/>
        </w:trPr>
        <w:tc>
          <w:tcPr>
            <w:tcW w:w="4876" w:type="dxa"/>
          </w:tcPr>
          <w:p w14:paraId="7D7483BF" w14:textId="77777777" w:rsidR="003663AF" w:rsidRPr="00B7760C" w:rsidRDefault="003663AF" w:rsidP="00E804B7">
            <w:pPr>
              <w:pStyle w:val="ColumnHeading"/>
            </w:pPr>
            <w:r w:rsidRPr="00B7760C">
              <w:t>Besedilo, ki ga predlaga Komisija</w:t>
            </w:r>
          </w:p>
        </w:tc>
        <w:tc>
          <w:tcPr>
            <w:tcW w:w="4876" w:type="dxa"/>
          </w:tcPr>
          <w:p w14:paraId="79EF26DA" w14:textId="70F1C10B" w:rsidR="003663AF" w:rsidRPr="00B7760C" w:rsidRDefault="00877691" w:rsidP="00E804B7">
            <w:pPr>
              <w:pStyle w:val="ColumnHeading"/>
            </w:pPr>
            <w:r w:rsidRPr="00B7760C">
              <w:t>Sprememba</w:t>
            </w:r>
          </w:p>
        </w:tc>
      </w:tr>
      <w:tr w:rsidR="003663AF" w:rsidRPr="00B7760C" w14:paraId="3398AF95" w14:textId="77777777" w:rsidTr="00E804B7">
        <w:trPr>
          <w:jc w:val="center"/>
        </w:trPr>
        <w:tc>
          <w:tcPr>
            <w:tcW w:w="4876" w:type="dxa"/>
          </w:tcPr>
          <w:p w14:paraId="65DCE756" w14:textId="77777777" w:rsidR="003663AF" w:rsidRPr="00B7760C" w:rsidRDefault="003663AF" w:rsidP="00E804B7">
            <w:pPr>
              <w:pStyle w:val="Normal6"/>
            </w:pPr>
            <w:r w:rsidRPr="00B7760C">
              <w:t>(b)</w:t>
            </w:r>
            <w:r w:rsidRPr="00B7760C">
              <w:tab/>
              <w:t>4,5 % vrednosti tržne proizvodnje vsakega združenja organizacij proizvajalcev</w:t>
            </w:r>
            <w:r w:rsidRPr="00B7760C">
              <w:rPr>
                <w:b/>
                <w:i/>
              </w:rPr>
              <w:t>;</w:t>
            </w:r>
          </w:p>
        </w:tc>
        <w:tc>
          <w:tcPr>
            <w:tcW w:w="4876" w:type="dxa"/>
          </w:tcPr>
          <w:p w14:paraId="66A3C3BA" w14:textId="77777777" w:rsidR="003663AF" w:rsidRPr="00B7760C" w:rsidRDefault="003663AF" w:rsidP="00E804B7">
            <w:pPr>
              <w:pStyle w:val="Normal6"/>
            </w:pPr>
            <w:r w:rsidRPr="00B7760C">
              <w:t>(b)</w:t>
            </w:r>
            <w:r w:rsidRPr="00B7760C">
              <w:tab/>
              <w:t>4,5 % vrednosti tržne proizvodnje vsakega združenja organizacij proizvajalcev</w:t>
            </w:r>
            <w:r w:rsidRPr="00B7760C">
              <w:rPr>
                <w:b/>
                <w:i/>
              </w:rPr>
              <w:t xml:space="preserve"> ter</w:t>
            </w:r>
          </w:p>
        </w:tc>
      </w:tr>
    </w:tbl>
    <w:p w14:paraId="0394A805" w14:textId="77777777" w:rsidR="003663AF" w:rsidRPr="00B7760C" w:rsidRDefault="003663AF" w:rsidP="003663AF"/>
    <w:p w14:paraId="78FE86D4" w14:textId="77777777" w:rsidR="003663AF" w:rsidRPr="00B7760C" w:rsidRDefault="003663AF" w:rsidP="003663AF">
      <w:pPr>
        <w:pStyle w:val="Normal6"/>
      </w:pPr>
    </w:p>
    <w:p w14:paraId="57876A00" w14:textId="0587BB1C" w:rsidR="003663AF" w:rsidRPr="00B7760C" w:rsidRDefault="00877691" w:rsidP="003663AF">
      <w:pPr>
        <w:pStyle w:val="AMNumberTabs"/>
        <w:keepNext/>
      </w:pPr>
      <w:r w:rsidRPr="00B7760C">
        <w:t>Sprememba</w:t>
      </w:r>
      <w:r w:rsidR="003663AF" w:rsidRPr="00B7760C">
        <w:tab/>
      </w:r>
      <w:r w:rsidR="003663AF" w:rsidRPr="00B7760C">
        <w:tab/>
        <w:t>304</w:t>
      </w:r>
    </w:p>
    <w:p w14:paraId="00FA6CED" w14:textId="77777777" w:rsidR="003663AF" w:rsidRPr="00B7760C" w:rsidRDefault="003663AF" w:rsidP="003663AF">
      <w:pPr>
        <w:pStyle w:val="NormalBold12b"/>
      </w:pPr>
      <w:r w:rsidRPr="00B7760C">
        <w:t>Predlog uredbe</w:t>
      </w:r>
    </w:p>
    <w:p w14:paraId="22317B4B" w14:textId="77777777" w:rsidR="003663AF" w:rsidRPr="00B7760C" w:rsidRDefault="003663AF" w:rsidP="003663AF">
      <w:pPr>
        <w:pStyle w:val="NormalBold"/>
      </w:pPr>
      <w:r w:rsidRPr="00B7760C">
        <w:t>Člen 46 – odstavek 2 – točka b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8FD7889" w14:textId="77777777" w:rsidTr="00E804B7">
        <w:trPr>
          <w:jc w:val="center"/>
        </w:trPr>
        <w:tc>
          <w:tcPr>
            <w:tcW w:w="9752" w:type="dxa"/>
            <w:gridSpan w:val="2"/>
          </w:tcPr>
          <w:p w14:paraId="5F53B2C1" w14:textId="77777777" w:rsidR="003663AF" w:rsidRPr="00B7760C" w:rsidRDefault="003663AF" w:rsidP="00E804B7">
            <w:pPr>
              <w:keepNext/>
            </w:pPr>
          </w:p>
        </w:tc>
      </w:tr>
      <w:tr w:rsidR="003663AF" w:rsidRPr="00B7760C" w14:paraId="5B31B5A3" w14:textId="77777777" w:rsidTr="00E804B7">
        <w:trPr>
          <w:jc w:val="center"/>
        </w:trPr>
        <w:tc>
          <w:tcPr>
            <w:tcW w:w="4876" w:type="dxa"/>
            <w:hideMark/>
          </w:tcPr>
          <w:p w14:paraId="1F05D678" w14:textId="77777777" w:rsidR="003663AF" w:rsidRPr="00B7760C" w:rsidRDefault="003663AF" w:rsidP="00E804B7">
            <w:pPr>
              <w:pStyle w:val="ColumnHeading"/>
              <w:keepNext/>
            </w:pPr>
            <w:r w:rsidRPr="00B7760C">
              <w:t>Besedilo, ki ga predlaga Komisija</w:t>
            </w:r>
          </w:p>
        </w:tc>
        <w:tc>
          <w:tcPr>
            <w:tcW w:w="4876" w:type="dxa"/>
            <w:hideMark/>
          </w:tcPr>
          <w:p w14:paraId="3E0183FF" w14:textId="4321DB3E" w:rsidR="003663AF" w:rsidRPr="00B7760C" w:rsidRDefault="00877691" w:rsidP="00E804B7">
            <w:pPr>
              <w:pStyle w:val="ColumnHeading"/>
              <w:keepNext/>
            </w:pPr>
            <w:r w:rsidRPr="00B7760C">
              <w:t>Sprememba</w:t>
            </w:r>
          </w:p>
        </w:tc>
      </w:tr>
      <w:tr w:rsidR="003663AF" w:rsidRPr="00B7760C" w14:paraId="19E2074F" w14:textId="77777777" w:rsidTr="00E804B7">
        <w:trPr>
          <w:jc w:val="center"/>
        </w:trPr>
        <w:tc>
          <w:tcPr>
            <w:tcW w:w="4876" w:type="dxa"/>
          </w:tcPr>
          <w:p w14:paraId="1D120C8D" w14:textId="77777777" w:rsidR="003663AF" w:rsidRPr="00B7760C" w:rsidRDefault="003663AF" w:rsidP="00E804B7">
            <w:pPr>
              <w:pStyle w:val="Normal6"/>
            </w:pPr>
          </w:p>
        </w:tc>
        <w:tc>
          <w:tcPr>
            <w:tcW w:w="4876" w:type="dxa"/>
            <w:hideMark/>
          </w:tcPr>
          <w:p w14:paraId="58784AFF" w14:textId="77777777" w:rsidR="003663AF" w:rsidRPr="00B7760C" w:rsidRDefault="003663AF" w:rsidP="00E804B7">
            <w:pPr>
              <w:pStyle w:val="Normal6"/>
              <w:rPr>
                <w:szCs w:val="24"/>
              </w:rPr>
            </w:pPr>
            <w:r w:rsidRPr="00B7760C">
              <w:rPr>
                <w:b/>
                <w:i/>
              </w:rPr>
              <w:t>(ba)</w:t>
            </w:r>
            <w:r w:rsidRPr="00B7760C">
              <w:rPr>
                <w:b/>
                <w:i/>
              </w:rPr>
              <w:tab/>
              <w:t>5 % vrednosti tržne proizvodnje:</w:t>
            </w:r>
          </w:p>
        </w:tc>
      </w:tr>
      <w:tr w:rsidR="003663AF" w:rsidRPr="00B7760C" w14:paraId="0473605B" w14:textId="77777777" w:rsidTr="00E804B7">
        <w:trPr>
          <w:jc w:val="center"/>
        </w:trPr>
        <w:tc>
          <w:tcPr>
            <w:tcW w:w="4876" w:type="dxa"/>
          </w:tcPr>
          <w:p w14:paraId="0F3F200B" w14:textId="77777777" w:rsidR="003663AF" w:rsidRPr="00B7760C" w:rsidRDefault="003663AF" w:rsidP="00E804B7">
            <w:pPr>
              <w:pStyle w:val="Normal6"/>
            </w:pPr>
          </w:p>
        </w:tc>
        <w:tc>
          <w:tcPr>
            <w:tcW w:w="4876" w:type="dxa"/>
            <w:hideMark/>
          </w:tcPr>
          <w:p w14:paraId="03BCFE45" w14:textId="4363410C" w:rsidR="003663AF" w:rsidRPr="00B7760C" w:rsidRDefault="00E804B7" w:rsidP="00E804B7">
            <w:pPr>
              <w:pStyle w:val="Normal6"/>
              <w:rPr>
                <w:szCs w:val="24"/>
              </w:rPr>
            </w:pPr>
            <w:r w:rsidRPr="00B7760C">
              <w:rPr>
                <w:b/>
                <w:i/>
              </w:rPr>
              <w:t>–</w:t>
            </w:r>
            <w:r w:rsidR="003663AF" w:rsidRPr="00B7760C">
              <w:rPr>
                <w:b/>
                <w:i/>
              </w:rPr>
              <w:tab/>
              <w:t>za organizacije proizvajalcev, katerih tržna proizvodnja in število članov je v letu predložitve operativnega programa 25 % višja od povprečne tržne proizvodnje in povprečnega števila včlanjenih proizvajalcev, registriranih v času prejšnjega operativnega programa;</w:t>
            </w:r>
          </w:p>
        </w:tc>
      </w:tr>
      <w:tr w:rsidR="003663AF" w:rsidRPr="00B7760C" w14:paraId="21D1811A" w14:textId="77777777" w:rsidTr="00E804B7">
        <w:trPr>
          <w:jc w:val="center"/>
        </w:trPr>
        <w:tc>
          <w:tcPr>
            <w:tcW w:w="4876" w:type="dxa"/>
          </w:tcPr>
          <w:p w14:paraId="59443AE1" w14:textId="77777777" w:rsidR="003663AF" w:rsidRPr="00B7760C" w:rsidRDefault="003663AF" w:rsidP="00E804B7">
            <w:pPr>
              <w:pStyle w:val="Normal6"/>
            </w:pPr>
          </w:p>
        </w:tc>
        <w:tc>
          <w:tcPr>
            <w:tcW w:w="4876" w:type="dxa"/>
            <w:hideMark/>
          </w:tcPr>
          <w:p w14:paraId="2993AFF1" w14:textId="51C353C2" w:rsidR="003663AF" w:rsidRPr="00B7760C" w:rsidRDefault="00E804B7" w:rsidP="00E804B7">
            <w:pPr>
              <w:pStyle w:val="Normal6"/>
              <w:rPr>
                <w:szCs w:val="24"/>
              </w:rPr>
            </w:pPr>
            <w:r w:rsidRPr="00B7760C">
              <w:rPr>
                <w:b/>
                <w:i/>
              </w:rPr>
              <w:t>–</w:t>
            </w:r>
            <w:r w:rsidR="003663AF" w:rsidRPr="00B7760C">
              <w:rPr>
                <w:b/>
                <w:i/>
              </w:rPr>
              <w:tab/>
              <w:t>za prvi operativni program organizacije proizvajalcev, ki je nastala z združitvijo;</w:t>
            </w:r>
          </w:p>
        </w:tc>
      </w:tr>
      <w:tr w:rsidR="003663AF" w:rsidRPr="00B7760C" w14:paraId="5AD8367C" w14:textId="77777777" w:rsidTr="00E804B7">
        <w:trPr>
          <w:jc w:val="center"/>
        </w:trPr>
        <w:tc>
          <w:tcPr>
            <w:tcW w:w="4876" w:type="dxa"/>
          </w:tcPr>
          <w:p w14:paraId="7D528008" w14:textId="77777777" w:rsidR="003663AF" w:rsidRPr="00B7760C" w:rsidRDefault="003663AF" w:rsidP="00E804B7">
            <w:pPr>
              <w:pStyle w:val="Normal6"/>
            </w:pPr>
          </w:p>
        </w:tc>
        <w:tc>
          <w:tcPr>
            <w:tcW w:w="4876" w:type="dxa"/>
            <w:hideMark/>
          </w:tcPr>
          <w:p w14:paraId="6106BEF2" w14:textId="4D71109E" w:rsidR="003663AF" w:rsidRPr="00B7760C" w:rsidRDefault="00E804B7" w:rsidP="00E804B7">
            <w:pPr>
              <w:pStyle w:val="Normal6"/>
              <w:rPr>
                <w:szCs w:val="24"/>
              </w:rPr>
            </w:pPr>
            <w:r w:rsidRPr="00B7760C">
              <w:rPr>
                <w:b/>
                <w:i/>
              </w:rPr>
              <w:t>–</w:t>
            </w:r>
            <w:r w:rsidR="003663AF" w:rsidRPr="00B7760C">
              <w:rPr>
                <w:b/>
                <w:i/>
              </w:rPr>
              <w:tab/>
              <w:t>za vsako nadnacionalno organizacijo proizvajalcev ali nadnacionalno združenje organizacij proizvajalcev.</w:t>
            </w:r>
          </w:p>
        </w:tc>
      </w:tr>
    </w:tbl>
    <w:p w14:paraId="33AF1474" w14:textId="77777777" w:rsidR="003663AF" w:rsidRPr="00B7760C" w:rsidRDefault="003663AF" w:rsidP="003663AF"/>
    <w:p w14:paraId="5EB08513" w14:textId="04E4AA9A" w:rsidR="003663AF" w:rsidRPr="00B7760C" w:rsidRDefault="00877691" w:rsidP="003663AF">
      <w:pPr>
        <w:pStyle w:val="AMNumberTabs"/>
        <w:keepNext/>
      </w:pPr>
      <w:r w:rsidRPr="00B7760C">
        <w:t>Sprememba</w:t>
      </w:r>
      <w:r w:rsidR="003663AF" w:rsidRPr="00B7760C">
        <w:tab/>
      </w:r>
      <w:r w:rsidR="003663AF" w:rsidRPr="00B7760C">
        <w:tab/>
        <w:t>305</w:t>
      </w:r>
    </w:p>
    <w:p w14:paraId="34EE0910" w14:textId="77777777" w:rsidR="003663AF" w:rsidRPr="00B7760C" w:rsidRDefault="003663AF" w:rsidP="003663AF">
      <w:pPr>
        <w:pStyle w:val="NormalBold12b"/>
      </w:pPr>
      <w:r w:rsidRPr="00B7760C">
        <w:t>Predlog uredbe</w:t>
      </w:r>
    </w:p>
    <w:p w14:paraId="2ADE7884" w14:textId="77777777" w:rsidR="003663AF" w:rsidRPr="00B7760C" w:rsidRDefault="003663AF" w:rsidP="003663AF">
      <w:pPr>
        <w:pStyle w:val="NormalBold"/>
      </w:pPr>
      <w:r w:rsidRPr="00B7760C">
        <w:t>Člen 46 – odstavek 2 – pododstavek 1 – točka c</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983FCB5" w14:textId="77777777" w:rsidTr="00E804B7">
        <w:trPr>
          <w:jc w:val="center"/>
        </w:trPr>
        <w:tc>
          <w:tcPr>
            <w:tcW w:w="9752" w:type="dxa"/>
            <w:gridSpan w:val="2"/>
          </w:tcPr>
          <w:p w14:paraId="33C2214B" w14:textId="77777777" w:rsidR="003663AF" w:rsidRPr="00B7760C" w:rsidRDefault="003663AF" w:rsidP="00E804B7">
            <w:pPr>
              <w:keepNext/>
            </w:pPr>
          </w:p>
        </w:tc>
      </w:tr>
      <w:tr w:rsidR="003663AF" w:rsidRPr="00B7760C" w14:paraId="369310C5" w14:textId="77777777" w:rsidTr="00E804B7">
        <w:trPr>
          <w:jc w:val="center"/>
        </w:trPr>
        <w:tc>
          <w:tcPr>
            <w:tcW w:w="4876" w:type="dxa"/>
            <w:hideMark/>
          </w:tcPr>
          <w:p w14:paraId="17828A04" w14:textId="77777777" w:rsidR="003663AF" w:rsidRPr="00B7760C" w:rsidRDefault="003663AF" w:rsidP="00E804B7">
            <w:pPr>
              <w:pStyle w:val="ColumnHeading"/>
              <w:keepNext/>
            </w:pPr>
            <w:r w:rsidRPr="00B7760C">
              <w:t>Besedilo, ki ga predlaga Komisija</w:t>
            </w:r>
          </w:p>
        </w:tc>
        <w:tc>
          <w:tcPr>
            <w:tcW w:w="4876" w:type="dxa"/>
            <w:hideMark/>
          </w:tcPr>
          <w:p w14:paraId="05F58244" w14:textId="53717796" w:rsidR="003663AF" w:rsidRPr="00B7760C" w:rsidRDefault="00877691" w:rsidP="00E804B7">
            <w:pPr>
              <w:pStyle w:val="ColumnHeading"/>
              <w:keepNext/>
            </w:pPr>
            <w:r w:rsidRPr="00B7760C">
              <w:t>Sprememba</w:t>
            </w:r>
          </w:p>
        </w:tc>
      </w:tr>
      <w:tr w:rsidR="003663AF" w:rsidRPr="00B7760C" w14:paraId="102EAE35" w14:textId="77777777" w:rsidTr="00E804B7">
        <w:trPr>
          <w:jc w:val="center"/>
        </w:trPr>
        <w:tc>
          <w:tcPr>
            <w:tcW w:w="4876" w:type="dxa"/>
            <w:hideMark/>
          </w:tcPr>
          <w:p w14:paraId="42F71388" w14:textId="77777777" w:rsidR="003663AF" w:rsidRPr="00B7760C" w:rsidRDefault="003663AF" w:rsidP="00E804B7">
            <w:pPr>
              <w:pStyle w:val="Normal6"/>
            </w:pPr>
            <w:r w:rsidRPr="00B7760C">
              <w:rPr>
                <w:b/>
                <w:i/>
              </w:rPr>
              <w:t>(c)</w:t>
            </w:r>
            <w:r w:rsidRPr="00B7760C">
              <w:rPr>
                <w:b/>
                <w:i/>
              </w:rPr>
              <w:tab/>
              <w:t>5 % vrednosti tržne proizvodnje vsake nadnacionalne organizacije proizvajalcev ali vsakega nadnacionalnega združenja organizacij proizvajalcev.</w:t>
            </w:r>
          </w:p>
        </w:tc>
        <w:tc>
          <w:tcPr>
            <w:tcW w:w="4876" w:type="dxa"/>
            <w:hideMark/>
          </w:tcPr>
          <w:p w14:paraId="1BB52A91" w14:textId="77777777" w:rsidR="003663AF" w:rsidRPr="00B7760C" w:rsidRDefault="003663AF" w:rsidP="00E804B7">
            <w:pPr>
              <w:pStyle w:val="Normal6"/>
              <w:rPr>
                <w:szCs w:val="24"/>
              </w:rPr>
            </w:pPr>
            <w:r w:rsidRPr="00B7760C">
              <w:rPr>
                <w:b/>
                <w:i/>
              </w:rPr>
              <w:t>črtano</w:t>
            </w:r>
          </w:p>
        </w:tc>
      </w:tr>
    </w:tbl>
    <w:p w14:paraId="69DDDD33" w14:textId="77777777" w:rsidR="003663AF" w:rsidRPr="00B7760C" w:rsidRDefault="003663AF" w:rsidP="003663AF"/>
    <w:p w14:paraId="7F7BE556" w14:textId="4305A4B0" w:rsidR="003663AF" w:rsidRPr="00B7760C" w:rsidRDefault="00877691" w:rsidP="003663AF">
      <w:pPr>
        <w:pStyle w:val="AMNumberTabs"/>
        <w:keepNext/>
      </w:pPr>
      <w:r w:rsidRPr="00B7760C">
        <w:t>Sprememba</w:t>
      </w:r>
      <w:r w:rsidR="003663AF" w:rsidRPr="00B7760C">
        <w:tab/>
      </w:r>
      <w:r w:rsidR="003663AF" w:rsidRPr="00B7760C">
        <w:tab/>
        <w:t>306</w:t>
      </w:r>
    </w:p>
    <w:p w14:paraId="4F19FF17" w14:textId="77777777" w:rsidR="003663AF" w:rsidRPr="00B7760C" w:rsidRDefault="003663AF" w:rsidP="003663AF">
      <w:pPr>
        <w:pStyle w:val="NormalBold12b"/>
      </w:pPr>
      <w:r w:rsidRPr="00B7760C">
        <w:t>Predlog uredbe</w:t>
      </w:r>
    </w:p>
    <w:p w14:paraId="335BF018" w14:textId="77777777" w:rsidR="003663AF" w:rsidRPr="00B7760C" w:rsidRDefault="003663AF" w:rsidP="003663AF">
      <w:pPr>
        <w:pStyle w:val="NormalBold"/>
      </w:pPr>
      <w:r w:rsidRPr="00B7760C">
        <w:t>Člen 46 – odstavek 2 – pododstavek 2 – uvodni del</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4363BD2" w14:textId="77777777" w:rsidTr="00E804B7">
        <w:trPr>
          <w:jc w:val="center"/>
        </w:trPr>
        <w:tc>
          <w:tcPr>
            <w:tcW w:w="9752" w:type="dxa"/>
            <w:gridSpan w:val="2"/>
          </w:tcPr>
          <w:p w14:paraId="6916A148" w14:textId="77777777" w:rsidR="003663AF" w:rsidRPr="00B7760C" w:rsidRDefault="003663AF" w:rsidP="00E804B7">
            <w:pPr>
              <w:keepNext/>
            </w:pPr>
          </w:p>
        </w:tc>
      </w:tr>
      <w:tr w:rsidR="003663AF" w:rsidRPr="00B7760C" w14:paraId="17E8412C" w14:textId="77777777" w:rsidTr="00E804B7">
        <w:trPr>
          <w:jc w:val="center"/>
        </w:trPr>
        <w:tc>
          <w:tcPr>
            <w:tcW w:w="4876" w:type="dxa"/>
            <w:hideMark/>
          </w:tcPr>
          <w:p w14:paraId="4FA1BA02" w14:textId="77777777" w:rsidR="003663AF" w:rsidRPr="00B7760C" w:rsidRDefault="003663AF" w:rsidP="00E804B7">
            <w:pPr>
              <w:pStyle w:val="ColumnHeading"/>
              <w:keepNext/>
            </w:pPr>
            <w:r w:rsidRPr="00B7760C">
              <w:t>Besedilo, ki ga predlaga Komisija</w:t>
            </w:r>
          </w:p>
        </w:tc>
        <w:tc>
          <w:tcPr>
            <w:tcW w:w="4876" w:type="dxa"/>
            <w:hideMark/>
          </w:tcPr>
          <w:p w14:paraId="0A69CCF3" w14:textId="4A8BBCB1" w:rsidR="003663AF" w:rsidRPr="00B7760C" w:rsidRDefault="00877691" w:rsidP="00E804B7">
            <w:pPr>
              <w:pStyle w:val="ColumnHeading"/>
              <w:keepNext/>
            </w:pPr>
            <w:r w:rsidRPr="00B7760C">
              <w:t>Sprememba</w:t>
            </w:r>
          </w:p>
        </w:tc>
      </w:tr>
      <w:tr w:rsidR="003663AF" w:rsidRPr="00B7760C" w14:paraId="276B2872" w14:textId="77777777" w:rsidTr="00E804B7">
        <w:trPr>
          <w:jc w:val="center"/>
        </w:trPr>
        <w:tc>
          <w:tcPr>
            <w:tcW w:w="4876" w:type="dxa"/>
            <w:hideMark/>
          </w:tcPr>
          <w:p w14:paraId="441905FB" w14:textId="77777777" w:rsidR="003663AF" w:rsidRPr="00B7760C" w:rsidRDefault="003663AF" w:rsidP="00E804B7">
            <w:pPr>
              <w:pStyle w:val="Normal6"/>
            </w:pPr>
            <w:r w:rsidRPr="00B7760C">
              <w:t>Z odstopanjem od prvega pododstavka se finančna pomoč Unije lahko poveča,</w:t>
            </w:r>
            <w:r w:rsidRPr="00B7760C">
              <w:rPr>
                <w:b/>
                <w:i/>
              </w:rPr>
              <w:t xml:space="preserve"> kot sledi:</w:t>
            </w:r>
          </w:p>
        </w:tc>
        <w:tc>
          <w:tcPr>
            <w:tcW w:w="4876" w:type="dxa"/>
            <w:hideMark/>
          </w:tcPr>
          <w:p w14:paraId="0F075597" w14:textId="77777777" w:rsidR="003663AF" w:rsidRPr="00B7760C" w:rsidRDefault="003663AF" w:rsidP="00E804B7">
            <w:pPr>
              <w:pStyle w:val="Normal6"/>
              <w:rPr>
                <w:szCs w:val="24"/>
              </w:rPr>
            </w:pPr>
            <w:r w:rsidRPr="00B7760C">
              <w:t>Z odstopanjem od prvega pododstavka se finančna pomoč Unije</w:t>
            </w:r>
            <w:r w:rsidRPr="00B7760C">
              <w:rPr>
                <w:b/>
                <w:i/>
              </w:rPr>
              <w:t>, opredeljena v točkah (a), (b) in (ba),</w:t>
            </w:r>
            <w:r w:rsidRPr="00B7760C">
              <w:t xml:space="preserve"> lahko poveča</w:t>
            </w:r>
            <w:r w:rsidRPr="00B7760C">
              <w:rPr>
                <w:b/>
                <w:i/>
              </w:rPr>
              <w:t xml:space="preserve"> za 0</w:t>
            </w:r>
            <w:r w:rsidRPr="00B7760C">
              <w:t>,</w:t>
            </w:r>
            <w:r w:rsidRPr="00B7760C">
              <w:rPr>
                <w:b/>
                <w:i/>
              </w:rPr>
              <w:t>5 % vrednosti tržne proizvodnje, če se ta odstotek uporabi izključno za eno ali več intervencij, povezanih s cilji iz točk (c), (d), (e), (g), (h) in (i) člena 42;</w:t>
            </w:r>
          </w:p>
        </w:tc>
      </w:tr>
      <w:tr w:rsidR="003663AF" w:rsidRPr="00B7760C" w14:paraId="16B8CB63" w14:textId="77777777" w:rsidTr="00E804B7">
        <w:trPr>
          <w:jc w:val="center"/>
        </w:trPr>
        <w:tc>
          <w:tcPr>
            <w:tcW w:w="4876" w:type="dxa"/>
          </w:tcPr>
          <w:p w14:paraId="54FB65CB" w14:textId="77777777" w:rsidR="003663AF" w:rsidRPr="00B7760C" w:rsidRDefault="003663AF" w:rsidP="00E804B7">
            <w:pPr>
              <w:pStyle w:val="Normal6"/>
            </w:pPr>
            <w:r w:rsidRPr="00B7760C">
              <w:rPr>
                <w:b/>
                <w:i/>
              </w:rPr>
              <w:t>(a)</w:t>
            </w:r>
            <w:r w:rsidRPr="00B7760C">
              <w:rPr>
                <w:b/>
                <w:i/>
              </w:rPr>
              <w:tab/>
              <w:t>v primeru organizacij proizvajalcev se odstotek lahko poveča na 4,6 % vrednosti tržne proizvodnje, če se znesek, ki presega 4,1 % vrednosti tržne proizvodnje, uporabi izključno za eno ali več intervencij, povezanih s cilji iz točk (c), (d), (e), (g), (h) in (i) člena 42;</w:t>
            </w:r>
          </w:p>
        </w:tc>
        <w:tc>
          <w:tcPr>
            <w:tcW w:w="4876" w:type="dxa"/>
          </w:tcPr>
          <w:p w14:paraId="4B7D086B" w14:textId="77777777" w:rsidR="003663AF" w:rsidRPr="00B7760C" w:rsidRDefault="003663AF" w:rsidP="00E804B7">
            <w:pPr>
              <w:pStyle w:val="Normal6"/>
            </w:pPr>
          </w:p>
        </w:tc>
      </w:tr>
      <w:tr w:rsidR="003663AF" w:rsidRPr="00B7760C" w14:paraId="5FD832FA" w14:textId="77777777" w:rsidTr="00E804B7">
        <w:trPr>
          <w:jc w:val="center"/>
        </w:trPr>
        <w:tc>
          <w:tcPr>
            <w:tcW w:w="4876" w:type="dxa"/>
          </w:tcPr>
          <w:p w14:paraId="4A5F58A0" w14:textId="77777777" w:rsidR="003663AF" w:rsidRPr="00B7760C" w:rsidRDefault="003663AF" w:rsidP="00E804B7">
            <w:pPr>
              <w:pStyle w:val="Normal6"/>
            </w:pPr>
            <w:r w:rsidRPr="00B7760C">
              <w:rPr>
                <w:b/>
                <w:i/>
              </w:rPr>
              <w:t>(b)</w:t>
            </w:r>
            <w:r w:rsidRPr="00B7760C">
              <w:rPr>
                <w:b/>
                <w:i/>
              </w:rPr>
              <w:tab/>
              <w:t>v primeru združenj organizacij proizvajalcev se odstotek lahko poveča na 5 % vrednosti tržne proizvodnje, če se znesek, ki presega 4,5 % vrednosti tržne proizvodnje, uporabi izključno za eno ali več intervencij, povezanih s cilji iz točk (c), (d), (e), (g), (h) in (i) člena 42, ki jih združenje organizacij proizvajalcev izvaja v imenu svojih članov;</w:t>
            </w:r>
          </w:p>
        </w:tc>
        <w:tc>
          <w:tcPr>
            <w:tcW w:w="4876" w:type="dxa"/>
          </w:tcPr>
          <w:p w14:paraId="46D7CCCA" w14:textId="77777777" w:rsidR="003663AF" w:rsidRPr="00B7760C" w:rsidRDefault="003663AF" w:rsidP="00E804B7">
            <w:pPr>
              <w:pStyle w:val="Normal6"/>
            </w:pPr>
          </w:p>
        </w:tc>
      </w:tr>
      <w:tr w:rsidR="003663AF" w:rsidRPr="00B7760C" w14:paraId="34DB7569" w14:textId="77777777" w:rsidTr="00E804B7">
        <w:trPr>
          <w:jc w:val="center"/>
        </w:trPr>
        <w:tc>
          <w:tcPr>
            <w:tcW w:w="4876" w:type="dxa"/>
          </w:tcPr>
          <w:p w14:paraId="0428999C" w14:textId="77777777" w:rsidR="003663AF" w:rsidRPr="00B7760C" w:rsidRDefault="003663AF" w:rsidP="00E804B7">
            <w:pPr>
              <w:pStyle w:val="Normal6"/>
            </w:pPr>
            <w:r w:rsidRPr="00B7760C">
              <w:rPr>
                <w:b/>
                <w:i/>
              </w:rPr>
              <w:t>(c)</w:t>
            </w:r>
            <w:r w:rsidRPr="00B7760C">
              <w:rPr>
                <w:b/>
                <w:i/>
              </w:rPr>
              <w:tab/>
              <w:t>v primeru nadnacionalnih organizacij proizvajalcev ali nadnacionalnih združenj organizacij proizvajalcev se odstotek lahko poveča na 5,5 % vrednosti tržne proizvodnje, če se znesek, ki presega 5 % vrednosti tržne proizvodnje, uporabi izključno za eno ali več intervencij, povezanih s cilji iz točk (c), (d), (e), (g), (h) in (i) člena 42, ki jih nadnacionalna organizacija proizvajalcev ali nadnacionalno združenje organizacij proizvajalcev izvaja v imenu svojih članov.</w:t>
            </w:r>
          </w:p>
        </w:tc>
        <w:tc>
          <w:tcPr>
            <w:tcW w:w="4876" w:type="dxa"/>
          </w:tcPr>
          <w:p w14:paraId="2499A1A8" w14:textId="77777777" w:rsidR="003663AF" w:rsidRPr="00B7760C" w:rsidRDefault="003663AF" w:rsidP="00E804B7">
            <w:pPr>
              <w:pStyle w:val="Normal6"/>
            </w:pPr>
          </w:p>
        </w:tc>
      </w:tr>
    </w:tbl>
    <w:p w14:paraId="62340CA4" w14:textId="77777777" w:rsidR="003663AF" w:rsidRPr="00B7760C" w:rsidRDefault="003663AF" w:rsidP="003663AF"/>
    <w:p w14:paraId="01D5E512" w14:textId="6DD2BA73" w:rsidR="003663AF" w:rsidRPr="00B7760C" w:rsidRDefault="00877691" w:rsidP="003663AF">
      <w:pPr>
        <w:pStyle w:val="AMNumberTabs"/>
        <w:keepNext/>
      </w:pPr>
      <w:r w:rsidRPr="00B7760C">
        <w:t>Sprememba</w:t>
      </w:r>
      <w:r w:rsidR="003663AF" w:rsidRPr="00B7760C">
        <w:tab/>
      </w:r>
      <w:r w:rsidR="003663AF" w:rsidRPr="00B7760C">
        <w:tab/>
        <w:t>307</w:t>
      </w:r>
    </w:p>
    <w:p w14:paraId="05C18FD3" w14:textId="77777777" w:rsidR="003663AF" w:rsidRPr="00B7760C" w:rsidRDefault="003663AF" w:rsidP="003663AF">
      <w:pPr>
        <w:pStyle w:val="NormalBold12b"/>
      </w:pPr>
      <w:r w:rsidRPr="00B7760C">
        <w:t>Predlog uredbe</w:t>
      </w:r>
    </w:p>
    <w:p w14:paraId="6DB7528A" w14:textId="77777777" w:rsidR="003663AF" w:rsidRPr="00B7760C" w:rsidRDefault="003663AF" w:rsidP="003663AF">
      <w:pPr>
        <w:pStyle w:val="NormalBold"/>
      </w:pPr>
      <w:r w:rsidRPr="00B7760C">
        <w:t>Člen 46 – odstavek 3 – točka 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01057A6" w14:textId="77777777" w:rsidTr="00E804B7">
        <w:trPr>
          <w:jc w:val="center"/>
        </w:trPr>
        <w:tc>
          <w:tcPr>
            <w:tcW w:w="9752" w:type="dxa"/>
            <w:gridSpan w:val="2"/>
          </w:tcPr>
          <w:p w14:paraId="2CE67482" w14:textId="77777777" w:rsidR="003663AF" w:rsidRPr="00B7760C" w:rsidRDefault="003663AF" w:rsidP="00E804B7">
            <w:pPr>
              <w:keepNext/>
            </w:pPr>
          </w:p>
        </w:tc>
      </w:tr>
      <w:tr w:rsidR="003663AF" w:rsidRPr="00B7760C" w14:paraId="2B242680" w14:textId="77777777" w:rsidTr="00E804B7">
        <w:trPr>
          <w:jc w:val="center"/>
        </w:trPr>
        <w:tc>
          <w:tcPr>
            <w:tcW w:w="4876" w:type="dxa"/>
            <w:hideMark/>
          </w:tcPr>
          <w:p w14:paraId="2DFF4C87" w14:textId="77777777" w:rsidR="003663AF" w:rsidRPr="00B7760C" w:rsidRDefault="003663AF" w:rsidP="00E804B7">
            <w:pPr>
              <w:pStyle w:val="ColumnHeading"/>
              <w:keepNext/>
            </w:pPr>
            <w:r w:rsidRPr="00B7760C">
              <w:t>Besedilo, ki ga predlaga Komisija</w:t>
            </w:r>
          </w:p>
        </w:tc>
        <w:tc>
          <w:tcPr>
            <w:tcW w:w="4876" w:type="dxa"/>
            <w:hideMark/>
          </w:tcPr>
          <w:p w14:paraId="3627ACFD" w14:textId="4847BA0C" w:rsidR="003663AF" w:rsidRPr="00B7760C" w:rsidRDefault="00877691" w:rsidP="00E804B7">
            <w:pPr>
              <w:pStyle w:val="ColumnHeading"/>
              <w:keepNext/>
            </w:pPr>
            <w:r w:rsidRPr="00B7760C">
              <w:t>Sprememba</w:t>
            </w:r>
          </w:p>
        </w:tc>
      </w:tr>
      <w:tr w:rsidR="003663AF" w:rsidRPr="00B7760C" w14:paraId="337AE605" w14:textId="77777777" w:rsidTr="00E804B7">
        <w:trPr>
          <w:jc w:val="center"/>
        </w:trPr>
        <w:tc>
          <w:tcPr>
            <w:tcW w:w="4876" w:type="dxa"/>
            <w:hideMark/>
          </w:tcPr>
          <w:p w14:paraId="24E5C602" w14:textId="77777777" w:rsidR="003663AF" w:rsidRPr="00B7760C" w:rsidRDefault="003663AF" w:rsidP="00E804B7">
            <w:pPr>
              <w:pStyle w:val="Normal6"/>
            </w:pPr>
            <w:r w:rsidRPr="00B7760C">
              <w:t>(a)</w:t>
            </w:r>
            <w:r w:rsidRPr="00B7760C">
              <w:tab/>
              <w:t>organizacije proizvajalcev, ki delujejo v različnih državah članicah, izvajajo intervencije, ki so povezane s cilji iz točk (b) in (e) člena 42, na nadnacionalni ravni;</w:t>
            </w:r>
          </w:p>
        </w:tc>
        <w:tc>
          <w:tcPr>
            <w:tcW w:w="4876" w:type="dxa"/>
            <w:hideMark/>
          </w:tcPr>
          <w:p w14:paraId="1DE9F579" w14:textId="77777777" w:rsidR="003663AF" w:rsidRPr="00B7760C" w:rsidRDefault="003663AF" w:rsidP="00E804B7">
            <w:pPr>
              <w:pStyle w:val="Normal6"/>
              <w:rPr>
                <w:szCs w:val="24"/>
              </w:rPr>
            </w:pPr>
            <w:r w:rsidRPr="00B7760C">
              <w:t>(a)</w:t>
            </w:r>
            <w:r w:rsidRPr="00B7760C">
              <w:tab/>
              <w:t>organizacije proizvajalcev</w:t>
            </w:r>
            <w:r w:rsidRPr="00B7760C">
              <w:rPr>
                <w:b/>
                <w:i/>
              </w:rPr>
              <w:t xml:space="preserve"> in združenja organizacij proizvajalcev</w:t>
            </w:r>
            <w:r w:rsidRPr="00B7760C">
              <w:t>, ki delujejo v različnih državah članicah, izvajajo intervencije, ki so povezane s cilji iz točk (b) in (e) člena 42, na nadnacionalni ravni;</w:t>
            </w:r>
          </w:p>
        </w:tc>
      </w:tr>
    </w:tbl>
    <w:p w14:paraId="0CD7171A" w14:textId="77777777" w:rsidR="003663AF" w:rsidRPr="00B7760C" w:rsidRDefault="003663AF" w:rsidP="003663AF"/>
    <w:p w14:paraId="329DE649" w14:textId="02B94A56" w:rsidR="003663AF" w:rsidRPr="00B7760C" w:rsidRDefault="00877691" w:rsidP="003663AF">
      <w:pPr>
        <w:pStyle w:val="AMNumberTabs"/>
        <w:keepNext/>
      </w:pPr>
      <w:r w:rsidRPr="00B7760C">
        <w:t>Sprememba</w:t>
      </w:r>
      <w:r w:rsidR="003663AF" w:rsidRPr="00B7760C">
        <w:tab/>
      </w:r>
      <w:r w:rsidR="003663AF" w:rsidRPr="00B7760C">
        <w:tab/>
        <w:t>308</w:t>
      </w:r>
    </w:p>
    <w:p w14:paraId="6E984DF1" w14:textId="77777777" w:rsidR="003663AF" w:rsidRPr="00B7760C" w:rsidRDefault="003663AF" w:rsidP="003663AF">
      <w:pPr>
        <w:pStyle w:val="NormalBold12b"/>
      </w:pPr>
      <w:r w:rsidRPr="00B7760C">
        <w:t>Predlog uredbe</w:t>
      </w:r>
    </w:p>
    <w:p w14:paraId="63F30511" w14:textId="77777777" w:rsidR="003663AF" w:rsidRPr="00B7760C" w:rsidRDefault="003663AF" w:rsidP="003663AF">
      <w:pPr>
        <w:pStyle w:val="NormalBold"/>
      </w:pPr>
      <w:r w:rsidRPr="00B7760C">
        <w:t>Člen 46 – odstavek 3 – točka d</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D962915" w14:textId="77777777" w:rsidTr="00E804B7">
        <w:trPr>
          <w:jc w:val="center"/>
        </w:trPr>
        <w:tc>
          <w:tcPr>
            <w:tcW w:w="9752" w:type="dxa"/>
            <w:gridSpan w:val="2"/>
          </w:tcPr>
          <w:p w14:paraId="7D165A61" w14:textId="77777777" w:rsidR="003663AF" w:rsidRPr="00B7760C" w:rsidRDefault="003663AF" w:rsidP="00E804B7">
            <w:pPr>
              <w:keepNext/>
            </w:pPr>
          </w:p>
        </w:tc>
      </w:tr>
      <w:tr w:rsidR="003663AF" w:rsidRPr="00B7760C" w14:paraId="0733BEEA" w14:textId="77777777" w:rsidTr="00E804B7">
        <w:trPr>
          <w:jc w:val="center"/>
        </w:trPr>
        <w:tc>
          <w:tcPr>
            <w:tcW w:w="4876" w:type="dxa"/>
            <w:hideMark/>
          </w:tcPr>
          <w:p w14:paraId="64B2EF8E" w14:textId="77777777" w:rsidR="003663AF" w:rsidRPr="00B7760C" w:rsidRDefault="003663AF" w:rsidP="00E804B7">
            <w:pPr>
              <w:pStyle w:val="ColumnHeading"/>
              <w:keepNext/>
            </w:pPr>
            <w:r w:rsidRPr="00B7760C">
              <w:t>Besedilo, ki ga predlaga Komisija</w:t>
            </w:r>
          </w:p>
        </w:tc>
        <w:tc>
          <w:tcPr>
            <w:tcW w:w="4876" w:type="dxa"/>
            <w:hideMark/>
          </w:tcPr>
          <w:p w14:paraId="3F9D0E20" w14:textId="19656EE8" w:rsidR="003663AF" w:rsidRPr="00B7760C" w:rsidRDefault="00877691" w:rsidP="00E804B7">
            <w:pPr>
              <w:pStyle w:val="ColumnHeading"/>
              <w:keepNext/>
            </w:pPr>
            <w:r w:rsidRPr="00B7760C">
              <w:t>Sprememba</w:t>
            </w:r>
          </w:p>
        </w:tc>
      </w:tr>
      <w:tr w:rsidR="003663AF" w:rsidRPr="00B7760C" w14:paraId="13704641" w14:textId="77777777" w:rsidTr="00E804B7">
        <w:trPr>
          <w:jc w:val="center"/>
        </w:trPr>
        <w:tc>
          <w:tcPr>
            <w:tcW w:w="4876" w:type="dxa"/>
            <w:hideMark/>
          </w:tcPr>
          <w:p w14:paraId="672FCFF4" w14:textId="77777777" w:rsidR="003663AF" w:rsidRPr="00B7760C" w:rsidRDefault="003663AF" w:rsidP="00E804B7">
            <w:pPr>
              <w:pStyle w:val="Normal6"/>
            </w:pPr>
            <w:r w:rsidRPr="00B7760C">
              <w:t>(d)</w:t>
            </w:r>
            <w:r w:rsidRPr="00B7760C">
              <w:tab/>
              <w:t xml:space="preserve">operativni program prvič izvaja združenje organizacij proizvajalcev, </w:t>
            </w:r>
            <w:r w:rsidRPr="00B7760C">
              <w:rPr>
                <w:b/>
                <w:i/>
              </w:rPr>
              <w:t>priznano</w:t>
            </w:r>
            <w:r w:rsidRPr="00B7760C">
              <w:t xml:space="preserve"> na podlagi Uredbe (EU) št. 1308/2013;</w:t>
            </w:r>
          </w:p>
        </w:tc>
        <w:tc>
          <w:tcPr>
            <w:tcW w:w="4876" w:type="dxa"/>
            <w:hideMark/>
          </w:tcPr>
          <w:p w14:paraId="30499F47" w14:textId="77777777" w:rsidR="003663AF" w:rsidRPr="00B7760C" w:rsidRDefault="003663AF" w:rsidP="00E804B7">
            <w:pPr>
              <w:pStyle w:val="Normal6"/>
              <w:rPr>
                <w:szCs w:val="24"/>
              </w:rPr>
            </w:pPr>
            <w:r w:rsidRPr="00B7760C">
              <w:t>(d)</w:t>
            </w:r>
            <w:r w:rsidRPr="00B7760C">
              <w:tab/>
              <w:t xml:space="preserve">operativni program prvič izvaja </w:t>
            </w:r>
            <w:r w:rsidRPr="00B7760C">
              <w:rPr>
                <w:b/>
                <w:i/>
              </w:rPr>
              <w:t xml:space="preserve">organizacija proizvajalcev ali </w:t>
            </w:r>
            <w:r w:rsidRPr="00B7760C">
              <w:t xml:space="preserve">združenje organizacij proizvajalcev, </w:t>
            </w:r>
            <w:r w:rsidRPr="00B7760C">
              <w:rPr>
                <w:b/>
                <w:i/>
              </w:rPr>
              <w:t>ki delujejo v eni državi članici, ali združenje organizacij proizvajalcev, ki delujejo v različnih državah članicah, priznani</w:t>
            </w:r>
            <w:r w:rsidRPr="00B7760C">
              <w:t xml:space="preserve"> na podlagi Uredbe (EU) št. 1308/2013;</w:t>
            </w:r>
          </w:p>
        </w:tc>
      </w:tr>
    </w:tbl>
    <w:p w14:paraId="5543EED3" w14:textId="77777777" w:rsidR="003663AF" w:rsidRPr="00B7760C" w:rsidRDefault="003663AF" w:rsidP="003663AF"/>
    <w:p w14:paraId="2A2DEBDF" w14:textId="635C6D75" w:rsidR="003663AF" w:rsidRPr="00B7760C" w:rsidRDefault="00877691" w:rsidP="003663AF">
      <w:pPr>
        <w:pStyle w:val="AMNumberTabs"/>
        <w:keepNext/>
      </w:pPr>
      <w:r w:rsidRPr="00B7760C">
        <w:t>Sprememba</w:t>
      </w:r>
      <w:r w:rsidR="003663AF" w:rsidRPr="00B7760C">
        <w:tab/>
      </w:r>
      <w:r w:rsidR="003663AF" w:rsidRPr="00B7760C">
        <w:tab/>
        <w:t>309</w:t>
      </w:r>
    </w:p>
    <w:p w14:paraId="3EBE8DF9" w14:textId="77777777" w:rsidR="003663AF" w:rsidRPr="00B7760C" w:rsidRDefault="003663AF" w:rsidP="003663AF">
      <w:pPr>
        <w:pStyle w:val="NormalBold12b"/>
      </w:pPr>
      <w:r w:rsidRPr="00B7760C">
        <w:t>Predlog uredbe</w:t>
      </w:r>
    </w:p>
    <w:p w14:paraId="2F5959A2" w14:textId="77777777" w:rsidR="003663AF" w:rsidRPr="00B7760C" w:rsidRDefault="003663AF" w:rsidP="003663AF">
      <w:pPr>
        <w:pStyle w:val="NormalBold"/>
      </w:pPr>
      <w:r w:rsidRPr="00B7760C">
        <w:t>Člen 46 – odstavek 3 – točka f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18B43A7" w14:textId="77777777" w:rsidTr="00E804B7">
        <w:trPr>
          <w:jc w:val="center"/>
        </w:trPr>
        <w:tc>
          <w:tcPr>
            <w:tcW w:w="9752" w:type="dxa"/>
            <w:gridSpan w:val="2"/>
          </w:tcPr>
          <w:p w14:paraId="11D05CF8" w14:textId="77777777" w:rsidR="003663AF" w:rsidRPr="00B7760C" w:rsidRDefault="003663AF" w:rsidP="00E804B7">
            <w:pPr>
              <w:keepNext/>
            </w:pPr>
          </w:p>
        </w:tc>
      </w:tr>
      <w:tr w:rsidR="003663AF" w:rsidRPr="00B7760C" w14:paraId="262906E6" w14:textId="77777777" w:rsidTr="00E804B7">
        <w:trPr>
          <w:jc w:val="center"/>
        </w:trPr>
        <w:tc>
          <w:tcPr>
            <w:tcW w:w="4876" w:type="dxa"/>
            <w:hideMark/>
          </w:tcPr>
          <w:p w14:paraId="56AF21ED" w14:textId="77777777" w:rsidR="003663AF" w:rsidRPr="00B7760C" w:rsidRDefault="003663AF" w:rsidP="00E804B7">
            <w:pPr>
              <w:pStyle w:val="ColumnHeading"/>
              <w:keepNext/>
            </w:pPr>
            <w:r w:rsidRPr="00B7760C">
              <w:t>Besedilo, ki ga predlaga Komisija</w:t>
            </w:r>
          </w:p>
        </w:tc>
        <w:tc>
          <w:tcPr>
            <w:tcW w:w="4876" w:type="dxa"/>
            <w:hideMark/>
          </w:tcPr>
          <w:p w14:paraId="17B56D26" w14:textId="6BE014AB" w:rsidR="003663AF" w:rsidRPr="00B7760C" w:rsidRDefault="00877691" w:rsidP="00E804B7">
            <w:pPr>
              <w:pStyle w:val="ColumnHeading"/>
              <w:keepNext/>
            </w:pPr>
            <w:r w:rsidRPr="00B7760C">
              <w:t>Sprememba</w:t>
            </w:r>
          </w:p>
        </w:tc>
      </w:tr>
      <w:tr w:rsidR="003663AF" w:rsidRPr="00B7760C" w14:paraId="0C427A54" w14:textId="77777777" w:rsidTr="00E804B7">
        <w:trPr>
          <w:jc w:val="center"/>
        </w:trPr>
        <w:tc>
          <w:tcPr>
            <w:tcW w:w="4876" w:type="dxa"/>
          </w:tcPr>
          <w:p w14:paraId="0EFA72F5" w14:textId="77777777" w:rsidR="003663AF" w:rsidRPr="00B7760C" w:rsidRDefault="003663AF" w:rsidP="00E804B7">
            <w:pPr>
              <w:pStyle w:val="Normal6"/>
            </w:pPr>
          </w:p>
        </w:tc>
        <w:tc>
          <w:tcPr>
            <w:tcW w:w="4876" w:type="dxa"/>
            <w:hideMark/>
          </w:tcPr>
          <w:p w14:paraId="3918ECD5" w14:textId="77777777" w:rsidR="003663AF" w:rsidRPr="00B7760C" w:rsidRDefault="003663AF" w:rsidP="00E804B7">
            <w:pPr>
              <w:pStyle w:val="Normal6"/>
              <w:rPr>
                <w:szCs w:val="24"/>
              </w:rPr>
            </w:pPr>
            <w:r w:rsidRPr="00B7760C">
              <w:rPr>
                <w:b/>
                <w:i/>
              </w:rPr>
              <w:t>(fa)</w:t>
            </w:r>
            <w:r w:rsidRPr="00B7760C">
              <w:rPr>
                <w:b/>
                <w:i/>
              </w:rPr>
              <w:tab/>
              <w:t>organizacije proizvajalcev delujejo na gorskih območjih in v otoških regijah;</w:t>
            </w:r>
          </w:p>
        </w:tc>
      </w:tr>
    </w:tbl>
    <w:p w14:paraId="6D5B9EE9" w14:textId="77777777" w:rsidR="003663AF" w:rsidRPr="00B7760C" w:rsidRDefault="003663AF" w:rsidP="003663AF"/>
    <w:p w14:paraId="6EEC4BE6" w14:textId="0E85C4EF" w:rsidR="003663AF" w:rsidRPr="00B7760C" w:rsidRDefault="00877691" w:rsidP="003663AF">
      <w:pPr>
        <w:pStyle w:val="AMNumberTabs"/>
      </w:pPr>
      <w:r w:rsidRPr="00B7760C">
        <w:t>Sprememba</w:t>
      </w:r>
      <w:r w:rsidR="003663AF" w:rsidRPr="00B7760C">
        <w:tab/>
      </w:r>
      <w:r w:rsidR="003663AF" w:rsidRPr="00B7760C">
        <w:tab/>
        <w:t>310</w:t>
      </w:r>
    </w:p>
    <w:p w14:paraId="7A28AF1C" w14:textId="77777777" w:rsidR="003663AF" w:rsidRPr="00B7760C" w:rsidRDefault="003663AF" w:rsidP="003663AF">
      <w:pPr>
        <w:pStyle w:val="NormalBold12b"/>
      </w:pPr>
      <w:r w:rsidRPr="00B7760C">
        <w:t>Predlog uredbe</w:t>
      </w:r>
    </w:p>
    <w:p w14:paraId="05D2CF6B" w14:textId="77777777" w:rsidR="003663AF" w:rsidRPr="00B7760C" w:rsidRDefault="003663AF" w:rsidP="003663AF">
      <w:pPr>
        <w:pStyle w:val="NormalBold"/>
      </w:pPr>
      <w:r w:rsidRPr="00B7760C">
        <w:t>Člen 47 – 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F87B277" w14:textId="77777777" w:rsidTr="00E804B7">
        <w:trPr>
          <w:trHeight w:hRule="exact" w:val="240"/>
          <w:jc w:val="center"/>
        </w:trPr>
        <w:tc>
          <w:tcPr>
            <w:tcW w:w="9752" w:type="dxa"/>
            <w:gridSpan w:val="2"/>
          </w:tcPr>
          <w:p w14:paraId="036BF44C" w14:textId="77777777" w:rsidR="003663AF" w:rsidRPr="00B7760C" w:rsidRDefault="003663AF" w:rsidP="00E804B7"/>
        </w:tc>
      </w:tr>
      <w:tr w:rsidR="003663AF" w:rsidRPr="00B7760C" w14:paraId="7DD70BDC" w14:textId="77777777" w:rsidTr="00E804B7">
        <w:trPr>
          <w:trHeight w:val="240"/>
          <w:jc w:val="center"/>
        </w:trPr>
        <w:tc>
          <w:tcPr>
            <w:tcW w:w="4876" w:type="dxa"/>
          </w:tcPr>
          <w:p w14:paraId="73D67B89" w14:textId="77777777" w:rsidR="003663AF" w:rsidRPr="00B7760C" w:rsidRDefault="003663AF" w:rsidP="00E804B7">
            <w:pPr>
              <w:pStyle w:val="ColumnHeading"/>
            </w:pPr>
            <w:r w:rsidRPr="00B7760C">
              <w:t>Besedilo, ki ga predlaga Komisija</w:t>
            </w:r>
          </w:p>
        </w:tc>
        <w:tc>
          <w:tcPr>
            <w:tcW w:w="4876" w:type="dxa"/>
          </w:tcPr>
          <w:p w14:paraId="064E1DBA" w14:textId="3CE0AC03" w:rsidR="003663AF" w:rsidRPr="00B7760C" w:rsidRDefault="00877691" w:rsidP="00E804B7">
            <w:pPr>
              <w:pStyle w:val="ColumnHeading"/>
            </w:pPr>
            <w:r w:rsidRPr="00B7760C">
              <w:t>Sprememba</w:t>
            </w:r>
          </w:p>
        </w:tc>
      </w:tr>
      <w:tr w:rsidR="003663AF" w:rsidRPr="00B7760C" w14:paraId="3ED03BC7" w14:textId="77777777" w:rsidTr="00E804B7">
        <w:trPr>
          <w:jc w:val="center"/>
        </w:trPr>
        <w:tc>
          <w:tcPr>
            <w:tcW w:w="4876" w:type="dxa"/>
          </w:tcPr>
          <w:p w14:paraId="3DEEE5F7" w14:textId="77777777" w:rsidR="003663AF" w:rsidRPr="00B7760C" w:rsidRDefault="003663AF" w:rsidP="00E804B7">
            <w:pPr>
              <w:pStyle w:val="Normal6"/>
            </w:pPr>
            <w:r w:rsidRPr="00B7760C">
              <w:t>1.</w:t>
            </w:r>
            <w:r w:rsidRPr="00B7760C">
              <w:tab/>
              <w:t>Države članice lahko v regijah, v katerih je stopnja organiziranosti proizvajalcev v sektorju sadja in zelenjave znatno pod povprečjem Unije, organizacijam proizvajalcev, priznanim na podlagi Uredbe (EU) št. 1308/2013, odobrijo nacionalno finančno pomoč v višini največ 80</w:t>
            </w:r>
            <w:r w:rsidRPr="00B7760C">
              <w:rPr>
                <w:b/>
                <w:i/>
              </w:rPr>
              <w:t> </w:t>
            </w:r>
            <w:r w:rsidRPr="00B7760C">
              <w:t>% finančnih prispevkov iz točke (a) člena 45(1) in do 10</w:t>
            </w:r>
            <w:r w:rsidRPr="00B7760C">
              <w:rPr>
                <w:b/>
                <w:i/>
              </w:rPr>
              <w:t> </w:t>
            </w:r>
            <w:r w:rsidRPr="00B7760C">
              <w:t>% vrednosti tržne proizvodnje vsake take organizacije proizvajalcev. Nacionalna finančna pomoč dopolnjuje operativni sklad.</w:t>
            </w:r>
          </w:p>
        </w:tc>
        <w:tc>
          <w:tcPr>
            <w:tcW w:w="4876" w:type="dxa"/>
          </w:tcPr>
          <w:p w14:paraId="10F91611" w14:textId="77777777" w:rsidR="003663AF" w:rsidRPr="00B7760C" w:rsidRDefault="003663AF" w:rsidP="00E804B7">
            <w:pPr>
              <w:pStyle w:val="Normal6"/>
            </w:pPr>
            <w:r w:rsidRPr="00B7760C">
              <w:t>1.</w:t>
            </w:r>
            <w:r w:rsidRPr="00B7760C">
              <w:tab/>
              <w:t xml:space="preserve">Države članice lahko v regijah, v katerih je stopnja organiziranosti proizvajalcev v sektorju sadja in zelenjave znatno pod povprečjem Unije, </w:t>
            </w:r>
            <w:r w:rsidRPr="00B7760C">
              <w:rPr>
                <w:b/>
                <w:i/>
              </w:rPr>
              <w:t xml:space="preserve">ter v otoških regijah, vključno z najbolj oddaljenimi regijami, </w:t>
            </w:r>
            <w:r w:rsidRPr="00B7760C">
              <w:t>organizacijam proizvajalcev, priznanim na podlagi Uredbe (EU) št. 1308/2013, odobrijo nacionalno finančno pomoč v višini največ 80</w:t>
            </w:r>
            <w:r w:rsidRPr="00B7760C">
              <w:rPr>
                <w:b/>
                <w:i/>
              </w:rPr>
              <w:t xml:space="preserve"> </w:t>
            </w:r>
            <w:r w:rsidRPr="00B7760C">
              <w:t>% finančnih prispevkov iz točke (a) člena 45(1) in do 10</w:t>
            </w:r>
            <w:r w:rsidRPr="00B7760C">
              <w:rPr>
                <w:b/>
                <w:i/>
              </w:rPr>
              <w:t xml:space="preserve"> </w:t>
            </w:r>
            <w:r w:rsidRPr="00B7760C">
              <w:t>% vrednosti tržne proizvodnje vsake take organizacije proizvajalcev. Nacionalna finančna pomoč dopolnjuje operativni sklad.</w:t>
            </w:r>
          </w:p>
        </w:tc>
      </w:tr>
    </w:tbl>
    <w:p w14:paraId="55922492" w14:textId="77777777" w:rsidR="003663AF" w:rsidRPr="00B7760C" w:rsidRDefault="003663AF" w:rsidP="003663AF"/>
    <w:p w14:paraId="6291E8BA" w14:textId="1233C8DB" w:rsidR="003663AF" w:rsidRPr="00B7760C" w:rsidRDefault="00877691" w:rsidP="003663AF">
      <w:pPr>
        <w:pStyle w:val="AMNumberTabs"/>
        <w:keepNext/>
      </w:pPr>
      <w:r w:rsidRPr="00B7760C">
        <w:t>Sprememba</w:t>
      </w:r>
      <w:r w:rsidR="003663AF" w:rsidRPr="00B7760C">
        <w:tab/>
      </w:r>
      <w:r w:rsidR="003663AF" w:rsidRPr="00B7760C">
        <w:tab/>
        <w:t>311</w:t>
      </w:r>
    </w:p>
    <w:p w14:paraId="129A12CC" w14:textId="77777777" w:rsidR="003663AF" w:rsidRPr="00B7760C" w:rsidRDefault="003663AF" w:rsidP="003663AF">
      <w:pPr>
        <w:pStyle w:val="NormalBold12b"/>
      </w:pPr>
      <w:r w:rsidRPr="00B7760C">
        <w:t>Predlog uredbe</w:t>
      </w:r>
    </w:p>
    <w:p w14:paraId="3BCFCCD0" w14:textId="77777777" w:rsidR="003663AF" w:rsidRPr="00B7760C" w:rsidRDefault="003663AF" w:rsidP="003663AF">
      <w:pPr>
        <w:pStyle w:val="NormalBold"/>
      </w:pPr>
      <w:r w:rsidRPr="00B7760C">
        <w:t>Člen 48 – 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6FCF9B2" w14:textId="77777777" w:rsidTr="00E804B7">
        <w:trPr>
          <w:jc w:val="center"/>
        </w:trPr>
        <w:tc>
          <w:tcPr>
            <w:tcW w:w="9752" w:type="dxa"/>
            <w:gridSpan w:val="2"/>
          </w:tcPr>
          <w:p w14:paraId="2DF123F3" w14:textId="77777777" w:rsidR="003663AF" w:rsidRPr="00B7760C" w:rsidRDefault="003663AF" w:rsidP="00E804B7">
            <w:pPr>
              <w:keepNext/>
            </w:pPr>
          </w:p>
        </w:tc>
      </w:tr>
      <w:tr w:rsidR="003663AF" w:rsidRPr="00B7760C" w14:paraId="105D9F57" w14:textId="77777777" w:rsidTr="00E804B7">
        <w:trPr>
          <w:jc w:val="center"/>
        </w:trPr>
        <w:tc>
          <w:tcPr>
            <w:tcW w:w="4876" w:type="dxa"/>
            <w:hideMark/>
          </w:tcPr>
          <w:p w14:paraId="0203E208" w14:textId="77777777" w:rsidR="003663AF" w:rsidRPr="00B7760C" w:rsidRDefault="003663AF" w:rsidP="00E804B7">
            <w:pPr>
              <w:pStyle w:val="ColumnHeading"/>
              <w:keepNext/>
            </w:pPr>
            <w:r w:rsidRPr="00B7760C">
              <w:t>Besedilo, ki ga predlaga Komisija</w:t>
            </w:r>
          </w:p>
        </w:tc>
        <w:tc>
          <w:tcPr>
            <w:tcW w:w="4876" w:type="dxa"/>
            <w:hideMark/>
          </w:tcPr>
          <w:p w14:paraId="6A030181" w14:textId="67AD4443" w:rsidR="003663AF" w:rsidRPr="00B7760C" w:rsidRDefault="00877691" w:rsidP="00E804B7">
            <w:pPr>
              <w:pStyle w:val="ColumnHeading"/>
              <w:keepNext/>
            </w:pPr>
            <w:r w:rsidRPr="00B7760C">
              <w:t>Sprememba</w:t>
            </w:r>
          </w:p>
        </w:tc>
      </w:tr>
      <w:tr w:rsidR="003663AF" w:rsidRPr="00B7760C" w14:paraId="710CA7D2" w14:textId="77777777" w:rsidTr="00E804B7">
        <w:trPr>
          <w:jc w:val="center"/>
        </w:trPr>
        <w:tc>
          <w:tcPr>
            <w:tcW w:w="4876" w:type="dxa"/>
            <w:hideMark/>
          </w:tcPr>
          <w:p w14:paraId="72B67F2E" w14:textId="77777777" w:rsidR="003663AF" w:rsidRPr="00B7760C" w:rsidRDefault="003663AF" w:rsidP="00E804B7">
            <w:pPr>
              <w:pStyle w:val="Normal6"/>
            </w:pPr>
            <w:r w:rsidRPr="00B7760C">
              <w:t xml:space="preserve">Države članice si v čebelarskem sektorju prizadevajo uresničiti </w:t>
            </w:r>
            <w:r w:rsidRPr="00B7760C">
              <w:rPr>
                <w:b/>
                <w:i/>
              </w:rPr>
              <w:t>najmanj enega od specifičnih ciljev</w:t>
            </w:r>
            <w:r w:rsidRPr="00B7760C">
              <w:t xml:space="preserve"> iz člena 6(1).</w:t>
            </w:r>
          </w:p>
        </w:tc>
        <w:tc>
          <w:tcPr>
            <w:tcW w:w="4876" w:type="dxa"/>
            <w:hideMark/>
          </w:tcPr>
          <w:p w14:paraId="5E39F8DA" w14:textId="77777777" w:rsidR="003663AF" w:rsidRPr="00B7760C" w:rsidRDefault="003663AF" w:rsidP="00E804B7">
            <w:pPr>
              <w:pStyle w:val="Normal6"/>
              <w:rPr>
                <w:szCs w:val="24"/>
              </w:rPr>
            </w:pPr>
            <w:r w:rsidRPr="00B7760C">
              <w:t xml:space="preserve">Države članice si v čebelarskem sektorju prizadevajo uresničiti </w:t>
            </w:r>
            <w:r w:rsidRPr="00B7760C">
              <w:rPr>
                <w:b/>
                <w:i/>
              </w:rPr>
              <w:t>ustrezne specifične cilje</w:t>
            </w:r>
            <w:r w:rsidRPr="00B7760C">
              <w:t xml:space="preserve"> iz člena 6(1).</w:t>
            </w:r>
          </w:p>
        </w:tc>
      </w:tr>
    </w:tbl>
    <w:p w14:paraId="0D8F2152" w14:textId="77777777" w:rsidR="003663AF" w:rsidRPr="00B7760C" w:rsidRDefault="003663AF" w:rsidP="003663AF"/>
    <w:p w14:paraId="46FE0E58" w14:textId="7D209BD9" w:rsidR="003663AF" w:rsidRPr="00B7760C" w:rsidRDefault="00877691" w:rsidP="003663AF">
      <w:pPr>
        <w:pStyle w:val="AMNumberTabs"/>
        <w:keepNext/>
      </w:pPr>
      <w:r w:rsidRPr="00B7760C">
        <w:t>Sprememba</w:t>
      </w:r>
      <w:r w:rsidR="003663AF" w:rsidRPr="00B7760C">
        <w:tab/>
      </w:r>
      <w:r w:rsidR="003663AF" w:rsidRPr="00B7760C">
        <w:tab/>
        <w:t>312</w:t>
      </w:r>
    </w:p>
    <w:p w14:paraId="1B7931B8" w14:textId="77777777" w:rsidR="003663AF" w:rsidRPr="00B7760C" w:rsidRDefault="003663AF" w:rsidP="003663AF">
      <w:pPr>
        <w:pStyle w:val="NormalBold12b"/>
      </w:pPr>
      <w:r w:rsidRPr="00B7760C">
        <w:t>Predlog uredbe</w:t>
      </w:r>
    </w:p>
    <w:p w14:paraId="13751AF7" w14:textId="77777777" w:rsidR="003663AF" w:rsidRPr="00B7760C" w:rsidRDefault="003663AF" w:rsidP="003663AF">
      <w:pPr>
        <w:pStyle w:val="NormalBold"/>
      </w:pPr>
      <w:r w:rsidRPr="00B7760C">
        <w:t>Člen 49 – odstavek 1 – uvodni del</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040731C" w14:textId="77777777" w:rsidTr="00E804B7">
        <w:trPr>
          <w:jc w:val="center"/>
        </w:trPr>
        <w:tc>
          <w:tcPr>
            <w:tcW w:w="9752" w:type="dxa"/>
            <w:gridSpan w:val="2"/>
          </w:tcPr>
          <w:p w14:paraId="0E983546" w14:textId="77777777" w:rsidR="003663AF" w:rsidRPr="00B7760C" w:rsidRDefault="003663AF" w:rsidP="00E804B7">
            <w:pPr>
              <w:keepNext/>
            </w:pPr>
          </w:p>
        </w:tc>
      </w:tr>
      <w:tr w:rsidR="003663AF" w:rsidRPr="00B7760C" w14:paraId="2769C6C4" w14:textId="77777777" w:rsidTr="00E804B7">
        <w:trPr>
          <w:jc w:val="center"/>
        </w:trPr>
        <w:tc>
          <w:tcPr>
            <w:tcW w:w="4876" w:type="dxa"/>
            <w:hideMark/>
          </w:tcPr>
          <w:p w14:paraId="438CA0E2" w14:textId="77777777" w:rsidR="003663AF" w:rsidRPr="00B7760C" w:rsidRDefault="003663AF" w:rsidP="00E804B7">
            <w:pPr>
              <w:pStyle w:val="ColumnHeading"/>
              <w:keepNext/>
            </w:pPr>
            <w:r w:rsidRPr="00B7760C">
              <w:t>Besedilo, ki ga predlaga Komisija</w:t>
            </w:r>
          </w:p>
        </w:tc>
        <w:tc>
          <w:tcPr>
            <w:tcW w:w="4876" w:type="dxa"/>
            <w:hideMark/>
          </w:tcPr>
          <w:p w14:paraId="0504E249" w14:textId="6707C80B" w:rsidR="003663AF" w:rsidRPr="00B7760C" w:rsidRDefault="00877691" w:rsidP="00E804B7">
            <w:pPr>
              <w:pStyle w:val="ColumnHeading"/>
              <w:keepNext/>
            </w:pPr>
            <w:r w:rsidRPr="00B7760C">
              <w:t>Sprememba</w:t>
            </w:r>
          </w:p>
        </w:tc>
      </w:tr>
      <w:tr w:rsidR="003663AF" w:rsidRPr="00B7760C" w14:paraId="46BAD14E" w14:textId="77777777" w:rsidTr="00E804B7">
        <w:trPr>
          <w:jc w:val="center"/>
        </w:trPr>
        <w:tc>
          <w:tcPr>
            <w:tcW w:w="4876" w:type="dxa"/>
            <w:hideMark/>
          </w:tcPr>
          <w:p w14:paraId="1FFB022E" w14:textId="77777777" w:rsidR="003663AF" w:rsidRPr="00B7760C" w:rsidRDefault="003663AF" w:rsidP="00E804B7">
            <w:pPr>
              <w:pStyle w:val="Normal6"/>
            </w:pPr>
            <w:r w:rsidRPr="00B7760C">
              <w:t>1.</w:t>
            </w:r>
            <w:r w:rsidRPr="00B7760C">
              <w:tab/>
              <w:t xml:space="preserve">Države članice v svojih strateških načrtih SKP </w:t>
            </w:r>
            <w:r w:rsidRPr="00B7760C">
              <w:rPr>
                <w:b/>
                <w:i/>
              </w:rPr>
              <w:t xml:space="preserve">za vsak specifični cilj iz člena 6(1) </w:t>
            </w:r>
            <w:r w:rsidRPr="00B7760C">
              <w:t>izberejo eno ali več naslednjih vrst intervencij v čebelarskem sektorju:</w:t>
            </w:r>
          </w:p>
        </w:tc>
        <w:tc>
          <w:tcPr>
            <w:tcW w:w="4876" w:type="dxa"/>
            <w:hideMark/>
          </w:tcPr>
          <w:p w14:paraId="7B8F624B" w14:textId="77777777" w:rsidR="003663AF" w:rsidRPr="00B7760C" w:rsidRDefault="003663AF" w:rsidP="00E804B7">
            <w:pPr>
              <w:pStyle w:val="Normal6"/>
              <w:rPr>
                <w:szCs w:val="24"/>
              </w:rPr>
            </w:pPr>
            <w:r w:rsidRPr="00B7760C">
              <w:t>1.</w:t>
            </w:r>
            <w:r w:rsidRPr="00B7760C">
              <w:tab/>
              <w:t>Države članice v svojih strateških načrtih SKP izberejo eno ali več naslednjih vrst intervencij v čebelarskem sektorju:</w:t>
            </w:r>
          </w:p>
        </w:tc>
      </w:tr>
    </w:tbl>
    <w:p w14:paraId="07FC7322" w14:textId="77777777" w:rsidR="003663AF" w:rsidRPr="00B7760C" w:rsidRDefault="003663AF" w:rsidP="003663AF"/>
    <w:p w14:paraId="7AD99200" w14:textId="309243B6" w:rsidR="003663AF" w:rsidRPr="00B7760C" w:rsidRDefault="00877691" w:rsidP="003663AF">
      <w:pPr>
        <w:pStyle w:val="AMNumberTabs"/>
        <w:keepNext/>
      </w:pPr>
      <w:r w:rsidRPr="00B7760C">
        <w:t>Sprememba</w:t>
      </w:r>
      <w:r w:rsidR="003663AF" w:rsidRPr="00B7760C">
        <w:tab/>
      </w:r>
      <w:r w:rsidR="003663AF" w:rsidRPr="00B7760C">
        <w:tab/>
        <w:t>313</w:t>
      </w:r>
    </w:p>
    <w:p w14:paraId="07C3021D" w14:textId="77777777" w:rsidR="003663AF" w:rsidRPr="00B7760C" w:rsidRDefault="003663AF" w:rsidP="003663AF">
      <w:pPr>
        <w:pStyle w:val="NormalBold12b"/>
      </w:pPr>
      <w:r w:rsidRPr="00B7760C">
        <w:t>Predlog uredbe</w:t>
      </w:r>
    </w:p>
    <w:p w14:paraId="5F34CC9A" w14:textId="77777777" w:rsidR="003663AF" w:rsidRPr="00B7760C" w:rsidRDefault="003663AF" w:rsidP="003663AF">
      <w:pPr>
        <w:pStyle w:val="NormalBold"/>
      </w:pPr>
      <w:r w:rsidRPr="00B7760C">
        <w:t>Člen 49 – odstavek 1 – točka 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FE5A29C" w14:textId="77777777" w:rsidTr="00E804B7">
        <w:trPr>
          <w:jc w:val="center"/>
        </w:trPr>
        <w:tc>
          <w:tcPr>
            <w:tcW w:w="9752" w:type="dxa"/>
            <w:gridSpan w:val="2"/>
          </w:tcPr>
          <w:p w14:paraId="079A2763" w14:textId="77777777" w:rsidR="003663AF" w:rsidRPr="00B7760C" w:rsidRDefault="003663AF" w:rsidP="00E804B7">
            <w:pPr>
              <w:keepNext/>
            </w:pPr>
          </w:p>
        </w:tc>
      </w:tr>
      <w:tr w:rsidR="003663AF" w:rsidRPr="00B7760C" w14:paraId="7ED2798C" w14:textId="77777777" w:rsidTr="00E804B7">
        <w:trPr>
          <w:jc w:val="center"/>
        </w:trPr>
        <w:tc>
          <w:tcPr>
            <w:tcW w:w="4876" w:type="dxa"/>
            <w:hideMark/>
          </w:tcPr>
          <w:p w14:paraId="679C0380" w14:textId="77777777" w:rsidR="003663AF" w:rsidRPr="00B7760C" w:rsidRDefault="003663AF" w:rsidP="00E804B7">
            <w:pPr>
              <w:pStyle w:val="ColumnHeading"/>
              <w:keepNext/>
            </w:pPr>
            <w:r w:rsidRPr="00B7760C">
              <w:t>Besedilo, ki ga predlaga Komisija</w:t>
            </w:r>
          </w:p>
        </w:tc>
        <w:tc>
          <w:tcPr>
            <w:tcW w:w="4876" w:type="dxa"/>
            <w:hideMark/>
          </w:tcPr>
          <w:p w14:paraId="673F349E" w14:textId="763C5E4D" w:rsidR="003663AF" w:rsidRPr="00B7760C" w:rsidRDefault="00877691" w:rsidP="00E804B7">
            <w:pPr>
              <w:pStyle w:val="ColumnHeading"/>
              <w:keepNext/>
            </w:pPr>
            <w:r w:rsidRPr="00B7760C">
              <w:t>Sprememba</w:t>
            </w:r>
          </w:p>
        </w:tc>
      </w:tr>
      <w:tr w:rsidR="003663AF" w:rsidRPr="00B7760C" w14:paraId="694AB277" w14:textId="77777777" w:rsidTr="00E804B7">
        <w:trPr>
          <w:jc w:val="center"/>
        </w:trPr>
        <w:tc>
          <w:tcPr>
            <w:tcW w:w="4876" w:type="dxa"/>
            <w:hideMark/>
          </w:tcPr>
          <w:p w14:paraId="6B8DDC21" w14:textId="77777777" w:rsidR="003663AF" w:rsidRPr="00B7760C" w:rsidRDefault="003663AF" w:rsidP="00E804B7">
            <w:pPr>
              <w:pStyle w:val="Normal6"/>
            </w:pPr>
            <w:r w:rsidRPr="00B7760C">
              <w:t>(a)</w:t>
            </w:r>
            <w:r w:rsidRPr="00B7760C">
              <w:tab/>
              <w:t>tehnična pomoč čebelarjem in organizacijam čebelarjev;</w:t>
            </w:r>
          </w:p>
        </w:tc>
        <w:tc>
          <w:tcPr>
            <w:tcW w:w="4876" w:type="dxa"/>
            <w:hideMark/>
          </w:tcPr>
          <w:p w14:paraId="3C42C9F6" w14:textId="77777777" w:rsidR="003663AF" w:rsidRPr="00B7760C" w:rsidRDefault="003663AF" w:rsidP="00E804B7">
            <w:pPr>
              <w:pStyle w:val="Normal6"/>
              <w:rPr>
                <w:szCs w:val="24"/>
              </w:rPr>
            </w:pPr>
            <w:r w:rsidRPr="00B7760C">
              <w:t>(a)</w:t>
            </w:r>
            <w:r w:rsidRPr="00B7760C">
              <w:tab/>
              <w:t>tehnična pomoč čebelarjem in organizacijam čebelarjev</w:t>
            </w:r>
            <w:r w:rsidRPr="00B7760C">
              <w:rPr>
                <w:b/>
                <w:i/>
              </w:rPr>
              <w:t>, vključno s spodbujanjem dobrih praks, informiranjem in obveščanjem javnosti ter osnovnim in nadaljnjim izobraževanjem in usposabljanjem</w:t>
            </w:r>
            <w:r w:rsidRPr="00B7760C">
              <w:t>;</w:t>
            </w:r>
          </w:p>
        </w:tc>
      </w:tr>
    </w:tbl>
    <w:p w14:paraId="71AD5FBC" w14:textId="77777777" w:rsidR="003663AF" w:rsidRPr="00B7760C" w:rsidRDefault="003663AF" w:rsidP="003663AF"/>
    <w:p w14:paraId="233EADB4" w14:textId="206DBE49" w:rsidR="003663AF" w:rsidRPr="00B7760C" w:rsidRDefault="00877691" w:rsidP="003663AF">
      <w:pPr>
        <w:pStyle w:val="AMNumberTabs"/>
        <w:keepNext/>
      </w:pPr>
      <w:r w:rsidRPr="00B7760C">
        <w:t>Sprememba</w:t>
      </w:r>
      <w:r w:rsidR="003663AF" w:rsidRPr="00B7760C">
        <w:tab/>
      </w:r>
      <w:r w:rsidR="003663AF" w:rsidRPr="00B7760C">
        <w:tab/>
        <w:t>314</w:t>
      </w:r>
    </w:p>
    <w:p w14:paraId="369A965A" w14:textId="77777777" w:rsidR="003663AF" w:rsidRPr="00B7760C" w:rsidRDefault="003663AF" w:rsidP="003663AF">
      <w:pPr>
        <w:pStyle w:val="NormalBold12b"/>
      </w:pPr>
      <w:r w:rsidRPr="00B7760C">
        <w:t>Predlog uredbe</w:t>
      </w:r>
    </w:p>
    <w:p w14:paraId="6386CADE" w14:textId="77777777" w:rsidR="003663AF" w:rsidRPr="00B7760C" w:rsidRDefault="003663AF" w:rsidP="003663AF">
      <w:pPr>
        <w:pStyle w:val="NormalBold"/>
      </w:pPr>
      <w:r w:rsidRPr="00B7760C">
        <w:t>Člen 49 – odstavek 1 – točka b</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356358C" w14:textId="77777777" w:rsidTr="00E804B7">
        <w:trPr>
          <w:jc w:val="center"/>
        </w:trPr>
        <w:tc>
          <w:tcPr>
            <w:tcW w:w="9752" w:type="dxa"/>
            <w:gridSpan w:val="2"/>
          </w:tcPr>
          <w:p w14:paraId="45218E20" w14:textId="77777777" w:rsidR="003663AF" w:rsidRPr="00B7760C" w:rsidRDefault="003663AF" w:rsidP="00E804B7">
            <w:pPr>
              <w:keepNext/>
            </w:pPr>
          </w:p>
        </w:tc>
      </w:tr>
      <w:tr w:rsidR="003663AF" w:rsidRPr="00B7760C" w14:paraId="47D99CE8" w14:textId="77777777" w:rsidTr="00E804B7">
        <w:trPr>
          <w:jc w:val="center"/>
        </w:trPr>
        <w:tc>
          <w:tcPr>
            <w:tcW w:w="4876" w:type="dxa"/>
            <w:hideMark/>
          </w:tcPr>
          <w:p w14:paraId="0D51001F" w14:textId="77777777" w:rsidR="003663AF" w:rsidRPr="00B7760C" w:rsidRDefault="003663AF" w:rsidP="00E804B7">
            <w:pPr>
              <w:pStyle w:val="ColumnHeading"/>
              <w:keepNext/>
            </w:pPr>
            <w:r w:rsidRPr="00B7760C">
              <w:t>Besedilo, ki ga predlaga Komisija</w:t>
            </w:r>
          </w:p>
        </w:tc>
        <w:tc>
          <w:tcPr>
            <w:tcW w:w="4876" w:type="dxa"/>
            <w:hideMark/>
          </w:tcPr>
          <w:p w14:paraId="777E6AF1" w14:textId="2D29C38C" w:rsidR="003663AF" w:rsidRPr="00B7760C" w:rsidRDefault="00877691" w:rsidP="00E804B7">
            <w:pPr>
              <w:pStyle w:val="ColumnHeading"/>
              <w:keepNext/>
            </w:pPr>
            <w:r w:rsidRPr="00B7760C">
              <w:t>Sprememba</w:t>
            </w:r>
          </w:p>
        </w:tc>
      </w:tr>
      <w:tr w:rsidR="003663AF" w:rsidRPr="00B7760C" w14:paraId="6B41A48E" w14:textId="77777777" w:rsidTr="00E804B7">
        <w:trPr>
          <w:jc w:val="center"/>
        </w:trPr>
        <w:tc>
          <w:tcPr>
            <w:tcW w:w="4876" w:type="dxa"/>
            <w:hideMark/>
          </w:tcPr>
          <w:p w14:paraId="026545C7" w14:textId="77777777" w:rsidR="003663AF" w:rsidRPr="00B7760C" w:rsidRDefault="003663AF" w:rsidP="00E804B7">
            <w:pPr>
              <w:pStyle w:val="Normal6"/>
            </w:pPr>
            <w:r w:rsidRPr="00B7760C">
              <w:t>(b)</w:t>
            </w:r>
            <w:r w:rsidRPr="00B7760C">
              <w:tab/>
              <w:t>ukrepi za zatiranje škodljivcev in bolezni čebel, zlasti varoze;</w:t>
            </w:r>
          </w:p>
        </w:tc>
        <w:tc>
          <w:tcPr>
            <w:tcW w:w="4876" w:type="dxa"/>
            <w:hideMark/>
          </w:tcPr>
          <w:p w14:paraId="0232A070" w14:textId="77777777" w:rsidR="003663AF" w:rsidRPr="00B7760C" w:rsidRDefault="003663AF" w:rsidP="00E804B7">
            <w:pPr>
              <w:pStyle w:val="Normal6"/>
              <w:rPr>
                <w:szCs w:val="24"/>
              </w:rPr>
            </w:pPr>
            <w:r w:rsidRPr="00B7760C">
              <w:t>(b)</w:t>
            </w:r>
            <w:r w:rsidRPr="00B7760C">
              <w:tab/>
              <w:t xml:space="preserve">ukrepi za zatiranje </w:t>
            </w:r>
            <w:r w:rsidRPr="00B7760C">
              <w:rPr>
                <w:b/>
                <w:i/>
              </w:rPr>
              <w:t xml:space="preserve">in preprečevanje </w:t>
            </w:r>
            <w:r w:rsidRPr="00B7760C">
              <w:t>škodljivcev in bolezni čebel, zlasti varoze</w:t>
            </w:r>
            <w:r w:rsidRPr="00B7760C">
              <w:rPr>
                <w:b/>
                <w:i/>
              </w:rPr>
              <w:t>, ter za povečanje odpornosti na epidemije</w:t>
            </w:r>
            <w:r w:rsidRPr="00B7760C">
              <w:t>;</w:t>
            </w:r>
          </w:p>
        </w:tc>
      </w:tr>
    </w:tbl>
    <w:p w14:paraId="5052D171" w14:textId="77777777" w:rsidR="003663AF" w:rsidRPr="00B7760C" w:rsidRDefault="003663AF" w:rsidP="003663AF"/>
    <w:p w14:paraId="1439C9F9" w14:textId="363FA136" w:rsidR="003663AF" w:rsidRPr="00B7760C" w:rsidRDefault="00877691" w:rsidP="003663AF">
      <w:pPr>
        <w:pStyle w:val="AMNumberTabs"/>
        <w:keepNext/>
      </w:pPr>
      <w:r w:rsidRPr="00B7760C">
        <w:t>Sprememba</w:t>
      </w:r>
      <w:r w:rsidR="003663AF" w:rsidRPr="00B7760C">
        <w:tab/>
      </w:r>
      <w:r w:rsidR="003663AF" w:rsidRPr="00B7760C">
        <w:tab/>
        <w:t>315</w:t>
      </w:r>
    </w:p>
    <w:p w14:paraId="08061AD8" w14:textId="77777777" w:rsidR="003663AF" w:rsidRPr="00B7760C" w:rsidRDefault="003663AF" w:rsidP="003663AF">
      <w:pPr>
        <w:pStyle w:val="NormalBold12b"/>
      </w:pPr>
      <w:r w:rsidRPr="00B7760C">
        <w:t>Predlog uredbe</w:t>
      </w:r>
    </w:p>
    <w:p w14:paraId="6D408B96" w14:textId="77777777" w:rsidR="003663AF" w:rsidRPr="00B7760C" w:rsidRDefault="003663AF" w:rsidP="003663AF">
      <w:pPr>
        <w:pStyle w:val="NormalBold"/>
      </w:pPr>
      <w:r w:rsidRPr="00B7760C">
        <w:t>Člen 49 – odstavek 1 – točka b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A8200BA" w14:textId="77777777" w:rsidTr="00E804B7">
        <w:trPr>
          <w:jc w:val="center"/>
        </w:trPr>
        <w:tc>
          <w:tcPr>
            <w:tcW w:w="9752" w:type="dxa"/>
            <w:gridSpan w:val="2"/>
          </w:tcPr>
          <w:p w14:paraId="6037DF65" w14:textId="77777777" w:rsidR="003663AF" w:rsidRPr="00B7760C" w:rsidRDefault="003663AF" w:rsidP="00E804B7">
            <w:pPr>
              <w:keepNext/>
            </w:pPr>
          </w:p>
        </w:tc>
      </w:tr>
      <w:tr w:rsidR="003663AF" w:rsidRPr="00B7760C" w14:paraId="5C367C80" w14:textId="77777777" w:rsidTr="00E804B7">
        <w:trPr>
          <w:jc w:val="center"/>
        </w:trPr>
        <w:tc>
          <w:tcPr>
            <w:tcW w:w="4876" w:type="dxa"/>
            <w:hideMark/>
          </w:tcPr>
          <w:p w14:paraId="4862D402" w14:textId="77777777" w:rsidR="003663AF" w:rsidRPr="00B7760C" w:rsidRDefault="003663AF" w:rsidP="00E804B7">
            <w:pPr>
              <w:pStyle w:val="ColumnHeading"/>
              <w:keepNext/>
            </w:pPr>
            <w:r w:rsidRPr="00B7760C">
              <w:t>Besedilo, ki ga predlaga Komisija</w:t>
            </w:r>
          </w:p>
        </w:tc>
        <w:tc>
          <w:tcPr>
            <w:tcW w:w="4876" w:type="dxa"/>
            <w:hideMark/>
          </w:tcPr>
          <w:p w14:paraId="126C34E9" w14:textId="421855CE" w:rsidR="003663AF" w:rsidRPr="00B7760C" w:rsidRDefault="00877691" w:rsidP="00E804B7">
            <w:pPr>
              <w:pStyle w:val="ColumnHeading"/>
              <w:keepNext/>
            </w:pPr>
            <w:r w:rsidRPr="00B7760C">
              <w:t>Sprememba</w:t>
            </w:r>
          </w:p>
        </w:tc>
      </w:tr>
      <w:tr w:rsidR="003663AF" w:rsidRPr="00B7760C" w14:paraId="75177EFF" w14:textId="77777777" w:rsidTr="00E804B7">
        <w:trPr>
          <w:jc w:val="center"/>
        </w:trPr>
        <w:tc>
          <w:tcPr>
            <w:tcW w:w="4876" w:type="dxa"/>
          </w:tcPr>
          <w:p w14:paraId="31531AA2" w14:textId="77777777" w:rsidR="003663AF" w:rsidRPr="00B7760C" w:rsidRDefault="003663AF" w:rsidP="00E804B7">
            <w:pPr>
              <w:pStyle w:val="Normal6"/>
            </w:pPr>
          </w:p>
        </w:tc>
        <w:tc>
          <w:tcPr>
            <w:tcW w:w="4876" w:type="dxa"/>
            <w:hideMark/>
          </w:tcPr>
          <w:p w14:paraId="5C31946A" w14:textId="77777777" w:rsidR="003663AF" w:rsidRPr="00B7760C" w:rsidRDefault="003663AF" w:rsidP="00E804B7">
            <w:pPr>
              <w:pStyle w:val="Normal6"/>
              <w:rPr>
                <w:szCs w:val="24"/>
              </w:rPr>
            </w:pPr>
            <w:r w:rsidRPr="00B7760C">
              <w:rPr>
                <w:b/>
                <w:i/>
              </w:rPr>
              <w:t>(ba)</w:t>
            </w:r>
            <w:r w:rsidRPr="00B7760C">
              <w:rPr>
                <w:b/>
                <w:i/>
              </w:rPr>
              <w:tab/>
              <w:t>vzpostavljanje in/ali razvoj nacionalnih mrež za zdravje čebel;</w:t>
            </w:r>
          </w:p>
        </w:tc>
      </w:tr>
    </w:tbl>
    <w:p w14:paraId="216FEA55" w14:textId="77777777" w:rsidR="003663AF" w:rsidRPr="00B7760C" w:rsidRDefault="003663AF" w:rsidP="003663AF"/>
    <w:p w14:paraId="5D7D95B8" w14:textId="3AA09AB9" w:rsidR="003663AF" w:rsidRPr="00B7760C" w:rsidRDefault="00877691" w:rsidP="003663AF">
      <w:pPr>
        <w:pStyle w:val="AMNumberTabs"/>
        <w:keepNext/>
      </w:pPr>
      <w:r w:rsidRPr="00B7760C">
        <w:t>Sprememba</w:t>
      </w:r>
      <w:r w:rsidR="003663AF" w:rsidRPr="00B7760C">
        <w:tab/>
      </w:r>
      <w:r w:rsidR="003663AF" w:rsidRPr="00B7760C">
        <w:tab/>
        <w:t>316</w:t>
      </w:r>
    </w:p>
    <w:p w14:paraId="35E5A1B1" w14:textId="77777777" w:rsidR="003663AF" w:rsidRPr="00B7760C" w:rsidRDefault="003663AF" w:rsidP="003663AF">
      <w:pPr>
        <w:pStyle w:val="NormalBold12b"/>
      </w:pPr>
      <w:r w:rsidRPr="00B7760C">
        <w:t>Predlog uredbe</w:t>
      </w:r>
    </w:p>
    <w:p w14:paraId="4578C1B7" w14:textId="77777777" w:rsidR="003663AF" w:rsidRPr="00B7760C" w:rsidRDefault="003663AF" w:rsidP="003663AF">
      <w:pPr>
        <w:pStyle w:val="NormalBold"/>
      </w:pPr>
      <w:r w:rsidRPr="00B7760C">
        <w:t>Člen 49 – odstavek 1 – točka d</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62E5E29" w14:textId="77777777" w:rsidTr="00E804B7">
        <w:trPr>
          <w:jc w:val="center"/>
        </w:trPr>
        <w:tc>
          <w:tcPr>
            <w:tcW w:w="9752" w:type="dxa"/>
            <w:gridSpan w:val="2"/>
          </w:tcPr>
          <w:p w14:paraId="44AC6F15" w14:textId="77777777" w:rsidR="003663AF" w:rsidRPr="00B7760C" w:rsidRDefault="003663AF" w:rsidP="00E804B7">
            <w:pPr>
              <w:keepNext/>
            </w:pPr>
          </w:p>
        </w:tc>
      </w:tr>
      <w:tr w:rsidR="003663AF" w:rsidRPr="00B7760C" w14:paraId="60EB7793" w14:textId="77777777" w:rsidTr="00E804B7">
        <w:trPr>
          <w:jc w:val="center"/>
        </w:trPr>
        <w:tc>
          <w:tcPr>
            <w:tcW w:w="4876" w:type="dxa"/>
            <w:hideMark/>
          </w:tcPr>
          <w:p w14:paraId="5BDF0317" w14:textId="77777777" w:rsidR="003663AF" w:rsidRPr="00B7760C" w:rsidRDefault="003663AF" w:rsidP="00E804B7">
            <w:pPr>
              <w:pStyle w:val="ColumnHeading"/>
              <w:keepNext/>
            </w:pPr>
            <w:r w:rsidRPr="00B7760C">
              <w:t>Besedilo, ki ga predlaga Komisija</w:t>
            </w:r>
          </w:p>
        </w:tc>
        <w:tc>
          <w:tcPr>
            <w:tcW w:w="4876" w:type="dxa"/>
            <w:hideMark/>
          </w:tcPr>
          <w:p w14:paraId="15866C0A" w14:textId="3E5C91B6" w:rsidR="003663AF" w:rsidRPr="00B7760C" w:rsidRDefault="00877691" w:rsidP="00E804B7">
            <w:pPr>
              <w:pStyle w:val="ColumnHeading"/>
              <w:keepNext/>
            </w:pPr>
            <w:r w:rsidRPr="00B7760C">
              <w:t>Sprememba</w:t>
            </w:r>
          </w:p>
        </w:tc>
      </w:tr>
      <w:tr w:rsidR="003663AF" w:rsidRPr="00B7760C" w14:paraId="0257AE10" w14:textId="77777777" w:rsidTr="00E804B7">
        <w:trPr>
          <w:jc w:val="center"/>
        </w:trPr>
        <w:tc>
          <w:tcPr>
            <w:tcW w:w="4876" w:type="dxa"/>
            <w:hideMark/>
          </w:tcPr>
          <w:p w14:paraId="4457283B" w14:textId="77777777" w:rsidR="003663AF" w:rsidRPr="00B7760C" w:rsidRDefault="003663AF" w:rsidP="00E804B7">
            <w:pPr>
              <w:pStyle w:val="Normal6"/>
            </w:pPr>
            <w:r w:rsidRPr="00B7760C">
              <w:t>(d)</w:t>
            </w:r>
            <w:r w:rsidRPr="00B7760C">
              <w:tab/>
              <w:t>ukrepi za podporo laboratorijem pri analizi čebelarskih proizvodov;</w:t>
            </w:r>
          </w:p>
        </w:tc>
        <w:tc>
          <w:tcPr>
            <w:tcW w:w="4876" w:type="dxa"/>
            <w:hideMark/>
          </w:tcPr>
          <w:p w14:paraId="5EAF3380" w14:textId="77777777" w:rsidR="003663AF" w:rsidRPr="00B7760C" w:rsidRDefault="003663AF" w:rsidP="00E804B7">
            <w:pPr>
              <w:pStyle w:val="Normal6"/>
              <w:rPr>
                <w:szCs w:val="24"/>
              </w:rPr>
            </w:pPr>
            <w:r w:rsidRPr="00B7760C">
              <w:t>(d)</w:t>
            </w:r>
            <w:r w:rsidRPr="00B7760C">
              <w:tab/>
              <w:t xml:space="preserve">ukrepi za podporo </w:t>
            </w:r>
            <w:r w:rsidRPr="00B7760C">
              <w:rPr>
                <w:b/>
                <w:i/>
              </w:rPr>
              <w:t xml:space="preserve">nacionalnim, regionalnim ali lokalnim </w:t>
            </w:r>
            <w:r w:rsidRPr="00B7760C">
              <w:t>laboratorijem pri analizi čebelarskih proizvodov</w:t>
            </w:r>
            <w:r w:rsidRPr="00B7760C">
              <w:rPr>
                <w:b/>
                <w:i/>
              </w:rPr>
              <w:t>, izgub čebel ali zmanjšanja produktivnosti ter snovi, ki bi lahko bile strupene za čebele</w:t>
            </w:r>
            <w:r w:rsidRPr="00B7760C">
              <w:t>;</w:t>
            </w:r>
          </w:p>
        </w:tc>
      </w:tr>
    </w:tbl>
    <w:p w14:paraId="78BD5940" w14:textId="77777777" w:rsidR="003663AF" w:rsidRPr="00B7760C" w:rsidRDefault="003663AF" w:rsidP="003663AF"/>
    <w:p w14:paraId="1315EA5C" w14:textId="004EB92E" w:rsidR="003663AF" w:rsidRPr="00B7760C" w:rsidRDefault="00877691" w:rsidP="003663AF">
      <w:pPr>
        <w:pStyle w:val="AMNumberTabs"/>
        <w:keepNext/>
      </w:pPr>
      <w:r w:rsidRPr="00B7760C">
        <w:t>Sprememba</w:t>
      </w:r>
      <w:r w:rsidR="003663AF" w:rsidRPr="00B7760C">
        <w:tab/>
      </w:r>
      <w:r w:rsidR="003663AF" w:rsidRPr="00B7760C">
        <w:tab/>
        <w:t>317</w:t>
      </w:r>
    </w:p>
    <w:p w14:paraId="4ACC8A70" w14:textId="77777777" w:rsidR="003663AF" w:rsidRPr="00B7760C" w:rsidRDefault="003663AF" w:rsidP="003663AF">
      <w:pPr>
        <w:pStyle w:val="NormalBold12b"/>
      </w:pPr>
      <w:r w:rsidRPr="00B7760C">
        <w:t>Predlog uredbe</w:t>
      </w:r>
    </w:p>
    <w:p w14:paraId="23E7BB50" w14:textId="77777777" w:rsidR="003663AF" w:rsidRPr="00B7760C" w:rsidRDefault="003663AF" w:rsidP="003663AF">
      <w:pPr>
        <w:pStyle w:val="NormalBold"/>
      </w:pPr>
      <w:r w:rsidRPr="00B7760C">
        <w:t>Člen 49 – odstavek 1 – točka e</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AC9A551" w14:textId="77777777" w:rsidTr="00E804B7">
        <w:trPr>
          <w:jc w:val="center"/>
        </w:trPr>
        <w:tc>
          <w:tcPr>
            <w:tcW w:w="9752" w:type="dxa"/>
            <w:gridSpan w:val="2"/>
          </w:tcPr>
          <w:p w14:paraId="0C09B0A0" w14:textId="77777777" w:rsidR="003663AF" w:rsidRPr="00B7760C" w:rsidRDefault="003663AF" w:rsidP="00E804B7">
            <w:pPr>
              <w:keepNext/>
            </w:pPr>
          </w:p>
        </w:tc>
      </w:tr>
      <w:tr w:rsidR="003663AF" w:rsidRPr="00B7760C" w14:paraId="60E2C45D" w14:textId="77777777" w:rsidTr="00E804B7">
        <w:trPr>
          <w:jc w:val="center"/>
        </w:trPr>
        <w:tc>
          <w:tcPr>
            <w:tcW w:w="4876" w:type="dxa"/>
            <w:hideMark/>
          </w:tcPr>
          <w:p w14:paraId="54D8014C" w14:textId="77777777" w:rsidR="003663AF" w:rsidRPr="00B7760C" w:rsidRDefault="003663AF" w:rsidP="00E804B7">
            <w:pPr>
              <w:pStyle w:val="ColumnHeading"/>
              <w:keepNext/>
            </w:pPr>
            <w:r w:rsidRPr="00B7760C">
              <w:t>Besedilo, ki ga predlaga Komisija</w:t>
            </w:r>
          </w:p>
        </w:tc>
        <w:tc>
          <w:tcPr>
            <w:tcW w:w="4876" w:type="dxa"/>
            <w:hideMark/>
          </w:tcPr>
          <w:p w14:paraId="7DB69799" w14:textId="6722C6D1" w:rsidR="003663AF" w:rsidRPr="00B7760C" w:rsidRDefault="00877691" w:rsidP="00E804B7">
            <w:pPr>
              <w:pStyle w:val="ColumnHeading"/>
              <w:keepNext/>
            </w:pPr>
            <w:r w:rsidRPr="00B7760C">
              <w:t>Sprememba</w:t>
            </w:r>
          </w:p>
        </w:tc>
      </w:tr>
      <w:tr w:rsidR="003663AF" w:rsidRPr="00B7760C" w14:paraId="0E8CB3B7" w14:textId="77777777" w:rsidTr="00E804B7">
        <w:trPr>
          <w:jc w:val="center"/>
        </w:trPr>
        <w:tc>
          <w:tcPr>
            <w:tcW w:w="4876" w:type="dxa"/>
            <w:hideMark/>
          </w:tcPr>
          <w:p w14:paraId="76940052" w14:textId="77777777" w:rsidR="003663AF" w:rsidRPr="00B7760C" w:rsidRDefault="003663AF" w:rsidP="00E804B7">
            <w:pPr>
              <w:pStyle w:val="Normal6"/>
            </w:pPr>
            <w:r w:rsidRPr="00B7760C">
              <w:t>(e)</w:t>
            </w:r>
            <w:r w:rsidRPr="00B7760C">
              <w:tab/>
            </w:r>
            <w:r w:rsidRPr="00B7760C">
              <w:rPr>
                <w:b/>
                <w:i/>
              </w:rPr>
              <w:t>obnovitev čebeljih panjev v Uniji</w:t>
            </w:r>
            <w:r w:rsidRPr="00B7760C">
              <w:t>;</w:t>
            </w:r>
          </w:p>
        </w:tc>
        <w:tc>
          <w:tcPr>
            <w:tcW w:w="4876" w:type="dxa"/>
            <w:hideMark/>
          </w:tcPr>
          <w:p w14:paraId="26DD3025" w14:textId="77777777" w:rsidR="003663AF" w:rsidRPr="00B7760C" w:rsidRDefault="003663AF" w:rsidP="00E804B7">
            <w:pPr>
              <w:pStyle w:val="Normal6"/>
              <w:rPr>
                <w:szCs w:val="24"/>
              </w:rPr>
            </w:pPr>
            <w:r w:rsidRPr="00B7760C">
              <w:t>(e)</w:t>
            </w:r>
            <w:r w:rsidRPr="00B7760C">
              <w:tab/>
            </w:r>
            <w:r w:rsidRPr="00B7760C">
              <w:rPr>
                <w:b/>
                <w:i/>
              </w:rPr>
              <w:t>ukrepi za ohranjanje ali povečanje obstoječih populacij čebel</w:t>
            </w:r>
            <w:r w:rsidRPr="00B7760C">
              <w:t>;</w:t>
            </w:r>
          </w:p>
        </w:tc>
      </w:tr>
    </w:tbl>
    <w:p w14:paraId="46D736C4" w14:textId="77777777" w:rsidR="003663AF" w:rsidRPr="00B7760C" w:rsidRDefault="003663AF" w:rsidP="003663AF"/>
    <w:p w14:paraId="495CDB63" w14:textId="3C32271B" w:rsidR="003663AF" w:rsidRPr="00B7760C" w:rsidRDefault="00877691" w:rsidP="003663AF">
      <w:pPr>
        <w:pStyle w:val="AMNumberTabs"/>
        <w:keepNext/>
      </w:pPr>
      <w:r w:rsidRPr="00B7760C">
        <w:t>Sprememba</w:t>
      </w:r>
      <w:r w:rsidR="003663AF" w:rsidRPr="00B7760C">
        <w:tab/>
      </w:r>
      <w:r w:rsidR="003663AF" w:rsidRPr="00B7760C">
        <w:tab/>
        <w:t>318</w:t>
      </w:r>
    </w:p>
    <w:p w14:paraId="0A594B2C" w14:textId="77777777" w:rsidR="003663AF" w:rsidRPr="00B7760C" w:rsidRDefault="003663AF" w:rsidP="003663AF">
      <w:pPr>
        <w:pStyle w:val="NormalBold12b"/>
      </w:pPr>
      <w:r w:rsidRPr="00B7760C">
        <w:t>Predlog uredbe</w:t>
      </w:r>
    </w:p>
    <w:p w14:paraId="1EA5812C" w14:textId="77777777" w:rsidR="003663AF" w:rsidRPr="00B7760C" w:rsidRDefault="003663AF" w:rsidP="003663AF">
      <w:pPr>
        <w:pStyle w:val="NormalBold"/>
      </w:pPr>
      <w:r w:rsidRPr="00B7760C">
        <w:t>Člen 49 – odstavek 1 – točka f</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EF61714" w14:textId="77777777" w:rsidTr="00E804B7">
        <w:trPr>
          <w:jc w:val="center"/>
        </w:trPr>
        <w:tc>
          <w:tcPr>
            <w:tcW w:w="9752" w:type="dxa"/>
            <w:gridSpan w:val="2"/>
          </w:tcPr>
          <w:p w14:paraId="4E593293" w14:textId="77777777" w:rsidR="003663AF" w:rsidRPr="00B7760C" w:rsidRDefault="003663AF" w:rsidP="00E804B7">
            <w:pPr>
              <w:keepNext/>
            </w:pPr>
          </w:p>
        </w:tc>
      </w:tr>
      <w:tr w:rsidR="003663AF" w:rsidRPr="00B7760C" w14:paraId="4EF763D9" w14:textId="77777777" w:rsidTr="00E804B7">
        <w:trPr>
          <w:jc w:val="center"/>
        </w:trPr>
        <w:tc>
          <w:tcPr>
            <w:tcW w:w="4876" w:type="dxa"/>
            <w:hideMark/>
          </w:tcPr>
          <w:p w14:paraId="51E046C3" w14:textId="77777777" w:rsidR="003663AF" w:rsidRPr="00B7760C" w:rsidRDefault="003663AF" w:rsidP="00E804B7">
            <w:pPr>
              <w:pStyle w:val="ColumnHeading"/>
              <w:keepNext/>
            </w:pPr>
            <w:r w:rsidRPr="00B7760C">
              <w:t>Besedilo, ki ga predlaga Komisija</w:t>
            </w:r>
          </w:p>
        </w:tc>
        <w:tc>
          <w:tcPr>
            <w:tcW w:w="4876" w:type="dxa"/>
            <w:hideMark/>
          </w:tcPr>
          <w:p w14:paraId="24078148" w14:textId="6B12FD3D" w:rsidR="003663AF" w:rsidRPr="00B7760C" w:rsidRDefault="00877691" w:rsidP="00E804B7">
            <w:pPr>
              <w:pStyle w:val="ColumnHeading"/>
              <w:keepNext/>
            </w:pPr>
            <w:r w:rsidRPr="00B7760C">
              <w:t>Sprememba</w:t>
            </w:r>
          </w:p>
        </w:tc>
      </w:tr>
      <w:tr w:rsidR="003663AF" w:rsidRPr="00B7760C" w14:paraId="010119B5" w14:textId="77777777" w:rsidTr="00E804B7">
        <w:trPr>
          <w:jc w:val="center"/>
        </w:trPr>
        <w:tc>
          <w:tcPr>
            <w:tcW w:w="4876" w:type="dxa"/>
            <w:hideMark/>
          </w:tcPr>
          <w:p w14:paraId="03BE5A9F" w14:textId="77777777" w:rsidR="003663AF" w:rsidRPr="00B7760C" w:rsidRDefault="003663AF" w:rsidP="00E804B7">
            <w:pPr>
              <w:pStyle w:val="Normal6"/>
            </w:pPr>
            <w:r w:rsidRPr="00B7760C">
              <w:t>(f)</w:t>
            </w:r>
            <w:r w:rsidRPr="00B7760C">
              <w:tab/>
              <w:t xml:space="preserve">sodelovanje s specializiranimi organi za </w:t>
            </w:r>
            <w:r w:rsidRPr="00B7760C">
              <w:rPr>
                <w:b/>
                <w:i/>
              </w:rPr>
              <w:t>izvajanje</w:t>
            </w:r>
            <w:r w:rsidRPr="00B7760C">
              <w:t xml:space="preserve"> programov raziskav na področju čebelarstva in čebelarskih proizvodov;</w:t>
            </w:r>
          </w:p>
        </w:tc>
        <w:tc>
          <w:tcPr>
            <w:tcW w:w="4876" w:type="dxa"/>
            <w:hideMark/>
          </w:tcPr>
          <w:p w14:paraId="38A7309F" w14:textId="77777777" w:rsidR="003663AF" w:rsidRPr="00B7760C" w:rsidRDefault="003663AF" w:rsidP="00E804B7">
            <w:pPr>
              <w:pStyle w:val="Normal6"/>
              <w:rPr>
                <w:szCs w:val="24"/>
              </w:rPr>
            </w:pPr>
            <w:r w:rsidRPr="00B7760C">
              <w:t>(f)</w:t>
            </w:r>
            <w:r w:rsidRPr="00B7760C">
              <w:tab/>
              <w:t xml:space="preserve">sodelovanje s specializiranimi organi za </w:t>
            </w:r>
            <w:r w:rsidRPr="00B7760C">
              <w:rPr>
                <w:b/>
                <w:i/>
              </w:rPr>
              <w:t>uporabo</w:t>
            </w:r>
            <w:r w:rsidRPr="00B7760C">
              <w:t xml:space="preserve"> programov raziskav</w:t>
            </w:r>
            <w:r w:rsidRPr="00B7760C">
              <w:rPr>
                <w:b/>
                <w:i/>
              </w:rPr>
              <w:t xml:space="preserve"> in eksperimentalnih programov</w:t>
            </w:r>
            <w:r w:rsidRPr="00B7760C">
              <w:t xml:space="preserve"> na področju čebelarstva in čebelarskih proizvodov;</w:t>
            </w:r>
          </w:p>
        </w:tc>
      </w:tr>
    </w:tbl>
    <w:p w14:paraId="2243F558" w14:textId="77777777" w:rsidR="003663AF" w:rsidRPr="00B7760C" w:rsidRDefault="003663AF" w:rsidP="003663AF"/>
    <w:p w14:paraId="2427FA7A" w14:textId="528A0379" w:rsidR="003663AF" w:rsidRPr="00B7760C" w:rsidRDefault="00877691" w:rsidP="003663AF">
      <w:pPr>
        <w:pStyle w:val="AMNumberTabs"/>
        <w:keepNext/>
      </w:pPr>
      <w:r w:rsidRPr="00B7760C">
        <w:t>Sprememba</w:t>
      </w:r>
      <w:r w:rsidR="003663AF" w:rsidRPr="00B7760C">
        <w:tab/>
      </w:r>
      <w:r w:rsidR="003663AF" w:rsidRPr="00B7760C">
        <w:tab/>
        <w:t>319</w:t>
      </w:r>
    </w:p>
    <w:p w14:paraId="2CC0E091" w14:textId="77777777" w:rsidR="003663AF" w:rsidRPr="00B7760C" w:rsidRDefault="003663AF" w:rsidP="003663AF">
      <w:pPr>
        <w:pStyle w:val="NormalBold12b"/>
      </w:pPr>
      <w:r w:rsidRPr="00B7760C">
        <w:t>Predlog uredbe</w:t>
      </w:r>
    </w:p>
    <w:p w14:paraId="7E73EC62" w14:textId="77777777" w:rsidR="003663AF" w:rsidRPr="00B7760C" w:rsidRDefault="003663AF" w:rsidP="003663AF">
      <w:pPr>
        <w:pStyle w:val="NormalBold"/>
      </w:pPr>
      <w:r w:rsidRPr="00B7760C">
        <w:t>Člen 49 – odstavek 1 – točka h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0091B6B" w14:textId="77777777" w:rsidTr="00E804B7">
        <w:trPr>
          <w:jc w:val="center"/>
        </w:trPr>
        <w:tc>
          <w:tcPr>
            <w:tcW w:w="9752" w:type="dxa"/>
            <w:gridSpan w:val="2"/>
          </w:tcPr>
          <w:p w14:paraId="40405BA8" w14:textId="77777777" w:rsidR="003663AF" w:rsidRPr="00B7760C" w:rsidRDefault="003663AF" w:rsidP="00E804B7">
            <w:pPr>
              <w:keepNext/>
            </w:pPr>
          </w:p>
        </w:tc>
      </w:tr>
      <w:tr w:rsidR="003663AF" w:rsidRPr="00B7760C" w14:paraId="5E4D1DAC" w14:textId="77777777" w:rsidTr="00E804B7">
        <w:trPr>
          <w:jc w:val="center"/>
        </w:trPr>
        <w:tc>
          <w:tcPr>
            <w:tcW w:w="4876" w:type="dxa"/>
            <w:hideMark/>
          </w:tcPr>
          <w:p w14:paraId="786D941C" w14:textId="77777777" w:rsidR="003663AF" w:rsidRPr="00B7760C" w:rsidRDefault="003663AF" w:rsidP="00E804B7">
            <w:pPr>
              <w:pStyle w:val="ColumnHeading"/>
              <w:keepNext/>
            </w:pPr>
            <w:r w:rsidRPr="00B7760C">
              <w:t>Besedilo, ki ga predlaga Komisija</w:t>
            </w:r>
          </w:p>
        </w:tc>
        <w:tc>
          <w:tcPr>
            <w:tcW w:w="4876" w:type="dxa"/>
            <w:hideMark/>
          </w:tcPr>
          <w:p w14:paraId="1ED7F7E0" w14:textId="13B40B9B" w:rsidR="003663AF" w:rsidRPr="00B7760C" w:rsidRDefault="00877691" w:rsidP="00E804B7">
            <w:pPr>
              <w:pStyle w:val="ColumnHeading"/>
              <w:keepNext/>
            </w:pPr>
            <w:r w:rsidRPr="00B7760C">
              <w:t>Sprememba</w:t>
            </w:r>
          </w:p>
        </w:tc>
      </w:tr>
      <w:tr w:rsidR="003663AF" w:rsidRPr="00B7760C" w14:paraId="0EE33B90" w14:textId="77777777" w:rsidTr="00E804B7">
        <w:trPr>
          <w:jc w:val="center"/>
        </w:trPr>
        <w:tc>
          <w:tcPr>
            <w:tcW w:w="4876" w:type="dxa"/>
          </w:tcPr>
          <w:p w14:paraId="4F782C65" w14:textId="77777777" w:rsidR="003663AF" w:rsidRPr="00B7760C" w:rsidRDefault="003663AF" w:rsidP="00E804B7">
            <w:pPr>
              <w:pStyle w:val="Normal6"/>
            </w:pPr>
          </w:p>
        </w:tc>
        <w:tc>
          <w:tcPr>
            <w:tcW w:w="4876" w:type="dxa"/>
            <w:hideMark/>
          </w:tcPr>
          <w:p w14:paraId="504C0185" w14:textId="77777777" w:rsidR="003663AF" w:rsidRPr="00B7760C" w:rsidRDefault="003663AF" w:rsidP="00E804B7">
            <w:pPr>
              <w:pStyle w:val="Normal6"/>
              <w:rPr>
                <w:szCs w:val="24"/>
              </w:rPr>
            </w:pPr>
            <w:r w:rsidRPr="00B7760C">
              <w:rPr>
                <w:b/>
                <w:i/>
              </w:rPr>
              <w:t>(ha)</w:t>
            </w:r>
            <w:r w:rsidRPr="00B7760C">
              <w:rPr>
                <w:b/>
                <w:i/>
              </w:rPr>
              <w:tab/>
              <w:t>naložbe v opredmetena in neopredmetena sredstva;</w:t>
            </w:r>
          </w:p>
        </w:tc>
      </w:tr>
    </w:tbl>
    <w:p w14:paraId="3E70BA89" w14:textId="77777777" w:rsidR="003663AF" w:rsidRPr="00B7760C" w:rsidRDefault="003663AF" w:rsidP="003663AF"/>
    <w:p w14:paraId="05B0EE98" w14:textId="67E4358A" w:rsidR="003663AF" w:rsidRPr="00B7760C" w:rsidRDefault="00877691" w:rsidP="003663AF">
      <w:pPr>
        <w:pStyle w:val="AMNumberTabs"/>
        <w:keepNext/>
      </w:pPr>
      <w:r w:rsidRPr="00B7760C">
        <w:t>Sprememba</w:t>
      </w:r>
      <w:r w:rsidR="003663AF" w:rsidRPr="00B7760C">
        <w:tab/>
      </w:r>
      <w:r w:rsidR="003663AF" w:rsidRPr="00B7760C">
        <w:tab/>
        <w:t>320</w:t>
      </w:r>
    </w:p>
    <w:p w14:paraId="6FBDE202" w14:textId="77777777" w:rsidR="003663AF" w:rsidRPr="00B7760C" w:rsidRDefault="003663AF" w:rsidP="003663AF">
      <w:pPr>
        <w:pStyle w:val="NormalBold12b"/>
      </w:pPr>
      <w:r w:rsidRPr="00B7760C">
        <w:t>Predlog uredbe</w:t>
      </w:r>
    </w:p>
    <w:p w14:paraId="629447AF" w14:textId="77777777" w:rsidR="003663AF" w:rsidRPr="00B7760C" w:rsidRDefault="003663AF" w:rsidP="003663AF">
      <w:pPr>
        <w:pStyle w:val="NormalBold"/>
      </w:pPr>
      <w:r w:rsidRPr="00B7760C">
        <w:t>Člen 49 – odstavek 1 – točka h b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D3C5714" w14:textId="77777777" w:rsidTr="00E804B7">
        <w:trPr>
          <w:jc w:val="center"/>
        </w:trPr>
        <w:tc>
          <w:tcPr>
            <w:tcW w:w="9752" w:type="dxa"/>
            <w:gridSpan w:val="2"/>
          </w:tcPr>
          <w:p w14:paraId="6D8EE036" w14:textId="77777777" w:rsidR="003663AF" w:rsidRPr="00B7760C" w:rsidRDefault="003663AF" w:rsidP="00E804B7">
            <w:pPr>
              <w:keepNext/>
            </w:pPr>
          </w:p>
        </w:tc>
      </w:tr>
      <w:tr w:rsidR="003663AF" w:rsidRPr="00B7760C" w14:paraId="7B558DDF" w14:textId="77777777" w:rsidTr="00E804B7">
        <w:trPr>
          <w:jc w:val="center"/>
        </w:trPr>
        <w:tc>
          <w:tcPr>
            <w:tcW w:w="4876" w:type="dxa"/>
            <w:hideMark/>
          </w:tcPr>
          <w:p w14:paraId="2EE55DA1" w14:textId="77777777" w:rsidR="003663AF" w:rsidRPr="00B7760C" w:rsidRDefault="003663AF" w:rsidP="00E804B7">
            <w:pPr>
              <w:pStyle w:val="ColumnHeading"/>
              <w:keepNext/>
            </w:pPr>
            <w:r w:rsidRPr="00B7760C">
              <w:t>Besedilo, ki ga predlaga Komisija</w:t>
            </w:r>
          </w:p>
        </w:tc>
        <w:tc>
          <w:tcPr>
            <w:tcW w:w="4876" w:type="dxa"/>
            <w:hideMark/>
          </w:tcPr>
          <w:p w14:paraId="3045A848" w14:textId="38E6E632" w:rsidR="003663AF" w:rsidRPr="00B7760C" w:rsidRDefault="00877691" w:rsidP="00E804B7">
            <w:pPr>
              <w:pStyle w:val="ColumnHeading"/>
              <w:keepNext/>
            </w:pPr>
            <w:r w:rsidRPr="00B7760C">
              <w:t>Sprememba</w:t>
            </w:r>
          </w:p>
        </w:tc>
      </w:tr>
      <w:tr w:rsidR="003663AF" w:rsidRPr="00B7760C" w14:paraId="368FDE12" w14:textId="77777777" w:rsidTr="00E804B7">
        <w:trPr>
          <w:jc w:val="center"/>
        </w:trPr>
        <w:tc>
          <w:tcPr>
            <w:tcW w:w="4876" w:type="dxa"/>
          </w:tcPr>
          <w:p w14:paraId="1C309B4D" w14:textId="77777777" w:rsidR="003663AF" w:rsidRPr="00B7760C" w:rsidRDefault="003663AF" w:rsidP="00E804B7">
            <w:pPr>
              <w:pStyle w:val="Normal6"/>
            </w:pPr>
          </w:p>
        </w:tc>
        <w:tc>
          <w:tcPr>
            <w:tcW w:w="4876" w:type="dxa"/>
            <w:hideMark/>
          </w:tcPr>
          <w:p w14:paraId="0FC2930C" w14:textId="77777777" w:rsidR="003663AF" w:rsidRPr="00B7760C" w:rsidRDefault="003663AF" w:rsidP="00E804B7">
            <w:pPr>
              <w:pStyle w:val="Normal6"/>
              <w:rPr>
                <w:szCs w:val="24"/>
              </w:rPr>
            </w:pPr>
            <w:r w:rsidRPr="00B7760C">
              <w:rPr>
                <w:b/>
                <w:i/>
              </w:rPr>
              <w:t>(hb)</w:t>
            </w:r>
            <w:r w:rsidRPr="00B7760C">
              <w:rPr>
                <w:b/>
                <w:i/>
              </w:rPr>
              <w:tab/>
              <w:t>ukrepi za načrtovanje proizvodnje in prilagajanje ponudbe povpraševanju;</w:t>
            </w:r>
          </w:p>
        </w:tc>
      </w:tr>
    </w:tbl>
    <w:p w14:paraId="4847208C" w14:textId="77777777" w:rsidR="003663AF" w:rsidRPr="00B7760C" w:rsidRDefault="003663AF" w:rsidP="003663AF"/>
    <w:p w14:paraId="6BB863B0" w14:textId="0D19D7B2" w:rsidR="003663AF" w:rsidRPr="00B7760C" w:rsidRDefault="00877691" w:rsidP="003663AF">
      <w:pPr>
        <w:pStyle w:val="AMNumberTabs"/>
        <w:keepNext/>
      </w:pPr>
      <w:r w:rsidRPr="00B7760C">
        <w:t>Sprememba</w:t>
      </w:r>
      <w:r w:rsidR="003663AF" w:rsidRPr="00B7760C">
        <w:tab/>
      </w:r>
      <w:r w:rsidR="003663AF" w:rsidRPr="00B7760C">
        <w:tab/>
        <w:t>321</w:t>
      </w:r>
    </w:p>
    <w:p w14:paraId="1BD5460F" w14:textId="77777777" w:rsidR="003663AF" w:rsidRPr="00B7760C" w:rsidRDefault="003663AF" w:rsidP="003663AF">
      <w:pPr>
        <w:pStyle w:val="NormalBold12b"/>
      </w:pPr>
      <w:r w:rsidRPr="00B7760C">
        <w:t>Predlog uredbe</w:t>
      </w:r>
    </w:p>
    <w:p w14:paraId="5FED6F4F" w14:textId="77777777" w:rsidR="003663AF" w:rsidRPr="00B7760C" w:rsidRDefault="003663AF" w:rsidP="003663AF">
      <w:pPr>
        <w:pStyle w:val="NormalBold"/>
      </w:pPr>
      <w:r w:rsidRPr="00B7760C">
        <w:t>Člen 49 – odstavek 1 – točka h c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E670AF7" w14:textId="77777777" w:rsidTr="00E804B7">
        <w:trPr>
          <w:jc w:val="center"/>
        </w:trPr>
        <w:tc>
          <w:tcPr>
            <w:tcW w:w="9752" w:type="dxa"/>
            <w:gridSpan w:val="2"/>
          </w:tcPr>
          <w:p w14:paraId="32D41CF1" w14:textId="77777777" w:rsidR="003663AF" w:rsidRPr="00B7760C" w:rsidRDefault="003663AF" w:rsidP="00E804B7">
            <w:pPr>
              <w:keepNext/>
            </w:pPr>
          </w:p>
        </w:tc>
      </w:tr>
      <w:tr w:rsidR="003663AF" w:rsidRPr="00B7760C" w14:paraId="5A14EA73" w14:textId="77777777" w:rsidTr="00E804B7">
        <w:trPr>
          <w:jc w:val="center"/>
        </w:trPr>
        <w:tc>
          <w:tcPr>
            <w:tcW w:w="4876" w:type="dxa"/>
            <w:hideMark/>
          </w:tcPr>
          <w:p w14:paraId="221C6F2A" w14:textId="77777777" w:rsidR="003663AF" w:rsidRPr="00B7760C" w:rsidRDefault="003663AF" w:rsidP="00E804B7">
            <w:pPr>
              <w:pStyle w:val="ColumnHeading"/>
              <w:keepNext/>
            </w:pPr>
            <w:r w:rsidRPr="00B7760C">
              <w:t>Besedilo, ki ga predlaga Komisija</w:t>
            </w:r>
          </w:p>
        </w:tc>
        <w:tc>
          <w:tcPr>
            <w:tcW w:w="4876" w:type="dxa"/>
            <w:hideMark/>
          </w:tcPr>
          <w:p w14:paraId="37E15209" w14:textId="33747EBD" w:rsidR="003663AF" w:rsidRPr="00B7760C" w:rsidRDefault="00877691" w:rsidP="00E804B7">
            <w:pPr>
              <w:pStyle w:val="ColumnHeading"/>
              <w:keepNext/>
            </w:pPr>
            <w:r w:rsidRPr="00B7760C">
              <w:t>Sprememba</w:t>
            </w:r>
          </w:p>
        </w:tc>
      </w:tr>
      <w:tr w:rsidR="003663AF" w:rsidRPr="00B7760C" w14:paraId="372E0AA9" w14:textId="77777777" w:rsidTr="00E804B7">
        <w:trPr>
          <w:jc w:val="center"/>
        </w:trPr>
        <w:tc>
          <w:tcPr>
            <w:tcW w:w="4876" w:type="dxa"/>
          </w:tcPr>
          <w:p w14:paraId="6F732D0B" w14:textId="77777777" w:rsidR="003663AF" w:rsidRPr="00B7760C" w:rsidRDefault="003663AF" w:rsidP="00E804B7">
            <w:pPr>
              <w:pStyle w:val="Normal6"/>
            </w:pPr>
          </w:p>
        </w:tc>
        <w:tc>
          <w:tcPr>
            <w:tcW w:w="4876" w:type="dxa"/>
            <w:hideMark/>
          </w:tcPr>
          <w:p w14:paraId="3093F516" w14:textId="77777777" w:rsidR="003663AF" w:rsidRPr="00B7760C" w:rsidRDefault="003663AF" w:rsidP="00E804B7">
            <w:pPr>
              <w:pStyle w:val="Normal6"/>
              <w:rPr>
                <w:szCs w:val="24"/>
              </w:rPr>
            </w:pPr>
            <w:r w:rsidRPr="00B7760C">
              <w:rPr>
                <w:b/>
                <w:i/>
              </w:rPr>
              <w:t>(hc)</w:t>
            </w:r>
            <w:r w:rsidRPr="00B7760C">
              <w:rPr>
                <w:b/>
                <w:i/>
              </w:rPr>
              <w:tab/>
              <w:t>ukrepi za preprečevanje neugodnih podnebnih razmer;</w:t>
            </w:r>
          </w:p>
        </w:tc>
      </w:tr>
    </w:tbl>
    <w:p w14:paraId="7C5BBBAD" w14:textId="77777777" w:rsidR="003663AF" w:rsidRPr="00B7760C" w:rsidRDefault="003663AF" w:rsidP="003663AF"/>
    <w:p w14:paraId="663BC439" w14:textId="172EDF8C" w:rsidR="003663AF" w:rsidRPr="00B7760C" w:rsidRDefault="00877691" w:rsidP="003663AF">
      <w:pPr>
        <w:pStyle w:val="AMNumberTabs"/>
        <w:keepNext/>
      </w:pPr>
      <w:r w:rsidRPr="00B7760C">
        <w:t>Sprememba</w:t>
      </w:r>
      <w:r w:rsidR="003663AF" w:rsidRPr="00B7760C">
        <w:tab/>
      </w:r>
      <w:r w:rsidR="003663AF" w:rsidRPr="00B7760C">
        <w:tab/>
        <w:t>322</w:t>
      </w:r>
    </w:p>
    <w:p w14:paraId="1DE39999" w14:textId="77777777" w:rsidR="003663AF" w:rsidRPr="00B7760C" w:rsidRDefault="003663AF" w:rsidP="003663AF">
      <w:pPr>
        <w:pStyle w:val="NormalBold12b"/>
      </w:pPr>
      <w:r w:rsidRPr="00B7760C">
        <w:t>Predlog uredbe</w:t>
      </w:r>
    </w:p>
    <w:p w14:paraId="3F8842B9" w14:textId="77777777" w:rsidR="003663AF" w:rsidRPr="00B7760C" w:rsidRDefault="003663AF" w:rsidP="003663AF">
      <w:pPr>
        <w:pStyle w:val="NormalBold"/>
      </w:pPr>
      <w:r w:rsidRPr="00B7760C">
        <w:t>Člen 49 – odstavek 1 – točka h d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45CF92D" w14:textId="77777777" w:rsidTr="00E804B7">
        <w:trPr>
          <w:jc w:val="center"/>
        </w:trPr>
        <w:tc>
          <w:tcPr>
            <w:tcW w:w="9752" w:type="dxa"/>
            <w:gridSpan w:val="2"/>
          </w:tcPr>
          <w:p w14:paraId="69747943" w14:textId="77777777" w:rsidR="003663AF" w:rsidRPr="00B7760C" w:rsidRDefault="003663AF" w:rsidP="00E804B7">
            <w:pPr>
              <w:keepNext/>
            </w:pPr>
          </w:p>
        </w:tc>
      </w:tr>
      <w:tr w:rsidR="003663AF" w:rsidRPr="00B7760C" w14:paraId="0EDD3015" w14:textId="77777777" w:rsidTr="00E804B7">
        <w:trPr>
          <w:jc w:val="center"/>
        </w:trPr>
        <w:tc>
          <w:tcPr>
            <w:tcW w:w="4876" w:type="dxa"/>
            <w:hideMark/>
          </w:tcPr>
          <w:p w14:paraId="6DCFF428" w14:textId="77777777" w:rsidR="003663AF" w:rsidRPr="00B7760C" w:rsidRDefault="003663AF" w:rsidP="00E804B7">
            <w:pPr>
              <w:pStyle w:val="ColumnHeading"/>
              <w:keepNext/>
            </w:pPr>
            <w:r w:rsidRPr="00B7760C">
              <w:t>Besedilo, ki ga predlaga Komisija</w:t>
            </w:r>
          </w:p>
        </w:tc>
        <w:tc>
          <w:tcPr>
            <w:tcW w:w="4876" w:type="dxa"/>
            <w:hideMark/>
          </w:tcPr>
          <w:p w14:paraId="5DD6A74D" w14:textId="7C42AAE3" w:rsidR="003663AF" w:rsidRPr="00B7760C" w:rsidRDefault="00877691" w:rsidP="00E804B7">
            <w:pPr>
              <w:pStyle w:val="ColumnHeading"/>
              <w:keepNext/>
            </w:pPr>
            <w:r w:rsidRPr="00B7760C">
              <w:t>Sprememba</w:t>
            </w:r>
          </w:p>
        </w:tc>
      </w:tr>
      <w:tr w:rsidR="003663AF" w:rsidRPr="00B7760C" w14:paraId="01DC1FB2" w14:textId="77777777" w:rsidTr="00E804B7">
        <w:trPr>
          <w:jc w:val="center"/>
        </w:trPr>
        <w:tc>
          <w:tcPr>
            <w:tcW w:w="4876" w:type="dxa"/>
          </w:tcPr>
          <w:p w14:paraId="568A59D0" w14:textId="77777777" w:rsidR="003663AF" w:rsidRPr="00B7760C" w:rsidRDefault="003663AF" w:rsidP="00E804B7">
            <w:pPr>
              <w:pStyle w:val="Normal6"/>
            </w:pPr>
          </w:p>
        </w:tc>
        <w:tc>
          <w:tcPr>
            <w:tcW w:w="4876" w:type="dxa"/>
            <w:hideMark/>
          </w:tcPr>
          <w:p w14:paraId="14A465A5" w14:textId="77777777" w:rsidR="003663AF" w:rsidRPr="00B7760C" w:rsidRDefault="003663AF" w:rsidP="00E804B7">
            <w:pPr>
              <w:pStyle w:val="Normal6"/>
              <w:rPr>
                <w:szCs w:val="24"/>
              </w:rPr>
            </w:pPr>
            <w:r w:rsidRPr="00B7760C">
              <w:rPr>
                <w:b/>
                <w:i/>
              </w:rPr>
              <w:t>(hd)</w:t>
            </w:r>
            <w:r w:rsidRPr="00B7760C">
              <w:rPr>
                <w:b/>
                <w:i/>
              </w:rPr>
              <w:tab/>
              <w:t>ukrepi za prilagajanje na podnebne spremembe in slabe vremenske razmere;</w:t>
            </w:r>
          </w:p>
        </w:tc>
      </w:tr>
    </w:tbl>
    <w:p w14:paraId="74B89E57" w14:textId="77777777" w:rsidR="003663AF" w:rsidRPr="00B7760C" w:rsidRDefault="003663AF" w:rsidP="003663AF"/>
    <w:p w14:paraId="699F7607" w14:textId="24A2CD0A" w:rsidR="003663AF" w:rsidRPr="00B7760C" w:rsidRDefault="00877691" w:rsidP="003663AF">
      <w:pPr>
        <w:pStyle w:val="AMNumberTabs"/>
        <w:keepNext/>
      </w:pPr>
      <w:r w:rsidRPr="00B7760C">
        <w:t>Sprememba</w:t>
      </w:r>
      <w:r w:rsidR="003663AF" w:rsidRPr="00B7760C">
        <w:tab/>
      </w:r>
      <w:r w:rsidR="003663AF" w:rsidRPr="00B7760C">
        <w:tab/>
        <w:t>323</w:t>
      </w:r>
    </w:p>
    <w:p w14:paraId="257FD638" w14:textId="77777777" w:rsidR="003663AF" w:rsidRPr="00B7760C" w:rsidRDefault="003663AF" w:rsidP="003663AF">
      <w:pPr>
        <w:pStyle w:val="NormalBold12b"/>
      </w:pPr>
      <w:r w:rsidRPr="00B7760C">
        <w:t>Predlog uredbe</w:t>
      </w:r>
    </w:p>
    <w:p w14:paraId="3449D67F" w14:textId="77777777" w:rsidR="003663AF" w:rsidRPr="00B7760C" w:rsidRDefault="003663AF" w:rsidP="003663AF">
      <w:pPr>
        <w:pStyle w:val="NormalBold"/>
      </w:pPr>
      <w:r w:rsidRPr="00B7760C">
        <w:t>Člen 49 – odstavek 1 – točka h e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8D131C5" w14:textId="77777777" w:rsidTr="00E804B7">
        <w:trPr>
          <w:jc w:val="center"/>
        </w:trPr>
        <w:tc>
          <w:tcPr>
            <w:tcW w:w="9752" w:type="dxa"/>
            <w:gridSpan w:val="2"/>
          </w:tcPr>
          <w:p w14:paraId="0FB689CD" w14:textId="77777777" w:rsidR="003663AF" w:rsidRPr="00B7760C" w:rsidRDefault="003663AF" w:rsidP="00E804B7">
            <w:pPr>
              <w:keepNext/>
            </w:pPr>
          </w:p>
        </w:tc>
      </w:tr>
      <w:tr w:rsidR="003663AF" w:rsidRPr="00B7760C" w14:paraId="31117A94" w14:textId="77777777" w:rsidTr="00E804B7">
        <w:trPr>
          <w:jc w:val="center"/>
        </w:trPr>
        <w:tc>
          <w:tcPr>
            <w:tcW w:w="4876" w:type="dxa"/>
            <w:hideMark/>
          </w:tcPr>
          <w:p w14:paraId="3C6F4A87" w14:textId="77777777" w:rsidR="003663AF" w:rsidRPr="00B7760C" w:rsidRDefault="003663AF" w:rsidP="00E804B7">
            <w:pPr>
              <w:pStyle w:val="ColumnHeading"/>
              <w:keepNext/>
            </w:pPr>
            <w:r w:rsidRPr="00B7760C">
              <w:t>Besedilo, ki ga predlaga Komisija</w:t>
            </w:r>
          </w:p>
        </w:tc>
        <w:tc>
          <w:tcPr>
            <w:tcW w:w="4876" w:type="dxa"/>
            <w:hideMark/>
          </w:tcPr>
          <w:p w14:paraId="148AEF78" w14:textId="14A0B4CE" w:rsidR="003663AF" w:rsidRPr="00B7760C" w:rsidRDefault="00877691" w:rsidP="00E804B7">
            <w:pPr>
              <w:pStyle w:val="ColumnHeading"/>
              <w:keepNext/>
            </w:pPr>
            <w:r w:rsidRPr="00B7760C">
              <w:t>Sprememba</w:t>
            </w:r>
          </w:p>
        </w:tc>
      </w:tr>
      <w:tr w:rsidR="003663AF" w:rsidRPr="00B7760C" w14:paraId="3C2981AD" w14:textId="77777777" w:rsidTr="00E804B7">
        <w:trPr>
          <w:jc w:val="center"/>
        </w:trPr>
        <w:tc>
          <w:tcPr>
            <w:tcW w:w="4876" w:type="dxa"/>
          </w:tcPr>
          <w:p w14:paraId="06984B26" w14:textId="77777777" w:rsidR="003663AF" w:rsidRPr="00B7760C" w:rsidRDefault="003663AF" w:rsidP="00E804B7">
            <w:pPr>
              <w:pStyle w:val="Normal6"/>
            </w:pPr>
          </w:p>
        </w:tc>
        <w:tc>
          <w:tcPr>
            <w:tcW w:w="4876" w:type="dxa"/>
            <w:hideMark/>
          </w:tcPr>
          <w:p w14:paraId="1B8799F1" w14:textId="77777777" w:rsidR="003663AF" w:rsidRPr="00B7760C" w:rsidRDefault="003663AF" w:rsidP="00E804B7">
            <w:pPr>
              <w:pStyle w:val="Normal6"/>
              <w:rPr>
                <w:szCs w:val="24"/>
              </w:rPr>
            </w:pPr>
            <w:r w:rsidRPr="00B7760C">
              <w:rPr>
                <w:b/>
                <w:i/>
              </w:rPr>
              <w:t>(he)</w:t>
            </w:r>
            <w:r w:rsidRPr="00B7760C">
              <w:rPr>
                <w:b/>
                <w:i/>
              </w:rPr>
              <w:tab/>
              <w:t>ukrepi za spodbujanje sodelovanja med čebelarji in kmeti, zlasti z namenom zmanjšanja vpliva uporabe pesticidov;</w:t>
            </w:r>
          </w:p>
        </w:tc>
      </w:tr>
    </w:tbl>
    <w:p w14:paraId="1F609C7F" w14:textId="77777777" w:rsidR="003663AF" w:rsidRPr="00B7760C" w:rsidRDefault="003663AF" w:rsidP="003663AF"/>
    <w:p w14:paraId="58607506" w14:textId="7444F0D7" w:rsidR="003663AF" w:rsidRPr="00B7760C" w:rsidRDefault="00877691" w:rsidP="003663AF">
      <w:pPr>
        <w:pStyle w:val="AMNumberTabs"/>
        <w:keepNext/>
      </w:pPr>
      <w:r w:rsidRPr="00B7760C">
        <w:t>Sprememba</w:t>
      </w:r>
      <w:r w:rsidR="003663AF" w:rsidRPr="00B7760C">
        <w:tab/>
      </w:r>
      <w:r w:rsidR="003663AF" w:rsidRPr="00B7760C">
        <w:tab/>
        <w:t>324</w:t>
      </w:r>
    </w:p>
    <w:p w14:paraId="07764C90" w14:textId="77777777" w:rsidR="003663AF" w:rsidRPr="00B7760C" w:rsidRDefault="003663AF" w:rsidP="003663AF">
      <w:pPr>
        <w:pStyle w:val="NormalBold12b"/>
      </w:pPr>
      <w:r w:rsidRPr="00B7760C">
        <w:t>Predlog uredbe</w:t>
      </w:r>
    </w:p>
    <w:p w14:paraId="6063DA92" w14:textId="77777777" w:rsidR="003663AF" w:rsidRPr="00B7760C" w:rsidRDefault="003663AF" w:rsidP="003663AF">
      <w:pPr>
        <w:pStyle w:val="NormalBold"/>
      </w:pPr>
      <w:r w:rsidRPr="00B7760C">
        <w:t>Člen 49 – odstavek 1 – točka h f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D4FA7ED" w14:textId="77777777" w:rsidTr="00E804B7">
        <w:trPr>
          <w:jc w:val="center"/>
        </w:trPr>
        <w:tc>
          <w:tcPr>
            <w:tcW w:w="9752" w:type="dxa"/>
            <w:gridSpan w:val="2"/>
          </w:tcPr>
          <w:p w14:paraId="71C4FDF6" w14:textId="77777777" w:rsidR="003663AF" w:rsidRPr="00B7760C" w:rsidRDefault="003663AF" w:rsidP="00E804B7">
            <w:pPr>
              <w:keepNext/>
            </w:pPr>
          </w:p>
        </w:tc>
      </w:tr>
      <w:tr w:rsidR="003663AF" w:rsidRPr="00B7760C" w14:paraId="25D4DD4E" w14:textId="77777777" w:rsidTr="00E804B7">
        <w:trPr>
          <w:jc w:val="center"/>
        </w:trPr>
        <w:tc>
          <w:tcPr>
            <w:tcW w:w="4876" w:type="dxa"/>
            <w:hideMark/>
          </w:tcPr>
          <w:p w14:paraId="63E9F5C1" w14:textId="77777777" w:rsidR="003663AF" w:rsidRPr="00B7760C" w:rsidRDefault="003663AF" w:rsidP="00E804B7">
            <w:pPr>
              <w:pStyle w:val="ColumnHeading"/>
              <w:keepNext/>
            </w:pPr>
            <w:r w:rsidRPr="00B7760C">
              <w:t>Besedilo, ki ga predlaga Komisija</w:t>
            </w:r>
          </w:p>
        </w:tc>
        <w:tc>
          <w:tcPr>
            <w:tcW w:w="4876" w:type="dxa"/>
            <w:hideMark/>
          </w:tcPr>
          <w:p w14:paraId="2185D1F8" w14:textId="13D8562E" w:rsidR="003663AF" w:rsidRPr="00B7760C" w:rsidRDefault="00877691" w:rsidP="00E804B7">
            <w:pPr>
              <w:pStyle w:val="ColumnHeading"/>
              <w:keepNext/>
            </w:pPr>
            <w:r w:rsidRPr="00B7760C">
              <w:t>Sprememba</w:t>
            </w:r>
          </w:p>
        </w:tc>
      </w:tr>
      <w:tr w:rsidR="003663AF" w:rsidRPr="00B7760C" w14:paraId="58739338" w14:textId="77777777" w:rsidTr="00E804B7">
        <w:trPr>
          <w:jc w:val="center"/>
        </w:trPr>
        <w:tc>
          <w:tcPr>
            <w:tcW w:w="4876" w:type="dxa"/>
          </w:tcPr>
          <w:p w14:paraId="723AB460" w14:textId="77777777" w:rsidR="003663AF" w:rsidRPr="00B7760C" w:rsidRDefault="003663AF" w:rsidP="00E804B7">
            <w:pPr>
              <w:pStyle w:val="Normal6"/>
            </w:pPr>
          </w:p>
        </w:tc>
        <w:tc>
          <w:tcPr>
            <w:tcW w:w="4876" w:type="dxa"/>
            <w:hideMark/>
          </w:tcPr>
          <w:p w14:paraId="5126CC2C" w14:textId="77777777" w:rsidR="003663AF" w:rsidRPr="00B7760C" w:rsidRDefault="003663AF" w:rsidP="00E804B7">
            <w:pPr>
              <w:pStyle w:val="Normal6"/>
              <w:rPr>
                <w:szCs w:val="24"/>
              </w:rPr>
            </w:pPr>
            <w:r w:rsidRPr="00B7760C">
              <w:rPr>
                <w:b/>
                <w:i/>
              </w:rPr>
              <w:t>(hf)</w:t>
            </w:r>
            <w:r w:rsidRPr="00B7760C">
              <w:rPr>
                <w:b/>
                <w:i/>
              </w:rPr>
              <w:tab/>
              <w:t>varčevanje z energijo, večja energetska učinkovitost in ekološko pakiranje;</w:t>
            </w:r>
          </w:p>
        </w:tc>
      </w:tr>
    </w:tbl>
    <w:p w14:paraId="64E3A003" w14:textId="77777777" w:rsidR="003663AF" w:rsidRPr="00B7760C" w:rsidRDefault="003663AF" w:rsidP="003663AF"/>
    <w:p w14:paraId="0B7E76AC" w14:textId="6D6ECFBE" w:rsidR="003663AF" w:rsidRPr="00B7760C" w:rsidRDefault="00877691" w:rsidP="003663AF">
      <w:pPr>
        <w:pStyle w:val="AMNumberTabs"/>
        <w:keepNext/>
      </w:pPr>
      <w:r w:rsidRPr="00B7760C">
        <w:t>Sprememba</w:t>
      </w:r>
      <w:r w:rsidR="003663AF" w:rsidRPr="00B7760C">
        <w:tab/>
      </w:r>
      <w:r w:rsidR="003663AF" w:rsidRPr="00B7760C">
        <w:tab/>
        <w:t>325</w:t>
      </w:r>
    </w:p>
    <w:p w14:paraId="0D9B6753" w14:textId="77777777" w:rsidR="003663AF" w:rsidRPr="00B7760C" w:rsidRDefault="003663AF" w:rsidP="003663AF">
      <w:pPr>
        <w:pStyle w:val="NormalBold12b"/>
      </w:pPr>
      <w:r w:rsidRPr="00B7760C">
        <w:t>Predlog uredbe</w:t>
      </w:r>
    </w:p>
    <w:p w14:paraId="1DD78F88" w14:textId="77777777" w:rsidR="003663AF" w:rsidRPr="00B7760C" w:rsidRDefault="003663AF" w:rsidP="003663AF">
      <w:pPr>
        <w:pStyle w:val="NormalBold"/>
      </w:pPr>
      <w:r w:rsidRPr="00B7760C">
        <w:t>Člen 49 – odstavek 1 – točka h g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2CC5CF9" w14:textId="77777777" w:rsidTr="00E804B7">
        <w:trPr>
          <w:jc w:val="center"/>
        </w:trPr>
        <w:tc>
          <w:tcPr>
            <w:tcW w:w="9752" w:type="dxa"/>
            <w:gridSpan w:val="2"/>
          </w:tcPr>
          <w:p w14:paraId="71AA069B" w14:textId="77777777" w:rsidR="003663AF" w:rsidRPr="00B7760C" w:rsidRDefault="003663AF" w:rsidP="00E804B7">
            <w:pPr>
              <w:keepNext/>
            </w:pPr>
          </w:p>
        </w:tc>
      </w:tr>
      <w:tr w:rsidR="003663AF" w:rsidRPr="00B7760C" w14:paraId="7028C8D2" w14:textId="77777777" w:rsidTr="00E804B7">
        <w:trPr>
          <w:jc w:val="center"/>
        </w:trPr>
        <w:tc>
          <w:tcPr>
            <w:tcW w:w="4876" w:type="dxa"/>
            <w:hideMark/>
          </w:tcPr>
          <w:p w14:paraId="15178F41" w14:textId="77777777" w:rsidR="003663AF" w:rsidRPr="00B7760C" w:rsidRDefault="003663AF" w:rsidP="00E804B7">
            <w:pPr>
              <w:pStyle w:val="ColumnHeading"/>
              <w:keepNext/>
            </w:pPr>
            <w:r w:rsidRPr="00B7760C">
              <w:t>Besedilo, ki ga predlaga Komisija</w:t>
            </w:r>
          </w:p>
        </w:tc>
        <w:tc>
          <w:tcPr>
            <w:tcW w:w="4876" w:type="dxa"/>
            <w:hideMark/>
          </w:tcPr>
          <w:p w14:paraId="43DF7F70" w14:textId="4F248C3B" w:rsidR="003663AF" w:rsidRPr="00B7760C" w:rsidRDefault="00877691" w:rsidP="00E804B7">
            <w:pPr>
              <w:pStyle w:val="ColumnHeading"/>
              <w:keepNext/>
            </w:pPr>
            <w:r w:rsidRPr="00B7760C">
              <w:t>Sprememba</w:t>
            </w:r>
          </w:p>
        </w:tc>
      </w:tr>
      <w:tr w:rsidR="003663AF" w:rsidRPr="00B7760C" w14:paraId="14B317E7" w14:textId="77777777" w:rsidTr="00E804B7">
        <w:trPr>
          <w:jc w:val="center"/>
        </w:trPr>
        <w:tc>
          <w:tcPr>
            <w:tcW w:w="4876" w:type="dxa"/>
          </w:tcPr>
          <w:p w14:paraId="67AD1806" w14:textId="77777777" w:rsidR="003663AF" w:rsidRPr="00B7760C" w:rsidRDefault="003663AF" w:rsidP="00E804B7">
            <w:pPr>
              <w:pStyle w:val="Normal6"/>
            </w:pPr>
          </w:p>
        </w:tc>
        <w:tc>
          <w:tcPr>
            <w:tcW w:w="4876" w:type="dxa"/>
            <w:hideMark/>
          </w:tcPr>
          <w:p w14:paraId="767F8235" w14:textId="77777777" w:rsidR="003663AF" w:rsidRPr="00B7760C" w:rsidRDefault="003663AF" w:rsidP="00E804B7">
            <w:pPr>
              <w:pStyle w:val="Normal6"/>
              <w:rPr>
                <w:szCs w:val="24"/>
              </w:rPr>
            </w:pPr>
            <w:r w:rsidRPr="00B7760C">
              <w:rPr>
                <w:b/>
                <w:i/>
              </w:rPr>
              <w:t>(hg)</w:t>
            </w:r>
            <w:r w:rsidRPr="00B7760C">
              <w:rPr>
                <w:b/>
                <w:i/>
              </w:rPr>
              <w:tab/>
              <w:t>zmanjšanje nastajanja odpadkov ter izboljšanje uporabe stranskih proizvodov in odpadkov in ravnanja z njimi;</w:t>
            </w:r>
          </w:p>
        </w:tc>
      </w:tr>
    </w:tbl>
    <w:p w14:paraId="35A8BB15" w14:textId="77777777" w:rsidR="003663AF" w:rsidRPr="00B7760C" w:rsidRDefault="003663AF" w:rsidP="003663AF"/>
    <w:p w14:paraId="251DD704" w14:textId="482495F7" w:rsidR="003663AF" w:rsidRPr="00B7760C" w:rsidRDefault="00877691" w:rsidP="003663AF">
      <w:pPr>
        <w:pStyle w:val="AMNumberTabs"/>
        <w:keepNext/>
      </w:pPr>
      <w:r w:rsidRPr="00B7760C">
        <w:t>Sprememba</w:t>
      </w:r>
      <w:r w:rsidR="003663AF" w:rsidRPr="00B7760C">
        <w:tab/>
      </w:r>
      <w:r w:rsidR="003663AF" w:rsidRPr="00B7760C">
        <w:tab/>
        <w:t>326</w:t>
      </w:r>
    </w:p>
    <w:p w14:paraId="04CE8BC0" w14:textId="77777777" w:rsidR="003663AF" w:rsidRPr="00B7760C" w:rsidRDefault="003663AF" w:rsidP="003663AF">
      <w:pPr>
        <w:pStyle w:val="NormalBold12b"/>
      </w:pPr>
      <w:r w:rsidRPr="00B7760C">
        <w:t>Predlog uredbe</w:t>
      </w:r>
    </w:p>
    <w:p w14:paraId="02D3E952" w14:textId="77777777" w:rsidR="003663AF" w:rsidRPr="00B7760C" w:rsidRDefault="003663AF" w:rsidP="003663AF">
      <w:pPr>
        <w:pStyle w:val="NormalBold"/>
      </w:pPr>
      <w:r w:rsidRPr="00B7760C">
        <w:t>Člen 49 – odstavek 1 – točka h h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90EF42D" w14:textId="77777777" w:rsidTr="00E804B7">
        <w:trPr>
          <w:jc w:val="center"/>
        </w:trPr>
        <w:tc>
          <w:tcPr>
            <w:tcW w:w="9752" w:type="dxa"/>
            <w:gridSpan w:val="2"/>
          </w:tcPr>
          <w:p w14:paraId="16AA947B" w14:textId="77777777" w:rsidR="003663AF" w:rsidRPr="00B7760C" w:rsidRDefault="003663AF" w:rsidP="00E804B7">
            <w:pPr>
              <w:keepNext/>
            </w:pPr>
          </w:p>
        </w:tc>
      </w:tr>
      <w:tr w:rsidR="003663AF" w:rsidRPr="00B7760C" w14:paraId="0E4254C1" w14:textId="77777777" w:rsidTr="00E804B7">
        <w:trPr>
          <w:jc w:val="center"/>
        </w:trPr>
        <w:tc>
          <w:tcPr>
            <w:tcW w:w="4876" w:type="dxa"/>
            <w:hideMark/>
          </w:tcPr>
          <w:p w14:paraId="3DBA2363" w14:textId="77777777" w:rsidR="003663AF" w:rsidRPr="00B7760C" w:rsidRDefault="003663AF" w:rsidP="00E804B7">
            <w:pPr>
              <w:pStyle w:val="ColumnHeading"/>
              <w:keepNext/>
            </w:pPr>
            <w:r w:rsidRPr="00B7760C">
              <w:t>Besedilo, ki ga predlaga Komisija</w:t>
            </w:r>
          </w:p>
        </w:tc>
        <w:tc>
          <w:tcPr>
            <w:tcW w:w="4876" w:type="dxa"/>
            <w:hideMark/>
          </w:tcPr>
          <w:p w14:paraId="28EC59EB" w14:textId="3E99F91A" w:rsidR="003663AF" w:rsidRPr="00B7760C" w:rsidRDefault="00877691" w:rsidP="00E804B7">
            <w:pPr>
              <w:pStyle w:val="ColumnHeading"/>
              <w:keepNext/>
            </w:pPr>
            <w:r w:rsidRPr="00B7760C">
              <w:t>Sprememba</w:t>
            </w:r>
          </w:p>
        </w:tc>
      </w:tr>
      <w:tr w:rsidR="003663AF" w:rsidRPr="00B7760C" w14:paraId="43606B69" w14:textId="77777777" w:rsidTr="00E804B7">
        <w:trPr>
          <w:jc w:val="center"/>
        </w:trPr>
        <w:tc>
          <w:tcPr>
            <w:tcW w:w="4876" w:type="dxa"/>
          </w:tcPr>
          <w:p w14:paraId="21BA356D" w14:textId="77777777" w:rsidR="003663AF" w:rsidRPr="00B7760C" w:rsidRDefault="003663AF" w:rsidP="00E804B7">
            <w:pPr>
              <w:pStyle w:val="Normal6"/>
            </w:pPr>
          </w:p>
        </w:tc>
        <w:tc>
          <w:tcPr>
            <w:tcW w:w="4876" w:type="dxa"/>
            <w:hideMark/>
          </w:tcPr>
          <w:p w14:paraId="7FA04ABF" w14:textId="77777777" w:rsidR="003663AF" w:rsidRPr="00B7760C" w:rsidRDefault="003663AF" w:rsidP="00E804B7">
            <w:pPr>
              <w:pStyle w:val="Normal6"/>
              <w:rPr>
                <w:szCs w:val="24"/>
              </w:rPr>
            </w:pPr>
            <w:r w:rsidRPr="00B7760C">
              <w:rPr>
                <w:b/>
                <w:i/>
              </w:rPr>
              <w:t>(hh)</w:t>
            </w:r>
            <w:r w:rsidRPr="00B7760C">
              <w:rPr>
                <w:b/>
                <w:i/>
              </w:rPr>
              <w:tab/>
              <w:t>ukrepi za izboljšanje opraševanja z medonosnimi čebelami in njihovega sobivanja s prostoživečimi opraševalci, tudi z oblikovanjem in ohranjanjem ugodnih habitatov;</w:t>
            </w:r>
          </w:p>
        </w:tc>
      </w:tr>
    </w:tbl>
    <w:p w14:paraId="650575E1" w14:textId="77777777" w:rsidR="003663AF" w:rsidRPr="00B7760C" w:rsidRDefault="003663AF" w:rsidP="003663AF"/>
    <w:p w14:paraId="1D8837AB" w14:textId="77777777" w:rsidR="003663AF" w:rsidRPr="00B7760C" w:rsidRDefault="003663AF" w:rsidP="003663AF">
      <w:pPr>
        <w:pStyle w:val="Normal6"/>
      </w:pPr>
    </w:p>
    <w:p w14:paraId="0DCC696D" w14:textId="33F62227" w:rsidR="003663AF" w:rsidRPr="00B7760C" w:rsidRDefault="00877691" w:rsidP="003663AF">
      <w:pPr>
        <w:pStyle w:val="AMNumberTabs"/>
        <w:keepNext/>
      </w:pPr>
      <w:r w:rsidRPr="00B7760C">
        <w:t>Sprememba</w:t>
      </w:r>
      <w:r w:rsidR="003663AF" w:rsidRPr="00B7760C">
        <w:tab/>
      </w:r>
      <w:r w:rsidR="003663AF" w:rsidRPr="00B7760C">
        <w:tab/>
        <w:t>327</w:t>
      </w:r>
    </w:p>
    <w:p w14:paraId="75F526F4" w14:textId="77777777" w:rsidR="003663AF" w:rsidRPr="00B7760C" w:rsidRDefault="003663AF" w:rsidP="003663AF">
      <w:pPr>
        <w:pStyle w:val="NormalBold12b"/>
      </w:pPr>
      <w:r w:rsidRPr="00B7760C">
        <w:t>Predlog uredbe</w:t>
      </w:r>
    </w:p>
    <w:p w14:paraId="58E44CDC" w14:textId="77777777" w:rsidR="003663AF" w:rsidRPr="00B7760C" w:rsidRDefault="003663AF" w:rsidP="003663AF">
      <w:pPr>
        <w:pStyle w:val="NormalBold"/>
      </w:pPr>
      <w:r w:rsidRPr="00B7760C">
        <w:t>Člen 49 – odstavek 1 – točka h i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4501694" w14:textId="77777777" w:rsidTr="00E804B7">
        <w:trPr>
          <w:jc w:val="center"/>
        </w:trPr>
        <w:tc>
          <w:tcPr>
            <w:tcW w:w="9752" w:type="dxa"/>
            <w:gridSpan w:val="2"/>
          </w:tcPr>
          <w:p w14:paraId="49657541" w14:textId="77777777" w:rsidR="003663AF" w:rsidRPr="00B7760C" w:rsidRDefault="003663AF" w:rsidP="00E804B7">
            <w:pPr>
              <w:keepNext/>
            </w:pPr>
          </w:p>
        </w:tc>
      </w:tr>
      <w:tr w:rsidR="003663AF" w:rsidRPr="00B7760C" w14:paraId="540080CC" w14:textId="77777777" w:rsidTr="00E804B7">
        <w:trPr>
          <w:jc w:val="center"/>
        </w:trPr>
        <w:tc>
          <w:tcPr>
            <w:tcW w:w="4876" w:type="dxa"/>
            <w:hideMark/>
          </w:tcPr>
          <w:p w14:paraId="1F7F0F0C" w14:textId="77777777" w:rsidR="003663AF" w:rsidRPr="00B7760C" w:rsidRDefault="003663AF" w:rsidP="00E804B7">
            <w:pPr>
              <w:pStyle w:val="ColumnHeading"/>
              <w:keepNext/>
            </w:pPr>
            <w:r w:rsidRPr="00B7760C">
              <w:t>Besedilo, ki ga predlaga Komisija</w:t>
            </w:r>
          </w:p>
        </w:tc>
        <w:tc>
          <w:tcPr>
            <w:tcW w:w="4876" w:type="dxa"/>
            <w:hideMark/>
          </w:tcPr>
          <w:p w14:paraId="68710CAF" w14:textId="17A465A7" w:rsidR="003663AF" w:rsidRPr="00B7760C" w:rsidRDefault="00877691" w:rsidP="00E804B7">
            <w:pPr>
              <w:pStyle w:val="ColumnHeading"/>
              <w:keepNext/>
            </w:pPr>
            <w:r w:rsidRPr="00B7760C">
              <w:t>Sprememba</w:t>
            </w:r>
          </w:p>
        </w:tc>
      </w:tr>
      <w:tr w:rsidR="003663AF" w:rsidRPr="00B7760C" w14:paraId="1AC0E7B7" w14:textId="77777777" w:rsidTr="00E804B7">
        <w:trPr>
          <w:jc w:val="center"/>
        </w:trPr>
        <w:tc>
          <w:tcPr>
            <w:tcW w:w="4876" w:type="dxa"/>
          </w:tcPr>
          <w:p w14:paraId="3259E92D" w14:textId="77777777" w:rsidR="003663AF" w:rsidRPr="00B7760C" w:rsidRDefault="003663AF" w:rsidP="00E804B7">
            <w:pPr>
              <w:pStyle w:val="Normal6"/>
            </w:pPr>
          </w:p>
        </w:tc>
        <w:tc>
          <w:tcPr>
            <w:tcW w:w="4876" w:type="dxa"/>
            <w:hideMark/>
          </w:tcPr>
          <w:p w14:paraId="3E533FBC" w14:textId="77777777" w:rsidR="003663AF" w:rsidRPr="00B7760C" w:rsidRDefault="003663AF" w:rsidP="00E804B7">
            <w:pPr>
              <w:pStyle w:val="Normal6"/>
              <w:rPr>
                <w:szCs w:val="24"/>
              </w:rPr>
            </w:pPr>
            <w:r w:rsidRPr="00B7760C">
              <w:rPr>
                <w:b/>
                <w:i/>
              </w:rPr>
              <w:t>(hi)</w:t>
            </w:r>
            <w:r w:rsidRPr="00B7760C">
              <w:rPr>
                <w:b/>
                <w:i/>
              </w:rPr>
              <w:tab/>
              <w:t>ukrepi za povečanje genske raznovrstnosti;</w:t>
            </w:r>
          </w:p>
        </w:tc>
      </w:tr>
    </w:tbl>
    <w:p w14:paraId="758617D7" w14:textId="77777777" w:rsidR="003663AF" w:rsidRPr="00B7760C" w:rsidRDefault="003663AF" w:rsidP="003663AF"/>
    <w:p w14:paraId="344D946F" w14:textId="18DC77F6" w:rsidR="003663AF" w:rsidRPr="00B7760C" w:rsidRDefault="00877691" w:rsidP="003663AF">
      <w:pPr>
        <w:pStyle w:val="AMNumberTabs"/>
        <w:keepNext/>
      </w:pPr>
      <w:r w:rsidRPr="00B7760C">
        <w:t>Sprememba</w:t>
      </w:r>
      <w:r w:rsidR="003663AF" w:rsidRPr="00B7760C">
        <w:tab/>
      </w:r>
      <w:r w:rsidR="003663AF" w:rsidRPr="00B7760C">
        <w:tab/>
        <w:t>328</w:t>
      </w:r>
    </w:p>
    <w:p w14:paraId="1F442D95" w14:textId="77777777" w:rsidR="003663AF" w:rsidRPr="00B7760C" w:rsidRDefault="003663AF" w:rsidP="003663AF">
      <w:pPr>
        <w:pStyle w:val="NormalBold12b"/>
      </w:pPr>
      <w:r w:rsidRPr="00B7760C">
        <w:t>Predlog uredbe</w:t>
      </w:r>
    </w:p>
    <w:p w14:paraId="15957D01" w14:textId="77777777" w:rsidR="003663AF" w:rsidRPr="00B7760C" w:rsidRDefault="003663AF" w:rsidP="003663AF">
      <w:pPr>
        <w:pStyle w:val="NormalBold"/>
      </w:pPr>
      <w:r w:rsidRPr="00B7760C">
        <w:t>Člen 49 – odstavek 1 – točka h j (novo)</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D539A22" w14:textId="77777777" w:rsidTr="00E804B7">
        <w:trPr>
          <w:jc w:val="center"/>
        </w:trPr>
        <w:tc>
          <w:tcPr>
            <w:tcW w:w="9752" w:type="dxa"/>
            <w:gridSpan w:val="2"/>
          </w:tcPr>
          <w:p w14:paraId="22E95AF8" w14:textId="77777777" w:rsidR="003663AF" w:rsidRPr="00B7760C" w:rsidRDefault="003663AF" w:rsidP="00E804B7">
            <w:pPr>
              <w:keepNext/>
            </w:pPr>
          </w:p>
        </w:tc>
      </w:tr>
      <w:tr w:rsidR="003663AF" w:rsidRPr="00B7760C" w14:paraId="3F5A25EA" w14:textId="77777777" w:rsidTr="00E804B7">
        <w:trPr>
          <w:jc w:val="center"/>
        </w:trPr>
        <w:tc>
          <w:tcPr>
            <w:tcW w:w="4876" w:type="dxa"/>
            <w:hideMark/>
          </w:tcPr>
          <w:p w14:paraId="3B4CF37A" w14:textId="77777777" w:rsidR="003663AF" w:rsidRPr="00B7760C" w:rsidRDefault="003663AF" w:rsidP="00E804B7">
            <w:pPr>
              <w:pStyle w:val="ColumnHeading"/>
              <w:keepNext/>
            </w:pPr>
            <w:r w:rsidRPr="00B7760C">
              <w:t>Besedilo, ki ga predlaga Komisija</w:t>
            </w:r>
          </w:p>
        </w:tc>
        <w:tc>
          <w:tcPr>
            <w:tcW w:w="4876" w:type="dxa"/>
            <w:hideMark/>
          </w:tcPr>
          <w:p w14:paraId="1225632B" w14:textId="5CF2C5FF" w:rsidR="003663AF" w:rsidRPr="00B7760C" w:rsidRDefault="00877691" w:rsidP="00E804B7">
            <w:pPr>
              <w:pStyle w:val="ColumnHeading"/>
              <w:keepNext/>
            </w:pPr>
            <w:r w:rsidRPr="00B7760C">
              <w:t>Sprememba</w:t>
            </w:r>
          </w:p>
        </w:tc>
      </w:tr>
      <w:tr w:rsidR="003663AF" w:rsidRPr="00B7760C" w14:paraId="7D8B5AA6" w14:textId="77777777" w:rsidTr="00E804B7">
        <w:trPr>
          <w:jc w:val="center"/>
        </w:trPr>
        <w:tc>
          <w:tcPr>
            <w:tcW w:w="4876" w:type="dxa"/>
          </w:tcPr>
          <w:p w14:paraId="006D4BD1" w14:textId="77777777" w:rsidR="003663AF" w:rsidRPr="00B7760C" w:rsidRDefault="003663AF" w:rsidP="00E804B7">
            <w:pPr>
              <w:pStyle w:val="Normal6"/>
            </w:pPr>
          </w:p>
        </w:tc>
        <w:tc>
          <w:tcPr>
            <w:tcW w:w="4876" w:type="dxa"/>
            <w:hideMark/>
          </w:tcPr>
          <w:p w14:paraId="7C02412D" w14:textId="77777777" w:rsidR="003663AF" w:rsidRPr="00B7760C" w:rsidRDefault="003663AF" w:rsidP="00E804B7">
            <w:pPr>
              <w:pStyle w:val="Normal6"/>
              <w:rPr>
                <w:szCs w:val="24"/>
              </w:rPr>
            </w:pPr>
            <w:r w:rsidRPr="00B7760C">
              <w:rPr>
                <w:b/>
                <w:i/>
              </w:rPr>
              <w:t>(hj)</w:t>
            </w:r>
            <w:r w:rsidRPr="00B7760C">
              <w:rPr>
                <w:b/>
                <w:i/>
              </w:rPr>
              <w:tab/>
              <w:t>ukrepi za podporo mladim ali novim čebelarjem.</w:t>
            </w:r>
          </w:p>
        </w:tc>
      </w:tr>
    </w:tbl>
    <w:p w14:paraId="66218F0F" w14:textId="77777777" w:rsidR="003663AF" w:rsidRPr="00B7760C" w:rsidRDefault="003663AF" w:rsidP="003663AF"/>
    <w:p w14:paraId="307A1CEC" w14:textId="68A2B93A" w:rsidR="003663AF" w:rsidRPr="00B7760C" w:rsidRDefault="00877691" w:rsidP="003663AF">
      <w:pPr>
        <w:pStyle w:val="AMNumberTabs"/>
        <w:keepNext/>
      </w:pPr>
      <w:r w:rsidRPr="00B7760C">
        <w:t>Sprememba</w:t>
      </w:r>
      <w:r w:rsidR="003663AF" w:rsidRPr="00B7760C">
        <w:tab/>
      </w:r>
      <w:r w:rsidR="003663AF" w:rsidRPr="00B7760C">
        <w:tab/>
        <w:t>329</w:t>
      </w:r>
    </w:p>
    <w:p w14:paraId="57B467D8" w14:textId="77777777" w:rsidR="003663AF" w:rsidRPr="00B7760C" w:rsidRDefault="003663AF" w:rsidP="003663AF">
      <w:pPr>
        <w:pStyle w:val="NormalBold12b"/>
      </w:pPr>
      <w:r w:rsidRPr="00B7760C">
        <w:t>Predlog uredbe</w:t>
      </w:r>
    </w:p>
    <w:p w14:paraId="3F00A8B4" w14:textId="77777777" w:rsidR="003663AF" w:rsidRPr="00B7760C" w:rsidRDefault="003663AF" w:rsidP="003663AF">
      <w:pPr>
        <w:pStyle w:val="NormalBold"/>
      </w:pPr>
      <w:r w:rsidRPr="00B7760C">
        <w:t>Člen 49 – odstavek 4</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CA4E108" w14:textId="77777777" w:rsidTr="00E804B7">
        <w:trPr>
          <w:jc w:val="center"/>
        </w:trPr>
        <w:tc>
          <w:tcPr>
            <w:tcW w:w="9752" w:type="dxa"/>
            <w:gridSpan w:val="2"/>
          </w:tcPr>
          <w:p w14:paraId="1754D610" w14:textId="77777777" w:rsidR="003663AF" w:rsidRPr="00B7760C" w:rsidRDefault="003663AF" w:rsidP="00E804B7">
            <w:pPr>
              <w:keepNext/>
            </w:pPr>
          </w:p>
        </w:tc>
      </w:tr>
      <w:tr w:rsidR="003663AF" w:rsidRPr="00B7760C" w14:paraId="1455FA68" w14:textId="77777777" w:rsidTr="00E804B7">
        <w:trPr>
          <w:jc w:val="center"/>
        </w:trPr>
        <w:tc>
          <w:tcPr>
            <w:tcW w:w="4876" w:type="dxa"/>
            <w:hideMark/>
          </w:tcPr>
          <w:p w14:paraId="4C59B2BE" w14:textId="77777777" w:rsidR="003663AF" w:rsidRPr="00B7760C" w:rsidRDefault="003663AF" w:rsidP="00E804B7">
            <w:pPr>
              <w:pStyle w:val="ColumnHeading"/>
              <w:keepNext/>
            </w:pPr>
            <w:r w:rsidRPr="00B7760C">
              <w:t>Besedilo, ki ga predlaga Komisija</w:t>
            </w:r>
          </w:p>
        </w:tc>
        <w:tc>
          <w:tcPr>
            <w:tcW w:w="4876" w:type="dxa"/>
            <w:hideMark/>
          </w:tcPr>
          <w:p w14:paraId="282AFDC3" w14:textId="45A8CDFF" w:rsidR="003663AF" w:rsidRPr="00B7760C" w:rsidRDefault="00877691" w:rsidP="00E804B7">
            <w:pPr>
              <w:pStyle w:val="ColumnHeading"/>
              <w:keepNext/>
            </w:pPr>
            <w:r w:rsidRPr="00B7760C">
              <w:t>Sprememba</w:t>
            </w:r>
          </w:p>
        </w:tc>
      </w:tr>
      <w:tr w:rsidR="003663AF" w:rsidRPr="00B7760C" w14:paraId="48D3C28D" w14:textId="77777777" w:rsidTr="00E804B7">
        <w:trPr>
          <w:jc w:val="center"/>
        </w:trPr>
        <w:tc>
          <w:tcPr>
            <w:tcW w:w="4876" w:type="dxa"/>
            <w:hideMark/>
          </w:tcPr>
          <w:p w14:paraId="41743615" w14:textId="77777777" w:rsidR="003663AF" w:rsidRPr="00B7760C" w:rsidRDefault="003663AF" w:rsidP="00E804B7">
            <w:pPr>
              <w:pStyle w:val="Normal6"/>
            </w:pPr>
            <w:r w:rsidRPr="00B7760C">
              <w:t>4.</w:t>
            </w:r>
            <w:r w:rsidRPr="00B7760C">
              <w:tab/>
              <w:t xml:space="preserve">Finančna pomoč Unije za intervencije iz odstavka 2 znaša največ </w:t>
            </w:r>
            <w:r w:rsidRPr="00B7760C">
              <w:rPr>
                <w:b/>
                <w:i/>
              </w:rPr>
              <w:t>50</w:t>
            </w:r>
            <w:r w:rsidRPr="00B7760C">
              <w:t> % odhodkov. Preostali del odhodkov krijejo države članice.</w:t>
            </w:r>
          </w:p>
        </w:tc>
        <w:tc>
          <w:tcPr>
            <w:tcW w:w="4876" w:type="dxa"/>
            <w:hideMark/>
          </w:tcPr>
          <w:p w14:paraId="224B965A" w14:textId="77777777" w:rsidR="003663AF" w:rsidRPr="00B7760C" w:rsidRDefault="003663AF" w:rsidP="00E804B7">
            <w:pPr>
              <w:pStyle w:val="Normal6"/>
              <w:rPr>
                <w:szCs w:val="24"/>
              </w:rPr>
            </w:pPr>
            <w:r w:rsidRPr="00B7760C">
              <w:t>4.</w:t>
            </w:r>
            <w:r w:rsidRPr="00B7760C">
              <w:tab/>
              <w:t xml:space="preserve">Finančna pomoč Unije za intervencije iz odstavka 2 znaša največ </w:t>
            </w:r>
            <w:r w:rsidRPr="00B7760C">
              <w:rPr>
                <w:b/>
                <w:i/>
              </w:rPr>
              <w:t>75</w:t>
            </w:r>
            <w:r w:rsidRPr="00B7760C">
              <w:t> % odhodkov</w:t>
            </w:r>
            <w:r w:rsidRPr="00B7760C">
              <w:rPr>
                <w:b/>
                <w:i/>
              </w:rPr>
              <w:t>, z izjemo najbolj oddaljenih regij, kjer znaša največ 85 %</w:t>
            </w:r>
            <w:r w:rsidRPr="00B7760C">
              <w:t>. Preostali del odhodkov krijejo države članice.</w:t>
            </w:r>
          </w:p>
        </w:tc>
      </w:tr>
    </w:tbl>
    <w:p w14:paraId="7EDB7C7A" w14:textId="77777777" w:rsidR="003663AF" w:rsidRPr="00B7760C" w:rsidRDefault="003663AF" w:rsidP="003663AF"/>
    <w:p w14:paraId="45434BAE" w14:textId="77F38700" w:rsidR="003663AF" w:rsidRPr="00B7760C" w:rsidRDefault="00877691" w:rsidP="003663AF">
      <w:pPr>
        <w:pStyle w:val="AMNumberTabs"/>
        <w:keepNext/>
      </w:pPr>
      <w:r w:rsidRPr="00B7760C">
        <w:t>Sprememba</w:t>
      </w:r>
      <w:r w:rsidR="003663AF" w:rsidRPr="00B7760C">
        <w:tab/>
      </w:r>
      <w:r w:rsidR="003663AF" w:rsidRPr="00B7760C">
        <w:tab/>
        <w:t>330</w:t>
      </w:r>
    </w:p>
    <w:p w14:paraId="41BB39B0" w14:textId="77777777" w:rsidR="003663AF" w:rsidRPr="00B7760C" w:rsidRDefault="003663AF" w:rsidP="003663AF">
      <w:pPr>
        <w:pStyle w:val="NormalBold12b"/>
      </w:pPr>
      <w:r w:rsidRPr="00B7760C">
        <w:t>Predlog uredbe</w:t>
      </w:r>
    </w:p>
    <w:p w14:paraId="46A0E8DB" w14:textId="77777777" w:rsidR="003663AF" w:rsidRPr="00B7760C" w:rsidRDefault="003663AF" w:rsidP="003663AF">
      <w:pPr>
        <w:pStyle w:val="NormalBold"/>
      </w:pPr>
      <w:r w:rsidRPr="00B7760C">
        <w:t>Člen 49 – odstavek 5</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C3744C3" w14:textId="77777777" w:rsidTr="00E804B7">
        <w:trPr>
          <w:jc w:val="center"/>
        </w:trPr>
        <w:tc>
          <w:tcPr>
            <w:tcW w:w="9752" w:type="dxa"/>
            <w:gridSpan w:val="2"/>
          </w:tcPr>
          <w:p w14:paraId="2612042F" w14:textId="77777777" w:rsidR="003663AF" w:rsidRPr="00B7760C" w:rsidRDefault="003663AF" w:rsidP="00E804B7">
            <w:pPr>
              <w:keepNext/>
            </w:pPr>
          </w:p>
        </w:tc>
      </w:tr>
      <w:tr w:rsidR="003663AF" w:rsidRPr="00B7760C" w14:paraId="6A6681A0" w14:textId="77777777" w:rsidTr="00E804B7">
        <w:trPr>
          <w:jc w:val="center"/>
        </w:trPr>
        <w:tc>
          <w:tcPr>
            <w:tcW w:w="4876" w:type="dxa"/>
            <w:hideMark/>
          </w:tcPr>
          <w:p w14:paraId="0F559D79" w14:textId="77777777" w:rsidR="003663AF" w:rsidRPr="00B7760C" w:rsidRDefault="003663AF" w:rsidP="00E804B7">
            <w:pPr>
              <w:pStyle w:val="ColumnHeading"/>
              <w:keepNext/>
            </w:pPr>
            <w:r w:rsidRPr="00B7760C">
              <w:t>Besedilo, ki ga predlaga Komisija</w:t>
            </w:r>
          </w:p>
        </w:tc>
        <w:tc>
          <w:tcPr>
            <w:tcW w:w="4876" w:type="dxa"/>
            <w:hideMark/>
          </w:tcPr>
          <w:p w14:paraId="6286DA03" w14:textId="548F0342" w:rsidR="003663AF" w:rsidRPr="00B7760C" w:rsidRDefault="00877691" w:rsidP="00E804B7">
            <w:pPr>
              <w:pStyle w:val="ColumnHeading"/>
              <w:keepNext/>
            </w:pPr>
            <w:r w:rsidRPr="00B7760C">
              <w:t>Sprememba</w:t>
            </w:r>
          </w:p>
        </w:tc>
      </w:tr>
      <w:tr w:rsidR="003663AF" w:rsidRPr="00B7760C" w14:paraId="3A3CEDA0" w14:textId="77777777" w:rsidTr="00E804B7">
        <w:trPr>
          <w:jc w:val="center"/>
        </w:trPr>
        <w:tc>
          <w:tcPr>
            <w:tcW w:w="4876" w:type="dxa"/>
            <w:hideMark/>
          </w:tcPr>
          <w:p w14:paraId="7987BD79" w14:textId="77777777" w:rsidR="003663AF" w:rsidRPr="00B7760C" w:rsidRDefault="003663AF" w:rsidP="00E804B7">
            <w:pPr>
              <w:pStyle w:val="Normal6"/>
            </w:pPr>
            <w:r w:rsidRPr="00B7760C">
              <w:t>5.</w:t>
            </w:r>
            <w:r w:rsidRPr="00B7760C">
              <w:tab/>
              <w:t>Države članice se pri pripravi svojih strateških načrtov SKP posvetujejo s predstavniki organizacij na področju čebelarstva.</w:t>
            </w:r>
          </w:p>
        </w:tc>
        <w:tc>
          <w:tcPr>
            <w:tcW w:w="4876" w:type="dxa"/>
            <w:hideMark/>
          </w:tcPr>
          <w:p w14:paraId="677CCFCE" w14:textId="77777777" w:rsidR="003663AF" w:rsidRPr="00B7760C" w:rsidRDefault="003663AF" w:rsidP="00E804B7">
            <w:pPr>
              <w:pStyle w:val="Normal6"/>
              <w:rPr>
                <w:szCs w:val="24"/>
              </w:rPr>
            </w:pPr>
            <w:r w:rsidRPr="00B7760C">
              <w:t>5.</w:t>
            </w:r>
            <w:r w:rsidRPr="00B7760C">
              <w:tab/>
              <w:t>Države članice se pri pripravi svojih strateških načrtov SKP posvetujejo s predstavniki organizacij na področju čebelarstva</w:t>
            </w:r>
            <w:r w:rsidRPr="00B7760C">
              <w:rPr>
                <w:b/>
                <w:i/>
              </w:rPr>
              <w:t xml:space="preserve"> in pristojnimi organi</w:t>
            </w:r>
            <w:r w:rsidRPr="00B7760C">
              <w:t>.</w:t>
            </w:r>
          </w:p>
        </w:tc>
      </w:tr>
    </w:tbl>
    <w:p w14:paraId="4E74DA28" w14:textId="77777777" w:rsidR="003663AF" w:rsidRPr="00B7760C" w:rsidRDefault="003663AF" w:rsidP="003663AF"/>
    <w:p w14:paraId="73E211DC" w14:textId="0D7CE959" w:rsidR="003663AF" w:rsidRPr="00B7760C" w:rsidRDefault="00877691" w:rsidP="003663AF">
      <w:pPr>
        <w:pStyle w:val="AMNumberTabs"/>
        <w:keepNext/>
      </w:pPr>
      <w:r w:rsidRPr="00B7760C">
        <w:t>Sprememba</w:t>
      </w:r>
      <w:r w:rsidR="003663AF" w:rsidRPr="00B7760C">
        <w:tab/>
      </w:r>
      <w:r w:rsidR="003663AF" w:rsidRPr="00B7760C">
        <w:tab/>
        <w:t>331</w:t>
      </w:r>
    </w:p>
    <w:p w14:paraId="42D42340" w14:textId="77777777" w:rsidR="003663AF" w:rsidRPr="00B7760C" w:rsidRDefault="003663AF" w:rsidP="003663AF">
      <w:pPr>
        <w:pStyle w:val="NormalBold12b"/>
      </w:pPr>
      <w:r w:rsidRPr="00B7760C">
        <w:t>Predlog uredbe</w:t>
      </w:r>
    </w:p>
    <w:p w14:paraId="5F5931AE" w14:textId="77777777" w:rsidR="003663AF" w:rsidRPr="00B7760C" w:rsidRDefault="003663AF" w:rsidP="003663AF">
      <w:pPr>
        <w:pStyle w:val="NormalBold"/>
      </w:pPr>
      <w:r w:rsidRPr="00B7760C">
        <w:t>Člen 49 – odstavek 6</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4CBF3F1" w14:textId="77777777" w:rsidTr="00E804B7">
        <w:trPr>
          <w:jc w:val="center"/>
        </w:trPr>
        <w:tc>
          <w:tcPr>
            <w:tcW w:w="9752" w:type="dxa"/>
            <w:gridSpan w:val="2"/>
          </w:tcPr>
          <w:p w14:paraId="7BD3BB78" w14:textId="77777777" w:rsidR="003663AF" w:rsidRPr="00B7760C" w:rsidRDefault="003663AF" w:rsidP="00E804B7">
            <w:pPr>
              <w:keepNext/>
            </w:pPr>
          </w:p>
        </w:tc>
      </w:tr>
      <w:tr w:rsidR="003663AF" w:rsidRPr="00B7760C" w14:paraId="5460D436" w14:textId="77777777" w:rsidTr="00E804B7">
        <w:trPr>
          <w:jc w:val="center"/>
        </w:trPr>
        <w:tc>
          <w:tcPr>
            <w:tcW w:w="4876" w:type="dxa"/>
            <w:hideMark/>
          </w:tcPr>
          <w:p w14:paraId="1F5A1615" w14:textId="77777777" w:rsidR="003663AF" w:rsidRPr="00B7760C" w:rsidRDefault="003663AF" w:rsidP="00E804B7">
            <w:pPr>
              <w:pStyle w:val="ColumnHeading"/>
              <w:keepNext/>
            </w:pPr>
            <w:r w:rsidRPr="00B7760C">
              <w:t>Besedilo, ki ga predlaga Komisija</w:t>
            </w:r>
          </w:p>
        </w:tc>
        <w:tc>
          <w:tcPr>
            <w:tcW w:w="4876" w:type="dxa"/>
            <w:hideMark/>
          </w:tcPr>
          <w:p w14:paraId="5E0DD993" w14:textId="0C10C42A" w:rsidR="003663AF" w:rsidRPr="00B7760C" w:rsidRDefault="00877691" w:rsidP="00E804B7">
            <w:pPr>
              <w:pStyle w:val="ColumnHeading"/>
              <w:keepNext/>
            </w:pPr>
            <w:r w:rsidRPr="00B7760C">
              <w:t>Sprememba</w:t>
            </w:r>
          </w:p>
        </w:tc>
      </w:tr>
      <w:tr w:rsidR="003663AF" w:rsidRPr="00B7760C" w14:paraId="4EC88BEB" w14:textId="77777777" w:rsidTr="00E804B7">
        <w:trPr>
          <w:jc w:val="center"/>
        </w:trPr>
        <w:tc>
          <w:tcPr>
            <w:tcW w:w="4876" w:type="dxa"/>
            <w:hideMark/>
          </w:tcPr>
          <w:p w14:paraId="21BA0678" w14:textId="77777777" w:rsidR="003663AF" w:rsidRPr="00B7760C" w:rsidRDefault="003663AF" w:rsidP="00E804B7">
            <w:pPr>
              <w:pStyle w:val="Normal6"/>
            </w:pPr>
            <w:r w:rsidRPr="00B7760C">
              <w:t>6.</w:t>
            </w:r>
            <w:r w:rsidRPr="00B7760C">
              <w:tab/>
              <w:t>Države članice Komisiji vsako leto sporočijo število čebeljih panjev na svojem ozemlju.</w:t>
            </w:r>
          </w:p>
        </w:tc>
        <w:tc>
          <w:tcPr>
            <w:tcW w:w="4876" w:type="dxa"/>
            <w:hideMark/>
          </w:tcPr>
          <w:p w14:paraId="7896DDD1" w14:textId="77777777" w:rsidR="003663AF" w:rsidRPr="00B7760C" w:rsidRDefault="003663AF" w:rsidP="00E804B7">
            <w:pPr>
              <w:pStyle w:val="Normal6"/>
              <w:rPr>
                <w:szCs w:val="24"/>
              </w:rPr>
            </w:pPr>
            <w:r w:rsidRPr="00B7760C">
              <w:t>6.</w:t>
            </w:r>
            <w:r w:rsidRPr="00B7760C">
              <w:tab/>
              <w:t xml:space="preserve">Države članice Komisiji vsako leto sporočijo število čebeljih panjev </w:t>
            </w:r>
            <w:r w:rsidRPr="00B7760C">
              <w:rPr>
                <w:b/>
                <w:i/>
              </w:rPr>
              <w:t xml:space="preserve">in/ali čebeljih kolonij </w:t>
            </w:r>
            <w:r w:rsidRPr="00B7760C">
              <w:t>na svojem ozemlju.</w:t>
            </w:r>
          </w:p>
        </w:tc>
      </w:tr>
    </w:tbl>
    <w:p w14:paraId="7EAC8CE9" w14:textId="77777777" w:rsidR="003663AF" w:rsidRPr="00B7760C" w:rsidRDefault="003663AF" w:rsidP="003663AF"/>
    <w:p w14:paraId="3CA6BEFB" w14:textId="7A424803" w:rsidR="003663AF" w:rsidRPr="00B7760C" w:rsidRDefault="00877691" w:rsidP="003663AF">
      <w:pPr>
        <w:pStyle w:val="AMNumberTabs"/>
        <w:keepNext/>
      </w:pPr>
      <w:r w:rsidRPr="00B7760C">
        <w:t>Sprememba</w:t>
      </w:r>
      <w:r w:rsidR="003663AF" w:rsidRPr="00B7760C">
        <w:tab/>
      </w:r>
      <w:r w:rsidR="003663AF" w:rsidRPr="00B7760C">
        <w:tab/>
        <w:t>332</w:t>
      </w:r>
    </w:p>
    <w:p w14:paraId="63F9723B" w14:textId="77777777" w:rsidR="003663AF" w:rsidRPr="00B7760C" w:rsidRDefault="003663AF" w:rsidP="003663AF">
      <w:pPr>
        <w:pStyle w:val="NormalBold12b"/>
      </w:pPr>
      <w:r w:rsidRPr="00B7760C">
        <w:t>Predlog uredbe</w:t>
      </w:r>
    </w:p>
    <w:p w14:paraId="73A03379" w14:textId="77777777" w:rsidR="003663AF" w:rsidRPr="00B7760C" w:rsidRDefault="003663AF" w:rsidP="003663AF">
      <w:pPr>
        <w:pStyle w:val="NormalBold"/>
      </w:pPr>
      <w:r w:rsidRPr="00B7760C">
        <w:t>Člen 49 – odstavek 6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CBE3F98" w14:textId="77777777" w:rsidTr="00E804B7">
        <w:trPr>
          <w:jc w:val="center"/>
        </w:trPr>
        <w:tc>
          <w:tcPr>
            <w:tcW w:w="9752" w:type="dxa"/>
            <w:gridSpan w:val="2"/>
          </w:tcPr>
          <w:p w14:paraId="63E39454" w14:textId="77777777" w:rsidR="003663AF" w:rsidRPr="00B7760C" w:rsidRDefault="003663AF" w:rsidP="00E804B7">
            <w:pPr>
              <w:keepNext/>
            </w:pPr>
          </w:p>
        </w:tc>
      </w:tr>
      <w:tr w:rsidR="003663AF" w:rsidRPr="00B7760C" w14:paraId="288357CB" w14:textId="77777777" w:rsidTr="00E804B7">
        <w:trPr>
          <w:jc w:val="center"/>
        </w:trPr>
        <w:tc>
          <w:tcPr>
            <w:tcW w:w="4876" w:type="dxa"/>
            <w:hideMark/>
          </w:tcPr>
          <w:p w14:paraId="199A8556" w14:textId="77777777" w:rsidR="003663AF" w:rsidRPr="00B7760C" w:rsidRDefault="003663AF" w:rsidP="00E804B7">
            <w:pPr>
              <w:pStyle w:val="ColumnHeading"/>
              <w:keepNext/>
            </w:pPr>
            <w:r w:rsidRPr="00B7760C">
              <w:t>Besedilo, ki ga predlaga Komisija</w:t>
            </w:r>
          </w:p>
        </w:tc>
        <w:tc>
          <w:tcPr>
            <w:tcW w:w="4876" w:type="dxa"/>
            <w:hideMark/>
          </w:tcPr>
          <w:p w14:paraId="57F9E2EC" w14:textId="0FA4A796" w:rsidR="003663AF" w:rsidRPr="00B7760C" w:rsidRDefault="00877691" w:rsidP="00E804B7">
            <w:pPr>
              <w:pStyle w:val="ColumnHeading"/>
              <w:keepNext/>
            </w:pPr>
            <w:r w:rsidRPr="00B7760C">
              <w:t>Sprememba</w:t>
            </w:r>
          </w:p>
        </w:tc>
      </w:tr>
      <w:tr w:rsidR="003663AF" w:rsidRPr="00B7760C" w14:paraId="6A5FAC4C" w14:textId="77777777" w:rsidTr="00E804B7">
        <w:trPr>
          <w:jc w:val="center"/>
        </w:trPr>
        <w:tc>
          <w:tcPr>
            <w:tcW w:w="4876" w:type="dxa"/>
          </w:tcPr>
          <w:p w14:paraId="51CBDB57" w14:textId="77777777" w:rsidR="003663AF" w:rsidRPr="00B7760C" w:rsidRDefault="003663AF" w:rsidP="00E804B7">
            <w:pPr>
              <w:pStyle w:val="Normal6"/>
            </w:pPr>
          </w:p>
        </w:tc>
        <w:tc>
          <w:tcPr>
            <w:tcW w:w="4876" w:type="dxa"/>
            <w:hideMark/>
          </w:tcPr>
          <w:p w14:paraId="14AA7538" w14:textId="77777777" w:rsidR="003663AF" w:rsidRPr="00B7760C" w:rsidRDefault="003663AF" w:rsidP="00E804B7">
            <w:pPr>
              <w:pStyle w:val="Normal6"/>
              <w:rPr>
                <w:szCs w:val="24"/>
              </w:rPr>
            </w:pPr>
            <w:r w:rsidRPr="00B7760C">
              <w:rPr>
                <w:b/>
                <w:i/>
              </w:rPr>
              <w:t>6a.</w:t>
            </w:r>
            <w:r w:rsidRPr="00B7760C">
              <w:rPr>
                <w:b/>
                <w:i/>
              </w:rPr>
              <w:tab/>
              <w:t>Vse nacionalne programe, odobrene pred … [datum začetka veljavnosti te uredbe], do datuma, predvidenega za njihov zaključek, ureja Uredba (EU) št. 1308/2013.</w:t>
            </w:r>
          </w:p>
        </w:tc>
      </w:tr>
    </w:tbl>
    <w:p w14:paraId="7361E055" w14:textId="77777777" w:rsidR="003663AF" w:rsidRPr="00B7760C" w:rsidRDefault="003663AF" w:rsidP="003663AF"/>
    <w:p w14:paraId="0CE81F55" w14:textId="3ABDD29A" w:rsidR="003663AF" w:rsidRPr="00B7760C" w:rsidRDefault="00877691" w:rsidP="003663AF">
      <w:pPr>
        <w:pStyle w:val="AMNumberTabs"/>
        <w:keepNext/>
      </w:pPr>
      <w:r w:rsidRPr="00B7760C">
        <w:t>Sprememba</w:t>
      </w:r>
      <w:r w:rsidR="003663AF" w:rsidRPr="00B7760C">
        <w:tab/>
      </w:r>
      <w:r w:rsidR="003663AF" w:rsidRPr="00B7760C">
        <w:tab/>
        <w:t>333</w:t>
      </w:r>
    </w:p>
    <w:p w14:paraId="4006BC7F" w14:textId="77777777" w:rsidR="003663AF" w:rsidRPr="00B7760C" w:rsidRDefault="003663AF" w:rsidP="003663AF">
      <w:pPr>
        <w:pStyle w:val="NormalBold12b"/>
      </w:pPr>
      <w:r w:rsidRPr="00B7760C">
        <w:t>Predlog uredbe</w:t>
      </w:r>
    </w:p>
    <w:p w14:paraId="5D7A2BF4" w14:textId="77777777" w:rsidR="003663AF" w:rsidRPr="00B7760C" w:rsidRDefault="003663AF" w:rsidP="003663AF">
      <w:pPr>
        <w:pStyle w:val="NormalBold"/>
      </w:pPr>
      <w:r w:rsidRPr="00B7760C">
        <w:t>Člen 50 – odstavek 1 – uvodni del</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CCD0D1D" w14:textId="77777777" w:rsidTr="00E804B7">
        <w:trPr>
          <w:jc w:val="center"/>
        </w:trPr>
        <w:tc>
          <w:tcPr>
            <w:tcW w:w="9752" w:type="dxa"/>
            <w:gridSpan w:val="2"/>
          </w:tcPr>
          <w:p w14:paraId="32F504FC" w14:textId="77777777" w:rsidR="003663AF" w:rsidRPr="00B7760C" w:rsidRDefault="003663AF" w:rsidP="00E804B7">
            <w:pPr>
              <w:keepNext/>
            </w:pPr>
          </w:p>
        </w:tc>
      </w:tr>
      <w:tr w:rsidR="003663AF" w:rsidRPr="00B7760C" w14:paraId="3861EED9" w14:textId="77777777" w:rsidTr="00E804B7">
        <w:trPr>
          <w:jc w:val="center"/>
        </w:trPr>
        <w:tc>
          <w:tcPr>
            <w:tcW w:w="4876" w:type="dxa"/>
            <w:hideMark/>
          </w:tcPr>
          <w:p w14:paraId="617CFC02" w14:textId="77777777" w:rsidR="003663AF" w:rsidRPr="00B7760C" w:rsidRDefault="003663AF" w:rsidP="00E804B7">
            <w:pPr>
              <w:pStyle w:val="ColumnHeading"/>
              <w:keepNext/>
            </w:pPr>
            <w:r w:rsidRPr="00B7760C">
              <w:t>Besedilo, ki ga predlaga Komisija</w:t>
            </w:r>
          </w:p>
        </w:tc>
        <w:tc>
          <w:tcPr>
            <w:tcW w:w="4876" w:type="dxa"/>
            <w:hideMark/>
          </w:tcPr>
          <w:p w14:paraId="12DCB6EA" w14:textId="1F451EC3" w:rsidR="003663AF" w:rsidRPr="00B7760C" w:rsidRDefault="00877691" w:rsidP="00E804B7">
            <w:pPr>
              <w:pStyle w:val="ColumnHeading"/>
              <w:keepNext/>
            </w:pPr>
            <w:r w:rsidRPr="00B7760C">
              <w:t>Sprememba</w:t>
            </w:r>
          </w:p>
        </w:tc>
      </w:tr>
      <w:tr w:rsidR="003663AF" w:rsidRPr="00B7760C" w14:paraId="056B397B" w14:textId="77777777" w:rsidTr="00E804B7">
        <w:trPr>
          <w:jc w:val="center"/>
        </w:trPr>
        <w:tc>
          <w:tcPr>
            <w:tcW w:w="4876" w:type="dxa"/>
          </w:tcPr>
          <w:p w14:paraId="2014CB62" w14:textId="77777777" w:rsidR="003663AF" w:rsidRPr="00B7760C" w:rsidRDefault="003663AF" w:rsidP="00E804B7">
            <w:pPr>
              <w:pStyle w:val="Normal6"/>
            </w:pPr>
            <w:r w:rsidRPr="00B7760C">
              <w:t>Na Komisijo se prenese pooblastilo za sprejemanje delegiranih aktov v skladu s členom 138 za dopolnitev te uredbe z zahtevami poleg zahtev iz tega oddelka o:</w:t>
            </w:r>
          </w:p>
        </w:tc>
        <w:tc>
          <w:tcPr>
            <w:tcW w:w="4876" w:type="dxa"/>
          </w:tcPr>
          <w:p w14:paraId="58CB2C31" w14:textId="77777777" w:rsidR="003663AF" w:rsidRPr="00B7760C" w:rsidRDefault="003663AF" w:rsidP="00E804B7">
            <w:pPr>
              <w:pStyle w:val="Normal6"/>
              <w:rPr>
                <w:szCs w:val="24"/>
              </w:rPr>
            </w:pPr>
            <w:r w:rsidRPr="00B7760C">
              <w:rPr>
                <w:i/>
              </w:rPr>
              <w:t>(Ne zadeva slovenske različice.)</w:t>
            </w:r>
          </w:p>
        </w:tc>
      </w:tr>
    </w:tbl>
    <w:p w14:paraId="087ED15E" w14:textId="77777777" w:rsidR="003663AF" w:rsidRPr="00B7760C" w:rsidRDefault="003663AF" w:rsidP="003663AF">
      <w:pPr>
        <w:pStyle w:val="Normal6"/>
      </w:pPr>
    </w:p>
    <w:p w14:paraId="0432BFEB" w14:textId="29759736" w:rsidR="003663AF" w:rsidRPr="00B7760C" w:rsidRDefault="00877691" w:rsidP="003663AF">
      <w:pPr>
        <w:pStyle w:val="AMNumberTabs"/>
        <w:keepNext/>
      </w:pPr>
      <w:r w:rsidRPr="00B7760C">
        <w:t>Sprememba</w:t>
      </w:r>
      <w:r w:rsidR="003663AF" w:rsidRPr="00B7760C">
        <w:tab/>
      </w:r>
      <w:r w:rsidR="003663AF" w:rsidRPr="00B7760C">
        <w:tab/>
        <w:t>334</w:t>
      </w:r>
    </w:p>
    <w:p w14:paraId="29F959C3" w14:textId="77777777" w:rsidR="003663AF" w:rsidRPr="00B7760C" w:rsidRDefault="003663AF" w:rsidP="003663AF">
      <w:pPr>
        <w:pStyle w:val="NormalBold12b"/>
      </w:pPr>
      <w:r w:rsidRPr="00B7760C">
        <w:t>Predlog uredbe</w:t>
      </w:r>
    </w:p>
    <w:p w14:paraId="5DF55AF1" w14:textId="77777777" w:rsidR="003663AF" w:rsidRPr="00B7760C" w:rsidRDefault="003663AF" w:rsidP="003663AF">
      <w:pPr>
        <w:pStyle w:val="NormalBold"/>
      </w:pPr>
      <w:r w:rsidRPr="00B7760C">
        <w:t>Člen 50 – odstavek 1 – točka 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F1E1914" w14:textId="77777777" w:rsidTr="00E804B7">
        <w:trPr>
          <w:jc w:val="center"/>
        </w:trPr>
        <w:tc>
          <w:tcPr>
            <w:tcW w:w="9752" w:type="dxa"/>
            <w:gridSpan w:val="2"/>
          </w:tcPr>
          <w:p w14:paraId="28AEA5DF" w14:textId="77777777" w:rsidR="003663AF" w:rsidRPr="00B7760C" w:rsidRDefault="003663AF" w:rsidP="00E804B7">
            <w:pPr>
              <w:keepNext/>
            </w:pPr>
          </w:p>
        </w:tc>
      </w:tr>
      <w:tr w:rsidR="003663AF" w:rsidRPr="00B7760C" w14:paraId="240C4AFF" w14:textId="77777777" w:rsidTr="00E804B7">
        <w:trPr>
          <w:jc w:val="center"/>
        </w:trPr>
        <w:tc>
          <w:tcPr>
            <w:tcW w:w="4876" w:type="dxa"/>
            <w:hideMark/>
          </w:tcPr>
          <w:p w14:paraId="50B4EF87" w14:textId="77777777" w:rsidR="003663AF" w:rsidRPr="00B7760C" w:rsidRDefault="003663AF" w:rsidP="00E804B7">
            <w:pPr>
              <w:pStyle w:val="ColumnHeading"/>
              <w:keepNext/>
            </w:pPr>
            <w:r w:rsidRPr="00B7760C">
              <w:t>Besedilo, ki ga predlaga Komisija</w:t>
            </w:r>
          </w:p>
        </w:tc>
        <w:tc>
          <w:tcPr>
            <w:tcW w:w="4876" w:type="dxa"/>
            <w:hideMark/>
          </w:tcPr>
          <w:p w14:paraId="4855F106" w14:textId="1F36B6CE" w:rsidR="003663AF" w:rsidRPr="00B7760C" w:rsidRDefault="00877691" w:rsidP="00E804B7">
            <w:pPr>
              <w:pStyle w:val="ColumnHeading"/>
              <w:keepNext/>
            </w:pPr>
            <w:r w:rsidRPr="00B7760C">
              <w:t>Sprememba</w:t>
            </w:r>
          </w:p>
        </w:tc>
      </w:tr>
      <w:tr w:rsidR="003663AF" w:rsidRPr="00B7760C" w14:paraId="04A92F3A" w14:textId="77777777" w:rsidTr="00E804B7">
        <w:trPr>
          <w:jc w:val="center"/>
        </w:trPr>
        <w:tc>
          <w:tcPr>
            <w:tcW w:w="4876" w:type="dxa"/>
            <w:hideMark/>
          </w:tcPr>
          <w:p w14:paraId="06A5EDFC" w14:textId="77777777" w:rsidR="003663AF" w:rsidRPr="00B7760C" w:rsidRDefault="003663AF" w:rsidP="00E804B7">
            <w:pPr>
              <w:pStyle w:val="Normal6"/>
            </w:pPr>
            <w:r w:rsidRPr="00B7760C">
              <w:t>(a)</w:t>
            </w:r>
            <w:r w:rsidRPr="00B7760C">
              <w:tab/>
              <w:t>obveznosti držav članic, da Komisiji vsako leto sporočijo število čebeljih panjev na svojem ozemlju v skladu s členom 49(6);</w:t>
            </w:r>
          </w:p>
        </w:tc>
        <w:tc>
          <w:tcPr>
            <w:tcW w:w="4876" w:type="dxa"/>
            <w:hideMark/>
          </w:tcPr>
          <w:p w14:paraId="26A78BC1" w14:textId="77777777" w:rsidR="003663AF" w:rsidRPr="00B7760C" w:rsidRDefault="003663AF" w:rsidP="00E804B7">
            <w:pPr>
              <w:pStyle w:val="Normal6"/>
              <w:rPr>
                <w:szCs w:val="24"/>
              </w:rPr>
            </w:pPr>
            <w:r w:rsidRPr="00B7760C">
              <w:t>(a)</w:t>
            </w:r>
            <w:r w:rsidRPr="00B7760C">
              <w:tab/>
              <w:t xml:space="preserve">obveznosti držav članic, da Komisiji vsako leto sporočijo število čebeljih panjev </w:t>
            </w:r>
            <w:r w:rsidRPr="00B7760C">
              <w:rPr>
                <w:b/>
                <w:i/>
              </w:rPr>
              <w:t xml:space="preserve">in/ali čebeljih kolonij </w:t>
            </w:r>
            <w:r w:rsidRPr="00B7760C">
              <w:t>na svojem ozemlju v skladu s členom 49(6);</w:t>
            </w:r>
          </w:p>
        </w:tc>
      </w:tr>
    </w:tbl>
    <w:p w14:paraId="69857BD1" w14:textId="77777777" w:rsidR="003663AF" w:rsidRPr="00B7760C" w:rsidRDefault="003663AF" w:rsidP="003663AF"/>
    <w:p w14:paraId="40EBE029" w14:textId="110FBB8E" w:rsidR="003663AF" w:rsidRPr="00B7760C" w:rsidRDefault="00877691" w:rsidP="003663AF">
      <w:pPr>
        <w:pStyle w:val="AMNumberTabs"/>
        <w:keepNext/>
      </w:pPr>
      <w:r w:rsidRPr="00B7760C">
        <w:t>Sprememba</w:t>
      </w:r>
      <w:r w:rsidR="003663AF" w:rsidRPr="00B7760C">
        <w:tab/>
      </w:r>
      <w:r w:rsidR="003663AF" w:rsidRPr="00B7760C">
        <w:tab/>
        <w:t>335</w:t>
      </w:r>
    </w:p>
    <w:p w14:paraId="34035991" w14:textId="77777777" w:rsidR="003663AF" w:rsidRPr="00B7760C" w:rsidRDefault="003663AF" w:rsidP="003663AF">
      <w:pPr>
        <w:pStyle w:val="NormalBold12b"/>
      </w:pPr>
      <w:r w:rsidRPr="00B7760C">
        <w:t>Predlog uredbe</w:t>
      </w:r>
    </w:p>
    <w:p w14:paraId="7F8FCCE3" w14:textId="77777777" w:rsidR="003663AF" w:rsidRPr="00B7760C" w:rsidRDefault="003663AF" w:rsidP="003663AF">
      <w:pPr>
        <w:pStyle w:val="NormalBold"/>
      </w:pPr>
      <w:r w:rsidRPr="00B7760C">
        <w:t>Člen 50 – odstavek 1 – točka b</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DA35747" w14:textId="77777777" w:rsidTr="00E804B7">
        <w:trPr>
          <w:jc w:val="center"/>
        </w:trPr>
        <w:tc>
          <w:tcPr>
            <w:tcW w:w="9752" w:type="dxa"/>
            <w:gridSpan w:val="2"/>
          </w:tcPr>
          <w:p w14:paraId="4AB43007" w14:textId="77777777" w:rsidR="003663AF" w:rsidRPr="00B7760C" w:rsidRDefault="003663AF" w:rsidP="00E804B7">
            <w:pPr>
              <w:keepNext/>
            </w:pPr>
          </w:p>
        </w:tc>
      </w:tr>
      <w:tr w:rsidR="003663AF" w:rsidRPr="00B7760C" w14:paraId="5839FDC3" w14:textId="77777777" w:rsidTr="00E804B7">
        <w:trPr>
          <w:jc w:val="center"/>
        </w:trPr>
        <w:tc>
          <w:tcPr>
            <w:tcW w:w="4876" w:type="dxa"/>
            <w:hideMark/>
          </w:tcPr>
          <w:p w14:paraId="7E583DB8" w14:textId="77777777" w:rsidR="003663AF" w:rsidRPr="00B7760C" w:rsidRDefault="003663AF" w:rsidP="00E804B7">
            <w:pPr>
              <w:pStyle w:val="ColumnHeading"/>
              <w:keepNext/>
            </w:pPr>
            <w:r w:rsidRPr="00B7760C">
              <w:t>Besedilo, ki ga predlaga Komisija</w:t>
            </w:r>
          </w:p>
        </w:tc>
        <w:tc>
          <w:tcPr>
            <w:tcW w:w="4876" w:type="dxa"/>
            <w:hideMark/>
          </w:tcPr>
          <w:p w14:paraId="1A44B0A9" w14:textId="239AEB56" w:rsidR="003663AF" w:rsidRPr="00B7760C" w:rsidRDefault="00877691" w:rsidP="00E804B7">
            <w:pPr>
              <w:pStyle w:val="ColumnHeading"/>
              <w:keepNext/>
            </w:pPr>
            <w:r w:rsidRPr="00B7760C">
              <w:t>Sprememba</w:t>
            </w:r>
          </w:p>
        </w:tc>
      </w:tr>
      <w:tr w:rsidR="003663AF" w:rsidRPr="00B7760C" w14:paraId="7567189B" w14:textId="77777777" w:rsidTr="00E804B7">
        <w:trPr>
          <w:jc w:val="center"/>
        </w:trPr>
        <w:tc>
          <w:tcPr>
            <w:tcW w:w="4876" w:type="dxa"/>
            <w:hideMark/>
          </w:tcPr>
          <w:p w14:paraId="43C90EC9" w14:textId="77777777" w:rsidR="003663AF" w:rsidRPr="00B7760C" w:rsidRDefault="003663AF" w:rsidP="00E804B7">
            <w:pPr>
              <w:pStyle w:val="Normal6"/>
            </w:pPr>
            <w:r w:rsidRPr="00B7760C">
              <w:t>(b)</w:t>
            </w:r>
            <w:r w:rsidRPr="00B7760C">
              <w:tab/>
              <w:t>opredelitvi čebeljega panja in metod za izračun števila čebeljih panjev;</w:t>
            </w:r>
          </w:p>
        </w:tc>
        <w:tc>
          <w:tcPr>
            <w:tcW w:w="4876" w:type="dxa"/>
            <w:hideMark/>
          </w:tcPr>
          <w:p w14:paraId="134912E8" w14:textId="77777777" w:rsidR="003663AF" w:rsidRPr="00B7760C" w:rsidRDefault="003663AF" w:rsidP="00E804B7">
            <w:pPr>
              <w:pStyle w:val="Normal6"/>
              <w:rPr>
                <w:szCs w:val="24"/>
              </w:rPr>
            </w:pPr>
            <w:r w:rsidRPr="00B7760C">
              <w:t>(b)</w:t>
            </w:r>
            <w:r w:rsidRPr="00B7760C">
              <w:tab/>
              <w:t>opredelitvi čebeljega panja in metod za izračun števila čebeljih panjev</w:t>
            </w:r>
            <w:r w:rsidRPr="00B7760C">
              <w:rPr>
                <w:b/>
                <w:i/>
              </w:rPr>
              <w:t xml:space="preserve"> in kolonij</w:t>
            </w:r>
            <w:r w:rsidRPr="00B7760C">
              <w:t>;</w:t>
            </w:r>
          </w:p>
        </w:tc>
      </w:tr>
    </w:tbl>
    <w:p w14:paraId="0F27F9B5" w14:textId="77777777" w:rsidR="003663AF" w:rsidRPr="00B7760C" w:rsidRDefault="003663AF" w:rsidP="003663AF"/>
    <w:p w14:paraId="0BA350ED" w14:textId="0943174A" w:rsidR="003663AF" w:rsidRPr="00B7760C" w:rsidRDefault="00877691" w:rsidP="003663AF">
      <w:pPr>
        <w:pStyle w:val="AMNumberTabs"/>
        <w:keepNext/>
      </w:pPr>
      <w:r w:rsidRPr="00B7760C">
        <w:t>Sprememba</w:t>
      </w:r>
      <w:r w:rsidR="003663AF" w:rsidRPr="00B7760C">
        <w:tab/>
      </w:r>
      <w:r w:rsidR="003663AF" w:rsidRPr="00B7760C">
        <w:tab/>
        <w:t>336</w:t>
      </w:r>
    </w:p>
    <w:p w14:paraId="1364421B" w14:textId="77777777" w:rsidR="003663AF" w:rsidRPr="00B7760C" w:rsidRDefault="003663AF" w:rsidP="003663AF">
      <w:pPr>
        <w:pStyle w:val="NormalBold12b"/>
      </w:pPr>
      <w:r w:rsidRPr="00B7760C">
        <w:t>Predlog uredbe</w:t>
      </w:r>
    </w:p>
    <w:p w14:paraId="0848CD85" w14:textId="77777777" w:rsidR="003663AF" w:rsidRPr="00B7760C" w:rsidRDefault="003663AF" w:rsidP="003663AF">
      <w:pPr>
        <w:pStyle w:val="NormalBold"/>
      </w:pPr>
      <w:r w:rsidRPr="00B7760C">
        <w:t>Člen 51 – odstavek 1 – uvodni del</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0739AAC" w14:textId="77777777" w:rsidTr="00E804B7">
        <w:trPr>
          <w:jc w:val="center"/>
        </w:trPr>
        <w:tc>
          <w:tcPr>
            <w:tcW w:w="9752" w:type="dxa"/>
            <w:gridSpan w:val="2"/>
          </w:tcPr>
          <w:p w14:paraId="6C011445" w14:textId="77777777" w:rsidR="003663AF" w:rsidRPr="00B7760C" w:rsidRDefault="003663AF" w:rsidP="00E804B7">
            <w:pPr>
              <w:keepNext/>
            </w:pPr>
          </w:p>
        </w:tc>
      </w:tr>
      <w:tr w:rsidR="003663AF" w:rsidRPr="00B7760C" w14:paraId="33801FC2" w14:textId="77777777" w:rsidTr="00E804B7">
        <w:trPr>
          <w:jc w:val="center"/>
        </w:trPr>
        <w:tc>
          <w:tcPr>
            <w:tcW w:w="4876" w:type="dxa"/>
            <w:hideMark/>
          </w:tcPr>
          <w:p w14:paraId="6E0178D8" w14:textId="77777777" w:rsidR="003663AF" w:rsidRPr="00B7760C" w:rsidRDefault="003663AF" w:rsidP="00E804B7">
            <w:pPr>
              <w:pStyle w:val="ColumnHeading"/>
              <w:keepNext/>
            </w:pPr>
            <w:r w:rsidRPr="00B7760C">
              <w:t>Besedilo, ki ga predlaga Komisija</w:t>
            </w:r>
          </w:p>
        </w:tc>
        <w:tc>
          <w:tcPr>
            <w:tcW w:w="4876" w:type="dxa"/>
            <w:hideMark/>
          </w:tcPr>
          <w:p w14:paraId="4985F7CC" w14:textId="6DE12B93" w:rsidR="003663AF" w:rsidRPr="00B7760C" w:rsidRDefault="00877691" w:rsidP="00E804B7">
            <w:pPr>
              <w:pStyle w:val="ColumnHeading"/>
              <w:keepNext/>
            </w:pPr>
            <w:r w:rsidRPr="00B7760C">
              <w:t>Sprememba</w:t>
            </w:r>
          </w:p>
        </w:tc>
      </w:tr>
      <w:tr w:rsidR="003663AF" w:rsidRPr="00B7760C" w14:paraId="37C6C2E2" w14:textId="77777777" w:rsidTr="00E804B7">
        <w:trPr>
          <w:jc w:val="center"/>
        </w:trPr>
        <w:tc>
          <w:tcPr>
            <w:tcW w:w="4876" w:type="dxa"/>
            <w:hideMark/>
          </w:tcPr>
          <w:p w14:paraId="554F165D" w14:textId="77777777" w:rsidR="003663AF" w:rsidRPr="00B7760C" w:rsidRDefault="003663AF" w:rsidP="00E804B7">
            <w:pPr>
              <w:pStyle w:val="Normal6"/>
            </w:pPr>
            <w:r w:rsidRPr="00B7760C">
              <w:rPr>
                <w:b/>
                <w:i/>
              </w:rPr>
              <w:t>Države članice si</w:t>
            </w:r>
            <w:r w:rsidRPr="00B7760C">
              <w:t xml:space="preserve"> v vinskem sektorju prizadevajo uresničiti enega ali več naslednjih ciljev:</w:t>
            </w:r>
          </w:p>
        </w:tc>
        <w:tc>
          <w:tcPr>
            <w:tcW w:w="4876" w:type="dxa"/>
            <w:hideMark/>
          </w:tcPr>
          <w:p w14:paraId="5619D32A" w14:textId="77777777" w:rsidR="003663AF" w:rsidRPr="00B7760C" w:rsidRDefault="003663AF" w:rsidP="00E804B7">
            <w:pPr>
              <w:pStyle w:val="Normal6"/>
              <w:rPr>
                <w:szCs w:val="24"/>
              </w:rPr>
            </w:pPr>
            <w:r w:rsidRPr="00B7760C">
              <w:rPr>
                <w:b/>
                <w:i/>
              </w:rPr>
              <w:t>V skladu s členoma 5 in 6 o skupnih ciljih si države članice</w:t>
            </w:r>
            <w:r w:rsidRPr="00B7760C">
              <w:t xml:space="preserve"> v vinskem sektorju prizadevajo uresničiti enega ali več naslednjih ciljev:</w:t>
            </w:r>
          </w:p>
        </w:tc>
      </w:tr>
    </w:tbl>
    <w:p w14:paraId="5F2F1CA9" w14:textId="77777777" w:rsidR="003663AF" w:rsidRPr="00B7760C" w:rsidRDefault="003663AF" w:rsidP="003663AF"/>
    <w:p w14:paraId="2D6B60F4" w14:textId="7251A15B" w:rsidR="003663AF" w:rsidRPr="00B7760C" w:rsidRDefault="00877691" w:rsidP="003663AF">
      <w:pPr>
        <w:pStyle w:val="AMNumberTabs"/>
        <w:keepNext/>
      </w:pPr>
      <w:r w:rsidRPr="00B7760C">
        <w:t>Sprememba</w:t>
      </w:r>
      <w:r w:rsidR="003663AF" w:rsidRPr="00B7760C">
        <w:tab/>
      </w:r>
      <w:r w:rsidR="003663AF" w:rsidRPr="00B7760C">
        <w:tab/>
        <w:t>337</w:t>
      </w:r>
    </w:p>
    <w:p w14:paraId="0B733727" w14:textId="77777777" w:rsidR="003663AF" w:rsidRPr="00B7760C" w:rsidRDefault="003663AF" w:rsidP="003663AF">
      <w:pPr>
        <w:pStyle w:val="NormalBold12b"/>
      </w:pPr>
      <w:r w:rsidRPr="00B7760C">
        <w:t>Predlog uredbe</w:t>
      </w:r>
    </w:p>
    <w:p w14:paraId="5E1783B8" w14:textId="77777777" w:rsidR="003663AF" w:rsidRPr="00B7760C" w:rsidRDefault="003663AF" w:rsidP="003663AF">
      <w:pPr>
        <w:pStyle w:val="NormalBold"/>
      </w:pPr>
      <w:r w:rsidRPr="00B7760C">
        <w:t>Člen 51 – odstavek 1 – točka 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615F3B0" w14:textId="77777777" w:rsidTr="00E804B7">
        <w:trPr>
          <w:jc w:val="center"/>
        </w:trPr>
        <w:tc>
          <w:tcPr>
            <w:tcW w:w="9752" w:type="dxa"/>
            <w:gridSpan w:val="2"/>
          </w:tcPr>
          <w:p w14:paraId="47251EA8" w14:textId="77777777" w:rsidR="003663AF" w:rsidRPr="00B7760C" w:rsidRDefault="003663AF" w:rsidP="00E804B7">
            <w:pPr>
              <w:keepNext/>
            </w:pPr>
          </w:p>
        </w:tc>
      </w:tr>
      <w:tr w:rsidR="003663AF" w:rsidRPr="00B7760C" w14:paraId="21997648" w14:textId="77777777" w:rsidTr="00E804B7">
        <w:trPr>
          <w:jc w:val="center"/>
        </w:trPr>
        <w:tc>
          <w:tcPr>
            <w:tcW w:w="4876" w:type="dxa"/>
            <w:hideMark/>
          </w:tcPr>
          <w:p w14:paraId="43328CEA" w14:textId="77777777" w:rsidR="003663AF" w:rsidRPr="00B7760C" w:rsidRDefault="003663AF" w:rsidP="00E804B7">
            <w:pPr>
              <w:pStyle w:val="ColumnHeading"/>
              <w:keepNext/>
            </w:pPr>
            <w:r w:rsidRPr="00B7760C">
              <w:t>Besedilo, ki ga predlaga Komisija</w:t>
            </w:r>
          </w:p>
        </w:tc>
        <w:tc>
          <w:tcPr>
            <w:tcW w:w="4876" w:type="dxa"/>
            <w:hideMark/>
          </w:tcPr>
          <w:p w14:paraId="0554CF18" w14:textId="40A8231C" w:rsidR="003663AF" w:rsidRPr="00B7760C" w:rsidRDefault="00877691" w:rsidP="00E804B7">
            <w:pPr>
              <w:pStyle w:val="ColumnHeading"/>
              <w:keepNext/>
            </w:pPr>
            <w:r w:rsidRPr="00B7760C">
              <w:t>Sprememba</w:t>
            </w:r>
          </w:p>
        </w:tc>
      </w:tr>
      <w:tr w:rsidR="003663AF" w:rsidRPr="00B7760C" w14:paraId="0F487F73" w14:textId="77777777" w:rsidTr="00E804B7">
        <w:trPr>
          <w:jc w:val="center"/>
        </w:trPr>
        <w:tc>
          <w:tcPr>
            <w:tcW w:w="4876" w:type="dxa"/>
            <w:hideMark/>
          </w:tcPr>
          <w:p w14:paraId="175B623A" w14:textId="77777777" w:rsidR="003663AF" w:rsidRPr="00B7760C" w:rsidRDefault="003663AF" w:rsidP="00E804B7">
            <w:pPr>
              <w:pStyle w:val="Normal6"/>
            </w:pPr>
            <w:r w:rsidRPr="00B7760C">
              <w:t>(a)</w:t>
            </w:r>
            <w:r w:rsidRPr="00B7760C">
              <w:tab/>
              <w:t xml:space="preserve">izboljšati </w:t>
            </w:r>
            <w:r w:rsidRPr="00B7760C">
              <w:rPr>
                <w:b/>
                <w:i/>
              </w:rPr>
              <w:t>konkurenčnost proizvajalcev vina Unije, vključno s prispevanjem k izboljšanju sistemov trajnostne proizvodnje</w:t>
            </w:r>
            <w:r w:rsidRPr="00B7760C">
              <w:t xml:space="preserve"> in </w:t>
            </w:r>
            <w:r w:rsidRPr="00B7760C">
              <w:rPr>
                <w:b/>
                <w:i/>
              </w:rPr>
              <w:t>zmanjšanju vpliva vinskega sektorja</w:t>
            </w:r>
            <w:r w:rsidRPr="00B7760C">
              <w:t xml:space="preserve"> Unije </w:t>
            </w:r>
            <w:r w:rsidRPr="00B7760C">
              <w:rPr>
                <w:b/>
                <w:i/>
              </w:rPr>
              <w:t>na okolje; ta cilj se nanaša na specifične cilje iz točk od</w:t>
            </w:r>
            <w:r w:rsidRPr="00B7760C">
              <w:t xml:space="preserve"> (</w:t>
            </w:r>
            <w:r w:rsidRPr="00B7760C">
              <w:rPr>
                <w:b/>
                <w:i/>
              </w:rPr>
              <w:t>b</w:t>
            </w:r>
            <w:r w:rsidRPr="00B7760C">
              <w:t>)</w:t>
            </w:r>
            <w:r w:rsidRPr="00B7760C">
              <w:rPr>
                <w:b/>
                <w:i/>
              </w:rPr>
              <w:t xml:space="preserve"> do</w:t>
            </w:r>
            <w:r w:rsidRPr="00B7760C">
              <w:t xml:space="preserve"> (</w:t>
            </w:r>
            <w:r w:rsidRPr="00B7760C">
              <w:rPr>
                <w:b/>
                <w:i/>
              </w:rPr>
              <w:t>f</w:t>
            </w:r>
            <w:r w:rsidRPr="00B7760C">
              <w:t xml:space="preserve">) in </w:t>
            </w:r>
            <w:r w:rsidRPr="00B7760C">
              <w:rPr>
                <w:b/>
                <w:i/>
              </w:rPr>
              <w:t>(h) člena 6(1);</w:t>
            </w:r>
          </w:p>
        </w:tc>
        <w:tc>
          <w:tcPr>
            <w:tcW w:w="4876" w:type="dxa"/>
            <w:hideMark/>
          </w:tcPr>
          <w:p w14:paraId="27D41C25" w14:textId="77777777" w:rsidR="003663AF" w:rsidRPr="00B7760C" w:rsidRDefault="003663AF" w:rsidP="00E804B7">
            <w:pPr>
              <w:pStyle w:val="Normal6"/>
              <w:rPr>
                <w:szCs w:val="24"/>
              </w:rPr>
            </w:pPr>
            <w:r w:rsidRPr="00B7760C">
              <w:t>(a)</w:t>
            </w:r>
            <w:r w:rsidRPr="00B7760C">
              <w:tab/>
              <w:t xml:space="preserve">izboljšati </w:t>
            </w:r>
            <w:r w:rsidRPr="00B7760C">
              <w:rPr>
                <w:b/>
                <w:i/>
              </w:rPr>
              <w:t>gospodarsko trajnost</w:t>
            </w:r>
            <w:r w:rsidRPr="00B7760C">
              <w:t xml:space="preserve"> in </w:t>
            </w:r>
            <w:r w:rsidRPr="00B7760C">
              <w:rPr>
                <w:b/>
                <w:i/>
              </w:rPr>
              <w:t>konkurenčnost proizvajalcev vina</w:t>
            </w:r>
            <w:r w:rsidRPr="00B7760C">
              <w:t xml:space="preserve"> Unije </w:t>
            </w:r>
            <w:r w:rsidRPr="00B7760C">
              <w:rPr>
                <w:b/>
                <w:i/>
              </w:rPr>
              <w:t>v skladu s točkami</w:t>
            </w:r>
            <w:r w:rsidRPr="00B7760C">
              <w:t xml:space="preserve"> (</w:t>
            </w:r>
            <w:r w:rsidRPr="00B7760C">
              <w:rPr>
                <w:b/>
                <w:i/>
              </w:rPr>
              <w:t>a</w:t>
            </w:r>
            <w:r w:rsidRPr="00B7760C">
              <w:t>)</w:t>
            </w:r>
            <w:r w:rsidRPr="00B7760C">
              <w:rPr>
                <w:b/>
                <w:i/>
              </w:rPr>
              <w:t>,</w:t>
            </w:r>
            <w:r w:rsidRPr="00B7760C">
              <w:t xml:space="preserve"> (</w:t>
            </w:r>
            <w:r w:rsidRPr="00B7760C">
              <w:rPr>
                <w:b/>
                <w:i/>
              </w:rPr>
              <w:t>b</w:t>
            </w:r>
            <w:r w:rsidRPr="00B7760C">
              <w:t>) in</w:t>
            </w:r>
            <w:r w:rsidRPr="00B7760C">
              <w:rPr>
                <w:b/>
                <w:i/>
              </w:rPr>
              <w:t xml:space="preserve"> </w:t>
            </w:r>
            <w:r w:rsidRPr="00B7760C">
              <w:t>člena 6(1);</w:t>
            </w:r>
          </w:p>
        </w:tc>
      </w:tr>
    </w:tbl>
    <w:p w14:paraId="6B4E279B" w14:textId="77777777" w:rsidR="003663AF" w:rsidRPr="00B7760C" w:rsidRDefault="003663AF" w:rsidP="003663AF"/>
    <w:p w14:paraId="3052546E" w14:textId="0D57B72D" w:rsidR="003663AF" w:rsidRPr="00B7760C" w:rsidRDefault="00877691" w:rsidP="003663AF">
      <w:pPr>
        <w:pStyle w:val="AMNumberTabs"/>
        <w:keepNext/>
      </w:pPr>
      <w:r w:rsidRPr="00B7760C">
        <w:t>Sprememba</w:t>
      </w:r>
      <w:r w:rsidR="003663AF" w:rsidRPr="00B7760C">
        <w:tab/>
      </w:r>
      <w:r w:rsidR="003663AF" w:rsidRPr="00B7760C">
        <w:tab/>
        <w:t>338</w:t>
      </w:r>
    </w:p>
    <w:p w14:paraId="617DC1D2" w14:textId="77777777" w:rsidR="003663AF" w:rsidRPr="00B7760C" w:rsidRDefault="003663AF" w:rsidP="003663AF">
      <w:pPr>
        <w:pStyle w:val="NormalBold12b"/>
      </w:pPr>
      <w:r w:rsidRPr="00B7760C">
        <w:t>Predlog uredbe</w:t>
      </w:r>
    </w:p>
    <w:p w14:paraId="30818888" w14:textId="77777777" w:rsidR="003663AF" w:rsidRPr="00B7760C" w:rsidRDefault="003663AF" w:rsidP="003663AF">
      <w:pPr>
        <w:pStyle w:val="NormalBold"/>
      </w:pPr>
      <w:r w:rsidRPr="00B7760C">
        <w:t>Člen 51 – odstavek 1 – točka a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05D63B9" w14:textId="77777777" w:rsidTr="00E804B7">
        <w:trPr>
          <w:jc w:val="center"/>
        </w:trPr>
        <w:tc>
          <w:tcPr>
            <w:tcW w:w="9752" w:type="dxa"/>
            <w:gridSpan w:val="2"/>
          </w:tcPr>
          <w:p w14:paraId="745F8AD1" w14:textId="77777777" w:rsidR="003663AF" w:rsidRPr="00B7760C" w:rsidRDefault="003663AF" w:rsidP="00E804B7">
            <w:pPr>
              <w:keepNext/>
            </w:pPr>
          </w:p>
        </w:tc>
      </w:tr>
      <w:tr w:rsidR="003663AF" w:rsidRPr="00B7760C" w14:paraId="1BA4ABD7" w14:textId="77777777" w:rsidTr="00E804B7">
        <w:trPr>
          <w:jc w:val="center"/>
        </w:trPr>
        <w:tc>
          <w:tcPr>
            <w:tcW w:w="4876" w:type="dxa"/>
            <w:hideMark/>
          </w:tcPr>
          <w:p w14:paraId="69C763FB" w14:textId="77777777" w:rsidR="003663AF" w:rsidRPr="00B7760C" w:rsidRDefault="003663AF" w:rsidP="00E804B7">
            <w:pPr>
              <w:pStyle w:val="ColumnHeading"/>
              <w:keepNext/>
            </w:pPr>
            <w:r w:rsidRPr="00B7760C">
              <w:t>Besedilo, ki ga predlaga Komisija</w:t>
            </w:r>
          </w:p>
        </w:tc>
        <w:tc>
          <w:tcPr>
            <w:tcW w:w="4876" w:type="dxa"/>
            <w:hideMark/>
          </w:tcPr>
          <w:p w14:paraId="215381BB" w14:textId="791AF031" w:rsidR="003663AF" w:rsidRPr="00B7760C" w:rsidRDefault="00877691" w:rsidP="00E804B7">
            <w:pPr>
              <w:pStyle w:val="ColumnHeading"/>
              <w:keepNext/>
            </w:pPr>
            <w:r w:rsidRPr="00B7760C">
              <w:t>Sprememba</w:t>
            </w:r>
          </w:p>
        </w:tc>
      </w:tr>
      <w:tr w:rsidR="003663AF" w:rsidRPr="00B7760C" w14:paraId="09B2CDA5" w14:textId="77777777" w:rsidTr="00E804B7">
        <w:trPr>
          <w:jc w:val="center"/>
        </w:trPr>
        <w:tc>
          <w:tcPr>
            <w:tcW w:w="4876" w:type="dxa"/>
          </w:tcPr>
          <w:p w14:paraId="176126D5" w14:textId="77777777" w:rsidR="003663AF" w:rsidRPr="00B7760C" w:rsidRDefault="003663AF" w:rsidP="00E804B7">
            <w:pPr>
              <w:pStyle w:val="Normal6"/>
            </w:pPr>
          </w:p>
        </w:tc>
        <w:tc>
          <w:tcPr>
            <w:tcW w:w="4876" w:type="dxa"/>
            <w:hideMark/>
          </w:tcPr>
          <w:p w14:paraId="051B770C" w14:textId="77777777" w:rsidR="003663AF" w:rsidRPr="00B7760C" w:rsidRDefault="003663AF" w:rsidP="00E804B7">
            <w:pPr>
              <w:pStyle w:val="Normal6"/>
              <w:rPr>
                <w:szCs w:val="24"/>
              </w:rPr>
            </w:pPr>
            <w:r w:rsidRPr="00B7760C">
              <w:rPr>
                <w:b/>
                <w:i/>
              </w:rPr>
              <w:t>(aa)</w:t>
            </w:r>
            <w:r w:rsidRPr="00B7760C">
              <w:rPr>
                <w:b/>
                <w:i/>
              </w:rPr>
              <w:tab/>
              <w:t>prispevati k blažitvi podnebnih sprememb in prilagajanju nanje, k izboljšanju sistemov trajnostne proizvodnje in zmanjšanju vpliva vinskega sektorja Unije na okolje, tudi s podporo vinogradnikom pri zmanjševanju uporabe vložkov in uvajanju bolj okolju prijaznih metod in postopkov gojenja, ter k ohranjanju raznolikosti tradicionalnih sort Unije; ti cilji se nanašajo na specifične cilje iz točk (d), (e) in (f) člena 6(1);</w:t>
            </w:r>
          </w:p>
        </w:tc>
      </w:tr>
    </w:tbl>
    <w:p w14:paraId="2B87F4F4" w14:textId="77777777" w:rsidR="003663AF" w:rsidRPr="00B7760C" w:rsidRDefault="003663AF" w:rsidP="003663AF"/>
    <w:p w14:paraId="19CD0F75" w14:textId="6E5A1049" w:rsidR="003663AF" w:rsidRPr="00B7760C" w:rsidRDefault="00877691" w:rsidP="003663AF">
      <w:pPr>
        <w:pStyle w:val="AMNumberTabs"/>
        <w:keepNext/>
      </w:pPr>
      <w:r w:rsidRPr="00B7760C">
        <w:t>Sprememb</w:t>
      </w:r>
      <w:r w:rsidR="00262443" w:rsidRPr="00B7760C">
        <w:t>i</w:t>
      </w:r>
      <w:r w:rsidR="003663AF" w:rsidRPr="00B7760C">
        <w:tab/>
      </w:r>
      <w:r w:rsidR="003663AF" w:rsidRPr="00B7760C">
        <w:tab/>
        <w:t>339</w:t>
      </w:r>
      <w:r w:rsidR="00262443" w:rsidRPr="00B7760C">
        <w:t xml:space="preserve"> in 820 cp3</w:t>
      </w:r>
    </w:p>
    <w:p w14:paraId="6AD6B4AC" w14:textId="77777777" w:rsidR="003663AF" w:rsidRPr="00B7760C" w:rsidRDefault="003663AF" w:rsidP="003663AF">
      <w:pPr>
        <w:pStyle w:val="NormalBold12b"/>
      </w:pPr>
      <w:r w:rsidRPr="00B7760C">
        <w:t>Predlog uredbe</w:t>
      </w:r>
    </w:p>
    <w:p w14:paraId="49DE1B07" w14:textId="77777777" w:rsidR="003663AF" w:rsidRPr="00B7760C" w:rsidRDefault="003663AF" w:rsidP="003663AF">
      <w:pPr>
        <w:pStyle w:val="NormalBold"/>
      </w:pPr>
      <w:r w:rsidRPr="00B7760C">
        <w:t>Člen 51 – odstavek 1 – točka b</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CA14DA8" w14:textId="77777777" w:rsidTr="00E804B7">
        <w:trPr>
          <w:jc w:val="center"/>
        </w:trPr>
        <w:tc>
          <w:tcPr>
            <w:tcW w:w="9752" w:type="dxa"/>
            <w:gridSpan w:val="2"/>
          </w:tcPr>
          <w:p w14:paraId="68BFAEC9" w14:textId="77777777" w:rsidR="003663AF" w:rsidRPr="00B7760C" w:rsidRDefault="003663AF" w:rsidP="00E804B7">
            <w:pPr>
              <w:keepNext/>
            </w:pPr>
          </w:p>
        </w:tc>
      </w:tr>
      <w:tr w:rsidR="003663AF" w:rsidRPr="00B7760C" w14:paraId="0CC7C93D" w14:textId="77777777" w:rsidTr="00E804B7">
        <w:trPr>
          <w:jc w:val="center"/>
        </w:trPr>
        <w:tc>
          <w:tcPr>
            <w:tcW w:w="4876" w:type="dxa"/>
            <w:hideMark/>
          </w:tcPr>
          <w:p w14:paraId="732CEA70" w14:textId="77777777" w:rsidR="003663AF" w:rsidRPr="00B7760C" w:rsidRDefault="003663AF" w:rsidP="00E804B7">
            <w:pPr>
              <w:pStyle w:val="ColumnHeading"/>
              <w:keepNext/>
            </w:pPr>
            <w:r w:rsidRPr="00B7760C">
              <w:t>Besedilo, ki ga predlaga Komisija</w:t>
            </w:r>
          </w:p>
        </w:tc>
        <w:tc>
          <w:tcPr>
            <w:tcW w:w="4876" w:type="dxa"/>
            <w:hideMark/>
          </w:tcPr>
          <w:p w14:paraId="1D2AC4AC" w14:textId="7F9DE2B1" w:rsidR="003663AF" w:rsidRPr="00B7760C" w:rsidRDefault="00877691" w:rsidP="00E804B7">
            <w:pPr>
              <w:pStyle w:val="ColumnHeading"/>
              <w:keepNext/>
            </w:pPr>
            <w:r w:rsidRPr="00B7760C">
              <w:t>Sprememba</w:t>
            </w:r>
          </w:p>
        </w:tc>
      </w:tr>
      <w:tr w:rsidR="003663AF" w:rsidRPr="00B7760C" w14:paraId="303FDB37" w14:textId="77777777" w:rsidTr="00E804B7">
        <w:trPr>
          <w:jc w:val="center"/>
        </w:trPr>
        <w:tc>
          <w:tcPr>
            <w:tcW w:w="4876" w:type="dxa"/>
            <w:hideMark/>
          </w:tcPr>
          <w:p w14:paraId="677FD8F6" w14:textId="77777777" w:rsidR="003663AF" w:rsidRPr="00B7760C" w:rsidRDefault="003663AF" w:rsidP="00E804B7">
            <w:pPr>
              <w:pStyle w:val="Normal6"/>
            </w:pPr>
            <w:r w:rsidRPr="00B7760C">
              <w:t>(b)</w:t>
            </w:r>
            <w:r w:rsidRPr="00B7760C">
              <w:tab/>
              <w:t>izboljšati uspešnost vinskih podjetij Unije in njihovo prilagajanje povpraševanju na trgu ter povečati njihovo konkurenčnost glede proizvodnje in trženja proizvodov vinske trte, vključno s prihranki energije, splošno energijsko učinkovitostjo in trajnostnimi postopki; ti cilji se nanašajo na specifične cilje iz točk od (a) do (e), (g) in (h) člena 6(1);</w:t>
            </w:r>
          </w:p>
        </w:tc>
        <w:tc>
          <w:tcPr>
            <w:tcW w:w="4876" w:type="dxa"/>
            <w:hideMark/>
          </w:tcPr>
          <w:p w14:paraId="2EB3513A" w14:textId="77777777" w:rsidR="003663AF" w:rsidRPr="00B7760C" w:rsidRDefault="003663AF" w:rsidP="00E804B7">
            <w:pPr>
              <w:pStyle w:val="Normal6"/>
              <w:rPr>
                <w:szCs w:val="24"/>
              </w:rPr>
            </w:pPr>
            <w:r w:rsidRPr="00B7760C">
              <w:t>(b)</w:t>
            </w:r>
            <w:r w:rsidRPr="00B7760C">
              <w:tab/>
              <w:t xml:space="preserve">izboljšati uspešnost vinskih podjetij Unije in njihovo prilagajanje povpraševanju na trgu ter povečati njihovo </w:t>
            </w:r>
            <w:r w:rsidRPr="00B7760C">
              <w:rPr>
                <w:b/>
                <w:i/>
              </w:rPr>
              <w:t xml:space="preserve">dolgoročno </w:t>
            </w:r>
            <w:r w:rsidRPr="00B7760C">
              <w:t>konkurenčnost glede proizvodnje in trženja proizvodov vinske trte, vključno s prihranki energije, splošno energijsko učinkovitostjo in trajnostnimi postopki; ti cilji se nanašajo na specifične cilje iz točk od (a) do (e), (g) in (h) člena 6(1);</w:t>
            </w:r>
          </w:p>
        </w:tc>
      </w:tr>
    </w:tbl>
    <w:p w14:paraId="1CC988DA" w14:textId="77777777" w:rsidR="003663AF" w:rsidRPr="00B7760C" w:rsidRDefault="003663AF" w:rsidP="003663AF"/>
    <w:p w14:paraId="7A93CBB0" w14:textId="670EACB7" w:rsidR="003663AF" w:rsidRPr="00B7760C" w:rsidRDefault="00877691" w:rsidP="003663AF">
      <w:pPr>
        <w:pStyle w:val="AMNumberTabs"/>
        <w:keepNext/>
      </w:pPr>
      <w:r w:rsidRPr="00B7760C">
        <w:t>Sprememba</w:t>
      </w:r>
      <w:r w:rsidR="003663AF" w:rsidRPr="00B7760C">
        <w:tab/>
      </w:r>
      <w:r w:rsidR="003663AF" w:rsidRPr="00B7760C">
        <w:tab/>
        <w:t>340</w:t>
      </w:r>
    </w:p>
    <w:p w14:paraId="12FA1D7F" w14:textId="77777777" w:rsidR="003663AF" w:rsidRPr="00B7760C" w:rsidRDefault="003663AF" w:rsidP="003663AF">
      <w:pPr>
        <w:pStyle w:val="NormalBold12b"/>
      </w:pPr>
      <w:r w:rsidRPr="00B7760C">
        <w:t>Predlog uredbe</w:t>
      </w:r>
    </w:p>
    <w:p w14:paraId="204A3CAC" w14:textId="77777777" w:rsidR="003663AF" w:rsidRPr="00B7760C" w:rsidRDefault="003663AF" w:rsidP="003663AF">
      <w:pPr>
        <w:pStyle w:val="NormalBold"/>
      </w:pPr>
      <w:r w:rsidRPr="00B7760C">
        <w:t>Člen 51 – odstavek 1 – točka c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DC77CBC" w14:textId="77777777" w:rsidTr="00E804B7">
        <w:trPr>
          <w:jc w:val="center"/>
        </w:trPr>
        <w:tc>
          <w:tcPr>
            <w:tcW w:w="9752" w:type="dxa"/>
            <w:gridSpan w:val="2"/>
          </w:tcPr>
          <w:p w14:paraId="5B065A6A" w14:textId="77777777" w:rsidR="003663AF" w:rsidRPr="00B7760C" w:rsidRDefault="003663AF" w:rsidP="00E804B7">
            <w:pPr>
              <w:keepNext/>
            </w:pPr>
          </w:p>
        </w:tc>
      </w:tr>
      <w:tr w:rsidR="003663AF" w:rsidRPr="00B7760C" w14:paraId="51DF1245" w14:textId="77777777" w:rsidTr="00E804B7">
        <w:trPr>
          <w:jc w:val="center"/>
        </w:trPr>
        <w:tc>
          <w:tcPr>
            <w:tcW w:w="4876" w:type="dxa"/>
            <w:hideMark/>
          </w:tcPr>
          <w:p w14:paraId="0909052D" w14:textId="77777777" w:rsidR="003663AF" w:rsidRPr="00B7760C" w:rsidRDefault="003663AF" w:rsidP="00E804B7">
            <w:pPr>
              <w:pStyle w:val="ColumnHeading"/>
              <w:keepNext/>
            </w:pPr>
            <w:r w:rsidRPr="00B7760C">
              <w:t>Besedilo, ki ga predlaga Komisija</w:t>
            </w:r>
          </w:p>
        </w:tc>
        <w:tc>
          <w:tcPr>
            <w:tcW w:w="4876" w:type="dxa"/>
            <w:hideMark/>
          </w:tcPr>
          <w:p w14:paraId="3A1850C3" w14:textId="3904D19B" w:rsidR="003663AF" w:rsidRPr="00B7760C" w:rsidRDefault="00877691" w:rsidP="00E804B7">
            <w:pPr>
              <w:pStyle w:val="ColumnHeading"/>
              <w:keepNext/>
            </w:pPr>
            <w:r w:rsidRPr="00B7760C">
              <w:t>Sprememba</w:t>
            </w:r>
          </w:p>
        </w:tc>
      </w:tr>
      <w:tr w:rsidR="003663AF" w:rsidRPr="00B7760C" w14:paraId="2DC23CBE" w14:textId="77777777" w:rsidTr="00E804B7">
        <w:trPr>
          <w:jc w:val="center"/>
        </w:trPr>
        <w:tc>
          <w:tcPr>
            <w:tcW w:w="4876" w:type="dxa"/>
          </w:tcPr>
          <w:p w14:paraId="75CCBB34" w14:textId="77777777" w:rsidR="003663AF" w:rsidRPr="00B7760C" w:rsidRDefault="003663AF" w:rsidP="00E804B7">
            <w:pPr>
              <w:pStyle w:val="Normal6"/>
            </w:pPr>
          </w:p>
        </w:tc>
        <w:tc>
          <w:tcPr>
            <w:tcW w:w="4876" w:type="dxa"/>
            <w:hideMark/>
          </w:tcPr>
          <w:p w14:paraId="4A36A76F" w14:textId="77777777" w:rsidR="003663AF" w:rsidRPr="00B7760C" w:rsidRDefault="003663AF" w:rsidP="00E804B7">
            <w:pPr>
              <w:pStyle w:val="Normal6"/>
              <w:rPr>
                <w:szCs w:val="24"/>
              </w:rPr>
            </w:pPr>
            <w:r w:rsidRPr="00B7760C">
              <w:rPr>
                <w:b/>
                <w:i/>
              </w:rPr>
              <w:t>(ca)</w:t>
            </w:r>
            <w:r w:rsidRPr="00B7760C">
              <w:rPr>
                <w:b/>
                <w:i/>
              </w:rPr>
              <w:tab/>
              <w:t>za izboljšanje koncentracije ponudbe za gospodarsko uspešnost in strukturiranje sektorja, v skladu s ciljem iz točke (b) člena 6(1);</w:t>
            </w:r>
          </w:p>
        </w:tc>
      </w:tr>
    </w:tbl>
    <w:p w14:paraId="0FA122B0" w14:textId="77777777" w:rsidR="003663AF" w:rsidRPr="00B7760C" w:rsidRDefault="003663AF" w:rsidP="003663AF"/>
    <w:p w14:paraId="33BC6F5D" w14:textId="08E9FB15" w:rsidR="003663AF" w:rsidRPr="00B7760C" w:rsidRDefault="00877691" w:rsidP="003663AF">
      <w:pPr>
        <w:pStyle w:val="AMNumberTabs"/>
        <w:keepNext/>
      </w:pPr>
      <w:r w:rsidRPr="00B7760C">
        <w:t>Sprememba</w:t>
      </w:r>
      <w:r w:rsidR="003663AF" w:rsidRPr="00B7760C">
        <w:tab/>
      </w:r>
      <w:r w:rsidR="003663AF" w:rsidRPr="00B7760C">
        <w:tab/>
        <w:t>341</w:t>
      </w:r>
    </w:p>
    <w:p w14:paraId="5F0909D1" w14:textId="77777777" w:rsidR="003663AF" w:rsidRPr="00B7760C" w:rsidRDefault="003663AF" w:rsidP="003663AF">
      <w:pPr>
        <w:pStyle w:val="NormalBold12b"/>
      </w:pPr>
      <w:r w:rsidRPr="00B7760C">
        <w:t>Predlog uredbe</w:t>
      </w:r>
    </w:p>
    <w:p w14:paraId="78CA7841" w14:textId="77777777" w:rsidR="003663AF" w:rsidRPr="00B7760C" w:rsidRDefault="003663AF" w:rsidP="003663AF">
      <w:pPr>
        <w:pStyle w:val="NormalBold"/>
      </w:pPr>
      <w:r w:rsidRPr="00B7760C">
        <w:t>Člen 51 – odstavek 1 – točka f</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BC527FB" w14:textId="77777777" w:rsidTr="00E804B7">
        <w:trPr>
          <w:jc w:val="center"/>
        </w:trPr>
        <w:tc>
          <w:tcPr>
            <w:tcW w:w="9752" w:type="dxa"/>
            <w:gridSpan w:val="2"/>
          </w:tcPr>
          <w:p w14:paraId="0A7453F2" w14:textId="77777777" w:rsidR="003663AF" w:rsidRPr="00B7760C" w:rsidRDefault="003663AF" w:rsidP="00E804B7">
            <w:pPr>
              <w:keepNext/>
            </w:pPr>
          </w:p>
        </w:tc>
      </w:tr>
      <w:tr w:rsidR="003663AF" w:rsidRPr="00B7760C" w14:paraId="13590D83" w14:textId="77777777" w:rsidTr="00E804B7">
        <w:trPr>
          <w:jc w:val="center"/>
        </w:trPr>
        <w:tc>
          <w:tcPr>
            <w:tcW w:w="4876" w:type="dxa"/>
            <w:hideMark/>
          </w:tcPr>
          <w:p w14:paraId="459BA372" w14:textId="77777777" w:rsidR="003663AF" w:rsidRPr="00B7760C" w:rsidRDefault="003663AF" w:rsidP="00E804B7">
            <w:pPr>
              <w:pStyle w:val="ColumnHeading"/>
              <w:keepNext/>
            </w:pPr>
            <w:r w:rsidRPr="00B7760C">
              <w:t>Besedilo, ki ga predlaga Komisija</w:t>
            </w:r>
          </w:p>
        </w:tc>
        <w:tc>
          <w:tcPr>
            <w:tcW w:w="4876" w:type="dxa"/>
            <w:hideMark/>
          </w:tcPr>
          <w:p w14:paraId="7EDA2F64" w14:textId="13520AF4" w:rsidR="003663AF" w:rsidRPr="00B7760C" w:rsidRDefault="00877691" w:rsidP="00E804B7">
            <w:pPr>
              <w:pStyle w:val="ColumnHeading"/>
              <w:keepNext/>
            </w:pPr>
            <w:r w:rsidRPr="00B7760C">
              <w:t>Sprememba</w:t>
            </w:r>
          </w:p>
        </w:tc>
      </w:tr>
      <w:tr w:rsidR="003663AF" w:rsidRPr="00B7760C" w14:paraId="1F1853C9" w14:textId="77777777" w:rsidTr="00E804B7">
        <w:trPr>
          <w:jc w:val="center"/>
        </w:trPr>
        <w:tc>
          <w:tcPr>
            <w:tcW w:w="4876" w:type="dxa"/>
            <w:hideMark/>
          </w:tcPr>
          <w:p w14:paraId="5A680992" w14:textId="77777777" w:rsidR="003663AF" w:rsidRPr="00B7760C" w:rsidRDefault="003663AF" w:rsidP="00E804B7">
            <w:pPr>
              <w:pStyle w:val="Normal6"/>
            </w:pPr>
            <w:r w:rsidRPr="00B7760C">
              <w:t>(f)</w:t>
            </w:r>
            <w:r w:rsidRPr="00B7760C">
              <w:tab/>
              <w:t>uporabiti stranske proizvode vinarstva v industrijske in energetske namene ob zagotavljanju kakovosti vina Unije in hkratnem varovanju okolja; ta cilj se nanaša na specifične cilje iz točk (d) in (e) člena 6(1);</w:t>
            </w:r>
          </w:p>
        </w:tc>
        <w:tc>
          <w:tcPr>
            <w:tcW w:w="4876" w:type="dxa"/>
            <w:hideMark/>
          </w:tcPr>
          <w:p w14:paraId="6443FB9B" w14:textId="77777777" w:rsidR="003663AF" w:rsidRPr="00B7760C" w:rsidRDefault="003663AF" w:rsidP="00E804B7">
            <w:pPr>
              <w:pStyle w:val="Normal6"/>
              <w:rPr>
                <w:szCs w:val="24"/>
              </w:rPr>
            </w:pPr>
            <w:r w:rsidRPr="00B7760C">
              <w:t>(f)</w:t>
            </w:r>
            <w:r w:rsidRPr="00B7760C">
              <w:tab/>
              <w:t xml:space="preserve">uporabiti stranske proizvode </w:t>
            </w:r>
            <w:r w:rsidRPr="00B7760C">
              <w:rPr>
                <w:b/>
                <w:i/>
              </w:rPr>
              <w:t xml:space="preserve">in ostanke </w:t>
            </w:r>
            <w:r w:rsidRPr="00B7760C">
              <w:t>vinarstva v industrijske in energetske</w:t>
            </w:r>
            <w:r w:rsidRPr="00B7760C">
              <w:rPr>
                <w:b/>
                <w:i/>
              </w:rPr>
              <w:t xml:space="preserve"> ali agronomske</w:t>
            </w:r>
            <w:r w:rsidRPr="00B7760C">
              <w:t xml:space="preserve"> namene ob zagotavljanju kakovosti vina Unije in hkratnem varovanju okolja; ta cilj se nanaša na specifične cilje iz točk (d) in (e) člena 6(1);</w:t>
            </w:r>
          </w:p>
        </w:tc>
      </w:tr>
    </w:tbl>
    <w:p w14:paraId="0352FDC5" w14:textId="77777777" w:rsidR="003663AF" w:rsidRPr="00B7760C" w:rsidRDefault="003663AF" w:rsidP="003663AF"/>
    <w:p w14:paraId="21DE2770" w14:textId="4D7B0091" w:rsidR="003663AF" w:rsidRPr="00B7760C" w:rsidRDefault="00877691" w:rsidP="003663AF">
      <w:pPr>
        <w:pStyle w:val="AMNumberTabs"/>
        <w:keepNext/>
      </w:pPr>
      <w:r w:rsidRPr="00B7760C">
        <w:t>Sprememba</w:t>
      </w:r>
      <w:r w:rsidR="003663AF" w:rsidRPr="00B7760C">
        <w:tab/>
      </w:r>
      <w:r w:rsidR="003663AF" w:rsidRPr="00B7760C">
        <w:tab/>
        <w:t>342</w:t>
      </w:r>
    </w:p>
    <w:p w14:paraId="629BC85B" w14:textId="77777777" w:rsidR="003663AF" w:rsidRPr="00B7760C" w:rsidRDefault="003663AF" w:rsidP="003663AF">
      <w:pPr>
        <w:pStyle w:val="NormalBold12b"/>
      </w:pPr>
      <w:r w:rsidRPr="00B7760C">
        <w:t>Predlog uredbe</w:t>
      </w:r>
    </w:p>
    <w:p w14:paraId="0D6245A5" w14:textId="77777777" w:rsidR="003663AF" w:rsidRPr="00B7760C" w:rsidRDefault="003663AF" w:rsidP="003663AF">
      <w:pPr>
        <w:pStyle w:val="NormalBold"/>
      </w:pPr>
      <w:r w:rsidRPr="00B7760C">
        <w:t>Člen 51 – odstavek 1 – točka h</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0EE15AF" w14:textId="77777777" w:rsidTr="00E804B7">
        <w:trPr>
          <w:jc w:val="center"/>
        </w:trPr>
        <w:tc>
          <w:tcPr>
            <w:tcW w:w="9752" w:type="dxa"/>
            <w:gridSpan w:val="2"/>
          </w:tcPr>
          <w:p w14:paraId="0E1684B7" w14:textId="77777777" w:rsidR="003663AF" w:rsidRPr="00B7760C" w:rsidRDefault="003663AF" w:rsidP="00E804B7">
            <w:pPr>
              <w:keepNext/>
            </w:pPr>
          </w:p>
        </w:tc>
      </w:tr>
      <w:tr w:rsidR="003663AF" w:rsidRPr="00B7760C" w14:paraId="65353C0C" w14:textId="77777777" w:rsidTr="00E804B7">
        <w:trPr>
          <w:jc w:val="center"/>
        </w:trPr>
        <w:tc>
          <w:tcPr>
            <w:tcW w:w="4876" w:type="dxa"/>
            <w:hideMark/>
          </w:tcPr>
          <w:p w14:paraId="18C28CB4" w14:textId="77777777" w:rsidR="003663AF" w:rsidRPr="00B7760C" w:rsidRDefault="003663AF" w:rsidP="00E804B7">
            <w:pPr>
              <w:pStyle w:val="ColumnHeading"/>
              <w:keepNext/>
            </w:pPr>
            <w:r w:rsidRPr="00B7760C">
              <w:t>Besedilo, ki ga predlaga Komisija</w:t>
            </w:r>
          </w:p>
        </w:tc>
        <w:tc>
          <w:tcPr>
            <w:tcW w:w="4876" w:type="dxa"/>
            <w:hideMark/>
          </w:tcPr>
          <w:p w14:paraId="7A9C9CB8" w14:textId="02D190EC" w:rsidR="003663AF" w:rsidRPr="00B7760C" w:rsidRDefault="00877691" w:rsidP="00E804B7">
            <w:pPr>
              <w:pStyle w:val="ColumnHeading"/>
              <w:keepNext/>
            </w:pPr>
            <w:r w:rsidRPr="00B7760C">
              <w:t>Sprememba</w:t>
            </w:r>
          </w:p>
        </w:tc>
      </w:tr>
      <w:tr w:rsidR="003663AF" w:rsidRPr="00B7760C" w14:paraId="5AB6B89D" w14:textId="77777777" w:rsidTr="00E804B7">
        <w:trPr>
          <w:jc w:val="center"/>
        </w:trPr>
        <w:tc>
          <w:tcPr>
            <w:tcW w:w="4876" w:type="dxa"/>
            <w:hideMark/>
          </w:tcPr>
          <w:p w14:paraId="464D8647" w14:textId="77777777" w:rsidR="003663AF" w:rsidRPr="00B7760C" w:rsidRDefault="003663AF" w:rsidP="00E804B7">
            <w:pPr>
              <w:pStyle w:val="Normal6"/>
            </w:pPr>
            <w:r w:rsidRPr="00B7760C">
              <w:t>(h)</w:t>
            </w:r>
            <w:r w:rsidRPr="00B7760C">
              <w:tab/>
              <w:t>izboljšati konkurenčnost proizvodov vinske trte Unije v tretjih državah; ta cilj se nanaša na cilje iz točk (b) in (h) člena 6(1);</w:t>
            </w:r>
          </w:p>
        </w:tc>
        <w:tc>
          <w:tcPr>
            <w:tcW w:w="4876" w:type="dxa"/>
            <w:hideMark/>
          </w:tcPr>
          <w:p w14:paraId="27253D8B" w14:textId="77777777" w:rsidR="003663AF" w:rsidRPr="00B7760C" w:rsidRDefault="003663AF" w:rsidP="00E804B7">
            <w:pPr>
              <w:pStyle w:val="Normal6"/>
              <w:rPr>
                <w:szCs w:val="24"/>
              </w:rPr>
            </w:pPr>
            <w:r w:rsidRPr="00B7760C">
              <w:t>(h)</w:t>
            </w:r>
            <w:r w:rsidRPr="00B7760C">
              <w:tab/>
              <w:t>izboljšati konkurenčnost proizvodov vinske trte Unije v tretjih državah</w:t>
            </w:r>
            <w:r w:rsidRPr="00B7760C">
              <w:rPr>
                <w:b/>
                <w:i/>
              </w:rPr>
              <w:t>, tudi z odpiranjem, diverzifikacijo in konsolidacijo trgov za vino</w:t>
            </w:r>
            <w:r w:rsidRPr="00B7760C">
              <w:t>; ta cilj se nanaša na cilje iz točk (b) in (h) člena 6(1);</w:t>
            </w:r>
          </w:p>
        </w:tc>
      </w:tr>
    </w:tbl>
    <w:p w14:paraId="2ED544F0" w14:textId="77777777" w:rsidR="003663AF" w:rsidRPr="00B7760C" w:rsidRDefault="003663AF" w:rsidP="003663AF"/>
    <w:p w14:paraId="46C2863A" w14:textId="3CB163D5" w:rsidR="003663AF" w:rsidRPr="00B7760C" w:rsidRDefault="00877691" w:rsidP="003663AF">
      <w:pPr>
        <w:pStyle w:val="AMNumberTabs"/>
        <w:keepNext/>
      </w:pPr>
      <w:r w:rsidRPr="00B7760C">
        <w:t>Sprememba</w:t>
      </w:r>
      <w:r w:rsidR="003663AF" w:rsidRPr="00B7760C">
        <w:tab/>
      </w:r>
      <w:r w:rsidR="003663AF" w:rsidRPr="00B7760C">
        <w:tab/>
        <w:t>343</w:t>
      </w:r>
    </w:p>
    <w:p w14:paraId="2FA42D26" w14:textId="77777777" w:rsidR="003663AF" w:rsidRPr="00B7760C" w:rsidRDefault="003663AF" w:rsidP="003663AF">
      <w:pPr>
        <w:pStyle w:val="NormalBold12b"/>
      </w:pPr>
      <w:r w:rsidRPr="00B7760C">
        <w:t>Predlog uredbe</w:t>
      </w:r>
    </w:p>
    <w:p w14:paraId="4864C89F" w14:textId="77777777" w:rsidR="003663AF" w:rsidRPr="00B7760C" w:rsidRDefault="003663AF" w:rsidP="003663AF">
      <w:pPr>
        <w:pStyle w:val="NormalBold"/>
      </w:pPr>
      <w:r w:rsidRPr="00B7760C">
        <w:t>Člen 51 – odstavek 1 – točka i a (novo)</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F163051" w14:textId="77777777" w:rsidTr="00262443">
        <w:trPr>
          <w:jc w:val="center"/>
        </w:trPr>
        <w:tc>
          <w:tcPr>
            <w:tcW w:w="9752" w:type="dxa"/>
            <w:gridSpan w:val="2"/>
          </w:tcPr>
          <w:p w14:paraId="5D714FFB" w14:textId="77777777" w:rsidR="003663AF" w:rsidRPr="00B7760C" w:rsidRDefault="003663AF" w:rsidP="00E804B7">
            <w:pPr>
              <w:keepNext/>
            </w:pPr>
          </w:p>
        </w:tc>
      </w:tr>
      <w:tr w:rsidR="003663AF" w:rsidRPr="00B7760C" w14:paraId="026D0ED4" w14:textId="77777777" w:rsidTr="00262443">
        <w:trPr>
          <w:jc w:val="center"/>
        </w:trPr>
        <w:tc>
          <w:tcPr>
            <w:tcW w:w="4876" w:type="dxa"/>
            <w:hideMark/>
          </w:tcPr>
          <w:p w14:paraId="71486EFC" w14:textId="77777777" w:rsidR="003663AF" w:rsidRPr="00B7760C" w:rsidRDefault="003663AF" w:rsidP="00E804B7">
            <w:pPr>
              <w:pStyle w:val="ColumnHeading"/>
              <w:keepNext/>
            </w:pPr>
            <w:r w:rsidRPr="00B7760C">
              <w:t>Besedilo, ki ga predlaga Komisija</w:t>
            </w:r>
          </w:p>
        </w:tc>
        <w:tc>
          <w:tcPr>
            <w:tcW w:w="4876" w:type="dxa"/>
            <w:hideMark/>
          </w:tcPr>
          <w:p w14:paraId="02D6B868" w14:textId="7C4FC1C3" w:rsidR="003663AF" w:rsidRPr="00B7760C" w:rsidRDefault="00877691" w:rsidP="00E804B7">
            <w:pPr>
              <w:pStyle w:val="ColumnHeading"/>
              <w:keepNext/>
            </w:pPr>
            <w:r w:rsidRPr="00B7760C">
              <w:t>Sprememba</w:t>
            </w:r>
          </w:p>
        </w:tc>
      </w:tr>
      <w:tr w:rsidR="003663AF" w:rsidRPr="00B7760C" w14:paraId="7DCDAA4C" w14:textId="77777777" w:rsidTr="00262443">
        <w:trPr>
          <w:jc w:val="center"/>
        </w:trPr>
        <w:tc>
          <w:tcPr>
            <w:tcW w:w="4876" w:type="dxa"/>
          </w:tcPr>
          <w:p w14:paraId="2CDE9277" w14:textId="77777777" w:rsidR="003663AF" w:rsidRPr="00B7760C" w:rsidRDefault="003663AF" w:rsidP="00E804B7">
            <w:pPr>
              <w:pStyle w:val="Normal6"/>
            </w:pPr>
          </w:p>
        </w:tc>
        <w:tc>
          <w:tcPr>
            <w:tcW w:w="4876" w:type="dxa"/>
            <w:hideMark/>
          </w:tcPr>
          <w:p w14:paraId="71A5B996" w14:textId="77777777" w:rsidR="003663AF" w:rsidRPr="00B7760C" w:rsidRDefault="003663AF" w:rsidP="00E804B7">
            <w:pPr>
              <w:pStyle w:val="Normal6"/>
              <w:rPr>
                <w:szCs w:val="24"/>
              </w:rPr>
            </w:pPr>
            <w:r w:rsidRPr="00B7760C">
              <w:rPr>
                <w:b/>
                <w:i/>
              </w:rPr>
              <w:t>(ia)</w:t>
            </w:r>
            <w:r w:rsidRPr="00B7760C">
              <w:rPr>
                <w:b/>
                <w:i/>
              </w:rPr>
              <w:tab/>
              <w:t>zagotoviti gospodarsko trajnost in dobičkonosnost vinogradništva na območjih z znatnimi naravnimi omejitvami ter strmih in manj razvitih območjih, v skladu s posebnimi cilji iz točk (a), (b) in (h) člena 6(1).</w:t>
            </w:r>
          </w:p>
        </w:tc>
      </w:tr>
    </w:tbl>
    <w:p w14:paraId="5FBCEC50" w14:textId="05F25F4F" w:rsidR="00262443" w:rsidRPr="00B7760C" w:rsidRDefault="00262443" w:rsidP="00262443">
      <w:pPr>
        <w:pStyle w:val="AMNumberTabs"/>
        <w:keepNext/>
      </w:pPr>
      <w:r w:rsidRPr="00B7760C">
        <w:t>Sprememba</w:t>
      </w:r>
      <w:r w:rsidRPr="00B7760C">
        <w:tab/>
      </w:r>
      <w:r w:rsidRPr="00B7760C">
        <w:tab/>
        <w:t>820 cp7</w:t>
      </w:r>
    </w:p>
    <w:p w14:paraId="6DC29A04" w14:textId="77777777" w:rsidR="00262443" w:rsidRPr="00B7760C" w:rsidRDefault="00262443" w:rsidP="00262443">
      <w:pPr>
        <w:pStyle w:val="NormalBold12b"/>
      </w:pPr>
      <w:r w:rsidRPr="00B7760C">
        <w:t>Predlog uredbe</w:t>
      </w:r>
    </w:p>
    <w:p w14:paraId="5D9B8D4D" w14:textId="0BC00CCF" w:rsidR="00262443" w:rsidRPr="00B7760C" w:rsidRDefault="00262443" w:rsidP="00262443">
      <w:pPr>
        <w:pStyle w:val="NormalBold"/>
      </w:pPr>
      <w:r w:rsidRPr="00B7760C">
        <w:t>Člen 51 – odstavek 1 – točka i b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62443" w:rsidRPr="00B7760C" w14:paraId="1F78353F" w14:textId="77777777" w:rsidTr="00517642">
        <w:trPr>
          <w:jc w:val="center"/>
        </w:trPr>
        <w:tc>
          <w:tcPr>
            <w:tcW w:w="9752" w:type="dxa"/>
            <w:gridSpan w:val="2"/>
          </w:tcPr>
          <w:p w14:paraId="3388BAEF" w14:textId="77777777" w:rsidR="00262443" w:rsidRPr="00B7760C" w:rsidRDefault="00262443" w:rsidP="00517642">
            <w:pPr>
              <w:keepNext/>
            </w:pPr>
          </w:p>
        </w:tc>
      </w:tr>
      <w:tr w:rsidR="00262443" w:rsidRPr="00B7760C" w14:paraId="148636D9" w14:textId="77777777" w:rsidTr="00517642">
        <w:trPr>
          <w:jc w:val="center"/>
        </w:trPr>
        <w:tc>
          <w:tcPr>
            <w:tcW w:w="4876" w:type="dxa"/>
            <w:hideMark/>
          </w:tcPr>
          <w:p w14:paraId="619F843B" w14:textId="77777777" w:rsidR="00262443" w:rsidRPr="00B7760C" w:rsidRDefault="00262443" w:rsidP="00517642">
            <w:pPr>
              <w:pStyle w:val="ColumnHeading"/>
              <w:keepNext/>
            </w:pPr>
            <w:r w:rsidRPr="00B7760C">
              <w:t>Besedilo, ki ga predlaga Komisija</w:t>
            </w:r>
          </w:p>
        </w:tc>
        <w:tc>
          <w:tcPr>
            <w:tcW w:w="4876" w:type="dxa"/>
            <w:hideMark/>
          </w:tcPr>
          <w:p w14:paraId="3FA0BD2D" w14:textId="77777777" w:rsidR="00262443" w:rsidRPr="00B7760C" w:rsidRDefault="00262443" w:rsidP="00517642">
            <w:pPr>
              <w:pStyle w:val="ColumnHeading"/>
              <w:keepNext/>
            </w:pPr>
            <w:r w:rsidRPr="00B7760C">
              <w:t>Sprememba</w:t>
            </w:r>
          </w:p>
        </w:tc>
      </w:tr>
      <w:tr w:rsidR="00262443" w:rsidRPr="00B7760C" w14:paraId="5326C5A1" w14:textId="77777777" w:rsidTr="00517642">
        <w:trPr>
          <w:jc w:val="center"/>
        </w:trPr>
        <w:tc>
          <w:tcPr>
            <w:tcW w:w="4876" w:type="dxa"/>
          </w:tcPr>
          <w:p w14:paraId="7BF2F1F4" w14:textId="77777777" w:rsidR="00262443" w:rsidRPr="00B7760C" w:rsidRDefault="00262443" w:rsidP="00517642">
            <w:pPr>
              <w:pStyle w:val="Normal6"/>
            </w:pPr>
          </w:p>
        </w:tc>
        <w:tc>
          <w:tcPr>
            <w:tcW w:w="4876" w:type="dxa"/>
            <w:hideMark/>
          </w:tcPr>
          <w:p w14:paraId="323916A7" w14:textId="0BD3D66A" w:rsidR="00262443" w:rsidRPr="00B7760C" w:rsidRDefault="00262443" w:rsidP="009A1B1D">
            <w:pPr>
              <w:pStyle w:val="Normal6"/>
              <w:rPr>
                <w:szCs w:val="24"/>
              </w:rPr>
            </w:pPr>
            <w:r w:rsidRPr="00B7760C">
              <w:rPr>
                <w:b/>
                <w:i/>
              </w:rPr>
              <w:t>(i</w:t>
            </w:r>
            <w:r w:rsidR="009A1B1D" w:rsidRPr="00B7760C">
              <w:rPr>
                <w:b/>
                <w:i/>
              </w:rPr>
              <w:t>b</w:t>
            </w:r>
            <w:r w:rsidRPr="00B7760C">
              <w:rPr>
                <w:b/>
                <w:i/>
              </w:rPr>
              <w:t>)</w:t>
            </w:r>
            <w:r w:rsidRPr="00B7760C">
              <w:tab/>
            </w:r>
            <w:r w:rsidRPr="00B7760C">
              <w:rPr>
                <w:b/>
                <w:i/>
              </w:rPr>
              <w:t>prispevati k blažitvi podnebnih sprememb in prilagajanju nanje; ta cilj se nanaša na specifične cilje iz točke (d) člena 6(1).</w:t>
            </w:r>
          </w:p>
        </w:tc>
      </w:tr>
    </w:tbl>
    <w:p w14:paraId="560B1AB9" w14:textId="77777777" w:rsidR="003663AF" w:rsidRPr="00B7760C" w:rsidRDefault="003663AF" w:rsidP="003663AF"/>
    <w:p w14:paraId="030D0174" w14:textId="102FA2E7" w:rsidR="003663AF" w:rsidRPr="00B7760C" w:rsidRDefault="00877691" w:rsidP="003663AF">
      <w:pPr>
        <w:pStyle w:val="AMNumberTabs"/>
        <w:keepNext/>
      </w:pPr>
      <w:r w:rsidRPr="00B7760C">
        <w:t>Sprememb</w:t>
      </w:r>
      <w:r w:rsidR="00262443" w:rsidRPr="00B7760C">
        <w:t>i</w:t>
      </w:r>
      <w:r w:rsidR="003663AF" w:rsidRPr="00B7760C">
        <w:tab/>
      </w:r>
      <w:r w:rsidR="003663AF" w:rsidRPr="00B7760C">
        <w:tab/>
        <w:t>344</w:t>
      </w:r>
      <w:r w:rsidR="00262443" w:rsidRPr="00B7760C">
        <w:t xml:space="preserve"> in 1122 cp1</w:t>
      </w:r>
    </w:p>
    <w:p w14:paraId="24FD753E" w14:textId="77777777" w:rsidR="003663AF" w:rsidRPr="00B7760C" w:rsidRDefault="003663AF" w:rsidP="003663AF">
      <w:pPr>
        <w:pStyle w:val="NormalBold12b"/>
      </w:pPr>
      <w:r w:rsidRPr="00B7760C">
        <w:t>Predlog uredbe</w:t>
      </w:r>
    </w:p>
    <w:p w14:paraId="2A87848C" w14:textId="77777777" w:rsidR="003663AF" w:rsidRPr="00B7760C" w:rsidRDefault="003663AF" w:rsidP="003663AF">
      <w:pPr>
        <w:pStyle w:val="NormalBold"/>
      </w:pPr>
      <w:r w:rsidRPr="00B7760C">
        <w:t>Člen 52 – odstavek 1 – točka 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7C75814" w14:textId="77777777" w:rsidTr="00E804B7">
        <w:trPr>
          <w:jc w:val="center"/>
        </w:trPr>
        <w:tc>
          <w:tcPr>
            <w:tcW w:w="9752" w:type="dxa"/>
            <w:gridSpan w:val="2"/>
          </w:tcPr>
          <w:p w14:paraId="2BF4C21B" w14:textId="77777777" w:rsidR="003663AF" w:rsidRPr="00B7760C" w:rsidRDefault="003663AF" w:rsidP="00E804B7">
            <w:pPr>
              <w:keepNext/>
            </w:pPr>
          </w:p>
        </w:tc>
      </w:tr>
      <w:tr w:rsidR="003663AF" w:rsidRPr="00B7760C" w14:paraId="7082255C" w14:textId="77777777" w:rsidTr="00E804B7">
        <w:trPr>
          <w:jc w:val="center"/>
        </w:trPr>
        <w:tc>
          <w:tcPr>
            <w:tcW w:w="4876" w:type="dxa"/>
            <w:hideMark/>
          </w:tcPr>
          <w:p w14:paraId="658AE209" w14:textId="77777777" w:rsidR="003663AF" w:rsidRPr="00B7760C" w:rsidRDefault="003663AF" w:rsidP="00E804B7">
            <w:pPr>
              <w:pStyle w:val="ColumnHeading"/>
              <w:keepNext/>
            </w:pPr>
            <w:r w:rsidRPr="00B7760C">
              <w:t>Besedilo, ki ga predlaga Komisija</w:t>
            </w:r>
          </w:p>
        </w:tc>
        <w:tc>
          <w:tcPr>
            <w:tcW w:w="4876" w:type="dxa"/>
            <w:hideMark/>
          </w:tcPr>
          <w:p w14:paraId="1C0E6D41" w14:textId="37F9C120" w:rsidR="003663AF" w:rsidRPr="00B7760C" w:rsidRDefault="00877691" w:rsidP="00E804B7">
            <w:pPr>
              <w:pStyle w:val="ColumnHeading"/>
              <w:keepNext/>
            </w:pPr>
            <w:r w:rsidRPr="00B7760C">
              <w:t>Sprememba</w:t>
            </w:r>
          </w:p>
        </w:tc>
      </w:tr>
      <w:tr w:rsidR="003663AF" w:rsidRPr="00B7760C" w14:paraId="36162F99" w14:textId="77777777" w:rsidTr="00E804B7">
        <w:trPr>
          <w:jc w:val="center"/>
        </w:trPr>
        <w:tc>
          <w:tcPr>
            <w:tcW w:w="4876" w:type="dxa"/>
            <w:hideMark/>
          </w:tcPr>
          <w:p w14:paraId="4BE036F4" w14:textId="77777777" w:rsidR="003663AF" w:rsidRPr="00B7760C" w:rsidRDefault="003663AF" w:rsidP="00E804B7">
            <w:pPr>
              <w:pStyle w:val="Normal6"/>
            </w:pPr>
            <w:r w:rsidRPr="00B7760C">
              <w:t>(a)</w:t>
            </w:r>
            <w:r w:rsidRPr="00B7760C">
              <w:tab/>
              <w:t>prestrukturiranje in preusmeritev vinogradov, tudi ponovna zasaditev vinogradov, kadar je to potrebno po obvezni izkrčitvi iz zdravstvenih ali fitosanitarnih razlogov po navodilu pristojnega organa države članice, ne pa tudi običajna obnova vinogradov s ponovno zasaditvijo iste zemljiške parcele z isto sorto vinske trte po istem sistemu gojenja vinske trte po koncu naravne življenjske dobe vinskih trt;</w:t>
            </w:r>
          </w:p>
        </w:tc>
        <w:tc>
          <w:tcPr>
            <w:tcW w:w="4876" w:type="dxa"/>
            <w:hideMark/>
          </w:tcPr>
          <w:p w14:paraId="73A90448" w14:textId="77777777" w:rsidR="003663AF" w:rsidRPr="00B7760C" w:rsidRDefault="003663AF" w:rsidP="00E804B7">
            <w:pPr>
              <w:pStyle w:val="Normal6"/>
              <w:rPr>
                <w:szCs w:val="24"/>
              </w:rPr>
            </w:pPr>
            <w:r w:rsidRPr="00B7760C">
              <w:t>(a)</w:t>
            </w:r>
            <w:r w:rsidRPr="00B7760C">
              <w:tab/>
              <w:t>prestrukturiranje in preusmeritev vinogradov, tudi ponovna zasaditev vinogradov, kadar je to potrebno po obvezni izkrčitvi iz zdravstvenih ali fitosanitarnih razlogov po navodilu pristojnega organa države članice</w:t>
            </w:r>
            <w:r w:rsidRPr="00B7760C">
              <w:rPr>
                <w:b/>
                <w:i/>
              </w:rPr>
              <w:t xml:space="preserve"> ali po prostovoljni izkrčitvi nasadov zaradi prilagajanja podnebnim spremembam in povečanja genske raznovrstnosti</w:t>
            </w:r>
            <w:r w:rsidRPr="00B7760C">
              <w:t>, ne pa tudi običajna obnova vinogradov s ponovno zasaditvijo iste zemljiške parcele z isto sorto vinske trte po istem sistemu gojenja vinske trte po koncu naravne življenjske dobe vinskih trt;</w:t>
            </w:r>
          </w:p>
        </w:tc>
      </w:tr>
    </w:tbl>
    <w:p w14:paraId="0C2CDAB9" w14:textId="77777777" w:rsidR="003663AF" w:rsidRPr="00B7760C" w:rsidRDefault="003663AF" w:rsidP="003663AF"/>
    <w:p w14:paraId="2FCFB264" w14:textId="0E893E6E" w:rsidR="003663AF" w:rsidRPr="00B7760C" w:rsidRDefault="00877691" w:rsidP="003663AF">
      <w:pPr>
        <w:pStyle w:val="AMNumberTabs"/>
        <w:keepNext/>
      </w:pPr>
      <w:r w:rsidRPr="00B7760C">
        <w:t>Sprememb</w:t>
      </w:r>
      <w:r w:rsidR="00262443" w:rsidRPr="00B7760C">
        <w:t>i</w:t>
      </w:r>
      <w:r w:rsidR="003663AF" w:rsidRPr="00B7760C">
        <w:tab/>
      </w:r>
      <w:r w:rsidR="003663AF" w:rsidRPr="00B7760C">
        <w:tab/>
        <w:t>345</w:t>
      </w:r>
      <w:r w:rsidR="00262443" w:rsidRPr="00B7760C">
        <w:t xml:space="preserve"> in 1122 cp2</w:t>
      </w:r>
    </w:p>
    <w:p w14:paraId="4DFB6F3C" w14:textId="77777777" w:rsidR="003663AF" w:rsidRPr="00B7760C" w:rsidRDefault="003663AF" w:rsidP="003663AF">
      <w:pPr>
        <w:pStyle w:val="NormalBold12b"/>
      </w:pPr>
      <w:r w:rsidRPr="00B7760C">
        <w:t>Predlog uredbe</w:t>
      </w:r>
    </w:p>
    <w:p w14:paraId="41E72085" w14:textId="77777777" w:rsidR="003663AF" w:rsidRPr="00B7760C" w:rsidRDefault="003663AF" w:rsidP="003663AF">
      <w:pPr>
        <w:pStyle w:val="NormalBold"/>
      </w:pPr>
      <w:r w:rsidRPr="00B7760C">
        <w:t>Člen 52 – odstavek 1 – točka a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64A869E" w14:textId="77777777" w:rsidTr="00E804B7">
        <w:trPr>
          <w:jc w:val="center"/>
        </w:trPr>
        <w:tc>
          <w:tcPr>
            <w:tcW w:w="9752" w:type="dxa"/>
            <w:gridSpan w:val="2"/>
          </w:tcPr>
          <w:p w14:paraId="5AD77258" w14:textId="77777777" w:rsidR="003663AF" w:rsidRPr="00B7760C" w:rsidRDefault="003663AF" w:rsidP="00E804B7">
            <w:pPr>
              <w:keepNext/>
            </w:pPr>
          </w:p>
        </w:tc>
      </w:tr>
      <w:tr w:rsidR="003663AF" w:rsidRPr="00B7760C" w14:paraId="538AD989" w14:textId="77777777" w:rsidTr="00E804B7">
        <w:trPr>
          <w:jc w:val="center"/>
        </w:trPr>
        <w:tc>
          <w:tcPr>
            <w:tcW w:w="4876" w:type="dxa"/>
            <w:hideMark/>
          </w:tcPr>
          <w:p w14:paraId="441B1D69" w14:textId="77777777" w:rsidR="003663AF" w:rsidRPr="00B7760C" w:rsidRDefault="003663AF" w:rsidP="00E804B7">
            <w:pPr>
              <w:pStyle w:val="ColumnHeading"/>
              <w:keepNext/>
            </w:pPr>
            <w:r w:rsidRPr="00B7760C">
              <w:t>Besedilo, ki ga predlaga Komisija</w:t>
            </w:r>
          </w:p>
        </w:tc>
        <w:tc>
          <w:tcPr>
            <w:tcW w:w="4876" w:type="dxa"/>
            <w:hideMark/>
          </w:tcPr>
          <w:p w14:paraId="5F441FF5" w14:textId="627059DC" w:rsidR="003663AF" w:rsidRPr="00B7760C" w:rsidRDefault="00877691" w:rsidP="00E804B7">
            <w:pPr>
              <w:pStyle w:val="ColumnHeading"/>
              <w:keepNext/>
            </w:pPr>
            <w:r w:rsidRPr="00B7760C">
              <w:t>Sprememba</w:t>
            </w:r>
          </w:p>
        </w:tc>
      </w:tr>
      <w:tr w:rsidR="003663AF" w:rsidRPr="00B7760C" w14:paraId="2313EE3B" w14:textId="77777777" w:rsidTr="00E804B7">
        <w:trPr>
          <w:jc w:val="center"/>
        </w:trPr>
        <w:tc>
          <w:tcPr>
            <w:tcW w:w="4876" w:type="dxa"/>
          </w:tcPr>
          <w:p w14:paraId="10C84D51" w14:textId="77777777" w:rsidR="003663AF" w:rsidRPr="00B7760C" w:rsidRDefault="003663AF" w:rsidP="00E804B7">
            <w:pPr>
              <w:pStyle w:val="Normal6"/>
            </w:pPr>
          </w:p>
        </w:tc>
        <w:tc>
          <w:tcPr>
            <w:tcW w:w="4876" w:type="dxa"/>
            <w:hideMark/>
          </w:tcPr>
          <w:p w14:paraId="6F4AC928" w14:textId="77777777" w:rsidR="003663AF" w:rsidRPr="00B7760C" w:rsidRDefault="003663AF" w:rsidP="00E804B7">
            <w:pPr>
              <w:pStyle w:val="Normal6"/>
              <w:rPr>
                <w:szCs w:val="24"/>
              </w:rPr>
            </w:pPr>
            <w:r w:rsidRPr="00B7760C">
              <w:rPr>
                <w:b/>
                <w:i/>
              </w:rPr>
              <w:t>(aa)</w:t>
            </w:r>
            <w:r w:rsidRPr="00B7760C">
              <w:rPr>
                <w:b/>
                <w:i/>
              </w:rPr>
              <w:tab/>
              <w:t>sajenje trt na zemljiščih z dovoljenjem sistema za zasaditev vinske trte iz oddelka 1 poglavja 3 Uredbe (EU) št. 1308/2013 na tradicionalnih vinorodnih območjih, ki jim grozi izginotje in jih opredelijo države članice, kot ukrep za varstvo vinarske raznolikosti;</w:t>
            </w:r>
          </w:p>
        </w:tc>
      </w:tr>
    </w:tbl>
    <w:p w14:paraId="4EA71A16" w14:textId="77777777" w:rsidR="003663AF" w:rsidRPr="00B7760C" w:rsidRDefault="003663AF" w:rsidP="003663AF"/>
    <w:p w14:paraId="7BA090DC" w14:textId="422CB284" w:rsidR="003663AF" w:rsidRPr="00B7760C" w:rsidRDefault="00877691" w:rsidP="003663AF">
      <w:pPr>
        <w:pStyle w:val="AMNumberTabs"/>
        <w:keepNext/>
      </w:pPr>
      <w:r w:rsidRPr="00B7760C">
        <w:t>Sprememb</w:t>
      </w:r>
      <w:r w:rsidR="00262443" w:rsidRPr="00B7760C">
        <w:t>i</w:t>
      </w:r>
      <w:r w:rsidR="003663AF" w:rsidRPr="00B7760C">
        <w:tab/>
      </w:r>
      <w:r w:rsidR="003663AF" w:rsidRPr="00B7760C">
        <w:tab/>
        <w:t>346</w:t>
      </w:r>
      <w:r w:rsidR="00262443" w:rsidRPr="00B7760C">
        <w:t xml:space="preserve"> in 1122 cp2</w:t>
      </w:r>
    </w:p>
    <w:p w14:paraId="59E24414" w14:textId="77777777" w:rsidR="003663AF" w:rsidRPr="00B7760C" w:rsidRDefault="003663AF" w:rsidP="003663AF">
      <w:pPr>
        <w:pStyle w:val="NormalBold12b"/>
      </w:pPr>
      <w:r w:rsidRPr="00B7760C">
        <w:t>Predlog uredbe</w:t>
      </w:r>
    </w:p>
    <w:p w14:paraId="585A8C5B" w14:textId="77777777" w:rsidR="003663AF" w:rsidRPr="00B7760C" w:rsidRDefault="003663AF" w:rsidP="003663AF">
      <w:pPr>
        <w:pStyle w:val="NormalBold"/>
      </w:pPr>
      <w:r w:rsidRPr="00B7760C">
        <w:t>Člen 52 – odstavek 1 – točka a b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E7F232B" w14:textId="77777777" w:rsidTr="00E804B7">
        <w:trPr>
          <w:jc w:val="center"/>
        </w:trPr>
        <w:tc>
          <w:tcPr>
            <w:tcW w:w="9752" w:type="dxa"/>
            <w:gridSpan w:val="2"/>
          </w:tcPr>
          <w:p w14:paraId="24C757C7" w14:textId="77777777" w:rsidR="003663AF" w:rsidRPr="00B7760C" w:rsidRDefault="003663AF" w:rsidP="00E804B7">
            <w:pPr>
              <w:keepNext/>
            </w:pPr>
          </w:p>
        </w:tc>
      </w:tr>
      <w:tr w:rsidR="003663AF" w:rsidRPr="00B7760C" w14:paraId="182BCDF0" w14:textId="77777777" w:rsidTr="00E804B7">
        <w:trPr>
          <w:jc w:val="center"/>
        </w:trPr>
        <w:tc>
          <w:tcPr>
            <w:tcW w:w="4876" w:type="dxa"/>
            <w:hideMark/>
          </w:tcPr>
          <w:p w14:paraId="3E74F31A" w14:textId="77777777" w:rsidR="003663AF" w:rsidRPr="00B7760C" w:rsidRDefault="003663AF" w:rsidP="00E804B7">
            <w:pPr>
              <w:pStyle w:val="ColumnHeading"/>
              <w:keepNext/>
            </w:pPr>
            <w:r w:rsidRPr="00B7760C">
              <w:t>Besedilo, ki ga predlaga Komisija</w:t>
            </w:r>
          </w:p>
        </w:tc>
        <w:tc>
          <w:tcPr>
            <w:tcW w:w="4876" w:type="dxa"/>
            <w:hideMark/>
          </w:tcPr>
          <w:p w14:paraId="279EF50D" w14:textId="6EE488CA" w:rsidR="003663AF" w:rsidRPr="00B7760C" w:rsidRDefault="00877691" w:rsidP="00E804B7">
            <w:pPr>
              <w:pStyle w:val="ColumnHeading"/>
              <w:keepNext/>
            </w:pPr>
            <w:r w:rsidRPr="00B7760C">
              <w:t>Sprememba</w:t>
            </w:r>
          </w:p>
        </w:tc>
      </w:tr>
      <w:tr w:rsidR="003663AF" w:rsidRPr="00B7760C" w14:paraId="45CE506D" w14:textId="77777777" w:rsidTr="00E804B7">
        <w:trPr>
          <w:jc w:val="center"/>
        </w:trPr>
        <w:tc>
          <w:tcPr>
            <w:tcW w:w="4876" w:type="dxa"/>
          </w:tcPr>
          <w:p w14:paraId="63883E56" w14:textId="77777777" w:rsidR="003663AF" w:rsidRPr="00B7760C" w:rsidRDefault="003663AF" w:rsidP="00E804B7">
            <w:pPr>
              <w:pStyle w:val="Normal6"/>
            </w:pPr>
          </w:p>
        </w:tc>
        <w:tc>
          <w:tcPr>
            <w:tcW w:w="4876" w:type="dxa"/>
            <w:hideMark/>
          </w:tcPr>
          <w:p w14:paraId="7CCC5463" w14:textId="77777777" w:rsidR="003663AF" w:rsidRPr="00B7760C" w:rsidRDefault="003663AF" w:rsidP="00E804B7">
            <w:pPr>
              <w:pStyle w:val="Normal6"/>
              <w:rPr>
                <w:szCs w:val="24"/>
              </w:rPr>
            </w:pPr>
            <w:r w:rsidRPr="00B7760C">
              <w:rPr>
                <w:b/>
                <w:i/>
              </w:rPr>
              <w:t>(ab)</w:t>
            </w:r>
            <w:r w:rsidRPr="00B7760C">
              <w:rPr>
                <w:b/>
                <w:i/>
              </w:rPr>
              <w:tab/>
              <w:t>raziskave in eksperimentalna proizvodnja ter drugi ukrepi, zlasti na področju ohranjanja, preučevanja in krepitve medsortne in znotrajsortne pestrosti evropskih trtnih sort, ter dejavnosti za spodbujanje njihove gospodarske uporabe;</w:t>
            </w:r>
          </w:p>
        </w:tc>
      </w:tr>
    </w:tbl>
    <w:p w14:paraId="16F0462F" w14:textId="77777777" w:rsidR="003663AF" w:rsidRPr="00B7760C" w:rsidRDefault="003663AF" w:rsidP="003663AF"/>
    <w:p w14:paraId="1AC131B9" w14:textId="47C94067" w:rsidR="003663AF" w:rsidRPr="00B7760C" w:rsidRDefault="00877691" w:rsidP="003663AF">
      <w:pPr>
        <w:pStyle w:val="AMNumberTabs"/>
        <w:keepNext/>
      </w:pPr>
      <w:r w:rsidRPr="00B7760C">
        <w:t>Sprememb</w:t>
      </w:r>
      <w:r w:rsidR="00262443" w:rsidRPr="00B7760C">
        <w:t>i</w:t>
      </w:r>
      <w:r w:rsidR="003663AF" w:rsidRPr="00B7760C">
        <w:tab/>
      </w:r>
      <w:r w:rsidR="003663AF" w:rsidRPr="00B7760C">
        <w:tab/>
        <w:t>347</w:t>
      </w:r>
      <w:r w:rsidR="00262443" w:rsidRPr="00B7760C">
        <w:t xml:space="preserve"> in 1122 cp2</w:t>
      </w:r>
    </w:p>
    <w:p w14:paraId="009D45FA" w14:textId="77777777" w:rsidR="003663AF" w:rsidRPr="00B7760C" w:rsidRDefault="003663AF" w:rsidP="003663AF">
      <w:pPr>
        <w:pStyle w:val="NormalBold12b"/>
      </w:pPr>
      <w:r w:rsidRPr="00B7760C">
        <w:t>Predlog uredbe</w:t>
      </w:r>
    </w:p>
    <w:p w14:paraId="2C922B0A" w14:textId="77777777" w:rsidR="003663AF" w:rsidRPr="00B7760C" w:rsidRDefault="003663AF" w:rsidP="003663AF">
      <w:pPr>
        <w:pStyle w:val="NormalBold"/>
      </w:pPr>
      <w:r w:rsidRPr="00B7760C">
        <w:t>Člen 52 – odstavek 1 – točka a c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A7080C7" w14:textId="77777777" w:rsidTr="00E804B7">
        <w:trPr>
          <w:jc w:val="center"/>
        </w:trPr>
        <w:tc>
          <w:tcPr>
            <w:tcW w:w="9752" w:type="dxa"/>
            <w:gridSpan w:val="2"/>
          </w:tcPr>
          <w:p w14:paraId="7E89E058" w14:textId="77777777" w:rsidR="003663AF" w:rsidRPr="00B7760C" w:rsidRDefault="003663AF" w:rsidP="00E804B7">
            <w:pPr>
              <w:keepNext/>
            </w:pPr>
          </w:p>
        </w:tc>
      </w:tr>
      <w:tr w:rsidR="003663AF" w:rsidRPr="00B7760C" w14:paraId="30A73FBD" w14:textId="77777777" w:rsidTr="00E804B7">
        <w:trPr>
          <w:jc w:val="center"/>
        </w:trPr>
        <w:tc>
          <w:tcPr>
            <w:tcW w:w="4876" w:type="dxa"/>
            <w:hideMark/>
          </w:tcPr>
          <w:p w14:paraId="19090446" w14:textId="77777777" w:rsidR="003663AF" w:rsidRPr="00B7760C" w:rsidRDefault="003663AF" w:rsidP="00E804B7">
            <w:pPr>
              <w:pStyle w:val="ColumnHeading"/>
              <w:keepNext/>
            </w:pPr>
            <w:r w:rsidRPr="00B7760C">
              <w:t>Besedilo, ki ga predlaga Komisija</w:t>
            </w:r>
          </w:p>
        </w:tc>
        <w:tc>
          <w:tcPr>
            <w:tcW w:w="4876" w:type="dxa"/>
            <w:hideMark/>
          </w:tcPr>
          <w:p w14:paraId="09F5AAD4" w14:textId="2432F062" w:rsidR="003663AF" w:rsidRPr="00B7760C" w:rsidRDefault="00877691" w:rsidP="00E804B7">
            <w:pPr>
              <w:pStyle w:val="ColumnHeading"/>
              <w:keepNext/>
            </w:pPr>
            <w:r w:rsidRPr="00B7760C">
              <w:t>Sprememba</w:t>
            </w:r>
          </w:p>
        </w:tc>
      </w:tr>
      <w:tr w:rsidR="003663AF" w:rsidRPr="00B7760C" w14:paraId="73DBBE40" w14:textId="77777777" w:rsidTr="00E804B7">
        <w:trPr>
          <w:jc w:val="center"/>
        </w:trPr>
        <w:tc>
          <w:tcPr>
            <w:tcW w:w="4876" w:type="dxa"/>
          </w:tcPr>
          <w:p w14:paraId="1B44FC65" w14:textId="77777777" w:rsidR="003663AF" w:rsidRPr="00B7760C" w:rsidRDefault="003663AF" w:rsidP="00E804B7">
            <w:pPr>
              <w:pStyle w:val="Normal6"/>
            </w:pPr>
          </w:p>
        </w:tc>
        <w:tc>
          <w:tcPr>
            <w:tcW w:w="4876" w:type="dxa"/>
            <w:hideMark/>
          </w:tcPr>
          <w:p w14:paraId="40937426" w14:textId="77777777" w:rsidR="003663AF" w:rsidRPr="00B7760C" w:rsidRDefault="003663AF" w:rsidP="00E804B7">
            <w:pPr>
              <w:pStyle w:val="Normal6"/>
              <w:rPr>
                <w:szCs w:val="24"/>
              </w:rPr>
            </w:pPr>
            <w:r w:rsidRPr="00B7760C">
              <w:rPr>
                <w:b/>
                <w:i/>
              </w:rPr>
              <w:t>(ac)</w:t>
            </w:r>
            <w:r w:rsidRPr="00B7760C">
              <w:rPr>
                <w:b/>
                <w:i/>
              </w:rPr>
              <w:tab/>
              <w:t>ukrepi za zmanjšanje uporabe pesticidov;</w:t>
            </w:r>
          </w:p>
        </w:tc>
      </w:tr>
    </w:tbl>
    <w:p w14:paraId="501EA565" w14:textId="77777777" w:rsidR="003663AF" w:rsidRPr="00B7760C" w:rsidRDefault="003663AF" w:rsidP="003663AF"/>
    <w:p w14:paraId="42BBEF2E" w14:textId="0EB89014" w:rsidR="003663AF" w:rsidRPr="00B7760C" w:rsidRDefault="00877691" w:rsidP="003663AF">
      <w:pPr>
        <w:pStyle w:val="AMNumberTabs"/>
        <w:keepNext/>
      </w:pPr>
      <w:r w:rsidRPr="00B7760C">
        <w:t>Sprememb</w:t>
      </w:r>
      <w:r w:rsidR="00262443" w:rsidRPr="00B7760C">
        <w:t>i</w:t>
      </w:r>
      <w:r w:rsidR="003663AF" w:rsidRPr="00B7760C">
        <w:tab/>
      </w:r>
      <w:r w:rsidR="003663AF" w:rsidRPr="00B7760C">
        <w:tab/>
        <w:t>348</w:t>
      </w:r>
      <w:r w:rsidR="00262443" w:rsidRPr="00B7760C">
        <w:t xml:space="preserve"> in 1122 cp2</w:t>
      </w:r>
    </w:p>
    <w:p w14:paraId="3ED3893C" w14:textId="77777777" w:rsidR="003663AF" w:rsidRPr="00B7760C" w:rsidRDefault="003663AF" w:rsidP="003663AF">
      <w:pPr>
        <w:pStyle w:val="NormalBold12b"/>
      </w:pPr>
      <w:r w:rsidRPr="00B7760C">
        <w:t>Predlog uredbe</w:t>
      </w:r>
    </w:p>
    <w:p w14:paraId="54448E40" w14:textId="77777777" w:rsidR="003663AF" w:rsidRPr="00B7760C" w:rsidRDefault="003663AF" w:rsidP="003663AF">
      <w:pPr>
        <w:pStyle w:val="NormalBold"/>
      </w:pPr>
      <w:r w:rsidRPr="00B7760C">
        <w:t>Člen 52 – odstavek 1 – točka a d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F2574D8" w14:textId="77777777" w:rsidTr="00E804B7">
        <w:trPr>
          <w:jc w:val="center"/>
        </w:trPr>
        <w:tc>
          <w:tcPr>
            <w:tcW w:w="9752" w:type="dxa"/>
            <w:gridSpan w:val="2"/>
          </w:tcPr>
          <w:p w14:paraId="651203B7" w14:textId="77777777" w:rsidR="003663AF" w:rsidRPr="00B7760C" w:rsidRDefault="003663AF" w:rsidP="00E804B7">
            <w:pPr>
              <w:keepNext/>
            </w:pPr>
          </w:p>
        </w:tc>
      </w:tr>
      <w:tr w:rsidR="003663AF" w:rsidRPr="00B7760C" w14:paraId="51007DDF" w14:textId="77777777" w:rsidTr="00E804B7">
        <w:trPr>
          <w:jc w:val="center"/>
        </w:trPr>
        <w:tc>
          <w:tcPr>
            <w:tcW w:w="4876" w:type="dxa"/>
            <w:hideMark/>
          </w:tcPr>
          <w:p w14:paraId="5B007BDA" w14:textId="77777777" w:rsidR="003663AF" w:rsidRPr="00B7760C" w:rsidRDefault="003663AF" w:rsidP="00E804B7">
            <w:pPr>
              <w:pStyle w:val="ColumnHeading"/>
              <w:keepNext/>
            </w:pPr>
            <w:r w:rsidRPr="00B7760C">
              <w:t>Besedilo, ki ga predlaga Komisija</w:t>
            </w:r>
          </w:p>
        </w:tc>
        <w:tc>
          <w:tcPr>
            <w:tcW w:w="4876" w:type="dxa"/>
            <w:hideMark/>
          </w:tcPr>
          <w:p w14:paraId="3C9C3DED" w14:textId="1C984FCB" w:rsidR="003663AF" w:rsidRPr="00B7760C" w:rsidRDefault="00877691" w:rsidP="00E804B7">
            <w:pPr>
              <w:pStyle w:val="ColumnHeading"/>
              <w:keepNext/>
            </w:pPr>
            <w:r w:rsidRPr="00B7760C">
              <w:t>Sprememba</w:t>
            </w:r>
          </w:p>
        </w:tc>
      </w:tr>
      <w:tr w:rsidR="003663AF" w:rsidRPr="00B7760C" w14:paraId="3D5975C1" w14:textId="77777777" w:rsidTr="00E804B7">
        <w:trPr>
          <w:jc w:val="center"/>
        </w:trPr>
        <w:tc>
          <w:tcPr>
            <w:tcW w:w="4876" w:type="dxa"/>
          </w:tcPr>
          <w:p w14:paraId="1AE9A683" w14:textId="77777777" w:rsidR="003663AF" w:rsidRPr="00B7760C" w:rsidRDefault="003663AF" w:rsidP="00E804B7">
            <w:pPr>
              <w:pStyle w:val="Normal6"/>
            </w:pPr>
          </w:p>
        </w:tc>
        <w:tc>
          <w:tcPr>
            <w:tcW w:w="4876" w:type="dxa"/>
            <w:hideMark/>
          </w:tcPr>
          <w:p w14:paraId="10A5A28B" w14:textId="77777777" w:rsidR="003663AF" w:rsidRPr="00B7760C" w:rsidRDefault="003663AF" w:rsidP="00E804B7">
            <w:pPr>
              <w:pStyle w:val="Normal6"/>
              <w:rPr>
                <w:szCs w:val="24"/>
              </w:rPr>
            </w:pPr>
            <w:r w:rsidRPr="00B7760C">
              <w:rPr>
                <w:b/>
                <w:i/>
              </w:rPr>
              <w:t>(ad)</w:t>
            </w:r>
            <w:r w:rsidRPr="00B7760C">
              <w:rPr>
                <w:b/>
                <w:i/>
              </w:rPr>
              <w:tab/>
              <w:t>ukrepi za zmanjšanje prevzemanja tveganj s strani vinogradnikov, ki se zavežejo, da bodo korenito spremenili svojo prakso in sistem proizvodov, da bi bila njihova proizvodnja bolj trajnostna, tudi s povečanjem strukturne in biotske raznovrstnosti;</w:t>
            </w:r>
          </w:p>
        </w:tc>
      </w:tr>
    </w:tbl>
    <w:p w14:paraId="2C073CFD" w14:textId="77777777" w:rsidR="003663AF" w:rsidRPr="00B7760C" w:rsidRDefault="003663AF" w:rsidP="003663AF"/>
    <w:p w14:paraId="2CBB8184" w14:textId="0753AFC0" w:rsidR="003663AF" w:rsidRPr="00B7760C" w:rsidRDefault="00877691" w:rsidP="003663AF">
      <w:pPr>
        <w:pStyle w:val="AMNumberTabs"/>
        <w:keepNext/>
      </w:pPr>
      <w:r w:rsidRPr="00B7760C">
        <w:t>Sprememb</w:t>
      </w:r>
      <w:r w:rsidR="00262443" w:rsidRPr="00B7760C">
        <w:t>i</w:t>
      </w:r>
      <w:r w:rsidR="003663AF" w:rsidRPr="00B7760C">
        <w:tab/>
        <w:t>349</w:t>
      </w:r>
      <w:r w:rsidR="00262443" w:rsidRPr="00B7760C">
        <w:t xml:space="preserve"> in 1122 cp2</w:t>
      </w:r>
    </w:p>
    <w:p w14:paraId="306462FF" w14:textId="77777777" w:rsidR="003663AF" w:rsidRPr="00B7760C" w:rsidRDefault="003663AF" w:rsidP="003663AF">
      <w:pPr>
        <w:pStyle w:val="NormalBold12b"/>
      </w:pPr>
      <w:r w:rsidRPr="00B7760C">
        <w:t>Predlog uredbe</w:t>
      </w:r>
    </w:p>
    <w:p w14:paraId="16369367" w14:textId="77777777" w:rsidR="003663AF" w:rsidRPr="00B7760C" w:rsidRDefault="003663AF" w:rsidP="003663AF">
      <w:pPr>
        <w:pStyle w:val="NormalBold"/>
      </w:pPr>
      <w:r w:rsidRPr="00B7760C">
        <w:t>Člen 52 – odstavek 1 – točka b</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8EB1258" w14:textId="77777777" w:rsidTr="00E804B7">
        <w:trPr>
          <w:jc w:val="center"/>
        </w:trPr>
        <w:tc>
          <w:tcPr>
            <w:tcW w:w="9752" w:type="dxa"/>
            <w:gridSpan w:val="2"/>
          </w:tcPr>
          <w:p w14:paraId="46C183D3" w14:textId="77777777" w:rsidR="003663AF" w:rsidRPr="00B7760C" w:rsidRDefault="003663AF" w:rsidP="00E804B7">
            <w:pPr>
              <w:keepNext/>
            </w:pPr>
          </w:p>
        </w:tc>
      </w:tr>
      <w:tr w:rsidR="003663AF" w:rsidRPr="00B7760C" w14:paraId="510CE0C4" w14:textId="77777777" w:rsidTr="00E804B7">
        <w:trPr>
          <w:jc w:val="center"/>
        </w:trPr>
        <w:tc>
          <w:tcPr>
            <w:tcW w:w="4876" w:type="dxa"/>
            <w:hideMark/>
          </w:tcPr>
          <w:p w14:paraId="3D2B6188" w14:textId="77777777" w:rsidR="003663AF" w:rsidRPr="00B7760C" w:rsidRDefault="003663AF" w:rsidP="00E804B7">
            <w:pPr>
              <w:pStyle w:val="ColumnHeading"/>
              <w:keepNext/>
            </w:pPr>
            <w:r w:rsidRPr="00B7760C">
              <w:t>Besedilo, ki ga predlaga Komisija</w:t>
            </w:r>
          </w:p>
        </w:tc>
        <w:tc>
          <w:tcPr>
            <w:tcW w:w="4876" w:type="dxa"/>
            <w:hideMark/>
          </w:tcPr>
          <w:p w14:paraId="444974A6" w14:textId="388777C4" w:rsidR="003663AF" w:rsidRPr="00B7760C" w:rsidRDefault="00877691" w:rsidP="00E804B7">
            <w:pPr>
              <w:pStyle w:val="ColumnHeading"/>
              <w:keepNext/>
            </w:pPr>
            <w:r w:rsidRPr="00B7760C">
              <w:t>Sprememba</w:t>
            </w:r>
          </w:p>
        </w:tc>
      </w:tr>
      <w:tr w:rsidR="003663AF" w:rsidRPr="00B7760C" w14:paraId="40E8716B" w14:textId="77777777" w:rsidTr="00E804B7">
        <w:trPr>
          <w:jc w:val="center"/>
        </w:trPr>
        <w:tc>
          <w:tcPr>
            <w:tcW w:w="4876" w:type="dxa"/>
            <w:hideMark/>
          </w:tcPr>
          <w:p w14:paraId="76179E95" w14:textId="77777777" w:rsidR="003663AF" w:rsidRPr="00B7760C" w:rsidRDefault="003663AF" w:rsidP="00E804B7">
            <w:pPr>
              <w:pStyle w:val="Normal6"/>
            </w:pPr>
            <w:r w:rsidRPr="00B7760C">
              <w:t>(b)</w:t>
            </w:r>
            <w:r w:rsidRPr="00B7760C">
              <w:tab/>
              <w:t>materialne in nematerialne naložbe v predelovalne obrate in vinarsko infrastrukturo ter tržne strukture in orodja;</w:t>
            </w:r>
          </w:p>
        </w:tc>
        <w:tc>
          <w:tcPr>
            <w:tcW w:w="4876" w:type="dxa"/>
            <w:hideMark/>
          </w:tcPr>
          <w:p w14:paraId="032BC31A" w14:textId="38A27A29" w:rsidR="003663AF" w:rsidRPr="00B7760C" w:rsidRDefault="003663AF" w:rsidP="00262443">
            <w:pPr>
              <w:pStyle w:val="Normal6"/>
              <w:rPr>
                <w:szCs w:val="24"/>
              </w:rPr>
            </w:pPr>
            <w:r w:rsidRPr="00B7760C">
              <w:t>(b)</w:t>
            </w:r>
            <w:r w:rsidRPr="00B7760C">
              <w:tab/>
              <w:t xml:space="preserve">materialne in nematerialne naložbe v </w:t>
            </w:r>
            <w:r w:rsidRPr="00B7760C">
              <w:rPr>
                <w:b/>
                <w:i/>
              </w:rPr>
              <w:t xml:space="preserve">vinogradniške kmetije, tudi na strmih in terasastih območjih, z izjemo operacij v okviru vrste intervencij, opisanih v točki (a), ter v </w:t>
            </w:r>
            <w:r w:rsidRPr="00B7760C">
              <w:t xml:space="preserve">predelovalne obrate in vinarsko infrastrukturo ter tržne strukture in orodja; </w:t>
            </w:r>
            <w:r w:rsidRPr="00B7760C">
              <w:rPr>
                <w:b/>
                <w:i/>
              </w:rPr>
              <w:t>namen takšnih naložb je lahko zaščita vinogradov pred podnebnimi tveganji in prilagajanje kmetijskih gospodarstev novim pravnim zahtevam Unije;</w:t>
            </w:r>
          </w:p>
        </w:tc>
      </w:tr>
    </w:tbl>
    <w:p w14:paraId="3053FFD3" w14:textId="77777777" w:rsidR="003663AF" w:rsidRPr="00B7760C" w:rsidRDefault="003663AF" w:rsidP="003663AF"/>
    <w:p w14:paraId="218A05FD" w14:textId="4C354798" w:rsidR="003663AF" w:rsidRPr="00B7760C" w:rsidRDefault="00877691" w:rsidP="003663AF">
      <w:pPr>
        <w:pStyle w:val="AMNumberTabs"/>
        <w:keepNext/>
      </w:pPr>
      <w:r w:rsidRPr="00B7760C">
        <w:t>Sprememb</w:t>
      </w:r>
      <w:r w:rsidR="00262443" w:rsidRPr="00B7760C">
        <w:t>i</w:t>
      </w:r>
      <w:r w:rsidR="003663AF" w:rsidRPr="00B7760C">
        <w:tab/>
      </w:r>
      <w:r w:rsidR="003663AF" w:rsidRPr="00B7760C">
        <w:tab/>
        <w:t>350</w:t>
      </w:r>
      <w:r w:rsidR="00262443" w:rsidRPr="00B7760C">
        <w:t xml:space="preserve"> in 1122 cp2</w:t>
      </w:r>
    </w:p>
    <w:p w14:paraId="47148790" w14:textId="77777777" w:rsidR="003663AF" w:rsidRPr="00B7760C" w:rsidRDefault="003663AF" w:rsidP="003663AF">
      <w:pPr>
        <w:pStyle w:val="NormalBold12b"/>
      </w:pPr>
      <w:r w:rsidRPr="00B7760C">
        <w:t>Predlog uredbe</w:t>
      </w:r>
    </w:p>
    <w:p w14:paraId="79A1722E" w14:textId="77777777" w:rsidR="003663AF" w:rsidRPr="00B7760C" w:rsidRDefault="003663AF" w:rsidP="003663AF">
      <w:pPr>
        <w:pStyle w:val="NormalBold"/>
      </w:pPr>
      <w:r w:rsidRPr="00B7760C">
        <w:t>Člen 52 – odstavek 1 – točka d</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392FFBE" w14:textId="77777777" w:rsidTr="00E804B7">
        <w:trPr>
          <w:jc w:val="center"/>
        </w:trPr>
        <w:tc>
          <w:tcPr>
            <w:tcW w:w="9752" w:type="dxa"/>
            <w:gridSpan w:val="2"/>
          </w:tcPr>
          <w:p w14:paraId="41A64ADE" w14:textId="77777777" w:rsidR="003663AF" w:rsidRPr="00B7760C" w:rsidRDefault="003663AF" w:rsidP="00E804B7">
            <w:pPr>
              <w:keepNext/>
            </w:pPr>
          </w:p>
        </w:tc>
      </w:tr>
      <w:tr w:rsidR="003663AF" w:rsidRPr="00B7760C" w14:paraId="0279C405" w14:textId="77777777" w:rsidTr="00E804B7">
        <w:trPr>
          <w:jc w:val="center"/>
        </w:trPr>
        <w:tc>
          <w:tcPr>
            <w:tcW w:w="4876" w:type="dxa"/>
            <w:hideMark/>
          </w:tcPr>
          <w:p w14:paraId="5969CE60" w14:textId="77777777" w:rsidR="003663AF" w:rsidRPr="00B7760C" w:rsidRDefault="003663AF" w:rsidP="00E804B7">
            <w:pPr>
              <w:pStyle w:val="ColumnHeading"/>
              <w:keepNext/>
            </w:pPr>
            <w:r w:rsidRPr="00B7760C">
              <w:t>Besedilo, ki ga predlaga Komisija</w:t>
            </w:r>
          </w:p>
        </w:tc>
        <w:tc>
          <w:tcPr>
            <w:tcW w:w="4876" w:type="dxa"/>
            <w:hideMark/>
          </w:tcPr>
          <w:p w14:paraId="4B1F151D" w14:textId="6B3545A0" w:rsidR="003663AF" w:rsidRPr="00B7760C" w:rsidRDefault="00877691" w:rsidP="00E804B7">
            <w:pPr>
              <w:pStyle w:val="ColumnHeading"/>
              <w:keepNext/>
            </w:pPr>
            <w:r w:rsidRPr="00B7760C">
              <w:t>Sprememba</w:t>
            </w:r>
          </w:p>
        </w:tc>
      </w:tr>
      <w:tr w:rsidR="003663AF" w:rsidRPr="00B7760C" w14:paraId="23B539EA" w14:textId="77777777" w:rsidTr="00E804B7">
        <w:trPr>
          <w:jc w:val="center"/>
        </w:trPr>
        <w:tc>
          <w:tcPr>
            <w:tcW w:w="4876" w:type="dxa"/>
            <w:hideMark/>
          </w:tcPr>
          <w:p w14:paraId="14619610" w14:textId="77777777" w:rsidR="003663AF" w:rsidRPr="00B7760C" w:rsidRDefault="003663AF" w:rsidP="00E804B7">
            <w:pPr>
              <w:pStyle w:val="Normal6"/>
            </w:pPr>
            <w:r w:rsidRPr="00B7760C">
              <w:t>(d)</w:t>
            </w:r>
            <w:r w:rsidRPr="00B7760C">
              <w:tab/>
              <w:t>zavarovanje letine proti izgubi dohodka zaradi slabih vremenskih razmer, ki jih je mogoče izenačiti z naravno nesrečo, slabih vremenskih razmer, živali, bolezni rastlin ali napadov škodljivcev</w:t>
            </w:r>
            <w:r w:rsidRPr="00B7760C">
              <w:rPr>
                <w:bCs/>
                <w:iCs/>
              </w:rPr>
              <w:t>;</w:t>
            </w:r>
          </w:p>
        </w:tc>
        <w:tc>
          <w:tcPr>
            <w:tcW w:w="4876" w:type="dxa"/>
            <w:hideMark/>
          </w:tcPr>
          <w:p w14:paraId="7EC697A9" w14:textId="059760C2" w:rsidR="003663AF" w:rsidRPr="00B7760C" w:rsidRDefault="003663AF" w:rsidP="00E804B7">
            <w:pPr>
              <w:pStyle w:val="Normal6"/>
              <w:rPr>
                <w:szCs w:val="24"/>
              </w:rPr>
            </w:pPr>
            <w:r w:rsidRPr="00B7760C">
              <w:t>(d)</w:t>
            </w:r>
            <w:r w:rsidRPr="00B7760C">
              <w:tab/>
              <w:t>zavarovanje letine proti izgubi dohodka zaradi slabih vremenskih razmer, ki jih je mogoče izenačiti z naravno nesrečo, slabih vremenskih razmer, živali, bolezni rastlin ali napadov škodljivcev</w:t>
            </w:r>
            <w:r w:rsidRPr="00B7760C">
              <w:rPr>
                <w:b/>
                <w:i/>
              </w:rPr>
              <w:t xml:space="preserve"> ob hkratnem zagotavljanju, da upravičenci izvajajo potrebne ukrepe za preprečevanje tveganj</w:t>
            </w:r>
            <w:r w:rsidR="00F51A2F" w:rsidRPr="00B7760C">
              <w:rPr>
                <w:bCs/>
                <w:iCs/>
              </w:rPr>
              <w:t>;</w:t>
            </w:r>
          </w:p>
        </w:tc>
      </w:tr>
    </w:tbl>
    <w:p w14:paraId="7A7B81DF" w14:textId="77777777" w:rsidR="003663AF" w:rsidRPr="00B7760C" w:rsidRDefault="003663AF" w:rsidP="003663AF"/>
    <w:p w14:paraId="6F324D3B" w14:textId="33085DBF" w:rsidR="003663AF" w:rsidRPr="00B7760C" w:rsidRDefault="00877691" w:rsidP="003663AF">
      <w:pPr>
        <w:pStyle w:val="AMNumberTabs"/>
        <w:keepNext/>
      </w:pPr>
      <w:r w:rsidRPr="00B7760C">
        <w:t>Sprememb</w:t>
      </w:r>
      <w:r w:rsidR="00262443" w:rsidRPr="00B7760C">
        <w:t>i</w:t>
      </w:r>
      <w:r w:rsidR="003663AF" w:rsidRPr="00B7760C">
        <w:tab/>
      </w:r>
      <w:r w:rsidR="003663AF" w:rsidRPr="00B7760C">
        <w:tab/>
        <w:t>351</w:t>
      </w:r>
      <w:r w:rsidR="00262443" w:rsidRPr="00B7760C">
        <w:t xml:space="preserve"> in 1122 cp2</w:t>
      </w:r>
    </w:p>
    <w:p w14:paraId="77C9CF22" w14:textId="77777777" w:rsidR="003663AF" w:rsidRPr="00B7760C" w:rsidRDefault="003663AF" w:rsidP="003663AF">
      <w:pPr>
        <w:pStyle w:val="NormalBold12b"/>
      </w:pPr>
      <w:r w:rsidRPr="00B7760C">
        <w:t>Predlog uredbe</w:t>
      </w:r>
    </w:p>
    <w:p w14:paraId="141C518D" w14:textId="77777777" w:rsidR="003663AF" w:rsidRPr="00B7760C" w:rsidRDefault="003663AF" w:rsidP="003663AF">
      <w:pPr>
        <w:pStyle w:val="NormalBold"/>
      </w:pPr>
      <w:r w:rsidRPr="00B7760C">
        <w:t>Člen 52 – odstavek 1 – točka e</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EC9AC7E" w14:textId="77777777" w:rsidTr="00E804B7">
        <w:trPr>
          <w:jc w:val="center"/>
        </w:trPr>
        <w:tc>
          <w:tcPr>
            <w:tcW w:w="9752" w:type="dxa"/>
            <w:gridSpan w:val="2"/>
          </w:tcPr>
          <w:p w14:paraId="1D714DFD" w14:textId="77777777" w:rsidR="003663AF" w:rsidRPr="00B7760C" w:rsidRDefault="003663AF" w:rsidP="00E804B7">
            <w:pPr>
              <w:keepNext/>
            </w:pPr>
          </w:p>
        </w:tc>
      </w:tr>
      <w:tr w:rsidR="003663AF" w:rsidRPr="00B7760C" w14:paraId="5223EF59" w14:textId="77777777" w:rsidTr="00E804B7">
        <w:trPr>
          <w:jc w:val="center"/>
        </w:trPr>
        <w:tc>
          <w:tcPr>
            <w:tcW w:w="4876" w:type="dxa"/>
            <w:hideMark/>
          </w:tcPr>
          <w:p w14:paraId="39EB1F7C" w14:textId="77777777" w:rsidR="003663AF" w:rsidRPr="00B7760C" w:rsidRDefault="003663AF" w:rsidP="00E804B7">
            <w:pPr>
              <w:pStyle w:val="ColumnHeading"/>
              <w:keepNext/>
            </w:pPr>
            <w:r w:rsidRPr="00B7760C">
              <w:t>Besedilo, ki ga predlaga Komisija</w:t>
            </w:r>
          </w:p>
        </w:tc>
        <w:tc>
          <w:tcPr>
            <w:tcW w:w="4876" w:type="dxa"/>
            <w:hideMark/>
          </w:tcPr>
          <w:p w14:paraId="0C23BD5A" w14:textId="6C26F833" w:rsidR="003663AF" w:rsidRPr="00B7760C" w:rsidRDefault="00877691" w:rsidP="00E804B7">
            <w:pPr>
              <w:pStyle w:val="ColumnHeading"/>
              <w:keepNext/>
            </w:pPr>
            <w:r w:rsidRPr="00B7760C">
              <w:t>Sprememba</w:t>
            </w:r>
          </w:p>
        </w:tc>
      </w:tr>
      <w:tr w:rsidR="003663AF" w:rsidRPr="00B7760C" w14:paraId="520B957A" w14:textId="77777777" w:rsidTr="00E804B7">
        <w:trPr>
          <w:jc w:val="center"/>
        </w:trPr>
        <w:tc>
          <w:tcPr>
            <w:tcW w:w="4876" w:type="dxa"/>
            <w:hideMark/>
          </w:tcPr>
          <w:p w14:paraId="47A21860" w14:textId="77777777" w:rsidR="003663AF" w:rsidRPr="00B7760C" w:rsidRDefault="003663AF" w:rsidP="00E804B7">
            <w:pPr>
              <w:pStyle w:val="Normal6"/>
            </w:pPr>
            <w:r w:rsidRPr="00B7760C">
              <w:t>(e)</w:t>
            </w:r>
            <w:r w:rsidRPr="00B7760C">
              <w:tab/>
              <w:t xml:space="preserve">materialne in nematerialne naložbe v inovacije, ki vključujejo razvoj inovativnih proizvodov in </w:t>
            </w:r>
            <w:r w:rsidRPr="00B7760C">
              <w:rPr>
                <w:b/>
                <w:i/>
              </w:rPr>
              <w:t>stranskih proizvodov</w:t>
            </w:r>
            <w:r w:rsidRPr="00B7760C">
              <w:t xml:space="preserve"> vinarstva, postopkov in tehnologij, ter druge naložbe, ki dodajajo vrednost na vseh stopnjah dobavne verige, vključno z izmenjavo znanja;</w:t>
            </w:r>
          </w:p>
        </w:tc>
        <w:tc>
          <w:tcPr>
            <w:tcW w:w="4876" w:type="dxa"/>
            <w:hideMark/>
          </w:tcPr>
          <w:p w14:paraId="308DFC0F" w14:textId="77777777" w:rsidR="003663AF" w:rsidRPr="00B7760C" w:rsidRDefault="003663AF" w:rsidP="00E804B7">
            <w:pPr>
              <w:pStyle w:val="Normal6"/>
              <w:rPr>
                <w:szCs w:val="24"/>
              </w:rPr>
            </w:pPr>
            <w:r w:rsidRPr="00B7760C">
              <w:t>(e)</w:t>
            </w:r>
            <w:r w:rsidRPr="00B7760C">
              <w:tab/>
              <w:t xml:space="preserve">materialne in nematerialne naložbe v </w:t>
            </w:r>
            <w:r w:rsidRPr="00B7760C">
              <w:rPr>
                <w:b/>
                <w:i/>
              </w:rPr>
              <w:t xml:space="preserve">digitalizacijo in </w:t>
            </w:r>
            <w:r w:rsidRPr="00B7760C">
              <w:t xml:space="preserve">inovacije, ki vključujejo razvoj inovativnih proizvodov in </w:t>
            </w:r>
            <w:r w:rsidRPr="00B7760C">
              <w:rPr>
                <w:b/>
                <w:i/>
              </w:rPr>
              <w:t>tehnoloških postopkov, povezanih s proizvodi iz dela II Priloge VII k Uredbi (EU) št. 1308/2013 ali s stranskimi proizvodi</w:t>
            </w:r>
            <w:r w:rsidRPr="00B7760C">
              <w:t xml:space="preserve"> vinarstva, postopkov in tehnologij, ter druge naložbe, ki dodajajo vrednost na vseh stopnjah dobavne verige, vključno z izmenjavo znanja</w:t>
            </w:r>
            <w:r w:rsidRPr="00B7760C">
              <w:rPr>
                <w:b/>
                <w:i/>
              </w:rPr>
              <w:t>, in/ali prispevajo k prilagajanju na podnebne spremembe</w:t>
            </w:r>
            <w:r w:rsidRPr="00B7760C">
              <w:t>;</w:t>
            </w:r>
          </w:p>
        </w:tc>
      </w:tr>
    </w:tbl>
    <w:p w14:paraId="217254D8" w14:textId="77777777" w:rsidR="003663AF" w:rsidRPr="00B7760C" w:rsidRDefault="003663AF" w:rsidP="003663AF"/>
    <w:p w14:paraId="25087E9D" w14:textId="77777777" w:rsidR="003663AF" w:rsidRPr="00B7760C" w:rsidRDefault="003663AF" w:rsidP="003663AF"/>
    <w:p w14:paraId="51EE1BB6" w14:textId="086917C4" w:rsidR="003663AF" w:rsidRPr="00B7760C" w:rsidRDefault="00877691" w:rsidP="003663AF">
      <w:pPr>
        <w:pStyle w:val="AMNumberTabs"/>
        <w:keepNext/>
      </w:pPr>
      <w:r w:rsidRPr="00B7760C">
        <w:t>Sprememb</w:t>
      </w:r>
      <w:r w:rsidR="00262443" w:rsidRPr="00B7760C">
        <w:t>i</w:t>
      </w:r>
      <w:r w:rsidR="003663AF" w:rsidRPr="00B7760C">
        <w:tab/>
      </w:r>
      <w:r w:rsidR="003663AF" w:rsidRPr="00B7760C">
        <w:tab/>
        <w:t>353</w:t>
      </w:r>
      <w:r w:rsidR="00262443" w:rsidRPr="00B7760C">
        <w:t xml:space="preserve"> in 1122 cp3</w:t>
      </w:r>
    </w:p>
    <w:p w14:paraId="36A9E451" w14:textId="77777777" w:rsidR="003663AF" w:rsidRPr="00B7760C" w:rsidRDefault="003663AF" w:rsidP="003663AF">
      <w:pPr>
        <w:pStyle w:val="NormalBold12b"/>
      </w:pPr>
      <w:r w:rsidRPr="00B7760C">
        <w:t>Predlog uredbe</w:t>
      </w:r>
    </w:p>
    <w:p w14:paraId="2EA8D10B" w14:textId="77777777" w:rsidR="003663AF" w:rsidRPr="00B7760C" w:rsidRDefault="003663AF" w:rsidP="003663AF">
      <w:pPr>
        <w:pStyle w:val="NormalBold"/>
      </w:pPr>
      <w:r w:rsidRPr="00B7760C">
        <w:t>Člen 52 – odstavek 1 – točka g</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5C8D198" w14:textId="77777777" w:rsidTr="00E804B7">
        <w:trPr>
          <w:jc w:val="center"/>
        </w:trPr>
        <w:tc>
          <w:tcPr>
            <w:tcW w:w="9752" w:type="dxa"/>
            <w:gridSpan w:val="2"/>
          </w:tcPr>
          <w:p w14:paraId="1D684FC4" w14:textId="77777777" w:rsidR="003663AF" w:rsidRPr="00B7760C" w:rsidRDefault="003663AF" w:rsidP="00E804B7">
            <w:pPr>
              <w:keepNext/>
            </w:pPr>
          </w:p>
        </w:tc>
      </w:tr>
      <w:tr w:rsidR="003663AF" w:rsidRPr="00B7760C" w14:paraId="3058D83D" w14:textId="77777777" w:rsidTr="00E804B7">
        <w:trPr>
          <w:jc w:val="center"/>
        </w:trPr>
        <w:tc>
          <w:tcPr>
            <w:tcW w:w="4876" w:type="dxa"/>
            <w:hideMark/>
          </w:tcPr>
          <w:p w14:paraId="441D8152" w14:textId="77777777" w:rsidR="003663AF" w:rsidRPr="00B7760C" w:rsidRDefault="003663AF" w:rsidP="00E804B7">
            <w:pPr>
              <w:pStyle w:val="ColumnHeading"/>
              <w:keepNext/>
            </w:pPr>
            <w:r w:rsidRPr="00B7760C">
              <w:t>Besedilo, ki ga predlaga Komisija</w:t>
            </w:r>
          </w:p>
        </w:tc>
        <w:tc>
          <w:tcPr>
            <w:tcW w:w="4876" w:type="dxa"/>
            <w:hideMark/>
          </w:tcPr>
          <w:p w14:paraId="3AF6FD1B" w14:textId="7AF6CE52" w:rsidR="003663AF" w:rsidRPr="00B7760C" w:rsidRDefault="00877691" w:rsidP="00E804B7">
            <w:pPr>
              <w:pStyle w:val="ColumnHeading"/>
              <w:keepNext/>
            </w:pPr>
            <w:r w:rsidRPr="00B7760C">
              <w:t>Sprememba</w:t>
            </w:r>
          </w:p>
        </w:tc>
      </w:tr>
      <w:tr w:rsidR="003663AF" w:rsidRPr="00B7760C" w14:paraId="6A550ECB" w14:textId="77777777" w:rsidTr="00E804B7">
        <w:trPr>
          <w:jc w:val="center"/>
        </w:trPr>
        <w:tc>
          <w:tcPr>
            <w:tcW w:w="4876" w:type="dxa"/>
            <w:hideMark/>
          </w:tcPr>
          <w:p w14:paraId="5B6C776C" w14:textId="77777777" w:rsidR="003663AF" w:rsidRPr="00B7760C" w:rsidRDefault="003663AF" w:rsidP="00E804B7">
            <w:pPr>
              <w:pStyle w:val="Normal6"/>
            </w:pPr>
            <w:r w:rsidRPr="00B7760C">
              <w:t>(g)</w:t>
            </w:r>
            <w:r w:rsidRPr="00B7760C">
              <w:tab/>
              <w:t>ukrepi za informiranje o vinih Unije v državah članicah za spodbujanje odgovornega uživanja vina</w:t>
            </w:r>
            <w:r w:rsidRPr="00B7760C">
              <w:rPr>
                <w:b/>
                <w:i/>
              </w:rPr>
              <w:t xml:space="preserve"> ali shem kakovosti Unije, ki zajemajo označbe porekla in geografske označbe</w:t>
            </w:r>
            <w:r w:rsidRPr="00B7760C">
              <w:t>;</w:t>
            </w:r>
          </w:p>
        </w:tc>
        <w:tc>
          <w:tcPr>
            <w:tcW w:w="4876" w:type="dxa"/>
            <w:hideMark/>
          </w:tcPr>
          <w:p w14:paraId="6B2E4D36" w14:textId="77777777" w:rsidR="003663AF" w:rsidRPr="00B7760C" w:rsidRDefault="003663AF" w:rsidP="00E804B7">
            <w:pPr>
              <w:pStyle w:val="Normal6"/>
              <w:rPr>
                <w:szCs w:val="24"/>
              </w:rPr>
            </w:pPr>
            <w:r w:rsidRPr="00B7760C">
              <w:t>(g)</w:t>
            </w:r>
            <w:r w:rsidRPr="00B7760C">
              <w:tab/>
              <w:t>ukrepi za informiranje o vinih Unije v državah članicah za spodbujanje odgovornega uživanja vina;</w:t>
            </w:r>
          </w:p>
        </w:tc>
      </w:tr>
    </w:tbl>
    <w:p w14:paraId="5C257D74" w14:textId="77777777" w:rsidR="003663AF" w:rsidRPr="00B7760C" w:rsidRDefault="003663AF" w:rsidP="003663AF"/>
    <w:p w14:paraId="254AA0B6" w14:textId="42C16836" w:rsidR="003663AF" w:rsidRPr="00B7760C" w:rsidRDefault="00877691" w:rsidP="003663AF">
      <w:pPr>
        <w:pStyle w:val="AMNumberTabs"/>
        <w:keepNext/>
      </w:pPr>
      <w:r w:rsidRPr="00B7760C">
        <w:t>Sprememb</w:t>
      </w:r>
      <w:r w:rsidR="00262443" w:rsidRPr="00B7760C">
        <w:t>i</w:t>
      </w:r>
      <w:r w:rsidR="003663AF" w:rsidRPr="00B7760C">
        <w:tab/>
      </w:r>
      <w:r w:rsidR="003663AF" w:rsidRPr="00B7760C">
        <w:tab/>
        <w:t>354</w:t>
      </w:r>
      <w:r w:rsidR="00262443" w:rsidRPr="00B7760C">
        <w:t xml:space="preserve"> in 1122 cp4</w:t>
      </w:r>
    </w:p>
    <w:p w14:paraId="3B042A3A" w14:textId="77777777" w:rsidR="003663AF" w:rsidRPr="00B7760C" w:rsidRDefault="003663AF" w:rsidP="003663AF">
      <w:pPr>
        <w:pStyle w:val="NormalBold12b"/>
      </w:pPr>
      <w:r w:rsidRPr="00B7760C">
        <w:t>Predlog uredbe</w:t>
      </w:r>
    </w:p>
    <w:p w14:paraId="29D4D12F" w14:textId="77777777" w:rsidR="003663AF" w:rsidRPr="00B7760C" w:rsidRDefault="003663AF" w:rsidP="003663AF">
      <w:pPr>
        <w:pStyle w:val="NormalBold"/>
      </w:pPr>
      <w:r w:rsidRPr="00B7760C">
        <w:t>Člen 52 – odstavek 1 – točka g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5B60895" w14:textId="77777777" w:rsidTr="00E804B7">
        <w:trPr>
          <w:jc w:val="center"/>
        </w:trPr>
        <w:tc>
          <w:tcPr>
            <w:tcW w:w="9752" w:type="dxa"/>
            <w:gridSpan w:val="2"/>
          </w:tcPr>
          <w:p w14:paraId="6469B0F1" w14:textId="77777777" w:rsidR="003663AF" w:rsidRPr="00B7760C" w:rsidRDefault="003663AF" w:rsidP="00E804B7">
            <w:pPr>
              <w:keepNext/>
            </w:pPr>
          </w:p>
        </w:tc>
      </w:tr>
      <w:tr w:rsidR="003663AF" w:rsidRPr="00B7760C" w14:paraId="6BFBAA60" w14:textId="77777777" w:rsidTr="00E804B7">
        <w:trPr>
          <w:jc w:val="center"/>
        </w:trPr>
        <w:tc>
          <w:tcPr>
            <w:tcW w:w="4876" w:type="dxa"/>
            <w:hideMark/>
          </w:tcPr>
          <w:p w14:paraId="73741FB5" w14:textId="77777777" w:rsidR="003663AF" w:rsidRPr="00B7760C" w:rsidRDefault="003663AF" w:rsidP="00E804B7">
            <w:pPr>
              <w:pStyle w:val="ColumnHeading"/>
              <w:keepNext/>
            </w:pPr>
            <w:r w:rsidRPr="00B7760C">
              <w:t>Besedilo, ki ga predlaga Komisija</w:t>
            </w:r>
          </w:p>
        </w:tc>
        <w:tc>
          <w:tcPr>
            <w:tcW w:w="4876" w:type="dxa"/>
            <w:hideMark/>
          </w:tcPr>
          <w:p w14:paraId="48F14BF4" w14:textId="25C31FB8" w:rsidR="003663AF" w:rsidRPr="00B7760C" w:rsidRDefault="00877691" w:rsidP="00E804B7">
            <w:pPr>
              <w:pStyle w:val="ColumnHeading"/>
              <w:keepNext/>
            </w:pPr>
            <w:r w:rsidRPr="00B7760C">
              <w:t>Sprememba</w:t>
            </w:r>
          </w:p>
        </w:tc>
      </w:tr>
      <w:tr w:rsidR="003663AF" w:rsidRPr="00B7760C" w14:paraId="2A7A252E" w14:textId="77777777" w:rsidTr="00E804B7">
        <w:trPr>
          <w:jc w:val="center"/>
        </w:trPr>
        <w:tc>
          <w:tcPr>
            <w:tcW w:w="4876" w:type="dxa"/>
          </w:tcPr>
          <w:p w14:paraId="30C423CE" w14:textId="77777777" w:rsidR="003663AF" w:rsidRPr="00B7760C" w:rsidRDefault="003663AF" w:rsidP="00E804B7">
            <w:pPr>
              <w:pStyle w:val="Normal6"/>
            </w:pPr>
          </w:p>
        </w:tc>
        <w:tc>
          <w:tcPr>
            <w:tcW w:w="4876" w:type="dxa"/>
            <w:hideMark/>
          </w:tcPr>
          <w:p w14:paraId="6F9E6449" w14:textId="77777777" w:rsidR="003663AF" w:rsidRPr="00B7760C" w:rsidRDefault="003663AF" w:rsidP="00E804B7">
            <w:pPr>
              <w:pStyle w:val="Normal6"/>
              <w:rPr>
                <w:szCs w:val="24"/>
              </w:rPr>
            </w:pPr>
            <w:r w:rsidRPr="00B7760C">
              <w:rPr>
                <w:b/>
                <w:i/>
              </w:rPr>
              <w:t>(ga)</w:t>
            </w:r>
            <w:r w:rsidRPr="00B7760C">
              <w:rPr>
                <w:b/>
                <w:i/>
              </w:rPr>
              <w:tab/>
              <w:t>ukrepi za boljše poznavanje trgov, kot je izvajanje ekonomskih študij in študij ureditve o obstoječih trgih, pa tudi ukrepi za promocijo vinskega turizma, namenjeni povečanju prepoznavnosti evropskih vinogradov;</w:t>
            </w:r>
          </w:p>
        </w:tc>
      </w:tr>
    </w:tbl>
    <w:p w14:paraId="2AF1157A" w14:textId="77777777" w:rsidR="003663AF" w:rsidRPr="00B7760C" w:rsidRDefault="003663AF" w:rsidP="003663AF"/>
    <w:p w14:paraId="7DD1B2E5" w14:textId="10C7A754" w:rsidR="003663AF" w:rsidRPr="00B7760C" w:rsidRDefault="00877691" w:rsidP="003663AF">
      <w:pPr>
        <w:pStyle w:val="AMNumberTabs"/>
        <w:keepNext/>
      </w:pPr>
      <w:r w:rsidRPr="00B7760C">
        <w:t>Sprememb</w:t>
      </w:r>
      <w:r w:rsidR="00262443" w:rsidRPr="00B7760C">
        <w:t>i</w:t>
      </w:r>
      <w:r w:rsidR="003663AF" w:rsidRPr="00B7760C">
        <w:tab/>
      </w:r>
      <w:r w:rsidR="003663AF" w:rsidRPr="00B7760C">
        <w:tab/>
        <w:t>355</w:t>
      </w:r>
      <w:r w:rsidR="00262443" w:rsidRPr="00B7760C">
        <w:t xml:space="preserve"> in 1122 cp5</w:t>
      </w:r>
    </w:p>
    <w:p w14:paraId="70C909A1" w14:textId="77777777" w:rsidR="003663AF" w:rsidRPr="00B7760C" w:rsidRDefault="003663AF" w:rsidP="003663AF">
      <w:pPr>
        <w:pStyle w:val="NormalBold12b"/>
      </w:pPr>
      <w:r w:rsidRPr="00B7760C">
        <w:t>Predlog uredbe</w:t>
      </w:r>
    </w:p>
    <w:p w14:paraId="6B834ADD" w14:textId="77777777" w:rsidR="003663AF" w:rsidRPr="00B7760C" w:rsidRDefault="003663AF" w:rsidP="003663AF">
      <w:pPr>
        <w:pStyle w:val="NormalBold"/>
      </w:pPr>
      <w:r w:rsidRPr="00B7760C">
        <w:t>Člen 52 – odstavek 1 – točka h – uvodni del</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FACDCEF" w14:textId="77777777" w:rsidTr="00E804B7">
        <w:trPr>
          <w:jc w:val="center"/>
        </w:trPr>
        <w:tc>
          <w:tcPr>
            <w:tcW w:w="9752" w:type="dxa"/>
            <w:gridSpan w:val="2"/>
          </w:tcPr>
          <w:p w14:paraId="26DBF759" w14:textId="77777777" w:rsidR="003663AF" w:rsidRPr="00B7760C" w:rsidRDefault="003663AF" w:rsidP="00E804B7">
            <w:pPr>
              <w:keepNext/>
            </w:pPr>
          </w:p>
        </w:tc>
      </w:tr>
      <w:tr w:rsidR="003663AF" w:rsidRPr="00B7760C" w14:paraId="3EE8ACEF" w14:textId="77777777" w:rsidTr="00E804B7">
        <w:trPr>
          <w:jc w:val="center"/>
        </w:trPr>
        <w:tc>
          <w:tcPr>
            <w:tcW w:w="4876" w:type="dxa"/>
            <w:hideMark/>
          </w:tcPr>
          <w:p w14:paraId="05A4A13B" w14:textId="77777777" w:rsidR="003663AF" w:rsidRPr="00B7760C" w:rsidRDefault="003663AF" w:rsidP="00E804B7">
            <w:pPr>
              <w:pStyle w:val="ColumnHeading"/>
              <w:keepNext/>
            </w:pPr>
            <w:r w:rsidRPr="00B7760C">
              <w:t>Besedilo, ki ga predlaga Komisija</w:t>
            </w:r>
          </w:p>
        </w:tc>
        <w:tc>
          <w:tcPr>
            <w:tcW w:w="4876" w:type="dxa"/>
            <w:hideMark/>
          </w:tcPr>
          <w:p w14:paraId="17CA1733" w14:textId="497F7197" w:rsidR="003663AF" w:rsidRPr="00B7760C" w:rsidRDefault="00877691" w:rsidP="00E804B7">
            <w:pPr>
              <w:pStyle w:val="ColumnHeading"/>
              <w:keepNext/>
            </w:pPr>
            <w:r w:rsidRPr="00B7760C">
              <w:t>Sprememba</w:t>
            </w:r>
          </w:p>
        </w:tc>
      </w:tr>
      <w:tr w:rsidR="003663AF" w:rsidRPr="00B7760C" w14:paraId="673F2232" w14:textId="77777777" w:rsidTr="00E804B7">
        <w:trPr>
          <w:jc w:val="center"/>
        </w:trPr>
        <w:tc>
          <w:tcPr>
            <w:tcW w:w="4876" w:type="dxa"/>
            <w:hideMark/>
          </w:tcPr>
          <w:p w14:paraId="7F3F2982" w14:textId="77777777" w:rsidR="003663AF" w:rsidRPr="00B7760C" w:rsidRDefault="003663AF" w:rsidP="00E804B7">
            <w:pPr>
              <w:pStyle w:val="Normal6"/>
            </w:pPr>
            <w:r w:rsidRPr="00B7760C">
              <w:t>(h)</w:t>
            </w:r>
            <w:r w:rsidRPr="00B7760C">
              <w:tab/>
              <w:t xml:space="preserve">promocija v tretjih državah, ki vključuje </w:t>
            </w:r>
            <w:r w:rsidRPr="00B7760C">
              <w:rPr>
                <w:b/>
                <w:i/>
              </w:rPr>
              <w:t>eno</w:t>
            </w:r>
            <w:r w:rsidRPr="00B7760C">
              <w:t xml:space="preserve"> ali več od naslednjih </w:t>
            </w:r>
            <w:r w:rsidRPr="00B7760C">
              <w:rPr>
                <w:b/>
                <w:i/>
              </w:rPr>
              <w:t>točk</w:t>
            </w:r>
            <w:r w:rsidRPr="00B7760C">
              <w:t>:</w:t>
            </w:r>
          </w:p>
        </w:tc>
        <w:tc>
          <w:tcPr>
            <w:tcW w:w="4876" w:type="dxa"/>
            <w:hideMark/>
          </w:tcPr>
          <w:p w14:paraId="35285484" w14:textId="77777777" w:rsidR="003663AF" w:rsidRPr="00B7760C" w:rsidRDefault="003663AF" w:rsidP="00E804B7">
            <w:pPr>
              <w:pStyle w:val="Normal6"/>
              <w:rPr>
                <w:szCs w:val="24"/>
              </w:rPr>
            </w:pPr>
            <w:r w:rsidRPr="00B7760C">
              <w:t>(h)</w:t>
            </w:r>
            <w:r w:rsidRPr="00B7760C">
              <w:tab/>
              <w:t xml:space="preserve">promocija </w:t>
            </w:r>
            <w:r w:rsidRPr="00B7760C">
              <w:rPr>
                <w:b/>
                <w:i/>
              </w:rPr>
              <w:t xml:space="preserve">in obveščanje </w:t>
            </w:r>
            <w:r w:rsidRPr="00B7760C">
              <w:t xml:space="preserve">v tretjih državah, ki vključuje </w:t>
            </w:r>
            <w:r w:rsidRPr="00B7760C">
              <w:rPr>
                <w:b/>
                <w:i/>
              </w:rPr>
              <w:t>enega</w:t>
            </w:r>
            <w:r w:rsidRPr="00B7760C">
              <w:t xml:space="preserve"> ali več od naslednjih </w:t>
            </w:r>
            <w:r w:rsidRPr="00B7760C">
              <w:rPr>
                <w:b/>
                <w:i/>
              </w:rPr>
              <w:t>ukrepov in dejavnosti, namenjenih izboljšanju konkurenčnosti vinskega sektorja ter začetnemu oblikovanju, diverzifikaciji ali konsolidaciji trgov</w:t>
            </w:r>
            <w:r w:rsidRPr="00B7760C">
              <w:t>:</w:t>
            </w:r>
          </w:p>
        </w:tc>
      </w:tr>
    </w:tbl>
    <w:p w14:paraId="7C0FB49F" w14:textId="77777777" w:rsidR="003663AF" w:rsidRPr="00B7760C" w:rsidRDefault="003663AF" w:rsidP="003663AF"/>
    <w:p w14:paraId="01913D83" w14:textId="566AEE79" w:rsidR="003663AF" w:rsidRPr="00B7760C" w:rsidRDefault="00877691" w:rsidP="003663AF">
      <w:pPr>
        <w:pStyle w:val="AMNumberTabs"/>
        <w:keepNext/>
      </w:pPr>
      <w:r w:rsidRPr="00B7760C">
        <w:t>Sprememb</w:t>
      </w:r>
      <w:r w:rsidR="00262443" w:rsidRPr="00B7760C">
        <w:t>i</w:t>
      </w:r>
      <w:r w:rsidR="003663AF" w:rsidRPr="00B7760C">
        <w:tab/>
      </w:r>
      <w:r w:rsidR="003663AF" w:rsidRPr="00B7760C">
        <w:tab/>
        <w:t>356</w:t>
      </w:r>
      <w:r w:rsidR="00262443" w:rsidRPr="00B7760C">
        <w:t xml:space="preserve"> in 1122 cp5</w:t>
      </w:r>
    </w:p>
    <w:p w14:paraId="3BF186E8" w14:textId="77777777" w:rsidR="003663AF" w:rsidRPr="00B7760C" w:rsidRDefault="003663AF" w:rsidP="003663AF">
      <w:pPr>
        <w:pStyle w:val="NormalBold12b"/>
      </w:pPr>
      <w:r w:rsidRPr="00B7760C">
        <w:t>Predlog uredbe</w:t>
      </w:r>
    </w:p>
    <w:p w14:paraId="3BD15497" w14:textId="77777777" w:rsidR="003663AF" w:rsidRPr="00B7760C" w:rsidRDefault="003663AF" w:rsidP="003663AF">
      <w:pPr>
        <w:pStyle w:val="NormalBold"/>
      </w:pPr>
      <w:r w:rsidRPr="00B7760C">
        <w:t>Člen 52 – odstavek 1 – točka h – točka iv</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749BE12" w14:textId="77777777" w:rsidTr="00E804B7">
        <w:trPr>
          <w:jc w:val="center"/>
        </w:trPr>
        <w:tc>
          <w:tcPr>
            <w:tcW w:w="9752" w:type="dxa"/>
            <w:gridSpan w:val="2"/>
          </w:tcPr>
          <w:p w14:paraId="68A6EFC8" w14:textId="77777777" w:rsidR="003663AF" w:rsidRPr="00B7760C" w:rsidRDefault="003663AF" w:rsidP="00E804B7">
            <w:pPr>
              <w:keepNext/>
            </w:pPr>
          </w:p>
        </w:tc>
      </w:tr>
      <w:tr w:rsidR="003663AF" w:rsidRPr="00B7760C" w14:paraId="795C7196" w14:textId="77777777" w:rsidTr="00E804B7">
        <w:trPr>
          <w:jc w:val="center"/>
        </w:trPr>
        <w:tc>
          <w:tcPr>
            <w:tcW w:w="4876" w:type="dxa"/>
            <w:hideMark/>
          </w:tcPr>
          <w:p w14:paraId="130DA065" w14:textId="77777777" w:rsidR="003663AF" w:rsidRPr="00B7760C" w:rsidRDefault="003663AF" w:rsidP="00E804B7">
            <w:pPr>
              <w:pStyle w:val="ColumnHeading"/>
              <w:keepNext/>
            </w:pPr>
            <w:r w:rsidRPr="00B7760C">
              <w:t>Besedilo, ki ga predlaga Komisija</w:t>
            </w:r>
          </w:p>
        </w:tc>
        <w:tc>
          <w:tcPr>
            <w:tcW w:w="4876" w:type="dxa"/>
            <w:hideMark/>
          </w:tcPr>
          <w:p w14:paraId="0CCEECBB" w14:textId="70692813" w:rsidR="003663AF" w:rsidRPr="00B7760C" w:rsidRDefault="00877691" w:rsidP="00E804B7">
            <w:pPr>
              <w:pStyle w:val="ColumnHeading"/>
              <w:keepNext/>
            </w:pPr>
            <w:r w:rsidRPr="00B7760C">
              <w:t>Sprememba</w:t>
            </w:r>
          </w:p>
        </w:tc>
      </w:tr>
      <w:tr w:rsidR="003663AF" w:rsidRPr="00B7760C" w14:paraId="7A0F742D" w14:textId="77777777" w:rsidTr="00E804B7">
        <w:trPr>
          <w:jc w:val="center"/>
        </w:trPr>
        <w:tc>
          <w:tcPr>
            <w:tcW w:w="4876" w:type="dxa"/>
            <w:hideMark/>
          </w:tcPr>
          <w:p w14:paraId="6A7E7569" w14:textId="77777777" w:rsidR="003663AF" w:rsidRPr="00B7760C" w:rsidRDefault="003663AF" w:rsidP="00E804B7">
            <w:pPr>
              <w:pStyle w:val="Normal6"/>
            </w:pPr>
            <w:r w:rsidRPr="00B7760C">
              <w:t>(iv)</w:t>
            </w:r>
            <w:r w:rsidRPr="00B7760C">
              <w:tab/>
              <w:t>študije novih trgov, potrebne za razširitev možnosti prodaje;</w:t>
            </w:r>
          </w:p>
        </w:tc>
        <w:tc>
          <w:tcPr>
            <w:tcW w:w="4876" w:type="dxa"/>
            <w:hideMark/>
          </w:tcPr>
          <w:p w14:paraId="106B28F8" w14:textId="77777777" w:rsidR="003663AF" w:rsidRPr="00B7760C" w:rsidRDefault="003663AF" w:rsidP="00E804B7">
            <w:pPr>
              <w:pStyle w:val="Normal6"/>
              <w:rPr>
                <w:szCs w:val="24"/>
              </w:rPr>
            </w:pPr>
            <w:r w:rsidRPr="00B7760C">
              <w:t>(iv)</w:t>
            </w:r>
            <w:r w:rsidRPr="00B7760C">
              <w:tab/>
              <w:t xml:space="preserve">študije novih </w:t>
            </w:r>
            <w:r w:rsidRPr="00B7760C">
              <w:rPr>
                <w:b/>
                <w:i/>
              </w:rPr>
              <w:t xml:space="preserve">ali obstoječih </w:t>
            </w:r>
            <w:r w:rsidRPr="00B7760C">
              <w:t>trgov, potrebne za razširitev</w:t>
            </w:r>
            <w:r w:rsidRPr="00B7760C">
              <w:rPr>
                <w:b/>
                <w:i/>
              </w:rPr>
              <w:t xml:space="preserve"> in konsolidacijo</w:t>
            </w:r>
            <w:r w:rsidRPr="00B7760C">
              <w:t xml:space="preserve"> možnosti prodaje;</w:t>
            </w:r>
          </w:p>
        </w:tc>
      </w:tr>
    </w:tbl>
    <w:p w14:paraId="3DE8EA7E" w14:textId="77777777" w:rsidR="003663AF" w:rsidRPr="00B7760C" w:rsidRDefault="003663AF" w:rsidP="003663AF"/>
    <w:p w14:paraId="2B78BF43" w14:textId="6C4271D0" w:rsidR="003663AF" w:rsidRPr="00B7760C" w:rsidRDefault="00877691" w:rsidP="003663AF">
      <w:pPr>
        <w:pStyle w:val="AMNumberTabs"/>
        <w:keepNext/>
      </w:pPr>
      <w:r w:rsidRPr="00B7760C">
        <w:t>Sprememb</w:t>
      </w:r>
      <w:r w:rsidR="00262443" w:rsidRPr="00B7760C">
        <w:t>i</w:t>
      </w:r>
      <w:r w:rsidR="003663AF" w:rsidRPr="00B7760C">
        <w:tab/>
        <w:t>357</w:t>
      </w:r>
      <w:r w:rsidR="00262443" w:rsidRPr="00B7760C">
        <w:t xml:space="preserve"> in 1122 cp5</w:t>
      </w:r>
    </w:p>
    <w:p w14:paraId="524E3EDC" w14:textId="77777777" w:rsidR="003663AF" w:rsidRPr="00B7760C" w:rsidRDefault="003663AF" w:rsidP="003663AF">
      <w:pPr>
        <w:pStyle w:val="NormalBold12b"/>
      </w:pPr>
      <w:r w:rsidRPr="00B7760C">
        <w:t>Predlog uredbe</w:t>
      </w:r>
    </w:p>
    <w:p w14:paraId="1ECE6FBE" w14:textId="77777777" w:rsidR="003663AF" w:rsidRPr="00B7760C" w:rsidRDefault="003663AF" w:rsidP="003663AF">
      <w:pPr>
        <w:pStyle w:val="NormalBold"/>
      </w:pPr>
      <w:r w:rsidRPr="00B7760C">
        <w:t>Člen 52 – odstavek 1 – točka h – točka vi</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E23C8FD" w14:textId="77777777" w:rsidTr="00E804B7">
        <w:trPr>
          <w:jc w:val="center"/>
        </w:trPr>
        <w:tc>
          <w:tcPr>
            <w:tcW w:w="9752" w:type="dxa"/>
            <w:gridSpan w:val="2"/>
          </w:tcPr>
          <w:p w14:paraId="70A17C20" w14:textId="77777777" w:rsidR="003663AF" w:rsidRPr="00B7760C" w:rsidRDefault="003663AF" w:rsidP="00E804B7">
            <w:pPr>
              <w:keepNext/>
            </w:pPr>
          </w:p>
        </w:tc>
      </w:tr>
      <w:tr w:rsidR="003663AF" w:rsidRPr="00B7760C" w14:paraId="027D545C" w14:textId="77777777" w:rsidTr="00E804B7">
        <w:trPr>
          <w:jc w:val="center"/>
        </w:trPr>
        <w:tc>
          <w:tcPr>
            <w:tcW w:w="4876" w:type="dxa"/>
            <w:hideMark/>
          </w:tcPr>
          <w:p w14:paraId="3DE28B5F" w14:textId="77777777" w:rsidR="003663AF" w:rsidRPr="00B7760C" w:rsidRDefault="003663AF" w:rsidP="00E804B7">
            <w:pPr>
              <w:pStyle w:val="ColumnHeading"/>
              <w:keepNext/>
            </w:pPr>
            <w:r w:rsidRPr="00B7760C">
              <w:t>Besedilo, ki ga predlaga Komisija</w:t>
            </w:r>
          </w:p>
        </w:tc>
        <w:tc>
          <w:tcPr>
            <w:tcW w:w="4876" w:type="dxa"/>
            <w:hideMark/>
          </w:tcPr>
          <w:p w14:paraId="37097FEC" w14:textId="06636318" w:rsidR="003663AF" w:rsidRPr="00B7760C" w:rsidRDefault="00877691" w:rsidP="00E804B7">
            <w:pPr>
              <w:pStyle w:val="ColumnHeading"/>
              <w:keepNext/>
            </w:pPr>
            <w:r w:rsidRPr="00B7760C">
              <w:t>Sprememba</w:t>
            </w:r>
          </w:p>
        </w:tc>
      </w:tr>
      <w:tr w:rsidR="003663AF" w:rsidRPr="00B7760C" w14:paraId="4ACDEEA5" w14:textId="77777777" w:rsidTr="00E804B7">
        <w:trPr>
          <w:jc w:val="center"/>
        </w:trPr>
        <w:tc>
          <w:tcPr>
            <w:tcW w:w="4876" w:type="dxa"/>
            <w:hideMark/>
          </w:tcPr>
          <w:p w14:paraId="1D19F5D0" w14:textId="77777777" w:rsidR="003663AF" w:rsidRPr="00B7760C" w:rsidRDefault="003663AF" w:rsidP="00E804B7">
            <w:pPr>
              <w:pStyle w:val="Normal6"/>
            </w:pPr>
            <w:r w:rsidRPr="00B7760C">
              <w:t>(vi)</w:t>
            </w:r>
            <w:r w:rsidRPr="00B7760C">
              <w:tab/>
              <w:t xml:space="preserve">pripravo tehničnih spisov, vključno z laboratorijskimi preskusi in ocenami, glede enoloških postopkov, fitosanitarnih in higienskih pravil ter drugih zahtev tretjih držav za uvoz proizvodov vinskega sektorja, da se </w:t>
            </w:r>
            <w:r w:rsidRPr="00B7760C">
              <w:rPr>
                <w:b/>
                <w:i/>
              </w:rPr>
              <w:t>olajša</w:t>
            </w:r>
            <w:r w:rsidRPr="00B7760C">
              <w:t xml:space="preserve"> dostop do trgov tretjih držav;</w:t>
            </w:r>
          </w:p>
        </w:tc>
        <w:tc>
          <w:tcPr>
            <w:tcW w:w="4876" w:type="dxa"/>
            <w:hideMark/>
          </w:tcPr>
          <w:p w14:paraId="07F7DC5F" w14:textId="77777777" w:rsidR="003663AF" w:rsidRPr="00B7760C" w:rsidRDefault="003663AF" w:rsidP="00E804B7">
            <w:pPr>
              <w:pStyle w:val="Normal6"/>
              <w:rPr>
                <w:szCs w:val="24"/>
              </w:rPr>
            </w:pPr>
            <w:r w:rsidRPr="00B7760C">
              <w:t>(vi)</w:t>
            </w:r>
            <w:r w:rsidRPr="00B7760C">
              <w:tab/>
              <w:t xml:space="preserve">pripravo tehničnih spisov, vključno z laboratorijskimi preskusi in ocenami, glede enoloških postopkov, fitosanitarnih in higienskih pravil ter drugih zahtev tretjih držav za uvoz proizvodov vinskega sektorja, da se </w:t>
            </w:r>
            <w:r w:rsidRPr="00B7760C">
              <w:rPr>
                <w:b/>
                <w:i/>
              </w:rPr>
              <w:t>preprečijo omejitve ali omogoči</w:t>
            </w:r>
            <w:r w:rsidRPr="00B7760C">
              <w:t xml:space="preserve"> dostop do trgov tretjih držav;</w:t>
            </w:r>
          </w:p>
        </w:tc>
      </w:tr>
    </w:tbl>
    <w:p w14:paraId="59490A61" w14:textId="77777777" w:rsidR="003663AF" w:rsidRPr="00B7760C" w:rsidRDefault="003663AF" w:rsidP="003663AF"/>
    <w:p w14:paraId="62200E4B" w14:textId="4C1532EC" w:rsidR="003663AF" w:rsidRPr="00B7760C" w:rsidRDefault="00877691" w:rsidP="003663AF">
      <w:pPr>
        <w:pStyle w:val="AMNumberTabs"/>
        <w:keepNext/>
      </w:pPr>
      <w:r w:rsidRPr="00B7760C">
        <w:t>Sprememb</w:t>
      </w:r>
      <w:r w:rsidR="00262443" w:rsidRPr="00B7760C">
        <w:t>i</w:t>
      </w:r>
      <w:r w:rsidR="003663AF" w:rsidRPr="00B7760C">
        <w:tab/>
      </w:r>
      <w:r w:rsidR="003663AF" w:rsidRPr="00B7760C">
        <w:tab/>
        <w:t>358</w:t>
      </w:r>
      <w:r w:rsidR="00262443" w:rsidRPr="00B7760C">
        <w:t xml:space="preserve"> in 1122 cp6</w:t>
      </w:r>
    </w:p>
    <w:p w14:paraId="02D13209" w14:textId="77777777" w:rsidR="003663AF" w:rsidRPr="00B7760C" w:rsidRDefault="003663AF" w:rsidP="003663AF">
      <w:pPr>
        <w:pStyle w:val="NormalBold12b"/>
      </w:pPr>
      <w:r w:rsidRPr="00B7760C">
        <w:t>Predlog uredbe</w:t>
      </w:r>
    </w:p>
    <w:p w14:paraId="2E792E21" w14:textId="77777777" w:rsidR="003663AF" w:rsidRPr="00B7760C" w:rsidRDefault="003663AF" w:rsidP="003663AF">
      <w:pPr>
        <w:pStyle w:val="NormalBold"/>
      </w:pPr>
      <w:r w:rsidRPr="00B7760C">
        <w:t>Člen 52 – odstavek 1 – točka i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A4B116A" w14:textId="77777777" w:rsidTr="00E804B7">
        <w:trPr>
          <w:jc w:val="center"/>
        </w:trPr>
        <w:tc>
          <w:tcPr>
            <w:tcW w:w="9752" w:type="dxa"/>
            <w:gridSpan w:val="2"/>
          </w:tcPr>
          <w:p w14:paraId="79EB7DEE" w14:textId="77777777" w:rsidR="003663AF" w:rsidRPr="00B7760C" w:rsidRDefault="003663AF" w:rsidP="00E804B7">
            <w:pPr>
              <w:keepNext/>
            </w:pPr>
          </w:p>
        </w:tc>
      </w:tr>
      <w:tr w:rsidR="003663AF" w:rsidRPr="00B7760C" w14:paraId="797471BA" w14:textId="77777777" w:rsidTr="00E804B7">
        <w:trPr>
          <w:jc w:val="center"/>
        </w:trPr>
        <w:tc>
          <w:tcPr>
            <w:tcW w:w="4876" w:type="dxa"/>
            <w:hideMark/>
          </w:tcPr>
          <w:p w14:paraId="0CE7F663" w14:textId="77777777" w:rsidR="003663AF" w:rsidRPr="00B7760C" w:rsidRDefault="003663AF" w:rsidP="00E804B7">
            <w:pPr>
              <w:pStyle w:val="ColumnHeading"/>
              <w:keepNext/>
            </w:pPr>
            <w:r w:rsidRPr="00B7760C">
              <w:t>Besedilo, ki ga predlaga Komisija</w:t>
            </w:r>
          </w:p>
        </w:tc>
        <w:tc>
          <w:tcPr>
            <w:tcW w:w="4876" w:type="dxa"/>
            <w:hideMark/>
          </w:tcPr>
          <w:p w14:paraId="39E3F680" w14:textId="1DE5F5A3" w:rsidR="003663AF" w:rsidRPr="00B7760C" w:rsidRDefault="00877691" w:rsidP="00E804B7">
            <w:pPr>
              <w:pStyle w:val="ColumnHeading"/>
              <w:keepNext/>
            </w:pPr>
            <w:r w:rsidRPr="00B7760C">
              <w:t>Sprememba</w:t>
            </w:r>
          </w:p>
        </w:tc>
      </w:tr>
      <w:tr w:rsidR="003663AF" w:rsidRPr="00B7760C" w14:paraId="087191DE" w14:textId="77777777" w:rsidTr="00E804B7">
        <w:trPr>
          <w:jc w:val="center"/>
        </w:trPr>
        <w:tc>
          <w:tcPr>
            <w:tcW w:w="4876" w:type="dxa"/>
          </w:tcPr>
          <w:p w14:paraId="033BD5A0" w14:textId="77777777" w:rsidR="003663AF" w:rsidRPr="00B7760C" w:rsidRDefault="003663AF" w:rsidP="00E804B7">
            <w:pPr>
              <w:pStyle w:val="Normal6"/>
            </w:pPr>
          </w:p>
        </w:tc>
        <w:tc>
          <w:tcPr>
            <w:tcW w:w="4876" w:type="dxa"/>
            <w:hideMark/>
          </w:tcPr>
          <w:p w14:paraId="297F01B7" w14:textId="77777777" w:rsidR="003663AF" w:rsidRPr="00B7760C" w:rsidRDefault="003663AF" w:rsidP="00E804B7">
            <w:pPr>
              <w:pStyle w:val="Normal6"/>
              <w:rPr>
                <w:szCs w:val="24"/>
              </w:rPr>
            </w:pPr>
            <w:r w:rsidRPr="00B7760C">
              <w:rPr>
                <w:b/>
                <w:i/>
              </w:rPr>
              <w:t>(ia)</w:t>
            </w:r>
            <w:r w:rsidRPr="00B7760C">
              <w:rPr>
                <w:b/>
                <w:i/>
              </w:rPr>
              <w:tab/>
              <w:t>ukrepi za izboljšanje uporabe vode in gospodarjenja z njo;</w:t>
            </w:r>
          </w:p>
        </w:tc>
      </w:tr>
    </w:tbl>
    <w:p w14:paraId="07F5A79A" w14:textId="77777777" w:rsidR="003663AF" w:rsidRPr="00B7760C" w:rsidRDefault="003663AF" w:rsidP="003663AF"/>
    <w:p w14:paraId="762B6A07" w14:textId="644F5309" w:rsidR="003663AF" w:rsidRPr="00B7760C" w:rsidRDefault="00877691" w:rsidP="003663AF">
      <w:pPr>
        <w:pStyle w:val="AMNumberTabs"/>
        <w:keepNext/>
      </w:pPr>
      <w:r w:rsidRPr="00B7760C">
        <w:t>Sprememb</w:t>
      </w:r>
      <w:r w:rsidR="00262443" w:rsidRPr="00B7760C">
        <w:t>i</w:t>
      </w:r>
      <w:r w:rsidR="003663AF" w:rsidRPr="00B7760C">
        <w:tab/>
      </w:r>
      <w:r w:rsidR="003663AF" w:rsidRPr="00B7760C">
        <w:tab/>
        <w:t>359</w:t>
      </w:r>
      <w:r w:rsidR="00262443" w:rsidRPr="00B7760C">
        <w:t xml:space="preserve"> in 1122 cp6</w:t>
      </w:r>
    </w:p>
    <w:p w14:paraId="7A8F7963" w14:textId="77777777" w:rsidR="003663AF" w:rsidRPr="00B7760C" w:rsidRDefault="003663AF" w:rsidP="003663AF">
      <w:pPr>
        <w:pStyle w:val="NormalBold12b"/>
      </w:pPr>
      <w:r w:rsidRPr="00B7760C">
        <w:t>Predlog uredbe</w:t>
      </w:r>
    </w:p>
    <w:p w14:paraId="6D30CC10" w14:textId="77777777" w:rsidR="003663AF" w:rsidRPr="00B7760C" w:rsidRDefault="003663AF" w:rsidP="003663AF">
      <w:pPr>
        <w:pStyle w:val="NormalBold"/>
      </w:pPr>
      <w:r w:rsidRPr="00B7760C">
        <w:t>Člen 52 – odstavek 1 – točka i b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E87A745" w14:textId="77777777" w:rsidTr="00E804B7">
        <w:trPr>
          <w:jc w:val="center"/>
        </w:trPr>
        <w:tc>
          <w:tcPr>
            <w:tcW w:w="9752" w:type="dxa"/>
            <w:gridSpan w:val="2"/>
          </w:tcPr>
          <w:p w14:paraId="041180D2" w14:textId="77777777" w:rsidR="003663AF" w:rsidRPr="00B7760C" w:rsidRDefault="003663AF" w:rsidP="00E804B7">
            <w:pPr>
              <w:keepNext/>
            </w:pPr>
          </w:p>
        </w:tc>
      </w:tr>
      <w:tr w:rsidR="003663AF" w:rsidRPr="00B7760C" w14:paraId="39ADEA43" w14:textId="77777777" w:rsidTr="00E804B7">
        <w:trPr>
          <w:jc w:val="center"/>
        </w:trPr>
        <w:tc>
          <w:tcPr>
            <w:tcW w:w="4876" w:type="dxa"/>
            <w:hideMark/>
          </w:tcPr>
          <w:p w14:paraId="2528D7A3" w14:textId="77777777" w:rsidR="003663AF" w:rsidRPr="00B7760C" w:rsidRDefault="003663AF" w:rsidP="00E804B7">
            <w:pPr>
              <w:pStyle w:val="ColumnHeading"/>
              <w:keepNext/>
            </w:pPr>
            <w:r w:rsidRPr="00B7760C">
              <w:t>Besedilo, ki ga predlaga Komisija</w:t>
            </w:r>
          </w:p>
        </w:tc>
        <w:tc>
          <w:tcPr>
            <w:tcW w:w="4876" w:type="dxa"/>
            <w:hideMark/>
          </w:tcPr>
          <w:p w14:paraId="2AE54C54" w14:textId="08DA468C" w:rsidR="003663AF" w:rsidRPr="00B7760C" w:rsidRDefault="00877691" w:rsidP="00E804B7">
            <w:pPr>
              <w:pStyle w:val="ColumnHeading"/>
              <w:keepNext/>
            </w:pPr>
            <w:r w:rsidRPr="00B7760C">
              <w:t>Sprememba</w:t>
            </w:r>
          </w:p>
        </w:tc>
      </w:tr>
      <w:tr w:rsidR="003663AF" w:rsidRPr="00B7760C" w14:paraId="0699051F" w14:textId="77777777" w:rsidTr="00E804B7">
        <w:trPr>
          <w:jc w:val="center"/>
        </w:trPr>
        <w:tc>
          <w:tcPr>
            <w:tcW w:w="4876" w:type="dxa"/>
          </w:tcPr>
          <w:p w14:paraId="6000EB92" w14:textId="77777777" w:rsidR="003663AF" w:rsidRPr="00B7760C" w:rsidRDefault="003663AF" w:rsidP="00E804B7">
            <w:pPr>
              <w:pStyle w:val="Normal6"/>
            </w:pPr>
          </w:p>
        </w:tc>
        <w:tc>
          <w:tcPr>
            <w:tcW w:w="4876" w:type="dxa"/>
            <w:hideMark/>
          </w:tcPr>
          <w:p w14:paraId="1E5A3B13" w14:textId="77777777" w:rsidR="003663AF" w:rsidRPr="00B7760C" w:rsidRDefault="003663AF" w:rsidP="00E804B7">
            <w:pPr>
              <w:pStyle w:val="Normal6"/>
              <w:rPr>
                <w:szCs w:val="24"/>
              </w:rPr>
            </w:pPr>
            <w:r w:rsidRPr="00B7760C">
              <w:rPr>
                <w:b/>
                <w:i/>
              </w:rPr>
              <w:t>(ib)</w:t>
            </w:r>
            <w:r w:rsidRPr="00B7760C">
              <w:rPr>
                <w:b/>
                <w:i/>
              </w:rPr>
              <w:tab/>
              <w:t>ekološka pridelava;</w:t>
            </w:r>
          </w:p>
        </w:tc>
      </w:tr>
    </w:tbl>
    <w:p w14:paraId="37663919" w14:textId="77777777" w:rsidR="003663AF" w:rsidRPr="00B7760C" w:rsidRDefault="003663AF" w:rsidP="003663AF"/>
    <w:p w14:paraId="67A94ED1" w14:textId="52316F2A" w:rsidR="003663AF" w:rsidRPr="00B7760C" w:rsidRDefault="00877691" w:rsidP="003663AF">
      <w:pPr>
        <w:pStyle w:val="AMNumberTabs"/>
        <w:keepNext/>
      </w:pPr>
      <w:r w:rsidRPr="00B7760C">
        <w:t>Sprememb</w:t>
      </w:r>
      <w:r w:rsidR="00262443" w:rsidRPr="00B7760C">
        <w:t>i</w:t>
      </w:r>
      <w:r w:rsidR="003663AF" w:rsidRPr="00B7760C">
        <w:tab/>
      </w:r>
      <w:r w:rsidR="003663AF" w:rsidRPr="00B7760C">
        <w:tab/>
        <w:t>360</w:t>
      </w:r>
      <w:r w:rsidR="00262443" w:rsidRPr="00B7760C">
        <w:t xml:space="preserve"> in 1122 cp6</w:t>
      </w:r>
    </w:p>
    <w:p w14:paraId="6541A6DA" w14:textId="77777777" w:rsidR="003663AF" w:rsidRPr="00B7760C" w:rsidRDefault="003663AF" w:rsidP="003663AF">
      <w:pPr>
        <w:pStyle w:val="NormalBold12b"/>
      </w:pPr>
      <w:r w:rsidRPr="00B7760C">
        <w:t>Predlog uredbe</w:t>
      </w:r>
    </w:p>
    <w:p w14:paraId="22AAEDDC" w14:textId="77777777" w:rsidR="003663AF" w:rsidRPr="00B7760C" w:rsidRDefault="003663AF" w:rsidP="003663AF">
      <w:pPr>
        <w:pStyle w:val="NormalBold"/>
      </w:pPr>
      <w:r w:rsidRPr="00B7760C">
        <w:t>Člen 52 – odstavek 1 – točka i c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2F0F8CD" w14:textId="77777777" w:rsidTr="00E804B7">
        <w:trPr>
          <w:jc w:val="center"/>
        </w:trPr>
        <w:tc>
          <w:tcPr>
            <w:tcW w:w="9752" w:type="dxa"/>
            <w:gridSpan w:val="2"/>
          </w:tcPr>
          <w:p w14:paraId="1273E3A5" w14:textId="77777777" w:rsidR="003663AF" w:rsidRPr="00B7760C" w:rsidRDefault="003663AF" w:rsidP="00E804B7">
            <w:pPr>
              <w:keepNext/>
            </w:pPr>
          </w:p>
        </w:tc>
      </w:tr>
      <w:tr w:rsidR="003663AF" w:rsidRPr="00B7760C" w14:paraId="609B97D8" w14:textId="77777777" w:rsidTr="00E804B7">
        <w:trPr>
          <w:jc w:val="center"/>
        </w:trPr>
        <w:tc>
          <w:tcPr>
            <w:tcW w:w="4876" w:type="dxa"/>
            <w:hideMark/>
          </w:tcPr>
          <w:p w14:paraId="71858B5D" w14:textId="77777777" w:rsidR="003663AF" w:rsidRPr="00B7760C" w:rsidRDefault="003663AF" w:rsidP="00E804B7">
            <w:pPr>
              <w:pStyle w:val="ColumnHeading"/>
              <w:keepNext/>
            </w:pPr>
            <w:r w:rsidRPr="00B7760C">
              <w:t>Besedilo, ki ga predlaga Komisija</w:t>
            </w:r>
          </w:p>
        </w:tc>
        <w:tc>
          <w:tcPr>
            <w:tcW w:w="4876" w:type="dxa"/>
            <w:hideMark/>
          </w:tcPr>
          <w:p w14:paraId="2B406626" w14:textId="4BA8A4DA" w:rsidR="003663AF" w:rsidRPr="00B7760C" w:rsidRDefault="00877691" w:rsidP="00E804B7">
            <w:pPr>
              <w:pStyle w:val="ColumnHeading"/>
              <w:keepNext/>
            </w:pPr>
            <w:r w:rsidRPr="00B7760C">
              <w:t>Sprememba</w:t>
            </w:r>
          </w:p>
        </w:tc>
      </w:tr>
      <w:tr w:rsidR="003663AF" w:rsidRPr="00B7760C" w14:paraId="59179EF5" w14:textId="77777777" w:rsidTr="00E804B7">
        <w:trPr>
          <w:jc w:val="center"/>
        </w:trPr>
        <w:tc>
          <w:tcPr>
            <w:tcW w:w="4876" w:type="dxa"/>
          </w:tcPr>
          <w:p w14:paraId="4C1D23B7" w14:textId="77777777" w:rsidR="003663AF" w:rsidRPr="00B7760C" w:rsidRDefault="003663AF" w:rsidP="00E804B7">
            <w:pPr>
              <w:pStyle w:val="Normal6"/>
            </w:pPr>
          </w:p>
        </w:tc>
        <w:tc>
          <w:tcPr>
            <w:tcW w:w="4876" w:type="dxa"/>
            <w:hideMark/>
          </w:tcPr>
          <w:p w14:paraId="14F0130D" w14:textId="77777777" w:rsidR="003663AF" w:rsidRPr="00B7760C" w:rsidRDefault="003663AF" w:rsidP="00E804B7">
            <w:pPr>
              <w:pStyle w:val="Normal6"/>
              <w:rPr>
                <w:szCs w:val="24"/>
              </w:rPr>
            </w:pPr>
            <w:r w:rsidRPr="00B7760C">
              <w:rPr>
                <w:b/>
                <w:i/>
              </w:rPr>
              <w:t>(ic)</w:t>
            </w:r>
            <w:r w:rsidRPr="00B7760C">
              <w:rPr>
                <w:b/>
                <w:i/>
              </w:rPr>
              <w:tab/>
              <w:t>integrirana pridelava;</w:t>
            </w:r>
          </w:p>
        </w:tc>
      </w:tr>
    </w:tbl>
    <w:p w14:paraId="7A39F08C" w14:textId="77777777" w:rsidR="003663AF" w:rsidRPr="00B7760C" w:rsidRDefault="003663AF" w:rsidP="003663AF"/>
    <w:p w14:paraId="1BCE1902" w14:textId="4D827181" w:rsidR="003663AF" w:rsidRPr="00B7760C" w:rsidRDefault="00877691" w:rsidP="003663AF">
      <w:pPr>
        <w:pStyle w:val="AMNumberTabs"/>
        <w:keepNext/>
      </w:pPr>
      <w:r w:rsidRPr="00B7760C">
        <w:t>Sprememb</w:t>
      </w:r>
      <w:r w:rsidR="00262443" w:rsidRPr="00B7760C">
        <w:t>i</w:t>
      </w:r>
      <w:r w:rsidR="003663AF" w:rsidRPr="00B7760C">
        <w:tab/>
      </w:r>
      <w:r w:rsidR="003663AF" w:rsidRPr="00B7760C">
        <w:tab/>
        <w:t>361</w:t>
      </w:r>
      <w:r w:rsidR="00262443" w:rsidRPr="00B7760C">
        <w:t xml:space="preserve"> in 1122 cp6</w:t>
      </w:r>
    </w:p>
    <w:p w14:paraId="4CA215CD" w14:textId="77777777" w:rsidR="003663AF" w:rsidRPr="00B7760C" w:rsidRDefault="003663AF" w:rsidP="003663AF">
      <w:pPr>
        <w:pStyle w:val="NormalBold12b"/>
      </w:pPr>
      <w:r w:rsidRPr="00B7760C">
        <w:t>Predlog uredbe</w:t>
      </w:r>
    </w:p>
    <w:p w14:paraId="012B3C88" w14:textId="77777777" w:rsidR="003663AF" w:rsidRPr="00B7760C" w:rsidRDefault="003663AF" w:rsidP="003663AF">
      <w:pPr>
        <w:pStyle w:val="NormalBold"/>
      </w:pPr>
      <w:r w:rsidRPr="00B7760C">
        <w:t>Člen 52 – odstavek 1 – točka i d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A26C73C" w14:textId="77777777" w:rsidTr="00E804B7">
        <w:trPr>
          <w:jc w:val="center"/>
        </w:trPr>
        <w:tc>
          <w:tcPr>
            <w:tcW w:w="9752" w:type="dxa"/>
            <w:gridSpan w:val="2"/>
          </w:tcPr>
          <w:p w14:paraId="72BDE5D3" w14:textId="77777777" w:rsidR="003663AF" w:rsidRPr="00B7760C" w:rsidRDefault="003663AF" w:rsidP="00E804B7">
            <w:pPr>
              <w:keepNext/>
            </w:pPr>
          </w:p>
        </w:tc>
      </w:tr>
      <w:tr w:rsidR="003663AF" w:rsidRPr="00B7760C" w14:paraId="7BE9EE97" w14:textId="77777777" w:rsidTr="00E804B7">
        <w:trPr>
          <w:jc w:val="center"/>
        </w:trPr>
        <w:tc>
          <w:tcPr>
            <w:tcW w:w="4876" w:type="dxa"/>
            <w:hideMark/>
          </w:tcPr>
          <w:p w14:paraId="3CB650A4" w14:textId="77777777" w:rsidR="003663AF" w:rsidRPr="00B7760C" w:rsidRDefault="003663AF" w:rsidP="00E804B7">
            <w:pPr>
              <w:pStyle w:val="ColumnHeading"/>
              <w:keepNext/>
            </w:pPr>
            <w:r w:rsidRPr="00B7760C">
              <w:t>Besedilo, ki ga predlaga Komisija</w:t>
            </w:r>
          </w:p>
        </w:tc>
        <w:tc>
          <w:tcPr>
            <w:tcW w:w="4876" w:type="dxa"/>
            <w:hideMark/>
          </w:tcPr>
          <w:p w14:paraId="3940898E" w14:textId="7EF7F547" w:rsidR="003663AF" w:rsidRPr="00B7760C" w:rsidRDefault="00877691" w:rsidP="00E804B7">
            <w:pPr>
              <w:pStyle w:val="ColumnHeading"/>
              <w:keepNext/>
            </w:pPr>
            <w:r w:rsidRPr="00B7760C">
              <w:t>Sprememba</w:t>
            </w:r>
          </w:p>
        </w:tc>
      </w:tr>
      <w:tr w:rsidR="003663AF" w:rsidRPr="00B7760C" w14:paraId="6D1BE9B3" w14:textId="77777777" w:rsidTr="00E804B7">
        <w:trPr>
          <w:jc w:val="center"/>
        </w:trPr>
        <w:tc>
          <w:tcPr>
            <w:tcW w:w="4876" w:type="dxa"/>
          </w:tcPr>
          <w:p w14:paraId="5873072C" w14:textId="77777777" w:rsidR="003663AF" w:rsidRPr="00B7760C" w:rsidRDefault="003663AF" w:rsidP="00E804B7">
            <w:pPr>
              <w:pStyle w:val="Normal6"/>
            </w:pPr>
          </w:p>
        </w:tc>
        <w:tc>
          <w:tcPr>
            <w:tcW w:w="4876" w:type="dxa"/>
            <w:hideMark/>
          </w:tcPr>
          <w:p w14:paraId="4FE7079D" w14:textId="77777777" w:rsidR="003663AF" w:rsidRPr="00B7760C" w:rsidRDefault="003663AF" w:rsidP="00E804B7">
            <w:pPr>
              <w:pStyle w:val="Normal6"/>
              <w:rPr>
                <w:szCs w:val="24"/>
              </w:rPr>
            </w:pPr>
            <w:r w:rsidRPr="00B7760C">
              <w:rPr>
                <w:b/>
                <w:i/>
              </w:rPr>
              <w:t>(id)</w:t>
            </w:r>
            <w:r w:rsidRPr="00B7760C">
              <w:rPr>
                <w:b/>
                <w:i/>
              </w:rPr>
              <w:tab/>
              <w:t>precizna ali digitalizirana proizvodnja;</w:t>
            </w:r>
          </w:p>
        </w:tc>
      </w:tr>
    </w:tbl>
    <w:p w14:paraId="62E165CC" w14:textId="77777777" w:rsidR="003663AF" w:rsidRPr="00B7760C" w:rsidRDefault="003663AF" w:rsidP="003663AF"/>
    <w:p w14:paraId="7C0B20FE" w14:textId="3361E720" w:rsidR="003663AF" w:rsidRPr="00B7760C" w:rsidRDefault="00877691" w:rsidP="003663AF">
      <w:pPr>
        <w:pStyle w:val="AMNumberTabs"/>
        <w:keepNext/>
      </w:pPr>
      <w:r w:rsidRPr="00B7760C">
        <w:t>Sprememb</w:t>
      </w:r>
      <w:r w:rsidR="00262443" w:rsidRPr="00B7760C">
        <w:t>i</w:t>
      </w:r>
      <w:r w:rsidR="003663AF" w:rsidRPr="00B7760C">
        <w:tab/>
        <w:t>362</w:t>
      </w:r>
      <w:r w:rsidR="00262443" w:rsidRPr="00B7760C">
        <w:t xml:space="preserve"> in 1122 cp6</w:t>
      </w:r>
    </w:p>
    <w:p w14:paraId="51FDA0F7" w14:textId="77777777" w:rsidR="003663AF" w:rsidRPr="00B7760C" w:rsidRDefault="003663AF" w:rsidP="003663AF">
      <w:pPr>
        <w:pStyle w:val="NormalBold12b"/>
      </w:pPr>
      <w:r w:rsidRPr="00B7760C">
        <w:t>Predlog uredbe</w:t>
      </w:r>
    </w:p>
    <w:p w14:paraId="0A1504C4" w14:textId="77777777" w:rsidR="003663AF" w:rsidRPr="00B7760C" w:rsidRDefault="003663AF" w:rsidP="003663AF">
      <w:pPr>
        <w:pStyle w:val="NormalBold"/>
      </w:pPr>
      <w:r w:rsidRPr="00B7760C">
        <w:t>Člen 52 – odstavek 1 – točka i e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3DA2403" w14:textId="77777777" w:rsidTr="00E804B7">
        <w:trPr>
          <w:jc w:val="center"/>
        </w:trPr>
        <w:tc>
          <w:tcPr>
            <w:tcW w:w="9752" w:type="dxa"/>
            <w:gridSpan w:val="2"/>
          </w:tcPr>
          <w:p w14:paraId="63648F4B" w14:textId="77777777" w:rsidR="003663AF" w:rsidRPr="00B7760C" w:rsidRDefault="003663AF" w:rsidP="00E804B7">
            <w:pPr>
              <w:keepNext/>
            </w:pPr>
          </w:p>
        </w:tc>
      </w:tr>
      <w:tr w:rsidR="003663AF" w:rsidRPr="00B7760C" w14:paraId="2E970431" w14:textId="77777777" w:rsidTr="00E804B7">
        <w:trPr>
          <w:jc w:val="center"/>
        </w:trPr>
        <w:tc>
          <w:tcPr>
            <w:tcW w:w="4876" w:type="dxa"/>
            <w:hideMark/>
          </w:tcPr>
          <w:p w14:paraId="02A452EC" w14:textId="77777777" w:rsidR="003663AF" w:rsidRPr="00B7760C" w:rsidRDefault="003663AF" w:rsidP="00E804B7">
            <w:pPr>
              <w:pStyle w:val="ColumnHeading"/>
              <w:keepNext/>
            </w:pPr>
            <w:r w:rsidRPr="00B7760C">
              <w:t>Besedilo, ki ga predlaga Komisija</w:t>
            </w:r>
          </w:p>
        </w:tc>
        <w:tc>
          <w:tcPr>
            <w:tcW w:w="4876" w:type="dxa"/>
            <w:hideMark/>
          </w:tcPr>
          <w:p w14:paraId="750DD450" w14:textId="7EE50F51" w:rsidR="003663AF" w:rsidRPr="00B7760C" w:rsidRDefault="00877691" w:rsidP="00E804B7">
            <w:pPr>
              <w:pStyle w:val="ColumnHeading"/>
              <w:keepNext/>
            </w:pPr>
            <w:r w:rsidRPr="00B7760C">
              <w:t>Sprememba</w:t>
            </w:r>
          </w:p>
        </w:tc>
      </w:tr>
      <w:tr w:rsidR="003663AF" w:rsidRPr="00B7760C" w14:paraId="2081002A" w14:textId="77777777" w:rsidTr="00E804B7">
        <w:trPr>
          <w:jc w:val="center"/>
        </w:trPr>
        <w:tc>
          <w:tcPr>
            <w:tcW w:w="4876" w:type="dxa"/>
          </w:tcPr>
          <w:p w14:paraId="72889168" w14:textId="77777777" w:rsidR="003663AF" w:rsidRPr="00B7760C" w:rsidRDefault="003663AF" w:rsidP="00E804B7">
            <w:pPr>
              <w:pStyle w:val="Normal6"/>
            </w:pPr>
          </w:p>
        </w:tc>
        <w:tc>
          <w:tcPr>
            <w:tcW w:w="4876" w:type="dxa"/>
            <w:hideMark/>
          </w:tcPr>
          <w:p w14:paraId="7C3F392A" w14:textId="77777777" w:rsidR="003663AF" w:rsidRPr="00B7760C" w:rsidRDefault="003663AF" w:rsidP="00E804B7">
            <w:pPr>
              <w:pStyle w:val="Normal6"/>
              <w:rPr>
                <w:szCs w:val="24"/>
              </w:rPr>
            </w:pPr>
            <w:r w:rsidRPr="00B7760C">
              <w:rPr>
                <w:b/>
                <w:i/>
              </w:rPr>
              <w:t>(ie)</w:t>
            </w:r>
            <w:r w:rsidRPr="00B7760C">
              <w:rPr>
                <w:b/>
                <w:i/>
              </w:rPr>
              <w:tab/>
              <w:t>ohranjanje tal in povečanje zalog ogljika v tleh;</w:t>
            </w:r>
          </w:p>
        </w:tc>
      </w:tr>
    </w:tbl>
    <w:p w14:paraId="0FF00122" w14:textId="77777777" w:rsidR="003663AF" w:rsidRPr="00B7760C" w:rsidRDefault="003663AF" w:rsidP="003663AF"/>
    <w:p w14:paraId="05683FD6" w14:textId="4DEC8A3F" w:rsidR="003663AF" w:rsidRPr="00B7760C" w:rsidRDefault="00877691" w:rsidP="003663AF">
      <w:pPr>
        <w:pStyle w:val="AMNumberTabs"/>
        <w:keepNext/>
      </w:pPr>
      <w:r w:rsidRPr="00B7760C">
        <w:t>Sprememb</w:t>
      </w:r>
      <w:r w:rsidR="00262443" w:rsidRPr="00B7760C">
        <w:t>i</w:t>
      </w:r>
      <w:r w:rsidR="003663AF" w:rsidRPr="00B7760C">
        <w:tab/>
      </w:r>
      <w:r w:rsidR="003663AF" w:rsidRPr="00B7760C">
        <w:tab/>
        <w:t>363</w:t>
      </w:r>
      <w:r w:rsidR="00262443" w:rsidRPr="00B7760C">
        <w:t xml:space="preserve"> in 1122 cp6</w:t>
      </w:r>
    </w:p>
    <w:p w14:paraId="0B6596FD" w14:textId="77777777" w:rsidR="003663AF" w:rsidRPr="00B7760C" w:rsidRDefault="003663AF" w:rsidP="003663AF">
      <w:pPr>
        <w:pStyle w:val="NormalBold12b"/>
      </w:pPr>
      <w:r w:rsidRPr="00B7760C">
        <w:t>Predlog uredbe</w:t>
      </w:r>
    </w:p>
    <w:p w14:paraId="535E1BC2" w14:textId="77777777" w:rsidR="003663AF" w:rsidRPr="00B7760C" w:rsidRDefault="003663AF" w:rsidP="003663AF">
      <w:pPr>
        <w:pStyle w:val="NormalBold"/>
      </w:pPr>
      <w:r w:rsidRPr="00B7760C">
        <w:t>Člen 52 – odstavek 1 – točka i f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A2D360F" w14:textId="77777777" w:rsidTr="00E804B7">
        <w:trPr>
          <w:jc w:val="center"/>
        </w:trPr>
        <w:tc>
          <w:tcPr>
            <w:tcW w:w="9752" w:type="dxa"/>
            <w:gridSpan w:val="2"/>
          </w:tcPr>
          <w:p w14:paraId="5C5BD5FD" w14:textId="77777777" w:rsidR="003663AF" w:rsidRPr="00B7760C" w:rsidRDefault="003663AF" w:rsidP="00E804B7">
            <w:pPr>
              <w:keepNext/>
            </w:pPr>
          </w:p>
        </w:tc>
      </w:tr>
      <w:tr w:rsidR="003663AF" w:rsidRPr="00B7760C" w14:paraId="51E15230" w14:textId="77777777" w:rsidTr="00E804B7">
        <w:trPr>
          <w:jc w:val="center"/>
        </w:trPr>
        <w:tc>
          <w:tcPr>
            <w:tcW w:w="4876" w:type="dxa"/>
            <w:hideMark/>
          </w:tcPr>
          <w:p w14:paraId="437FAD8C" w14:textId="77777777" w:rsidR="003663AF" w:rsidRPr="00B7760C" w:rsidRDefault="003663AF" w:rsidP="00E804B7">
            <w:pPr>
              <w:pStyle w:val="ColumnHeading"/>
              <w:keepNext/>
            </w:pPr>
            <w:r w:rsidRPr="00B7760C">
              <w:t>Besedilo, ki ga predlaga Komisija</w:t>
            </w:r>
          </w:p>
        </w:tc>
        <w:tc>
          <w:tcPr>
            <w:tcW w:w="4876" w:type="dxa"/>
            <w:hideMark/>
          </w:tcPr>
          <w:p w14:paraId="1431B45F" w14:textId="1C1F9EED" w:rsidR="003663AF" w:rsidRPr="00B7760C" w:rsidRDefault="00877691" w:rsidP="00E804B7">
            <w:pPr>
              <w:pStyle w:val="ColumnHeading"/>
              <w:keepNext/>
            </w:pPr>
            <w:r w:rsidRPr="00B7760C">
              <w:t>Sprememba</w:t>
            </w:r>
          </w:p>
        </w:tc>
      </w:tr>
      <w:tr w:rsidR="003663AF" w:rsidRPr="00B7760C" w14:paraId="3F9102AD" w14:textId="77777777" w:rsidTr="00E804B7">
        <w:trPr>
          <w:jc w:val="center"/>
        </w:trPr>
        <w:tc>
          <w:tcPr>
            <w:tcW w:w="4876" w:type="dxa"/>
          </w:tcPr>
          <w:p w14:paraId="4C1AE5AF" w14:textId="77777777" w:rsidR="003663AF" w:rsidRPr="00B7760C" w:rsidRDefault="003663AF" w:rsidP="00E804B7">
            <w:pPr>
              <w:pStyle w:val="Normal6"/>
            </w:pPr>
          </w:p>
        </w:tc>
        <w:tc>
          <w:tcPr>
            <w:tcW w:w="4876" w:type="dxa"/>
            <w:hideMark/>
          </w:tcPr>
          <w:p w14:paraId="3EEA5A25" w14:textId="77777777" w:rsidR="003663AF" w:rsidRPr="00B7760C" w:rsidRDefault="003663AF" w:rsidP="00E804B7">
            <w:pPr>
              <w:pStyle w:val="Normal6"/>
              <w:rPr>
                <w:szCs w:val="24"/>
              </w:rPr>
            </w:pPr>
            <w:r w:rsidRPr="00B7760C">
              <w:rPr>
                <w:b/>
                <w:i/>
              </w:rPr>
              <w:t>(if)</w:t>
            </w:r>
            <w:r w:rsidRPr="00B7760C">
              <w:rPr>
                <w:b/>
                <w:i/>
              </w:rPr>
              <w:tab/>
              <w:t>oblikovanje ali vzdrževanje habitatov, ki spodbujajo biotsko raznovrstnost, ali vzdrževanje krajine, vključno z ohranjanjem njenih zgodovinskih značilnosti;</w:t>
            </w:r>
          </w:p>
        </w:tc>
      </w:tr>
    </w:tbl>
    <w:p w14:paraId="39207A65" w14:textId="77777777" w:rsidR="003663AF" w:rsidRPr="00B7760C" w:rsidRDefault="003663AF" w:rsidP="003663AF"/>
    <w:p w14:paraId="2E043C79" w14:textId="068061A4" w:rsidR="003663AF" w:rsidRPr="00B7760C" w:rsidRDefault="00877691" w:rsidP="003663AF">
      <w:pPr>
        <w:pStyle w:val="AMNumberTabs"/>
        <w:keepNext/>
      </w:pPr>
      <w:r w:rsidRPr="00B7760C">
        <w:t>Sprememb</w:t>
      </w:r>
      <w:r w:rsidR="00262443" w:rsidRPr="00B7760C">
        <w:t>i</w:t>
      </w:r>
      <w:r w:rsidR="003663AF" w:rsidRPr="00B7760C">
        <w:tab/>
      </w:r>
      <w:r w:rsidR="003663AF" w:rsidRPr="00B7760C">
        <w:tab/>
        <w:t>364</w:t>
      </w:r>
      <w:r w:rsidR="00262443" w:rsidRPr="00B7760C">
        <w:t xml:space="preserve"> in 1122 cp6</w:t>
      </w:r>
    </w:p>
    <w:p w14:paraId="7390C83E" w14:textId="77777777" w:rsidR="003663AF" w:rsidRPr="00B7760C" w:rsidRDefault="003663AF" w:rsidP="003663AF">
      <w:pPr>
        <w:pStyle w:val="NormalBold12b"/>
      </w:pPr>
      <w:r w:rsidRPr="00B7760C">
        <w:t>Predlog uredbe</w:t>
      </w:r>
    </w:p>
    <w:p w14:paraId="145EEE02" w14:textId="77777777" w:rsidR="003663AF" w:rsidRPr="00B7760C" w:rsidRDefault="003663AF" w:rsidP="003663AF">
      <w:pPr>
        <w:pStyle w:val="NormalBold"/>
      </w:pPr>
      <w:r w:rsidRPr="00B7760C">
        <w:t>Člen 52 – odstavek 1 – točka i g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50663CE" w14:textId="77777777" w:rsidTr="00E804B7">
        <w:trPr>
          <w:jc w:val="center"/>
        </w:trPr>
        <w:tc>
          <w:tcPr>
            <w:tcW w:w="9752" w:type="dxa"/>
            <w:gridSpan w:val="2"/>
          </w:tcPr>
          <w:p w14:paraId="18DD8364" w14:textId="77777777" w:rsidR="003663AF" w:rsidRPr="00B7760C" w:rsidRDefault="003663AF" w:rsidP="00E804B7">
            <w:pPr>
              <w:keepNext/>
            </w:pPr>
          </w:p>
        </w:tc>
      </w:tr>
      <w:tr w:rsidR="003663AF" w:rsidRPr="00B7760C" w14:paraId="56C4CC18" w14:textId="77777777" w:rsidTr="00E804B7">
        <w:trPr>
          <w:jc w:val="center"/>
        </w:trPr>
        <w:tc>
          <w:tcPr>
            <w:tcW w:w="4876" w:type="dxa"/>
            <w:hideMark/>
          </w:tcPr>
          <w:p w14:paraId="612F8C75" w14:textId="77777777" w:rsidR="003663AF" w:rsidRPr="00B7760C" w:rsidRDefault="003663AF" w:rsidP="00E804B7">
            <w:pPr>
              <w:pStyle w:val="ColumnHeading"/>
              <w:keepNext/>
            </w:pPr>
            <w:r w:rsidRPr="00B7760C">
              <w:t>Besedilo, ki ga predlaga Komisija</w:t>
            </w:r>
          </w:p>
        </w:tc>
        <w:tc>
          <w:tcPr>
            <w:tcW w:w="4876" w:type="dxa"/>
            <w:hideMark/>
          </w:tcPr>
          <w:p w14:paraId="782C4E4D" w14:textId="751B619C" w:rsidR="003663AF" w:rsidRPr="00B7760C" w:rsidRDefault="00877691" w:rsidP="00E804B7">
            <w:pPr>
              <w:pStyle w:val="ColumnHeading"/>
              <w:keepNext/>
            </w:pPr>
            <w:r w:rsidRPr="00B7760C">
              <w:t>Sprememba</w:t>
            </w:r>
          </w:p>
        </w:tc>
      </w:tr>
      <w:tr w:rsidR="003663AF" w:rsidRPr="00B7760C" w14:paraId="32A23808" w14:textId="77777777" w:rsidTr="00E804B7">
        <w:trPr>
          <w:jc w:val="center"/>
        </w:trPr>
        <w:tc>
          <w:tcPr>
            <w:tcW w:w="4876" w:type="dxa"/>
          </w:tcPr>
          <w:p w14:paraId="56D692C1" w14:textId="77777777" w:rsidR="003663AF" w:rsidRPr="00B7760C" w:rsidRDefault="003663AF" w:rsidP="00E804B7">
            <w:pPr>
              <w:pStyle w:val="Normal6"/>
            </w:pPr>
          </w:p>
        </w:tc>
        <w:tc>
          <w:tcPr>
            <w:tcW w:w="4876" w:type="dxa"/>
            <w:hideMark/>
          </w:tcPr>
          <w:p w14:paraId="00C8CE62" w14:textId="77777777" w:rsidR="003663AF" w:rsidRPr="00B7760C" w:rsidRDefault="003663AF" w:rsidP="00E804B7">
            <w:pPr>
              <w:pStyle w:val="Normal6"/>
              <w:rPr>
                <w:szCs w:val="24"/>
              </w:rPr>
            </w:pPr>
            <w:r w:rsidRPr="00B7760C">
              <w:rPr>
                <w:b/>
                <w:i/>
              </w:rPr>
              <w:t>(ig)</w:t>
            </w:r>
            <w:r w:rsidRPr="00B7760C">
              <w:rPr>
                <w:b/>
                <w:i/>
              </w:rPr>
              <w:tab/>
              <w:t>izboljšanje odpornosti na škodljivce in bolezni trte;</w:t>
            </w:r>
          </w:p>
        </w:tc>
      </w:tr>
    </w:tbl>
    <w:p w14:paraId="144C47C1" w14:textId="77777777" w:rsidR="003663AF" w:rsidRPr="00B7760C" w:rsidRDefault="003663AF" w:rsidP="003663AF"/>
    <w:p w14:paraId="4D69629C" w14:textId="062E8063" w:rsidR="003663AF" w:rsidRPr="00B7760C" w:rsidRDefault="00877691" w:rsidP="003663AF">
      <w:pPr>
        <w:pStyle w:val="AMNumberTabs"/>
        <w:keepNext/>
      </w:pPr>
      <w:r w:rsidRPr="00B7760C">
        <w:t>Sprememb</w:t>
      </w:r>
      <w:r w:rsidR="00262443" w:rsidRPr="00B7760C">
        <w:t>i</w:t>
      </w:r>
      <w:r w:rsidR="003663AF" w:rsidRPr="00B7760C">
        <w:tab/>
      </w:r>
      <w:r w:rsidR="003663AF" w:rsidRPr="00B7760C">
        <w:tab/>
        <w:t>365</w:t>
      </w:r>
      <w:r w:rsidR="00262443" w:rsidRPr="00B7760C">
        <w:t xml:space="preserve"> in 1122 cp6</w:t>
      </w:r>
    </w:p>
    <w:p w14:paraId="5EF8D24D" w14:textId="77777777" w:rsidR="003663AF" w:rsidRPr="00B7760C" w:rsidRDefault="003663AF" w:rsidP="003663AF">
      <w:pPr>
        <w:pStyle w:val="NormalBold12b"/>
      </w:pPr>
      <w:r w:rsidRPr="00B7760C">
        <w:t>Predlog uredbe</w:t>
      </w:r>
    </w:p>
    <w:p w14:paraId="0AA8AB0B" w14:textId="77777777" w:rsidR="003663AF" w:rsidRPr="00B7760C" w:rsidRDefault="003663AF" w:rsidP="003663AF">
      <w:pPr>
        <w:pStyle w:val="NormalBold"/>
      </w:pPr>
      <w:r w:rsidRPr="00B7760C">
        <w:t>Člen 52 – odstavek 1 – točka i h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A9A473C" w14:textId="77777777" w:rsidTr="00E804B7">
        <w:trPr>
          <w:jc w:val="center"/>
        </w:trPr>
        <w:tc>
          <w:tcPr>
            <w:tcW w:w="9752" w:type="dxa"/>
            <w:gridSpan w:val="2"/>
          </w:tcPr>
          <w:p w14:paraId="03B67B06" w14:textId="77777777" w:rsidR="003663AF" w:rsidRPr="00B7760C" w:rsidRDefault="003663AF" w:rsidP="00E804B7">
            <w:pPr>
              <w:keepNext/>
            </w:pPr>
          </w:p>
        </w:tc>
      </w:tr>
      <w:tr w:rsidR="003663AF" w:rsidRPr="00B7760C" w14:paraId="17C1F308" w14:textId="77777777" w:rsidTr="00E804B7">
        <w:trPr>
          <w:jc w:val="center"/>
        </w:trPr>
        <w:tc>
          <w:tcPr>
            <w:tcW w:w="4876" w:type="dxa"/>
            <w:hideMark/>
          </w:tcPr>
          <w:p w14:paraId="5BAB8929" w14:textId="77777777" w:rsidR="003663AF" w:rsidRPr="00B7760C" w:rsidRDefault="003663AF" w:rsidP="00E804B7">
            <w:pPr>
              <w:pStyle w:val="ColumnHeading"/>
              <w:keepNext/>
            </w:pPr>
            <w:r w:rsidRPr="00B7760C">
              <w:t>Besedilo, ki ga predlaga Komisija</w:t>
            </w:r>
          </w:p>
        </w:tc>
        <w:tc>
          <w:tcPr>
            <w:tcW w:w="4876" w:type="dxa"/>
            <w:hideMark/>
          </w:tcPr>
          <w:p w14:paraId="5EB9C4DB" w14:textId="65E6CA5D" w:rsidR="003663AF" w:rsidRPr="00B7760C" w:rsidRDefault="00877691" w:rsidP="00E804B7">
            <w:pPr>
              <w:pStyle w:val="ColumnHeading"/>
              <w:keepNext/>
            </w:pPr>
            <w:r w:rsidRPr="00B7760C">
              <w:t>Sprememba</w:t>
            </w:r>
          </w:p>
        </w:tc>
      </w:tr>
      <w:tr w:rsidR="003663AF" w:rsidRPr="00B7760C" w14:paraId="0CAA5DB8" w14:textId="77777777" w:rsidTr="00E804B7">
        <w:trPr>
          <w:jc w:val="center"/>
        </w:trPr>
        <w:tc>
          <w:tcPr>
            <w:tcW w:w="4876" w:type="dxa"/>
          </w:tcPr>
          <w:p w14:paraId="06953BD9" w14:textId="77777777" w:rsidR="003663AF" w:rsidRPr="00B7760C" w:rsidRDefault="003663AF" w:rsidP="00E804B7">
            <w:pPr>
              <w:pStyle w:val="Normal6"/>
            </w:pPr>
          </w:p>
        </w:tc>
        <w:tc>
          <w:tcPr>
            <w:tcW w:w="4876" w:type="dxa"/>
            <w:hideMark/>
          </w:tcPr>
          <w:p w14:paraId="2625A151" w14:textId="77777777" w:rsidR="003663AF" w:rsidRPr="00B7760C" w:rsidRDefault="003663AF" w:rsidP="00E804B7">
            <w:pPr>
              <w:pStyle w:val="Normal6"/>
              <w:rPr>
                <w:szCs w:val="24"/>
              </w:rPr>
            </w:pPr>
            <w:r w:rsidRPr="00B7760C">
              <w:rPr>
                <w:b/>
                <w:i/>
              </w:rPr>
              <w:t>(ih)</w:t>
            </w:r>
            <w:r w:rsidRPr="00B7760C">
              <w:rPr>
                <w:b/>
                <w:i/>
              </w:rPr>
              <w:tab/>
              <w:t>zmanjšanje nastajanja odpadkov ter izboljšanje ravnanja z njimi.</w:t>
            </w:r>
          </w:p>
        </w:tc>
      </w:tr>
    </w:tbl>
    <w:p w14:paraId="7EDA25A5" w14:textId="77777777" w:rsidR="003663AF" w:rsidRPr="00B7760C" w:rsidRDefault="003663AF" w:rsidP="003663AF"/>
    <w:p w14:paraId="11E327ED" w14:textId="41000518" w:rsidR="003663AF" w:rsidRPr="00B7760C" w:rsidRDefault="00877691" w:rsidP="003663AF">
      <w:pPr>
        <w:pStyle w:val="AMNumberTabs"/>
        <w:keepNext/>
      </w:pPr>
      <w:r w:rsidRPr="00B7760C">
        <w:t>Sprememb</w:t>
      </w:r>
      <w:r w:rsidR="00262443" w:rsidRPr="00B7760C">
        <w:t>i</w:t>
      </w:r>
      <w:r w:rsidR="003663AF" w:rsidRPr="00B7760C">
        <w:tab/>
      </w:r>
      <w:r w:rsidR="003663AF" w:rsidRPr="00B7760C">
        <w:tab/>
        <w:t>366</w:t>
      </w:r>
      <w:r w:rsidR="00262443" w:rsidRPr="00B7760C">
        <w:t xml:space="preserve"> in 1122 cp6</w:t>
      </w:r>
    </w:p>
    <w:p w14:paraId="527F61AC" w14:textId="77777777" w:rsidR="003663AF" w:rsidRPr="00B7760C" w:rsidRDefault="003663AF" w:rsidP="003663AF">
      <w:pPr>
        <w:pStyle w:val="NormalBold12b"/>
      </w:pPr>
      <w:r w:rsidRPr="00B7760C">
        <w:t>Predlog uredbe</w:t>
      </w:r>
    </w:p>
    <w:p w14:paraId="7BD2F49F" w14:textId="77777777" w:rsidR="003663AF" w:rsidRPr="00B7760C" w:rsidRDefault="003663AF" w:rsidP="003663AF">
      <w:pPr>
        <w:pStyle w:val="NormalBold"/>
      </w:pPr>
      <w:r w:rsidRPr="00B7760C">
        <w:t>Člen 52 – odstavek 1 – pododstavek 1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3423E1C" w14:textId="77777777" w:rsidTr="00E804B7">
        <w:trPr>
          <w:jc w:val="center"/>
        </w:trPr>
        <w:tc>
          <w:tcPr>
            <w:tcW w:w="9752" w:type="dxa"/>
            <w:gridSpan w:val="2"/>
          </w:tcPr>
          <w:p w14:paraId="66FF829A" w14:textId="77777777" w:rsidR="003663AF" w:rsidRPr="00B7760C" w:rsidRDefault="003663AF" w:rsidP="00E804B7">
            <w:pPr>
              <w:keepNext/>
            </w:pPr>
          </w:p>
        </w:tc>
      </w:tr>
      <w:tr w:rsidR="003663AF" w:rsidRPr="00B7760C" w14:paraId="530D66F3" w14:textId="77777777" w:rsidTr="00E804B7">
        <w:trPr>
          <w:jc w:val="center"/>
        </w:trPr>
        <w:tc>
          <w:tcPr>
            <w:tcW w:w="4876" w:type="dxa"/>
            <w:hideMark/>
          </w:tcPr>
          <w:p w14:paraId="4F55B527" w14:textId="77777777" w:rsidR="003663AF" w:rsidRPr="00B7760C" w:rsidRDefault="003663AF" w:rsidP="00E804B7">
            <w:pPr>
              <w:pStyle w:val="ColumnHeading"/>
              <w:keepNext/>
            </w:pPr>
            <w:r w:rsidRPr="00B7760C">
              <w:t>Besedilo, ki ga predlaga Komisija</w:t>
            </w:r>
          </w:p>
        </w:tc>
        <w:tc>
          <w:tcPr>
            <w:tcW w:w="4876" w:type="dxa"/>
            <w:hideMark/>
          </w:tcPr>
          <w:p w14:paraId="2613721C" w14:textId="0C73639D" w:rsidR="003663AF" w:rsidRPr="00B7760C" w:rsidRDefault="00877691" w:rsidP="00E804B7">
            <w:pPr>
              <w:pStyle w:val="ColumnHeading"/>
              <w:keepNext/>
            </w:pPr>
            <w:r w:rsidRPr="00B7760C">
              <w:t>Sprememba</w:t>
            </w:r>
          </w:p>
        </w:tc>
      </w:tr>
      <w:tr w:rsidR="003663AF" w:rsidRPr="00B7760C" w14:paraId="4B30E8E7" w14:textId="77777777" w:rsidTr="00E804B7">
        <w:trPr>
          <w:jc w:val="center"/>
        </w:trPr>
        <w:tc>
          <w:tcPr>
            <w:tcW w:w="4876" w:type="dxa"/>
          </w:tcPr>
          <w:p w14:paraId="44335CC2" w14:textId="77777777" w:rsidR="003663AF" w:rsidRPr="00B7760C" w:rsidRDefault="003663AF" w:rsidP="00E804B7">
            <w:pPr>
              <w:pStyle w:val="Normal6"/>
            </w:pPr>
          </w:p>
        </w:tc>
        <w:tc>
          <w:tcPr>
            <w:tcW w:w="4876" w:type="dxa"/>
            <w:hideMark/>
          </w:tcPr>
          <w:p w14:paraId="017A4836" w14:textId="77777777" w:rsidR="003663AF" w:rsidRPr="00B7760C" w:rsidRDefault="003663AF" w:rsidP="00E804B7">
            <w:pPr>
              <w:pStyle w:val="Normal6"/>
              <w:rPr>
                <w:szCs w:val="24"/>
              </w:rPr>
            </w:pPr>
            <w:r w:rsidRPr="00B7760C">
              <w:rPr>
                <w:b/>
                <w:i/>
              </w:rPr>
              <w:t>Ukrepi za promocijo iz točke (h) tega odstavka se uporabljajo le za vina z zaščiteno označbo porekla ali zaščiteno geografsko označbo ali vina z navedbo sorte vinske trte.</w:t>
            </w:r>
          </w:p>
        </w:tc>
      </w:tr>
    </w:tbl>
    <w:p w14:paraId="2E63C2FB" w14:textId="77777777" w:rsidR="003663AF" w:rsidRPr="00B7760C" w:rsidRDefault="003663AF" w:rsidP="003663AF"/>
    <w:p w14:paraId="443BED0D" w14:textId="41C1425F" w:rsidR="003663AF" w:rsidRPr="00B7760C" w:rsidRDefault="00877691" w:rsidP="003663AF">
      <w:pPr>
        <w:pStyle w:val="AMNumberTabs"/>
        <w:keepNext/>
      </w:pPr>
      <w:r w:rsidRPr="00B7760C">
        <w:t>Sprememba</w:t>
      </w:r>
      <w:r w:rsidR="003663AF" w:rsidRPr="00B7760C">
        <w:tab/>
      </w:r>
      <w:r w:rsidR="003663AF" w:rsidRPr="00B7760C">
        <w:tab/>
        <w:t>367</w:t>
      </w:r>
    </w:p>
    <w:p w14:paraId="4A01EBB5" w14:textId="77777777" w:rsidR="003663AF" w:rsidRPr="00B7760C" w:rsidRDefault="003663AF" w:rsidP="003663AF">
      <w:pPr>
        <w:pStyle w:val="NormalBold12b"/>
      </w:pPr>
      <w:r w:rsidRPr="00B7760C">
        <w:t>Predlog uredbe</w:t>
      </w:r>
    </w:p>
    <w:p w14:paraId="46BC4C61" w14:textId="77777777" w:rsidR="003663AF" w:rsidRPr="00B7760C" w:rsidRDefault="003663AF" w:rsidP="003663AF">
      <w:pPr>
        <w:pStyle w:val="NormalBold"/>
      </w:pPr>
      <w:r w:rsidRPr="00B7760C">
        <w:t>Člen 52 – odstavek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7B0E80A" w14:textId="77777777" w:rsidTr="00E804B7">
        <w:trPr>
          <w:jc w:val="center"/>
        </w:trPr>
        <w:tc>
          <w:tcPr>
            <w:tcW w:w="9752" w:type="dxa"/>
            <w:gridSpan w:val="2"/>
          </w:tcPr>
          <w:p w14:paraId="40CB05F9" w14:textId="77777777" w:rsidR="003663AF" w:rsidRPr="00B7760C" w:rsidRDefault="003663AF" w:rsidP="00E804B7">
            <w:pPr>
              <w:keepNext/>
            </w:pPr>
          </w:p>
        </w:tc>
      </w:tr>
      <w:tr w:rsidR="003663AF" w:rsidRPr="00B7760C" w14:paraId="60FCFFF9" w14:textId="77777777" w:rsidTr="00E804B7">
        <w:trPr>
          <w:jc w:val="center"/>
        </w:trPr>
        <w:tc>
          <w:tcPr>
            <w:tcW w:w="4876" w:type="dxa"/>
            <w:hideMark/>
          </w:tcPr>
          <w:p w14:paraId="68C2A584" w14:textId="77777777" w:rsidR="003663AF" w:rsidRPr="00B7760C" w:rsidRDefault="003663AF" w:rsidP="00E804B7">
            <w:pPr>
              <w:pStyle w:val="ColumnHeading"/>
              <w:keepNext/>
            </w:pPr>
            <w:r w:rsidRPr="00B7760C">
              <w:t>Besedilo, ki ga predlaga Komisija</w:t>
            </w:r>
          </w:p>
        </w:tc>
        <w:tc>
          <w:tcPr>
            <w:tcW w:w="4876" w:type="dxa"/>
            <w:hideMark/>
          </w:tcPr>
          <w:p w14:paraId="0E54A9A6" w14:textId="2E1C032A" w:rsidR="003663AF" w:rsidRPr="00B7760C" w:rsidRDefault="00877691" w:rsidP="00E804B7">
            <w:pPr>
              <w:pStyle w:val="ColumnHeading"/>
              <w:keepNext/>
            </w:pPr>
            <w:r w:rsidRPr="00B7760C">
              <w:t>Sprememba</w:t>
            </w:r>
          </w:p>
        </w:tc>
      </w:tr>
      <w:tr w:rsidR="003663AF" w:rsidRPr="00B7760C" w14:paraId="06F06AFA" w14:textId="77777777" w:rsidTr="00E804B7">
        <w:trPr>
          <w:jc w:val="center"/>
        </w:trPr>
        <w:tc>
          <w:tcPr>
            <w:tcW w:w="4876" w:type="dxa"/>
            <w:hideMark/>
          </w:tcPr>
          <w:p w14:paraId="64F4D5E9" w14:textId="77777777" w:rsidR="003663AF" w:rsidRPr="00B7760C" w:rsidRDefault="003663AF" w:rsidP="00E804B7">
            <w:pPr>
              <w:pStyle w:val="Normal6"/>
            </w:pPr>
            <w:r w:rsidRPr="00B7760C">
              <w:t>2.</w:t>
            </w:r>
            <w:r w:rsidRPr="00B7760C">
              <w:tab/>
              <w:t>Države članice v svojih strateških načrtih SKP utemeljijo izbiro ciljev in vrst intervencij v vinskem sektorju. Pri izbranih vrstah intervencij intervencije opredelijo.</w:t>
            </w:r>
          </w:p>
        </w:tc>
        <w:tc>
          <w:tcPr>
            <w:tcW w:w="4876" w:type="dxa"/>
            <w:hideMark/>
          </w:tcPr>
          <w:p w14:paraId="1FBF3F69" w14:textId="77777777" w:rsidR="003663AF" w:rsidRPr="00B7760C" w:rsidRDefault="003663AF" w:rsidP="00E804B7">
            <w:pPr>
              <w:pStyle w:val="Normal6"/>
              <w:rPr>
                <w:szCs w:val="24"/>
              </w:rPr>
            </w:pPr>
            <w:r w:rsidRPr="00B7760C">
              <w:t>2.</w:t>
            </w:r>
            <w:r w:rsidRPr="00B7760C">
              <w:tab/>
              <w:t xml:space="preserve">Države članice v svojih strateških načrtih SKP utemeljijo izbiro ciljev in vrst intervencij v vinskem sektorju. Pri izbranih vrstah intervencij intervencije opredelijo. </w:t>
            </w:r>
            <w:r w:rsidRPr="00B7760C">
              <w:rPr>
                <w:b/>
                <w:i/>
              </w:rPr>
              <w:t>Države članice lahko predvidijo posebne določbe za ukrepe za informiranje in promocijo, ki jih v imenu vseh zadevnih podjetij pripravijo organi za upravljanje zaščitenih označb porekla in zaščitenih geografskih označb, zlasti glede najdaljšega možnega trajanja teh ukrepov.</w:t>
            </w:r>
          </w:p>
        </w:tc>
      </w:tr>
    </w:tbl>
    <w:p w14:paraId="5044A567" w14:textId="77777777" w:rsidR="003663AF" w:rsidRPr="00B7760C" w:rsidRDefault="003663AF" w:rsidP="003663AF"/>
    <w:p w14:paraId="748A3D2D" w14:textId="03B23522" w:rsidR="003663AF" w:rsidRPr="00B7760C" w:rsidRDefault="00877691" w:rsidP="003663AF">
      <w:pPr>
        <w:pStyle w:val="AMNumberTabs"/>
        <w:keepNext/>
      </w:pPr>
      <w:r w:rsidRPr="00B7760C">
        <w:t>Sprememba</w:t>
      </w:r>
      <w:r w:rsidR="003663AF" w:rsidRPr="00B7760C">
        <w:tab/>
      </w:r>
      <w:r w:rsidR="003663AF" w:rsidRPr="00B7760C">
        <w:tab/>
        <w:t>368</w:t>
      </w:r>
    </w:p>
    <w:p w14:paraId="7659E29A" w14:textId="77777777" w:rsidR="003663AF" w:rsidRPr="00B7760C" w:rsidRDefault="003663AF" w:rsidP="003663AF">
      <w:pPr>
        <w:pStyle w:val="NormalBold12b"/>
      </w:pPr>
      <w:r w:rsidRPr="00B7760C">
        <w:t>Predlog uredbe</w:t>
      </w:r>
    </w:p>
    <w:p w14:paraId="71572681" w14:textId="77777777" w:rsidR="003663AF" w:rsidRPr="00B7760C" w:rsidRDefault="003663AF" w:rsidP="003663AF">
      <w:pPr>
        <w:pStyle w:val="NormalBold"/>
      </w:pPr>
      <w:r w:rsidRPr="00B7760C">
        <w:t>Člen 53 – odstavek 1 – pododstavek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CA885CE" w14:textId="77777777" w:rsidTr="00E804B7">
        <w:trPr>
          <w:jc w:val="center"/>
        </w:trPr>
        <w:tc>
          <w:tcPr>
            <w:tcW w:w="9752" w:type="dxa"/>
            <w:gridSpan w:val="2"/>
          </w:tcPr>
          <w:p w14:paraId="376D06BE" w14:textId="77777777" w:rsidR="003663AF" w:rsidRPr="00B7760C" w:rsidRDefault="003663AF" w:rsidP="00E804B7">
            <w:pPr>
              <w:keepNext/>
            </w:pPr>
          </w:p>
        </w:tc>
      </w:tr>
      <w:tr w:rsidR="003663AF" w:rsidRPr="00B7760C" w14:paraId="05F8154E" w14:textId="77777777" w:rsidTr="00E804B7">
        <w:trPr>
          <w:jc w:val="center"/>
        </w:trPr>
        <w:tc>
          <w:tcPr>
            <w:tcW w:w="4876" w:type="dxa"/>
            <w:hideMark/>
          </w:tcPr>
          <w:p w14:paraId="1822276D" w14:textId="77777777" w:rsidR="003663AF" w:rsidRPr="00B7760C" w:rsidRDefault="003663AF" w:rsidP="00E804B7">
            <w:pPr>
              <w:pStyle w:val="ColumnHeading"/>
              <w:keepNext/>
            </w:pPr>
            <w:r w:rsidRPr="00B7760C">
              <w:t>Besedilo, ki ga predlaga Komisija</w:t>
            </w:r>
          </w:p>
        </w:tc>
        <w:tc>
          <w:tcPr>
            <w:tcW w:w="4876" w:type="dxa"/>
            <w:hideMark/>
          </w:tcPr>
          <w:p w14:paraId="714F302D" w14:textId="66AD08C7" w:rsidR="003663AF" w:rsidRPr="00B7760C" w:rsidRDefault="00877691" w:rsidP="00E804B7">
            <w:pPr>
              <w:pStyle w:val="ColumnHeading"/>
              <w:keepNext/>
            </w:pPr>
            <w:r w:rsidRPr="00B7760C">
              <w:t>Sprememba</w:t>
            </w:r>
          </w:p>
        </w:tc>
      </w:tr>
      <w:tr w:rsidR="003663AF" w:rsidRPr="00B7760C" w14:paraId="57B28BCD" w14:textId="77777777" w:rsidTr="00E804B7">
        <w:trPr>
          <w:jc w:val="center"/>
        </w:trPr>
        <w:tc>
          <w:tcPr>
            <w:tcW w:w="4876" w:type="dxa"/>
            <w:hideMark/>
          </w:tcPr>
          <w:p w14:paraId="1955F4A1" w14:textId="77777777" w:rsidR="003663AF" w:rsidRPr="00B7760C" w:rsidRDefault="003663AF" w:rsidP="00E804B7">
            <w:pPr>
              <w:pStyle w:val="Normal6"/>
            </w:pPr>
            <w:r w:rsidRPr="00B7760C">
              <w:t>Finančna pomoč Unije za prestrukturiranje in preusmeritev vinogradov iz točke (a) člena 52(1) ne presega 50 % dejanskih stroškov prestrukturiranja in preusmeritve vinogradov ali 75 % dejanskih stroškov prestrukturiranja in preusmeritve vinogradov</w:t>
            </w:r>
            <w:r w:rsidRPr="00B7760C">
              <w:rPr>
                <w:b/>
                <w:i/>
              </w:rPr>
              <w:t xml:space="preserve"> v manj razvitih regijah</w:t>
            </w:r>
            <w:r w:rsidRPr="00B7760C">
              <w:t>.</w:t>
            </w:r>
          </w:p>
        </w:tc>
        <w:tc>
          <w:tcPr>
            <w:tcW w:w="4876" w:type="dxa"/>
            <w:hideMark/>
          </w:tcPr>
          <w:p w14:paraId="11968D2C" w14:textId="77777777" w:rsidR="003663AF" w:rsidRPr="00B7760C" w:rsidRDefault="003663AF" w:rsidP="00E804B7">
            <w:pPr>
              <w:pStyle w:val="Normal6"/>
              <w:rPr>
                <w:szCs w:val="24"/>
              </w:rPr>
            </w:pPr>
            <w:r w:rsidRPr="00B7760C">
              <w:t xml:space="preserve">Finančna pomoč Unije za prestrukturiranje in preusmeritev vinogradov iz točke (a) člena 52(1) ne presega 50 % dejanskih stroškov </w:t>
            </w:r>
            <w:r w:rsidRPr="00B7760C">
              <w:rPr>
                <w:b/>
                <w:i/>
              </w:rPr>
              <w:t xml:space="preserve">prostovoljnega </w:t>
            </w:r>
            <w:r w:rsidRPr="00B7760C">
              <w:t xml:space="preserve">prestrukturiranja in preusmeritve vinogradov ali 75 % dejanskih stroškov </w:t>
            </w:r>
            <w:r w:rsidRPr="00B7760C">
              <w:rPr>
                <w:b/>
                <w:i/>
              </w:rPr>
              <w:t xml:space="preserve">obveznega </w:t>
            </w:r>
            <w:r w:rsidRPr="00B7760C">
              <w:t>prestrukturiranja in preusmeritve vinogradov.</w:t>
            </w:r>
          </w:p>
        </w:tc>
      </w:tr>
    </w:tbl>
    <w:p w14:paraId="77AA27DD" w14:textId="77777777" w:rsidR="003663AF" w:rsidRPr="00B7760C" w:rsidRDefault="003663AF" w:rsidP="003663AF"/>
    <w:p w14:paraId="55C834CE" w14:textId="1736B9AD" w:rsidR="003663AF" w:rsidRPr="00B7760C" w:rsidRDefault="00877691" w:rsidP="003663AF">
      <w:pPr>
        <w:pStyle w:val="AMNumberTabs"/>
        <w:keepNext/>
      </w:pPr>
      <w:r w:rsidRPr="00B7760C">
        <w:t>Sprememba</w:t>
      </w:r>
      <w:r w:rsidR="003663AF" w:rsidRPr="00B7760C">
        <w:tab/>
      </w:r>
      <w:r w:rsidR="003663AF" w:rsidRPr="00B7760C">
        <w:tab/>
        <w:t>369</w:t>
      </w:r>
    </w:p>
    <w:p w14:paraId="7C9EB5D9" w14:textId="77777777" w:rsidR="003663AF" w:rsidRPr="00B7760C" w:rsidRDefault="003663AF" w:rsidP="003663AF">
      <w:pPr>
        <w:pStyle w:val="NormalBold12b"/>
      </w:pPr>
      <w:r w:rsidRPr="00B7760C">
        <w:t>Predlog uredbe</w:t>
      </w:r>
    </w:p>
    <w:p w14:paraId="6FB33F10" w14:textId="77777777" w:rsidR="003663AF" w:rsidRPr="00B7760C" w:rsidRDefault="003663AF" w:rsidP="003663AF">
      <w:pPr>
        <w:pStyle w:val="NormalBold"/>
      </w:pPr>
      <w:r w:rsidRPr="00B7760C">
        <w:t>Člen 53 – odstavek 2 – pododstavek 1 – točka 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27376ED" w14:textId="77777777" w:rsidTr="00E804B7">
        <w:trPr>
          <w:jc w:val="center"/>
        </w:trPr>
        <w:tc>
          <w:tcPr>
            <w:tcW w:w="9752" w:type="dxa"/>
            <w:gridSpan w:val="2"/>
          </w:tcPr>
          <w:p w14:paraId="4A87451E" w14:textId="77777777" w:rsidR="003663AF" w:rsidRPr="00B7760C" w:rsidRDefault="003663AF" w:rsidP="00E804B7">
            <w:pPr>
              <w:keepNext/>
            </w:pPr>
          </w:p>
        </w:tc>
      </w:tr>
      <w:tr w:rsidR="003663AF" w:rsidRPr="00B7760C" w14:paraId="144817FB" w14:textId="77777777" w:rsidTr="00E804B7">
        <w:trPr>
          <w:jc w:val="center"/>
        </w:trPr>
        <w:tc>
          <w:tcPr>
            <w:tcW w:w="4876" w:type="dxa"/>
            <w:hideMark/>
          </w:tcPr>
          <w:p w14:paraId="62A63292" w14:textId="77777777" w:rsidR="003663AF" w:rsidRPr="00B7760C" w:rsidRDefault="003663AF" w:rsidP="00E804B7">
            <w:pPr>
              <w:pStyle w:val="ColumnHeading"/>
              <w:keepNext/>
            </w:pPr>
            <w:r w:rsidRPr="00B7760C">
              <w:t>Besedilo, ki ga predlaga Komisija</w:t>
            </w:r>
          </w:p>
        </w:tc>
        <w:tc>
          <w:tcPr>
            <w:tcW w:w="4876" w:type="dxa"/>
            <w:hideMark/>
          </w:tcPr>
          <w:p w14:paraId="1CEEE807" w14:textId="297DCD3C" w:rsidR="003663AF" w:rsidRPr="00B7760C" w:rsidRDefault="00877691" w:rsidP="00E804B7">
            <w:pPr>
              <w:pStyle w:val="ColumnHeading"/>
              <w:keepNext/>
            </w:pPr>
            <w:r w:rsidRPr="00B7760C">
              <w:t>Sprememba</w:t>
            </w:r>
          </w:p>
        </w:tc>
      </w:tr>
      <w:tr w:rsidR="003663AF" w:rsidRPr="00B7760C" w14:paraId="187706E4" w14:textId="77777777" w:rsidTr="00E804B7">
        <w:trPr>
          <w:jc w:val="center"/>
        </w:trPr>
        <w:tc>
          <w:tcPr>
            <w:tcW w:w="4876" w:type="dxa"/>
            <w:hideMark/>
          </w:tcPr>
          <w:p w14:paraId="2CCCBDF1" w14:textId="77777777" w:rsidR="003663AF" w:rsidRPr="00B7760C" w:rsidRDefault="003663AF" w:rsidP="00E804B7">
            <w:pPr>
              <w:pStyle w:val="Normal6"/>
            </w:pPr>
            <w:r w:rsidRPr="00B7760C">
              <w:t>(a)</w:t>
            </w:r>
            <w:r w:rsidRPr="00B7760C">
              <w:tab/>
              <w:t>50 % upravičenih stroškov naložb v manj razvitih regijah;</w:t>
            </w:r>
          </w:p>
        </w:tc>
        <w:tc>
          <w:tcPr>
            <w:tcW w:w="4876" w:type="dxa"/>
            <w:hideMark/>
          </w:tcPr>
          <w:p w14:paraId="459FA483" w14:textId="4E9E4F06" w:rsidR="003663AF" w:rsidRPr="00B7760C" w:rsidRDefault="003663AF" w:rsidP="00E804B7">
            <w:pPr>
              <w:pStyle w:val="Normal6"/>
              <w:rPr>
                <w:szCs w:val="24"/>
              </w:rPr>
            </w:pPr>
            <w:r w:rsidRPr="00B7760C">
              <w:t>(a)</w:t>
            </w:r>
            <w:r w:rsidRPr="00B7760C">
              <w:tab/>
              <w:t>50 % upravičenih stroškov naložb v manj razvitih regijah</w:t>
            </w:r>
            <w:r w:rsidRPr="00B7760C">
              <w:rPr>
                <w:b/>
                <w:i/>
              </w:rPr>
              <w:t xml:space="preserve">, vinogradih na strmih pobočjih in v otoških regijah, ki niso navedene v točkah (c) in (d) tega </w:t>
            </w:r>
            <w:r w:rsidR="00262443" w:rsidRPr="00B7760C">
              <w:rPr>
                <w:b/>
                <w:i/>
              </w:rPr>
              <w:t>pod</w:t>
            </w:r>
            <w:r w:rsidRPr="00B7760C">
              <w:rPr>
                <w:b/>
                <w:i/>
              </w:rPr>
              <w:t>odstavka</w:t>
            </w:r>
            <w:r w:rsidRPr="00B7760C">
              <w:t>;</w:t>
            </w:r>
          </w:p>
        </w:tc>
      </w:tr>
    </w:tbl>
    <w:p w14:paraId="29500F61" w14:textId="77777777" w:rsidR="003663AF" w:rsidRPr="00B7760C" w:rsidRDefault="003663AF" w:rsidP="003663AF"/>
    <w:p w14:paraId="7F6AB8B4" w14:textId="5A3730CA" w:rsidR="003663AF" w:rsidRPr="00B7760C" w:rsidRDefault="00877691" w:rsidP="003663AF">
      <w:pPr>
        <w:pStyle w:val="AMNumberTabs"/>
        <w:keepNext/>
      </w:pPr>
      <w:r w:rsidRPr="00B7760C">
        <w:t>Sprememba</w:t>
      </w:r>
      <w:r w:rsidR="003663AF" w:rsidRPr="00B7760C">
        <w:tab/>
      </w:r>
      <w:r w:rsidR="003663AF" w:rsidRPr="00B7760C">
        <w:tab/>
        <w:t>370</w:t>
      </w:r>
    </w:p>
    <w:p w14:paraId="3C3CC1A2" w14:textId="77777777" w:rsidR="003663AF" w:rsidRPr="00B7760C" w:rsidRDefault="003663AF" w:rsidP="003663AF">
      <w:pPr>
        <w:pStyle w:val="NormalBold12b"/>
      </w:pPr>
      <w:r w:rsidRPr="00B7760C">
        <w:t>Predlog uredbe</w:t>
      </w:r>
    </w:p>
    <w:p w14:paraId="01DD4197" w14:textId="77777777" w:rsidR="003663AF" w:rsidRPr="00B7760C" w:rsidRDefault="003663AF" w:rsidP="003663AF">
      <w:pPr>
        <w:pStyle w:val="NormalBold"/>
      </w:pPr>
      <w:r w:rsidRPr="00B7760C">
        <w:t>Člen 53 – odstavek 2 – pododstavek 1 – točka c</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5722C2B" w14:textId="77777777" w:rsidTr="00E804B7">
        <w:trPr>
          <w:jc w:val="center"/>
        </w:trPr>
        <w:tc>
          <w:tcPr>
            <w:tcW w:w="9752" w:type="dxa"/>
            <w:gridSpan w:val="2"/>
          </w:tcPr>
          <w:p w14:paraId="2029FA40" w14:textId="77777777" w:rsidR="003663AF" w:rsidRPr="00B7760C" w:rsidRDefault="003663AF" w:rsidP="00E804B7">
            <w:pPr>
              <w:keepNext/>
            </w:pPr>
          </w:p>
        </w:tc>
      </w:tr>
      <w:tr w:rsidR="003663AF" w:rsidRPr="00B7760C" w14:paraId="6300A16F" w14:textId="77777777" w:rsidTr="00E804B7">
        <w:trPr>
          <w:jc w:val="center"/>
        </w:trPr>
        <w:tc>
          <w:tcPr>
            <w:tcW w:w="4876" w:type="dxa"/>
            <w:hideMark/>
          </w:tcPr>
          <w:p w14:paraId="0815199C" w14:textId="77777777" w:rsidR="003663AF" w:rsidRPr="00B7760C" w:rsidRDefault="003663AF" w:rsidP="00E804B7">
            <w:pPr>
              <w:pStyle w:val="ColumnHeading"/>
              <w:keepNext/>
            </w:pPr>
            <w:r w:rsidRPr="00B7760C">
              <w:t>Besedilo, ki ga predlaga Komisija</w:t>
            </w:r>
          </w:p>
        </w:tc>
        <w:tc>
          <w:tcPr>
            <w:tcW w:w="4876" w:type="dxa"/>
            <w:hideMark/>
          </w:tcPr>
          <w:p w14:paraId="2C841AB0" w14:textId="1257A5DA" w:rsidR="003663AF" w:rsidRPr="00B7760C" w:rsidRDefault="00877691" w:rsidP="00E804B7">
            <w:pPr>
              <w:pStyle w:val="ColumnHeading"/>
              <w:keepNext/>
            </w:pPr>
            <w:r w:rsidRPr="00B7760C">
              <w:t>Sprememba</w:t>
            </w:r>
          </w:p>
        </w:tc>
      </w:tr>
      <w:tr w:rsidR="003663AF" w:rsidRPr="00B7760C" w14:paraId="6D45D281" w14:textId="77777777" w:rsidTr="00E804B7">
        <w:trPr>
          <w:jc w:val="center"/>
        </w:trPr>
        <w:tc>
          <w:tcPr>
            <w:tcW w:w="4876" w:type="dxa"/>
            <w:hideMark/>
          </w:tcPr>
          <w:p w14:paraId="2A3E14D0" w14:textId="77777777" w:rsidR="003663AF" w:rsidRPr="00B7760C" w:rsidRDefault="003663AF" w:rsidP="00E804B7">
            <w:pPr>
              <w:pStyle w:val="Normal6"/>
            </w:pPr>
            <w:r w:rsidRPr="00B7760C">
              <w:t>(c)</w:t>
            </w:r>
            <w:r w:rsidRPr="00B7760C">
              <w:tab/>
            </w:r>
            <w:r w:rsidRPr="00B7760C">
              <w:rPr>
                <w:b/>
                <w:i/>
              </w:rPr>
              <w:t>75 </w:t>
            </w:r>
            <w:r w:rsidRPr="00B7760C">
              <w:t>% upravičenih stroškov naložb v najbolj oddaljenih regijah iz člena 349 PDEU;</w:t>
            </w:r>
          </w:p>
        </w:tc>
        <w:tc>
          <w:tcPr>
            <w:tcW w:w="4876" w:type="dxa"/>
            <w:hideMark/>
          </w:tcPr>
          <w:p w14:paraId="2AB14236" w14:textId="77777777" w:rsidR="003663AF" w:rsidRPr="00B7760C" w:rsidRDefault="003663AF" w:rsidP="00E804B7">
            <w:pPr>
              <w:pStyle w:val="Normal6"/>
              <w:rPr>
                <w:szCs w:val="24"/>
              </w:rPr>
            </w:pPr>
            <w:r w:rsidRPr="00B7760C">
              <w:t>(c)</w:t>
            </w:r>
            <w:r w:rsidRPr="00B7760C">
              <w:tab/>
            </w:r>
            <w:r w:rsidRPr="00B7760C">
              <w:rPr>
                <w:b/>
                <w:i/>
              </w:rPr>
              <w:t xml:space="preserve">85 </w:t>
            </w:r>
            <w:r w:rsidRPr="00B7760C">
              <w:t>% upravičenih stroškov naložb v najbolj oddaljenih regijah iz člena 349 PDEU;</w:t>
            </w:r>
          </w:p>
        </w:tc>
      </w:tr>
    </w:tbl>
    <w:p w14:paraId="2AA9843E" w14:textId="77777777" w:rsidR="003663AF" w:rsidRPr="00B7760C" w:rsidRDefault="003663AF" w:rsidP="003663AF"/>
    <w:p w14:paraId="44430F39" w14:textId="47826853" w:rsidR="003663AF" w:rsidRPr="00B7760C" w:rsidRDefault="00877691" w:rsidP="003663AF">
      <w:pPr>
        <w:pStyle w:val="AMNumberTabs"/>
        <w:keepNext/>
      </w:pPr>
      <w:r w:rsidRPr="00B7760C">
        <w:t>Sprememba</w:t>
      </w:r>
      <w:r w:rsidR="003663AF" w:rsidRPr="00B7760C">
        <w:tab/>
      </w:r>
      <w:r w:rsidR="003663AF" w:rsidRPr="00B7760C">
        <w:tab/>
        <w:t>371</w:t>
      </w:r>
    </w:p>
    <w:p w14:paraId="5BABC93C" w14:textId="77777777" w:rsidR="003663AF" w:rsidRPr="00B7760C" w:rsidRDefault="003663AF" w:rsidP="003663AF">
      <w:pPr>
        <w:pStyle w:val="NormalBold12b"/>
      </w:pPr>
      <w:r w:rsidRPr="00B7760C">
        <w:t>Predlog uredbe</w:t>
      </w:r>
    </w:p>
    <w:p w14:paraId="6853E03B" w14:textId="77777777" w:rsidR="003663AF" w:rsidRPr="00B7760C" w:rsidRDefault="003663AF" w:rsidP="003663AF">
      <w:pPr>
        <w:pStyle w:val="NormalBold"/>
      </w:pPr>
      <w:r w:rsidRPr="00B7760C">
        <w:t>Člen 53 – odstavek 3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361FA9C" w14:textId="77777777" w:rsidTr="00E804B7">
        <w:trPr>
          <w:jc w:val="center"/>
        </w:trPr>
        <w:tc>
          <w:tcPr>
            <w:tcW w:w="9752" w:type="dxa"/>
            <w:gridSpan w:val="2"/>
          </w:tcPr>
          <w:p w14:paraId="74CE24AD" w14:textId="77777777" w:rsidR="003663AF" w:rsidRPr="00B7760C" w:rsidRDefault="003663AF" w:rsidP="00E804B7">
            <w:pPr>
              <w:keepNext/>
            </w:pPr>
          </w:p>
        </w:tc>
      </w:tr>
      <w:tr w:rsidR="003663AF" w:rsidRPr="00B7760C" w14:paraId="6443E14E" w14:textId="77777777" w:rsidTr="00E804B7">
        <w:trPr>
          <w:jc w:val="center"/>
        </w:trPr>
        <w:tc>
          <w:tcPr>
            <w:tcW w:w="4876" w:type="dxa"/>
            <w:hideMark/>
          </w:tcPr>
          <w:p w14:paraId="00D7EC98" w14:textId="77777777" w:rsidR="003663AF" w:rsidRPr="00B7760C" w:rsidRDefault="003663AF" w:rsidP="00E804B7">
            <w:pPr>
              <w:pStyle w:val="ColumnHeading"/>
              <w:keepNext/>
            </w:pPr>
            <w:r w:rsidRPr="00B7760C">
              <w:t>Besedilo, ki ga predlaga Komisija</w:t>
            </w:r>
          </w:p>
        </w:tc>
        <w:tc>
          <w:tcPr>
            <w:tcW w:w="4876" w:type="dxa"/>
            <w:hideMark/>
          </w:tcPr>
          <w:p w14:paraId="769C465A" w14:textId="70E9009B" w:rsidR="003663AF" w:rsidRPr="00B7760C" w:rsidRDefault="00877691" w:rsidP="00E804B7">
            <w:pPr>
              <w:pStyle w:val="ColumnHeading"/>
              <w:keepNext/>
            </w:pPr>
            <w:r w:rsidRPr="00B7760C">
              <w:t>Sprememba</w:t>
            </w:r>
          </w:p>
        </w:tc>
      </w:tr>
      <w:tr w:rsidR="003663AF" w:rsidRPr="00B7760C" w14:paraId="5D108531" w14:textId="77777777" w:rsidTr="00E804B7">
        <w:trPr>
          <w:jc w:val="center"/>
        </w:trPr>
        <w:tc>
          <w:tcPr>
            <w:tcW w:w="4876" w:type="dxa"/>
          </w:tcPr>
          <w:p w14:paraId="1B276766" w14:textId="77777777" w:rsidR="003663AF" w:rsidRPr="00B7760C" w:rsidRDefault="003663AF" w:rsidP="00E804B7">
            <w:pPr>
              <w:pStyle w:val="Normal6"/>
            </w:pPr>
          </w:p>
        </w:tc>
        <w:tc>
          <w:tcPr>
            <w:tcW w:w="4876" w:type="dxa"/>
            <w:hideMark/>
          </w:tcPr>
          <w:p w14:paraId="51B66369" w14:textId="77777777" w:rsidR="003663AF" w:rsidRPr="00B7760C" w:rsidRDefault="003663AF" w:rsidP="00E804B7">
            <w:pPr>
              <w:pStyle w:val="Normal6"/>
              <w:rPr>
                <w:szCs w:val="24"/>
              </w:rPr>
            </w:pPr>
            <w:r w:rsidRPr="00B7760C">
              <w:rPr>
                <w:b/>
                <w:i/>
              </w:rPr>
              <w:t>3a.</w:t>
            </w:r>
            <w:r w:rsidRPr="00B7760C">
              <w:rPr>
                <w:b/>
                <w:i/>
              </w:rPr>
              <w:tab/>
              <w:t>Finančna pomoč Unije za cilje iz točk (aa), (ab), (ac), (fa), (j), (k), (l), (m), (n), (o), (p), in (q) člena 52(1) ne presega 50 % neposrednih ali upravičenih stroškov.</w:t>
            </w:r>
          </w:p>
        </w:tc>
      </w:tr>
    </w:tbl>
    <w:p w14:paraId="5DD27EAB" w14:textId="77777777" w:rsidR="003663AF" w:rsidRPr="00B7760C" w:rsidRDefault="003663AF" w:rsidP="003663AF"/>
    <w:p w14:paraId="6F52461A" w14:textId="35C92CF3" w:rsidR="003663AF" w:rsidRPr="00B7760C" w:rsidRDefault="00877691" w:rsidP="003663AF">
      <w:pPr>
        <w:pStyle w:val="AMNumberTabs"/>
        <w:keepNext/>
      </w:pPr>
      <w:r w:rsidRPr="00B7760C">
        <w:t>Sprememba</w:t>
      </w:r>
      <w:r w:rsidR="003663AF" w:rsidRPr="00B7760C">
        <w:tab/>
      </w:r>
      <w:r w:rsidR="003663AF" w:rsidRPr="00B7760C">
        <w:tab/>
        <w:t>372</w:t>
      </w:r>
    </w:p>
    <w:p w14:paraId="4258476F" w14:textId="77777777" w:rsidR="003663AF" w:rsidRPr="00B7760C" w:rsidRDefault="003663AF" w:rsidP="003663AF">
      <w:pPr>
        <w:pStyle w:val="NormalBold12b"/>
      </w:pPr>
      <w:r w:rsidRPr="00B7760C">
        <w:t>Predlog uredbe</w:t>
      </w:r>
    </w:p>
    <w:p w14:paraId="4FB94E0E" w14:textId="77777777" w:rsidR="003663AF" w:rsidRPr="00B7760C" w:rsidRDefault="003663AF" w:rsidP="003663AF">
      <w:pPr>
        <w:pStyle w:val="NormalBold"/>
      </w:pPr>
      <w:r w:rsidRPr="00B7760C">
        <w:t>Člen 53 – odstavek 5 – pododstavek 1 – točka 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37B7CCB" w14:textId="77777777" w:rsidTr="00E804B7">
        <w:trPr>
          <w:jc w:val="center"/>
        </w:trPr>
        <w:tc>
          <w:tcPr>
            <w:tcW w:w="9752" w:type="dxa"/>
            <w:gridSpan w:val="2"/>
          </w:tcPr>
          <w:p w14:paraId="12F45C09" w14:textId="77777777" w:rsidR="003663AF" w:rsidRPr="00B7760C" w:rsidRDefault="003663AF" w:rsidP="00E804B7">
            <w:pPr>
              <w:keepNext/>
            </w:pPr>
          </w:p>
        </w:tc>
      </w:tr>
      <w:tr w:rsidR="003663AF" w:rsidRPr="00B7760C" w14:paraId="4971BA5B" w14:textId="77777777" w:rsidTr="00E804B7">
        <w:trPr>
          <w:jc w:val="center"/>
        </w:trPr>
        <w:tc>
          <w:tcPr>
            <w:tcW w:w="4876" w:type="dxa"/>
            <w:hideMark/>
          </w:tcPr>
          <w:p w14:paraId="736F4212" w14:textId="77777777" w:rsidR="003663AF" w:rsidRPr="00B7760C" w:rsidRDefault="003663AF" w:rsidP="00E804B7">
            <w:pPr>
              <w:pStyle w:val="ColumnHeading"/>
              <w:keepNext/>
            </w:pPr>
            <w:r w:rsidRPr="00B7760C">
              <w:t>Besedilo, ki ga predlaga Komisija</w:t>
            </w:r>
          </w:p>
        </w:tc>
        <w:tc>
          <w:tcPr>
            <w:tcW w:w="4876" w:type="dxa"/>
            <w:hideMark/>
          </w:tcPr>
          <w:p w14:paraId="0E46B3F0" w14:textId="01CE3CD3" w:rsidR="003663AF" w:rsidRPr="00B7760C" w:rsidRDefault="00877691" w:rsidP="00E804B7">
            <w:pPr>
              <w:pStyle w:val="ColumnHeading"/>
              <w:keepNext/>
            </w:pPr>
            <w:r w:rsidRPr="00B7760C">
              <w:t>Sprememba</w:t>
            </w:r>
          </w:p>
        </w:tc>
      </w:tr>
      <w:tr w:rsidR="003663AF" w:rsidRPr="00B7760C" w14:paraId="7DE4DB70" w14:textId="77777777" w:rsidTr="00E804B7">
        <w:trPr>
          <w:jc w:val="center"/>
        </w:trPr>
        <w:tc>
          <w:tcPr>
            <w:tcW w:w="4876" w:type="dxa"/>
            <w:hideMark/>
          </w:tcPr>
          <w:p w14:paraId="2B07096E" w14:textId="77777777" w:rsidR="003663AF" w:rsidRPr="00B7760C" w:rsidRDefault="003663AF" w:rsidP="00E804B7">
            <w:pPr>
              <w:pStyle w:val="Normal6"/>
            </w:pPr>
            <w:r w:rsidRPr="00B7760C">
              <w:t>(a)</w:t>
            </w:r>
            <w:r w:rsidRPr="00B7760C">
              <w:tab/>
              <w:t>50 % upravičenih stroškov naložb v manj razvitih regijah;</w:t>
            </w:r>
          </w:p>
        </w:tc>
        <w:tc>
          <w:tcPr>
            <w:tcW w:w="4876" w:type="dxa"/>
            <w:hideMark/>
          </w:tcPr>
          <w:p w14:paraId="480188AB" w14:textId="2FEE012D" w:rsidR="003663AF" w:rsidRPr="00B7760C" w:rsidRDefault="003663AF" w:rsidP="00E804B7">
            <w:pPr>
              <w:pStyle w:val="Normal6"/>
              <w:rPr>
                <w:szCs w:val="24"/>
              </w:rPr>
            </w:pPr>
            <w:r w:rsidRPr="00B7760C">
              <w:t>(a)</w:t>
            </w:r>
            <w:r w:rsidRPr="00B7760C">
              <w:tab/>
              <w:t>50 % upravičenih stroškov naložb v manj razvitih regijah</w:t>
            </w:r>
            <w:r w:rsidRPr="00B7760C">
              <w:rPr>
                <w:b/>
                <w:i/>
              </w:rPr>
              <w:t xml:space="preserve">, vinogradih na strmih pobočjih in v otoških regijah, ki niso navedene v točkah (c) in (d) tega </w:t>
            </w:r>
            <w:r w:rsidR="00262443" w:rsidRPr="00B7760C">
              <w:rPr>
                <w:b/>
                <w:i/>
              </w:rPr>
              <w:t>pod</w:t>
            </w:r>
            <w:r w:rsidRPr="00B7760C">
              <w:rPr>
                <w:b/>
                <w:i/>
              </w:rPr>
              <w:t>odstavka</w:t>
            </w:r>
            <w:r w:rsidRPr="00B7760C">
              <w:t>;</w:t>
            </w:r>
          </w:p>
        </w:tc>
      </w:tr>
    </w:tbl>
    <w:p w14:paraId="4FC3574A" w14:textId="77777777" w:rsidR="003663AF" w:rsidRPr="00B7760C" w:rsidRDefault="003663AF" w:rsidP="003663AF"/>
    <w:p w14:paraId="13F8989D" w14:textId="60001642" w:rsidR="003663AF" w:rsidRPr="00B7760C" w:rsidRDefault="00877691" w:rsidP="003663AF">
      <w:pPr>
        <w:pStyle w:val="AMNumberTabs"/>
        <w:keepNext/>
      </w:pPr>
      <w:r w:rsidRPr="00B7760C">
        <w:t>Sprememba</w:t>
      </w:r>
      <w:r w:rsidR="003663AF" w:rsidRPr="00B7760C">
        <w:tab/>
      </w:r>
      <w:r w:rsidR="003663AF" w:rsidRPr="00B7760C">
        <w:tab/>
        <w:t>373</w:t>
      </w:r>
    </w:p>
    <w:p w14:paraId="430373A3" w14:textId="77777777" w:rsidR="003663AF" w:rsidRPr="00B7760C" w:rsidRDefault="003663AF" w:rsidP="003663AF">
      <w:pPr>
        <w:pStyle w:val="NormalBold12b"/>
      </w:pPr>
      <w:r w:rsidRPr="00B7760C">
        <w:t>Predlog uredbe</w:t>
      </w:r>
    </w:p>
    <w:p w14:paraId="7677FB52" w14:textId="77777777" w:rsidR="003663AF" w:rsidRPr="00B7760C" w:rsidRDefault="003663AF" w:rsidP="003663AF">
      <w:pPr>
        <w:pStyle w:val="NormalBold"/>
      </w:pPr>
      <w:r w:rsidRPr="00B7760C">
        <w:t>Člen 53 – odstavek 5 – pododstavek 1 – točka c</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E268334" w14:textId="77777777" w:rsidTr="00E804B7">
        <w:trPr>
          <w:jc w:val="center"/>
        </w:trPr>
        <w:tc>
          <w:tcPr>
            <w:tcW w:w="9752" w:type="dxa"/>
            <w:gridSpan w:val="2"/>
          </w:tcPr>
          <w:p w14:paraId="73F16116" w14:textId="77777777" w:rsidR="003663AF" w:rsidRPr="00B7760C" w:rsidRDefault="003663AF" w:rsidP="00E804B7">
            <w:pPr>
              <w:keepNext/>
            </w:pPr>
          </w:p>
        </w:tc>
      </w:tr>
      <w:tr w:rsidR="003663AF" w:rsidRPr="00B7760C" w14:paraId="0AC05366" w14:textId="77777777" w:rsidTr="00E804B7">
        <w:trPr>
          <w:jc w:val="center"/>
        </w:trPr>
        <w:tc>
          <w:tcPr>
            <w:tcW w:w="4876" w:type="dxa"/>
            <w:hideMark/>
          </w:tcPr>
          <w:p w14:paraId="76841F41" w14:textId="77777777" w:rsidR="003663AF" w:rsidRPr="00B7760C" w:rsidRDefault="003663AF" w:rsidP="00E804B7">
            <w:pPr>
              <w:pStyle w:val="ColumnHeading"/>
              <w:keepNext/>
            </w:pPr>
            <w:r w:rsidRPr="00B7760C">
              <w:t>Besedilo, ki ga predlaga Komisija</w:t>
            </w:r>
          </w:p>
        </w:tc>
        <w:tc>
          <w:tcPr>
            <w:tcW w:w="4876" w:type="dxa"/>
            <w:hideMark/>
          </w:tcPr>
          <w:p w14:paraId="45AFF7C0" w14:textId="7E62D73D" w:rsidR="003663AF" w:rsidRPr="00B7760C" w:rsidRDefault="00877691" w:rsidP="00E804B7">
            <w:pPr>
              <w:pStyle w:val="ColumnHeading"/>
              <w:keepNext/>
            </w:pPr>
            <w:r w:rsidRPr="00B7760C">
              <w:t>Sprememba</w:t>
            </w:r>
          </w:p>
        </w:tc>
      </w:tr>
      <w:tr w:rsidR="003663AF" w:rsidRPr="00B7760C" w14:paraId="548BE515" w14:textId="77777777" w:rsidTr="00E804B7">
        <w:trPr>
          <w:jc w:val="center"/>
        </w:trPr>
        <w:tc>
          <w:tcPr>
            <w:tcW w:w="4876" w:type="dxa"/>
            <w:hideMark/>
          </w:tcPr>
          <w:p w14:paraId="0F4C30F2" w14:textId="77777777" w:rsidR="003663AF" w:rsidRPr="00B7760C" w:rsidRDefault="003663AF" w:rsidP="00E804B7">
            <w:pPr>
              <w:pStyle w:val="Normal6"/>
            </w:pPr>
            <w:r w:rsidRPr="00B7760C">
              <w:t>(c)</w:t>
            </w:r>
            <w:r w:rsidRPr="00B7760C">
              <w:tab/>
            </w:r>
            <w:r w:rsidRPr="00B7760C">
              <w:rPr>
                <w:b/>
                <w:i/>
              </w:rPr>
              <w:t>75 </w:t>
            </w:r>
            <w:r w:rsidRPr="00B7760C">
              <w:t>% upravičenih stroškov naložb v najbolj oddaljenih regijah iz člena 349 PDEU;</w:t>
            </w:r>
          </w:p>
        </w:tc>
        <w:tc>
          <w:tcPr>
            <w:tcW w:w="4876" w:type="dxa"/>
            <w:hideMark/>
          </w:tcPr>
          <w:p w14:paraId="78FE72ED" w14:textId="77777777" w:rsidR="003663AF" w:rsidRPr="00B7760C" w:rsidRDefault="003663AF" w:rsidP="00E804B7">
            <w:pPr>
              <w:pStyle w:val="Normal6"/>
              <w:rPr>
                <w:szCs w:val="24"/>
              </w:rPr>
            </w:pPr>
            <w:r w:rsidRPr="00B7760C">
              <w:t>(c)</w:t>
            </w:r>
            <w:r w:rsidRPr="00B7760C">
              <w:tab/>
            </w:r>
            <w:r w:rsidRPr="00B7760C">
              <w:rPr>
                <w:b/>
                <w:i/>
              </w:rPr>
              <w:t xml:space="preserve">85 </w:t>
            </w:r>
            <w:r w:rsidRPr="00B7760C">
              <w:t>% upravičenih stroškov naložb v najbolj oddaljenih regijah iz člena 349</w:t>
            </w:r>
            <w:r w:rsidRPr="00B7760C">
              <w:rPr>
                <w:b/>
                <w:i/>
              </w:rPr>
              <w:t>(1)</w:t>
            </w:r>
            <w:r w:rsidRPr="00B7760C">
              <w:t xml:space="preserve"> PDEU;</w:t>
            </w:r>
          </w:p>
        </w:tc>
      </w:tr>
    </w:tbl>
    <w:p w14:paraId="15E0418E" w14:textId="77777777" w:rsidR="003663AF" w:rsidRPr="00B7760C" w:rsidRDefault="003663AF" w:rsidP="003663AF"/>
    <w:p w14:paraId="573F9FC7" w14:textId="30E83A45" w:rsidR="003663AF" w:rsidRPr="00B7760C" w:rsidRDefault="00877691" w:rsidP="003663AF">
      <w:pPr>
        <w:pStyle w:val="AMNumberTabs"/>
        <w:keepNext/>
      </w:pPr>
      <w:r w:rsidRPr="00B7760C">
        <w:t>Sprememba</w:t>
      </w:r>
      <w:r w:rsidR="003663AF" w:rsidRPr="00B7760C">
        <w:tab/>
      </w:r>
      <w:r w:rsidR="003663AF" w:rsidRPr="00B7760C">
        <w:tab/>
        <w:t>374</w:t>
      </w:r>
    </w:p>
    <w:p w14:paraId="3EE1822A" w14:textId="77777777" w:rsidR="003663AF" w:rsidRPr="00B7760C" w:rsidRDefault="003663AF" w:rsidP="003663AF">
      <w:pPr>
        <w:pStyle w:val="NormalBold12b"/>
      </w:pPr>
      <w:r w:rsidRPr="00B7760C">
        <w:t>Predlog uredbe</w:t>
      </w:r>
    </w:p>
    <w:p w14:paraId="6C4B5C2C" w14:textId="77777777" w:rsidR="003663AF" w:rsidRPr="00B7760C" w:rsidRDefault="003663AF" w:rsidP="003663AF">
      <w:pPr>
        <w:pStyle w:val="NormalBold"/>
      </w:pPr>
      <w:r w:rsidRPr="00B7760C">
        <w:t>Člen 53 – odstavek 5 – pododstavek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6248AD8" w14:textId="77777777" w:rsidTr="00E804B7">
        <w:trPr>
          <w:jc w:val="center"/>
        </w:trPr>
        <w:tc>
          <w:tcPr>
            <w:tcW w:w="9752" w:type="dxa"/>
            <w:gridSpan w:val="2"/>
          </w:tcPr>
          <w:p w14:paraId="221BF8CD" w14:textId="77777777" w:rsidR="003663AF" w:rsidRPr="00B7760C" w:rsidRDefault="003663AF" w:rsidP="00E804B7">
            <w:pPr>
              <w:keepNext/>
            </w:pPr>
          </w:p>
        </w:tc>
      </w:tr>
      <w:tr w:rsidR="003663AF" w:rsidRPr="00B7760C" w14:paraId="70AF7A00" w14:textId="77777777" w:rsidTr="00E804B7">
        <w:trPr>
          <w:jc w:val="center"/>
        </w:trPr>
        <w:tc>
          <w:tcPr>
            <w:tcW w:w="4876" w:type="dxa"/>
            <w:hideMark/>
          </w:tcPr>
          <w:p w14:paraId="62EF470D" w14:textId="77777777" w:rsidR="003663AF" w:rsidRPr="00B7760C" w:rsidRDefault="003663AF" w:rsidP="00E804B7">
            <w:pPr>
              <w:pStyle w:val="ColumnHeading"/>
              <w:keepNext/>
            </w:pPr>
            <w:r w:rsidRPr="00B7760C">
              <w:t>Besedilo, ki ga predlaga Komisija</w:t>
            </w:r>
          </w:p>
        </w:tc>
        <w:tc>
          <w:tcPr>
            <w:tcW w:w="4876" w:type="dxa"/>
            <w:hideMark/>
          </w:tcPr>
          <w:p w14:paraId="10859B9C" w14:textId="58102D53" w:rsidR="003663AF" w:rsidRPr="00B7760C" w:rsidRDefault="00877691" w:rsidP="00E804B7">
            <w:pPr>
              <w:pStyle w:val="ColumnHeading"/>
              <w:keepNext/>
            </w:pPr>
            <w:r w:rsidRPr="00B7760C">
              <w:t>Sprememba</w:t>
            </w:r>
          </w:p>
        </w:tc>
      </w:tr>
      <w:tr w:rsidR="003663AF" w:rsidRPr="00B7760C" w14:paraId="7D50490E" w14:textId="77777777" w:rsidTr="00E804B7">
        <w:trPr>
          <w:jc w:val="center"/>
        </w:trPr>
        <w:tc>
          <w:tcPr>
            <w:tcW w:w="4876" w:type="dxa"/>
            <w:hideMark/>
          </w:tcPr>
          <w:p w14:paraId="16E83309" w14:textId="77777777" w:rsidR="003663AF" w:rsidRPr="00B7760C" w:rsidRDefault="003663AF" w:rsidP="00E804B7">
            <w:pPr>
              <w:pStyle w:val="Normal6"/>
            </w:pPr>
            <w:r w:rsidRPr="00B7760C">
              <w:rPr>
                <w:b/>
                <w:i/>
              </w:rPr>
              <w:t>Finančna pomoč Unije po najvišji stopnji iz prvega pododstavka se uporablja samo za mikro, mala in srednja podjetja v smislu Priporočila 2003/361/ES, vendar se lahko uporablja za vsa podjetja v najbolj oddaljenih regijah iz člena 349 PDEU in na manjših egejskih otokih, kot so opredeljeni v členu 1(2) Uredbe (EU) št. 229/2013.</w:t>
            </w:r>
          </w:p>
        </w:tc>
        <w:tc>
          <w:tcPr>
            <w:tcW w:w="4876" w:type="dxa"/>
            <w:hideMark/>
          </w:tcPr>
          <w:p w14:paraId="64FA9C6F" w14:textId="77777777" w:rsidR="003663AF" w:rsidRPr="00B7760C" w:rsidRDefault="003663AF" w:rsidP="00E804B7">
            <w:pPr>
              <w:pStyle w:val="Normal6"/>
              <w:rPr>
                <w:szCs w:val="24"/>
              </w:rPr>
            </w:pPr>
            <w:r w:rsidRPr="00B7760C">
              <w:rPr>
                <w:b/>
                <w:i/>
              </w:rPr>
              <w:t>črtano</w:t>
            </w:r>
          </w:p>
        </w:tc>
      </w:tr>
    </w:tbl>
    <w:p w14:paraId="0C0F8C29" w14:textId="77777777" w:rsidR="003663AF" w:rsidRPr="00B7760C" w:rsidRDefault="003663AF" w:rsidP="003663AF"/>
    <w:p w14:paraId="4B80ADED" w14:textId="7FA7B532" w:rsidR="003663AF" w:rsidRPr="00B7760C" w:rsidRDefault="00877691" w:rsidP="003663AF">
      <w:pPr>
        <w:pStyle w:val="AMNumberTabs"/>
        <w:keepNext/>
      </w:pPr>
      <w:r w:rsidRPr="00B7760C">
        <w:t>Sprememba</w:t>
      </w:r>
      <w:r w:rsidR="003663AF" w:rsidRPr="00B7760C">
        <w:tab/>
      </w:r>
      <w:r w:rsidR="003663AF" w:rsidRPr="00B7760C">
        <w:tab/>
        <w:t>375</w:t>
      </w:r>
    </w:p>
    <w:p w14:paraId="229D3D4F" w14:textId="77777777" w:rsidR="003663AF" w:rsidRPr="00B7760C" w:rsidRDefault="003663AF" w:rsidP="003663AF">
      <w:pPr>
        <w:pStyle w:val="NormalBold12b"/>
      </w:pPr>
      <w:r w:rsidRPr="00B7760C">
        <w:t>Predlog uredbe</w:t>
      </w:r>
    </w:p>
    <w:p w14:paraId="0545BBDF" w14:textId="77777777" w:rsidR="003663AF" w:rsidRPr="00B7760C" w:rsidRDefault="003663AF" w:rsidP="003663AF">
      <w:pPr>
        <w:pStyle w:val="NormalBold"/>
      </w:pPr>
      <w:r w:rsidRPr="00B7760C">
        <w:t>Člen 53 – odstavek 5 – pododstavek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6516F85" w14:textId="77777777" w:rsidTr="00E804B7">
        <w:trPr>
          <w:jc w:val="center"/>
        </w:trPr>
        <w:tc>
          <w:tcPr>
            <w:tcW w:w="9752" w:type="dxa"/>
            <w:gridSpan w:val="2"/>
          </w:tcPr>
          <w:p w14:paraId="5F450804" w14:textId="77777777" w:rsidR="003663AF" w:rsidRPr="00B7760C" w:rsidRDefault="003663AF" w:rsidP="00E804B7">
            <w:pPr>
              <w:keepNext/>
            </w:pPr>
          </w:p>
        </w:tc>
      </w:tr>
      <w:tr w:rsidR="003663AF" w:rsidRPr="00B7760C" w14:paraId="726432CF" w14:textId="77777777" w:rsidTr="00E804B7">
        <w:trPr>
          <w:jc w:val="center"/>
        </w:trPr>
        <w:tc>
          <w:tcPr>
            <w:tcW w:w="4876" w:type="dxa"/>
            <w:hideMark/>
          </w:tcPr>
          <w:p w14:paraId="2D303B00" w14:textId="77777777" w:rsidR="003663AF" w:rsidRPr="00B7760C" w:rsidRDefault="003663AF" w:rsidP="00E804B7">
            <w:pPr>
              <w:pStyle w:val="ColumnHeading"/>
              <w:keepNext/>
            </w:pPr>
            <w:r w:rsidRPr="00B7760C">
              <w:t>Besedilo, ki ga predlaga Komisija</w:t>
            </w:r>
          </w:p>
        </w:tc>
        <w:tc>
          <w:tcPr>
            <w:tcW w:w="4876" w:type="dxa"/>
            <w:hideMark/>
          </w:tcPr>
          <w:p w14:paraId="2E54483E" w14:textId="5FDF3C84" w:rsidR="003663AF" w:rsidRPr="00B7760C" w:rsidRDefault="00877691" w:rsidP="00E804B7">
            <w:pPr>
              <w:pStyle w:val="ColumnHeading"/>
              <w:keepNext/>
            </w:pPr>
            <w:r w:rsidRPr="00B7760C">
              <w:t>Sprememba</w:t>
            </w:r>
          </w:p>
        </w:tc>
      </w:tr>
      <w:tr w:rsidR="003663AF" w:rsidRPr="00B7760C" w14:paraId="55CE6C25" w14:textId="77777777" w:rsidTr="00E804B7">
        <w:trPr>
          <w:jc w:val="center"/>
        </w:trPr>
        <w:tc>
          <w:tcPr>
            <w:tcW w:w="4876" w:type="dxa"/>
            <w:hideMark/>
          </w:tcPr>
          <w:p w14:paraId="08FE2990" w14:textId="77777777" w:rsidR="003663AF" w:rsidRPr="00B7760C" w:rsidRDefault="003663AF" w:rsidP="00E804B7">
            <w:pPr>
              <w:pStyle w:val="Normal6"/>
            </w:pPr>
            <w:r w:rsidRPr="00B7760C">
              <w:rPr>
                <w:b/>
                <w:bCs/>
                <w:i/>
                <w:iCs/>
              </w:rPr>
              <w:t>V</w:t>
            </w:r>
            <w:r w:rsidRPr="00B7760C">
              <w:t xml:space="preserve"> primeru podjetij, ki niso </w:t>
            </w:r>
            <w:r w:rsidRPr="00B7760C">
              <w:rPr>
                <w:b/>
                <w:i/>
              </w:rPr>
              <w:t>zajeta v členu 2(1) naslova I Priloge k Priporočilu 2003/361/ES in imajo manj kot 750 zaposlenih ali promet, nižji od 200 milijonov EUR</w:t>
            </w:r>
            <w:r w:rsidRPr="00B7760C">
              <w:t xml:space="preserve">, </w:t>
            </w:r>
            <w:r w:rsidRPr="00B7760C">
              <w:rPr>
                <w:b/>
                <w:i/>
              </w:rPr>
              <w:t>se zgornja meja pomoči iz prvega pododstavka razpolovi</w:t>
            </w:r>
            <w:r w:rsidRPr="00B7760C">
              <w:t>.</w:t>
            </w:r>
          </w:p>
        </w:tc>
        <w:tc>
          <w:tcPr>
            <w:tcW w:w="4876" w:type="dxa"/>
            <w:hideMark/>
          </w:tcPr>
          <w:p w14:paraId="198D1E41" w14:textId="38D04D39" w:rsidR="003663AF" w:rsidRPr="00B7760C" w:rsidRDefault="003663AF" w:rsidP="00C11DA9">
            <w:pPr>
              <w:pStyle w:val="Normal6"/>
              <w:rPr>
                <w:szCs w:val="24"/>
              </w:rPr>
            </w:pPr>
            <w:r w:rsidRPr="00B7760C">
              <w:rPr>
                <w:b/>
                <w:i/>
              </w:rPr>
              <w:t xml:space="preserve">Zgornje meje iz prvega pododstavka se lahko znižajo </w:t>
            </w:r>
            <w:r w:rsidRPr="00B7760C">
              <w:rPr>
                <w:b/>
                <w:bCs/>
                <w:i/>
                <w:iCs/>
              </w:rPr>
              <w:t>v</w:t>
            </w:r>
            <w:r w:rsidRPr="00B7760C">
              <w:t xml:space="preserve"> primeru</w:t>
            </w:r>
            <w:r w:rsidRPr="00B7760C">
              <w:rPr>
                <w:b/>
                <w:i/>
              </w:rPr>
              <w:t xml:space="preserve"> naložb</w:t>
            </w:r>
            <w:r w:rsidRPr="00B7760C">
              <w:t xml:space="preserve"> podjetij, ki niso </w:t>
            </w:r>
            <w:r w:rsidRPr="00B7760C">
              <w:rPr>
                <w:b/>
                <w:i/>
              </w:rPr>
              <w:t>mikro, mala ali srednja podjetja.</w:t>
            </w:r>
            <w:r w:rsidRPr="00B7760C">
              <w:t xml:space="preserve"> </w:t>
            </w:r>
            <w:r w:rsidR="00C11DA9" w:rsidRPr="00B7760C">
              <w:rPr>
                <w:b/>
                <w:i/>
              </w:rPr>
              <w:t xml:space="preserve">Vendar </w:t>
            </w:r>
            <w:r w:rsidRPr="00B7760C">
              <w:rPr>
                <w:b/>
                <w:i/>
              </w:rPr>
              <w:t>se lahko uporablja</w:t>
            </w:r>
            <w:r w:rsidR="00C11DA9" w:rsidRPr="00B7760C">
              <w:rPr>
                <w:b/>
                <w:i/>
              </w:rPr>
              <w:t>jo</w:t>
            </w:r>
            <w:r w:rsidRPr="00B7760C">
              <w:rPr>
                <w:b/>
                <w:i/>
              </w:rPr>
              <w:t xml:space="preserve"> za vsa podjetja v najbolj oddaljenih regijah iz člena 349 PDEU in na manjših egejskih otokih, kot so opredeljeni v členu 1(2) Uredbe (EU) št. 229/2013.</w:t>
            </w:r>
          </w:p>
        </w:tc>
      </w:tr>
    </w:tbl>
    <w:p w14:paraId="6B179AAF" w14:textId="77777777" w:rsidR="003663AF" w:rsidRPr="00B7760C" w:rsidRDefault="003663AF" w:rsidP="003663AF"/>
    <w:p w14:paraId="03962436" w14:textId="12218FD0" w:rsidR="003663AF" w:rsidRPr="00B7760C" w:rsidRDefault="00877691" w:rsidP="003663AF">
      <w:pPr>
        <w:pStyle w:val="AMNumberTabs"/>
        <w:keepNext/>
      </w:pPr>
      <w:r w:rsidRPr="00B7760C">
        <w:t>Sprememba</w:t>
      </w:r>
      <w:r w:rsidR="003663AF" w:rsidRPr="00B7760C">
        <w:tab/>
      </w:r>
      <w:r w:rsidR="003663AF" w:rsidRPr="00B7760C">
        <w:tab/>
        <w:t>376</w:t>
      </w:r>
    </w:p>
    <w:p w14:paraId="31F7F02E" w14:textId="77777777" w:rsidR="003663AF" w:rsidRPr="00B7760C" w:rsidRDefault="003663AF" w:rsidP="003663AF">
      <w:pPr>
        <w:pStyle w:val="NormalBold12b"/>
      </w:pPr>
      <w:r w:rsidRPr="00B7760C">
        <w:t>Predlog uredbe</w:t>
      </w:r>
    </w:p>
    <w:p w14:paraId="0FC5CFE8" w14:textId="77777777" w:rsidR="003663AF" w:rsidRPr="00B7760C" w:rsidRDefault="003663AF" w:rsidP="003663AF">
      <w:pPr>
        <w:pStyle w:val="NormalBold"/>
      </w:pPr>
      <w:r w:rsidRPr="00B7760C">
        <w:t>Člen 53 – odstavek 6</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70EC54C" w14:textId="77777777" w:rsidTr="00E804B7">
        <w:trPr>
          <w:jc w:val="center"/>
        </w:trPr>
        <w:tc>
          <w:tcPr>
            <w:tcW w:w="9752" w:type="dxa"/>
            <w:gridSpan w:val="2"/>
          </w:tcPr>
          <w:p w14:paraId="32C5BDCA" w14:textId="77777777" w:rsidR="003663AF" w:rsidRPr="00B7760C" w:rsidRDefault="003663AF" w:rsidP="00E804B7">
            <w:pPr>
              <w:keepNext/>
            </w:pPr>
          </w:p>
        </w:tc>
      </w:tr>
      <w:tr w:rsidR="003663AF" w:rsidRPr="00B7760C" w14:paraId="183E74CF" w14:textId="77777777" w:rsidTr="00E804B7">
        <w:trPr>
          <w:jc w:val="center"/>
        </w:trPr>
        <w:tc>
          <w:tcPr>
            <w:tcW w:w="4876" w:type="dxa"/>
            <w:hideMark/>
          </w:tcPr>
          <w:p w14:paraId="3CB3E96C" w14:textId="77777777" w:rsidR="003663AF" w:rsidRPr="00B7760C" w:rsidRDefault="003663AF" w:rsidP="00E804B7">
            <w:pPr>
              <w:pStyle w:val="ColumnHeading"/>
              <w:keepNext/>
            </w:pPr>
            <w:r w:rsidRPr="00B7760C">
              <w:t>Besedilo, ki ga predlaga Komisija</w:t>
            </w:r>
          </w:p>
        </w:tc>
        <w:tc>
          <w:tcPr>
            <w:tcW w:w="4876" w:type="dxa"/>
            <w:hideMark/>
          </w:tcPr>
          <w:p w14:paraId="5D0EB4E4" w14:textId="2C96DBB5" w:rsidR="003663AF" w:rsidRPr="00B7760C" w:rsidRDefault="00877691" w:rsidP="00E804B7">
            <w:pPr>
              <w:pStyle w:val="ColumnHeading"/>
              <w:keepNext/>
            </w:pPr>
            <w:r w:rsidRPr="00B7760C">
              <w:t>Sprememba</w:t>
            </w:r>
          </w:p>
        </w:tc>
      </w:tr>
      <w:tr w:rsidR="003663AF" w:rsidRPr="00B7760C" w14:paraId="70669FC9" w14:textId="77777777" w:rsidTr="00E804B7">
        <w:trPr>
          <w:jc w:val="center"/>
        </w:trPr>
        <w:tc>
          <w:tcPr>
            <w:tcW w:w="4876" w:type="dxa"/>
            <w:hideMark/>
          </w:tcPr>
          <w:p w14:paraId="2F13E4D8" w14:textId="77777777" w:rsidR="003663AF" w:rsidRPr="00B7760C" w:rsidRDefault="003663AF" w:rsidP="00E804B7">
            <w:pPr>
              <w:pStyle w:val="Normal6"/>
            </w:pPr>
            <w:r w:rsidRPr="00B7760C">
              <w:t>6.</w:t>
            </w:r>
            <w:r w:rsidRPr="00B7760C">
              <w:tab/>
              <w:t>Finančna pomoč Unije za ukrepe za informiranje in promocijo iz točk (g) in (h) člena 52(1) ne presega 50 % upravičenih odhodkov.</w:t>
            </w:r>
          </w:p>
        </w:tc>
        <w:tc>
          <w:tcPr>
            <w:tcW w:w="4876" w:type="dxa"/>
            <w:hideMark/>
          </w:tcPr>
          <w:p w14:paraId="293EFC6D" w14:textId="77777777" w:rsidR="003663AF" w:rsidRPr="00B7760C" w:rsidRDefault="003663AF" w:rsidP="00E804B7">
            <w:pPr>
              <w:pStyle w:val="Normal6"/>
              <w:rPr>
                <w:szCs w:val="24"/>
              </w:rPr>
            </w:pPr>
            <w:r w:rsidRPr="00B7760C">
              <w:t>6.</w:t>
            </w:r>
            <w:r w:rsidRPr="00B7760C">
              <w:tab/>
              <w:t xml:space="preserve">Finančna pomoč Unije za ukrepe za informiranje in promocijo iz točk (g) in (h) člena 52(1) ne presega 50 % upravičenih odhodkov. </w:t>
            </w:r>
            <w:r w:rsidRPr="00B7760C">
              <w:rPr>
                <w:b/>
                <w:i/>
              </w:rPr>
              <w:t>Države članice lahko uvedejo razlikovanje glede na velikost podjetij, da bi povečale podporo za mala in srednja podjetja.</w:t>
            </w:r>
          </w:p>
        </w:tc>
      </w:tr>
    </w:tbl>
    <w:p w14:paraId="2C0CD915" w14:textId="77777777" w:rsidR="003663AF" w:rsidRPr="00B7760C" w:rsidRDefault="003663AF" w:rsidP="003663AF"/>
    <w:p w14:paraId="03F0C63C" w14:textId="32776A9F" w:rsidR="003663AF" w:rsidRPr="00B7760C" w:rsidRDefault="00877691" w:rsidP="003663AF">
      <w:pPr>
        <w:pStyle w:val="AMNumberTabs"/>
        <w:keepNext/>
      </w:pPr>
      <w:r w:rsidRPr="00B7760C">
        <w:t>Sprememba</w:t>
      </w:r>
      <w:r w:rsidR="003663AF" w:rsidRPr="00B7760C">
        <w:tab/>
      </w:r>
      <w:r w:rsidR="003663AF" w:rsidRPr="00B7760C">
        <w:tab/>
        <w:t>377</w:t>
      </w:r>
    </w:p>
    <w:p w14:paraId="46F1A9D6" w14:textId="77777777" w:rsidR="003663AF" w:rsidRPr="00B7760C" w:rsidRDefault="003663AF" w:rsidP="003663AF">
      <w:pPr>
        <w:pStyle w:val="NormalBold12b"/>
      </w:pPr>
      <w:r w:rsidRPr="00B7760C">
        <w:t>Predlog uredbe</w:t>
      </w:r>
    </w:p>
    <w:p w14:paraId="400D5FDE" w14:textId="77777777" w:rsidR="003663AF" w:rsidRPr="00B7760C" w:rsidRDefault="003663AF" w:rsidP="003663AF">
      <w:pPr>
        <w:pStyle w:val="NormalBold"/>
      </w:pPr>
      <w:r w:rsidRPr="00B7760C">
        <w:t>Člen 54 – odstavek 4</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D0E348E" w14:textId="77777777" w:rsidTr="00E804B7">
        <w:trPr>
          <w:jc w:val="center"/>
        </w:trPr>
        <w:tc>
          <w:tcPr>
            <w:tcW w:w="9752" w:type="dxa"/>
            <w:gridSpan w:val="2"/>
          </w:tcPr>
          <w:p w14:paraId="5C239B6B" w14:textId="77777777" w:rsidR="003663AF" w:rsidRPr="00B7760C" w:rsidRDefault="003663AF" w:rsidP="00E804B7">
            <w:pPr>
              <w:keepNext/>
            </w:pPr>
          </w:p>
        </w:tc>
      </w:tr>
      <w:tr w:rsidR="003663AF" w:rsidRPr="00B7760C" w14:paraId="3CA04BDC" w14:textId="77777777" w:rsidTr="00E804B7">
        <w:trPr>
          <w:jc w:val="center"/>
        </w:trPr>
        <w:tc>
          <w:tcPr>
            <w:tcW w:w="4876" w:type="dxa"/>
            <w:hideMark/>
          </w:tcPr>
          <w:p w14:paraId="05031FE1" w14:textId="77777777" w:rsidR="003663AF" w:rsidRPr="00B7760C" w:rsidRDefault="003663AF" w:rsidP="00E804B7">
            <w:pPr>
              <w:pStyle w:val="ColumnHeading"/>
              <w:keepNext/>
            </w:pPr>
            <w:r w:rsidRPr="00B7760C">
              <w:t>Besedilo, ki ga predlaga Komisija</w:t>
            </w:r>
          </w:p>
        </w:tc>
        <w:tc>
          <w:tcPr>
            <w:tcW w:w="4876" w:type="dxa"/>
            <w:hideMark/>
          </w:tcPr>
          <w:p w14:paraId="63EAAA9E" w14:textId="2A42349F" w:rsidR="003663AF" w:rsidRPr="00B7760C" w:rsidRDefault="00877691" w:rsidP="00E804B7">
            <w:pPr>
              <w:pStyle w:val="ColumnHeading"/>
              <w:keepNext/>
            </w:pPr>
            <w:r w:rsidRPr="00B7760C">
              <w:t>Sprememba</w:t>
            </w:r>
          </w:p>
        </w:tc>
      </w:tr>
      <w:tr w:rsidR="003663AF" w:rsidRPr="00B7760C" w14:paraId="6B3C48E3" w14:textId="77777777" w:rsidTr="00E804B7">
        <w:trPr>
          <w:jc w:val="center"/>
        </w:trPr>
        <w:tc>
          <w:tcPr>
            <w:tcW w:w="4876" w:type="dxa"/>
            <w:hideMark/>
          </w:tcPr>
          <w:p w14:paraId="6C8B164E" w14:textId="77777777" w:rsidR="003663AF" w:rsidRPr="00B7760C" w:rsidRDefault="003663AF" w:rsidP="00E804B7">
            <w:pPr>
              <w:pStyle w:val="Normal6"/>
            </w:pPr>
            <w:r w:rsidRPr="00B7760C">
              <w:t>4.</w:t>
            </w:r>
            <w:r w:rsidRPr="00B7760C">
              <w:tab/>
              <w:t>Zadevne države članice v svojih strateških načrtih SKP določijo</w:t>
            </w:r>
            <w:r w:rsidRPr="00B7760C">
              <w:rPr>
                <w:b/>
                <w:i/>
              </w:rPr>
              <w:t xml:space="preserve"> minimalni odstotek</w:t>
            </w:r>
            <w:r w:rsidRPr="00B7760C">
              <w:t xml:space="preserve"> odhodkov za </w:t>
            </w:r>
            <w:r w:rsidRPr="00B7760C">
              <w:rPr>
                <w:b/>
                <w:i/>
              </w:rPr>
              <w:t>ukrepe, namenjene varstvu</w:t>
            </w:r>
            <w:r w:rsidRPr="00B7760C">
              <w:t xml:space="preserve"> okolja, </w:t>
            </w:r>
            <w:r w:rsidRPr="00B7760C">
              <w:rPr>
                <w:b/>
                <w:i/>
              </w:rPr>
              <w:t>prilagajanju</w:t>
            </w:r>
            <w:r w:rsidRPr="00B7760C">
              <w:t xml:space="preserve"> podnebnim spremembam, </w:t>
            </w:r>
            <w:r w:rsidRPr="00B7760C">
              <w:rPr>
                <w:b/>
                <w:i/>
              </w:rPr>
              <w:t>izboljšanju</w:t>
            </w:r>
            <w:r w:rsidRPr="00B7760C">
              <w:t xml:space="preserve"> trajnostnosti proizvodnih sistemov in postopkov, </w:t>
            </w:r>
            <w:r w:rsidRPr="00B7760C">
              <w:rPr>
                <w:b/>
                <w:i/>
              </w:rPr>
              <w:t>zmanjšanju</w:t>
            </w:r>
            <w:r w:rsidRPr="00B7760C">
              <w:t xml:space="preserve"> vpliva vinskega sektorja Unije na okolje, prihrankom energije in </w:t>
            </w:r>
            <w:r w:rsidRPr="00B7760C">
              <w:rPr>
                <w:b/>
                <w:i/>
              </w:rPr>
              <w:t>izboljšanju</w:t>
            </w:r>
            <w:r w:rsidRPr="00B7760C">
              <w:t xml:space="preserve"> splošne energijske učinkovitosti v vinskem sektorju.</w:t>
            </w:r>
          </w:p>
        </w:tc>
        <w:tc>
          <w:tcPr>
            <w:tcW w:w="4876" w:type="dxa"/>
            <w:hideMark/>
          </w:tcPr>
          <w:p w14:paraId="2EE390F1" w14:textId="77777777" w:rsidR="003663AF" w:rsidRPr="00B7760C" w:rsidRDefault="003663AF" w:rsidP="00E804B7">
            <w:pPr>
              <w:pStyle w:val="Normal6"/>
              <w:rPr>
                <w:szCs w:val="24"/>
              </w:rPr>
            </w:pPr>
            <w:r w:rsidRPr="00B7760C">
              <w:t>4.</w:t>
            </w:r>
            <w:r w:rsidRPr="00B7760C">
              <w:tab/>
              <w:t>Zadevne države članice v svojih strateških načrtih SKP določijo</w:t>
            </w:r>
            <w:r w:rsidRPr="00B7760C">
              <w:rPr>
                <w:b/>
                <w:i/>
              </w:rPr>
              <w:t>, da se nameni vsaj 5 %</w:t>
            </w:r>
            <w:r w:rsidRPr="00B7760C">
              <w:t xml:space="preserve"> odhodkov </w:t>
            </w:r>
            <w:r w:rsidRPr="00B7760C">
              <w:rPr>
                <w:b/>
                <w:i/>
              </w:rPr>
              <w:t xml:space="preserve">ali sprejme vsaj en ukrep </w:t>
            </w:r>
            <w:r w:rsidRPr="00B7760C">
              <w:t xml:space="preserve">za </w:t>
            </w:r>
            <w:r w:rsidRPr="00B7760C">
              <w:rPr>
                <w:b/>
                <w:i/>
              </w:rPr>
              <w:t>izpolnitev ciljev v prid varstva</w:t>
            </w:r>
            <w:r w:rsidRPr="00B7760C">
              <w:t xml:space="preserve"> okolja, </w:t>
            </w:r>
            <w:r w:rsidRPr="00B7760C">
              <w:rPr>
                <w:b/>
                <w:i/>
              </w:rPr>
              <w:t>prilagajanja</w:t>
            </w:r>
            <w:r w:rsidRPr="00B7760C">
              <w:t xml:space="preserve"> podnebnim spremembam, </w:t>
            </w:r>
            <w:r w:rsidRPr="00B7760C">
              <w:rPr>
                <w:b/>
                <w:i/>
              </w:rPr>
              <w:t>izboljšanja</w:t>
            </w:r>
            <w:r w:rsidRPr="00B7760C">
              <w:t xml:space="preserve"> trajnostnosti proizvodnih sistemov in postopkov, </w:t>
            </w:r>
            <w:r w:rsidRPr="00B7760C">
              <w:rPr>
                <w:b/>
                <w:i/>
              </w:rPr>
              <w:t>zmanjšanja</w:t>
            </w:r>
            <w:r w:rsidRPr="00B7760C">
              <w:t xml:space="preserve"> vpliva vinskega sektorja Unije na okolje, prihrankom energije in </w:t>
            </w:r>
            <w:r w:rsidRPr="00B7760C">
              <w:rPr>
                <w:b/>
                <w:i/>
              </w:rPr>
              <w:t>izboljšanja</w:t>
            </w:r>
            <w:r w:rsidRPr="00B7760C">
              <w:t xml:space="preserve"> splošne energijske učinkovitosti v vinskem sektorju</w:t>
            </w:r>
            <w:r w:rsidRPr="00B7760C">
              <w:rPr>
                <w:b/>
                <w:i/>
              </w:rPr>
              <w:t xml:space="preserve"> v skladu s cilji iz točk (aa), (b) in (f) člena 51</w:t>
            </w:r>
            <w:r w:rsidRPr="00B7760C">
              <w:t>.</w:t>
            </w:r>
          </w:p>
        </w:tc>
      </w:tr>
    </w:tbl>
    <w:p w14:paraId="02C5166B" w14:textId="77777777" w:rsidR="003663AF" w:rsidRPr="00B7760C" w:rsidRDefault="003663AF" w:rsidP="003663AF"/>
    <w:p w14:paraId="5DF9B45A" w14:textId="43445576" w:rsidR="003663AF" w:rsidRPr="00B7760C" w:rsidRDefault="00877691" w:rsidP="003663AF">
      <w:pPr>
        <w:pStyle w:val="AMNumberTabs"/>
        <w:keepNext/>
      </w:pPr>
      <w:r w:rsidRPr="00B7760C">
        <w:t>Sprememba</w:t>
      </w:r>
      <w:r w:rsidR="003663AF" w:rsidRPr="00B7760C">
        <w:tab/>
      </w:r>
      <w:r w:rsidR="003663AF" w:rsidRPr="00B7760C">
        <w:tab/>
        <w:t>378</w:t>
      </w:r>
    </w:p>
    <w:p w14:paraId="4F88C45A" w14:textId="77777777" w:rsidR="003663AF" w:rsidRPr="00B7760C" w:rsidRDefault="003663AF" w:rsidP="003663AF">
      <w:pPr>
        <w:pStyle w:val="NormalBold12b"/>
      </w:pPr>
      <w:r w:rsidRPr="00B7760C">
        <w:t>Predlog uredbe</w:t>
      </w:r>
    </w:p>
    <w:p w14:paraId="4CE19181" w14:textId="77777777" w:rsidR="003663AF" w:rsidRPr="00B7760C" w:rsidRDefault="003663AF" w:rsidP="003663AF">
      <w:pPr>
        <w:pStyle w:val="NormalBold"/>
      </w:pPr>
      <w:r w:rsidRPr="00B7760C">
        <w:t>Člen 54 – odstavek 4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EFCEF45" w14:textId="77777777" w:rsidTr="00E804B7">
        <w:trPr>
          <w:jc w:val="center"/>
        </w:trPr>
        <w:tc>
          <w:tcPr>
            <w:tcW w:w="9752" w:type="dxa"/>
            <w:gridSpan w:val="2"/>
          </w:tcPr>
          <w:p w14:paraId="0497CF6B" w14:textId="77777777" w:rsidR="003663AF" w:rsidRPr="00B7760C" w:rsidRDefault="003663AF" w:rsidP="00E804B7">
            <w:pPr>
              <w:keepNext/>
            </w:pPr>
          </w:p>
        </w:tc>
      </w:tr>
      <w:tr w:rsidR="003663AF" w:rsidRPr="00B7760C" w14:paraId="6B2A2022" w14:textId="77777777" w:rsidTr="00E804B7">
        <w:trPr>
          <w:jc w:val="center"/>
        </w:trPr>
        <w:tc>
          <w:tcPr>
            <w:tcW w:w="4876" w:type="dxa"/>
            <w:hideMark/>
          </w:tcPr>
          <w:p w14:paraId="58741B22" w14:textId="77777777" w:rsidR="003663AF" w:rsidRPr="00B7760C" w:rsidRDefault="003663AF" w:rsidP="00E804B7">
            <w:pPr>
              <w:pStyle w:val="ColumnHeading"/>
              <w:keepNext/>
            </w:pPr>
            <w:r w:rsidRPr="00B7760C">
              <w:t>Besedilo, ki ga predlaga Komisija</w:t>
            </w:r>
          </w:p>
        </w:tc>
        <w:tc>
          <w:tcPr>
            <w:tcW w:w="4876" w:type="dxa"/>
            <w:hideMark/>
          </w:tcPr>
          <w:p w14:paraId="7941C4DC" w14:textId="2F8F7732" w:rsidR="003663AF" w:rsidRPr="00B7760C" w:rsidRDefault="00877691" w:rsidP="00E804B7">
            <w:pPr>
              <w:pStyle w:val="ColumnHeading"/>
              <w:keepNext/>
            </w:pPr>
            <w:r w:rsidRPr="00B7760C">
              <w:t>Sprememba</w:t>
            </w:r>
          </w:p>
        </w:tc>
      </w:tr>
      <w:tr w:rsidR="003663AF" w:rsidRPr="00B7760C" w14:paraId="1D70418C" w14:textId="77777777" w:rsidTr="00E804B7">
        <w:trPr>
          <w:jc w:val="center"/>
        </w:trPr>
        <w:tc>
          <w:tcPr>
            <w:tcW w:w="4876" w:type="dxa"/>
          </w:tcPr>
          <w:p w14:paraId="4A1FAE10" w14:textId="77777777" w:rsidR="003663AF" w:rsidRPr="00B7760C" w:rsidRDefault="003663AF" w:rsidP="00E804B7">
            <w:pPr>
              <w:pStyle w:val="Normal6"/>
            </w:pPr>
          </w:p>
        </w:tc>
        <w:tc>
          <w:tcPr>
            <w:tcW w:w="4876" w:type="dxa"/>
            <w:hideMark/>
          </w:tcPr>
          <w:p w14:paraId="3C658370" w14:textId="77777777" w:rsidR="003663AF" w:rsidRPr="00B7760C" w:rsidRDefault="003663AF" w:rsidP="00E804B7">
            <w:pPr>
              <w:pStyle w:val="Normal6"/>
              <w:rPr>
                <w:szCs w:val="24"/>
              </w:rPr>
            </w:pPr>
            <w:r w:rsidRPr="00B7760C">
              <w:rPr>
                <w:b/>
                <w:i/>
              </w:rPr>
              <w:t>4a.</w:t>
            </w:r>
            <w:r w:rsidRPr="00B7760C">
              <w:rPr>
                <w:b/>
                <w:i/>
              </w:rPr>
              <w:tab/>
              <w:t>Vse programe, odobrene pred … [datum začetka veljavnosti te uredbe], do datuma, predvidenega za njihov zaključek, ureja Uredba (EU) št. 1308/2013.</w:t>
            </w:r>
          </w:p>
        </w:tc>
      </w:tr>
    </w:tbl>
    <w:p w14:paraId="768F53E0" w14:textId="77777777" w:rsidR="003663AF" w:rsidRPr="00B7760C" w:rsidRDefault="003663AF" w:rsidP="003663AF"/>
    <w:p w14:paraId="7391A52B" w14:textId="2DDC7F26" w:rsidR="003663AF" w:rsidRPr="00B7760C" w:rsidRDefault="00877691" w:rsidP="003663AF">
      <w:pPr>
        <w:pStyle w:val="AMNumberTabs"/>
      </w:pPr>
      <w:r w:rsidRPr="00B7760C">
        <w:t>Sprememba</w:t>
      </w:r>
      <w:r w:rsidR="003663AF" w:rsidRPr="00B7760C">
        <w:tab/>
      </w:r>
      <w:r w:rsidR="003663AF" w:rsidRPr="00B7760C">
        <w:tab/>
        <w:t>379</w:t>
      </w:r>
    </w:p>
    <w:p w14:paraId="357A58EF" w14:textId="77777777" w:rsidR="003663AF" w:rsidRPr="00B7760C" w:rsidRDefault="003663AF" w:rsidP="003663AF">
      <w:pPr>
        <w:pStyle w:val="NormalBold12b"/>
      </w:pPr>
      <w:r w:rsidRPr="00B7760C">
        <w:t>Predlog uredbe</w:t>
      </w:r>
    </w:p>
    <w:p w14:paraId="31B29B79" w14:textId="77777777" w:rsidR="003663AF" w:rsidRPr="00B7760C" w:rsidRDefault="003663AF" w:rsidP="003663AF">
      <w:pPr>
        <w:pStyle w:val="NormalBold"/>
      </w:pPr>
      <w:r w:rsidRPr="00B7760C">
        <w:t>Člen 55 – odstavek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19C10DA" w14:textId="77777777" w:rsidTr="00E804B7">
        <w:trPr>
          <w:trHeight w:hRule="exact" w:val="240"/>
          <w:jc w:val="center"/>
        </w:trPr>
        <w:tc>
          <w:tcPr>
            <w:tcW w:w="9752" w:type="dxa"/>
            <w:gridSpan w:val="2"/>
          </w:tcPr>
          <w:p w14:paraId="2C0331D9" w14:textId="77777777" w:rsidR="003663AF" w:rsidRPr="00B7760C" w:rsidRDefault="003663AF" w:rsidP="00E804B7"/>
        </w:tc>
      </w:tr>
      <w:tr w:rsidR="003663AF" w:rsidRPr="00B7760C" w14:paraId="22644D5F" w14:textId="77777777" w:rsidTr="00E804B7">
        <w:trPr>
          <w:trHeight w:val="240"/>
          <w:jc w:val="center"/>
        </w:trPr>
        <w:tc>
          <w:tcPr>
            <w:tcW w:w="4876" w:type="dxa"/>
          </w:tcPr>
          <w:p w14:paraId="2B3F2575" w14:textId="77777777" w:rsidR="003663AF" w:rsidRPr="00B7760C" w:rsidRDefault="003663AF" w:rsidP="00E804B7">
            <w:pPr>
              <w:pStyle w:val="ColumnHeading"/>
            </w:pPr>
            <w:r w:rsidRPr="00B7760C">
              <w:t>Besedilo, ki ga predlaga Komisija</w:t>
            </w:r>
          </w:p>
        </w:tc>
        <w:tc>
          <w:tcPr>
            <w:tcW w:w="4876" w:type="dxa"/>
          </w:tcPr>
          <w:p w14:paraId="308CBE11" w14:textId="7F06A14E" w:rsidR="003663AF" w:rsidRPr="00B7760C" w:rsidRDefault="00877691" w:rsidP="00E804B7">
            <w:pPr>
              <w:pStyle w:val="ColumnHeading"/>
            </w:pPr>
            <w:r w:rsidRPr="00B7760C">
              <w:t>Sprememba</w:t>
            </w:r>
          </w:p>
        </w:tc>
      </w:tr>
      <w:tr w:rsidR="003663AF" w:rsidRPr="00B7760C" w14:paraId="68E654BF" w14:textId="77777777" w:rsidTr="00E804B7">
        <w:trPr>
          <w:jc w:val="center"/>
        </w:trPr>
        <w:tc>
          <w:tcPr>
            <w:tcW w:w="4876" w:type="dxa"/>
          </w:tcPr>
          <w:p w14:paraId="7CF8FC04" w14:textId="77777777" w:rsidR="003663AF" w:rsidRPr="00B7760C" w:rsidRDefault="003663AF" w:rsidP="00E804B7">
            <w:pPr>
              <w:pStyle w:val="Normal6"/>
            </w:pPr>
            <w:r w:rsidRPr="00B7760C">
              <w:t>2.</w:t>
            </w:r>
            <w:r w:rsidRPr="00B7760C">
              <w:tab/>
              <w:t>Država članica iz člena 82(3) v svojem strateškem načrtu SKP opredeli eno ali več vrst intervencij iz člena 60 za uresničevanje ciljev, izbranih v skladu z odstavkom 1. Pri izbranih vrstah intervencij intervencije opredeli. Država članica iz člena</w:t>
            </w:r>
            <w:r w:rsidRPr="00B7760C">
              <w:rPr>
                <w:b/>
                <w:i/>
              </w:rPr>
              <w:t> </w:t>
            </w:r>
            <w:r w:rsidRPr="00B7760C">
              <w:t>82(3) v svojem strateškem načrtu SKP utemelji izbiro ciljev, vrst intervencij in intervencij za uresničevanje teh ciljev.</w:t>
            </w:r>
          </w:p>
        </w:tc>
        <w:tc>
          <w:tcPr>
            <w:tcW w:w="4876" w:type="dxa"/>
          </w:tcPr>
          <w:p w14:paraId="76E922BB" w14:textId="77777777" w:rsidR="003663AF" w:rsidRPr="00B7760C" w:rsidRDefault="003663AF" w:rsidP="00E804B7">
            <w:pPr>
              <w:pStyle w:val="Normal6"/>
            </w:pPr>
            <w:r w:rsidRPr="00B7760C">
              <w:t>2.</w:t>
            </w:r>
            <w:r w:rsidRPr="00B7760C">
              <w:tab/>
              <w:t>Država članica iz člena 82(3) v svojem strateškem načrtu SKP opredeli eno ali več vrst intervencij iz člena 60 za uresničevanje ciljev, izbranih v skladu z odstavkom 1. Pri izbranih vrstah intervencij intervencije opredeli. Država članica iz člena</w:t>
            </w:r>
            <w:r w:rsidRPr="00B7760C">
              <w:rPr>
                <w:b/>
                <w:i/>
              </w:rPr>
              <w:t xml:space="preserve"> </w:t>
            </w:r>
            <w:r w:rsidRPr="00B7760C">
              <w:t>82(3) v svojem strateškem načrtu SKP utemelji izbiro ciljev, vrst intervencij in intervencij za uresničevanje teh ciljev</w:t>
            </w:r>
            <w:r w:rsidRPr="00B7760C">
              <w:rPr>
                <w:b/>
                <w:i/>
              </w:rPr>
              <w:t>, ne da bi bila zavezana k izvajanju predhodne ocene in strateške presoje vplivov na okolje iz člena 103(1) ter analize SWOT iz člena 103(2)</w:t>
            </w:r>
            <w:r w:rsidRPr="00B7760C">
              <w:t>.</w:t>
            </w:r>
          </w:p>
        </w:tc>
      </w:tr>
    </w:tbl>
    <w:p w14:paraId="674E041E" w14:textId="77777777" w:rsidR="003663AF" w:rsidRPr="00B7760C" w:rsidRDefault="003663AF" w:rsidP="003663AF"/>
    <w:p w14:paraId="3700DFD8" w14:textId="3C6718A2" w:rsidR="003663AF" w:rsidRPr="00B7760C" w:rsidRDefault="00877691" w:rsidP="003663AF">
      <w:pPr>
        <w:pStyle w:val="AMNumberTabs"/>
      </w:pPr>
      <w:r w:rsidRPr="00B7760C">
        <w:t>Sprememba</w:t>
      </w:r>
      <w:r w:rsidR="003663AF" w:rsidRPr="00B7760C">
        <w:tab/>
      </w:r>
      <w:r w:rsidR="003663AF" w:rsidRPr="00B7760C">
        <w:tab/>
        <w:t>380</w:t>
      </w:r>
    </w:p>
    <w:p w14:paraId="37983F5B" w14:textId="77777777" w:rsidR="003663AF" w:rsidRPr="00B7760C" w:rsidRDefault="003663AF" w:rsidP="003663AF">
      <w:pPr>
        <w:pStyle w:val="NormalBold12b"/>
      </w:pPr>
      <w:r w:rsidRPr="00B7760C">
        <w:t>Predlog uredbe</w:t>
      </w:r>
    </w:p>
    <w:p w14:paraId="66C35063" w14:textId="77777777" w:rsidR="003663AF" w:rsidRPr="00B7760C" w:rsidRDefault="003663AF" w:rsidP="003663AF">
      <w:pPr>
        <w:pStyle w:val="NormalBold"/>
      </w:pPr>
      <w:r w:rsidRPr="00B7760C">
        <w:t>Člen 56 – odstavek 1 – točka c</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2B20718" w14:textId="77777777" w:rsidTr="00E804B7">
        <w:trPr>
          <w:trHeight w:hRule="exact" w:val="240"/>
          <w:jc w:val="center"/>
        </w:trPr>
        <w:tc>
          <w:tcPr>
            <w:tcW w:w="9752" w:type="dxa"/>
            <w:gridSpan w:val="2"/>
          </w:tcPr>
          <w:p w14:paraId="6DEFC6FF" w14:textId="77777777" w:rsidR="003663AF" w:rsidRPr="00B7760C" w:rsidRDefault="003663AF" w:rsidP="00E804B7"/>
        </w:tc>
      </w:tr>
      <w:tr w:rsidR="003663AF" w:rsidRPr="00B7760C" w14:paraId="60D95F15" w14:textId="77777777" w:rsidTr="00E804B7">
        <w:trPr>
          <w:trHeight w:val="240"/>
          <w:jc w:val="center"/>
        </w:trPr>
        <w:tc>
          <w:tcPr>
            <w:tcW w:w="4876" w:type="dxa"/>
          </w:tcPr>
          <w:p w14:paraId="22C6F146" w14:textId="77777777" w:rsidR="003663AF" w:rsidRPr="00B7760C" w:rsidRDefault="003663AF" w:rsidP="00E804B7">
            <w:pPr>
              <w:pStyle w:val="ColumnHeading"/>
            </w:pPr>
            <w:r w:rsidRPr="00B7760C">
              <w:t>Besedilo, ki ga predlaga Komisija</w:t>
            </w:r>
          </w:p>
        </w:tc>
        <w:tc>
          <w:tcPr>
            <w:tcW w:w="4876" w:type="dxa"/>
          </w:tcPr>
          <w:p w14:paraId="4522BDD5" w14:textId="5A28DCE3" w:rsidR="003663AF" w:rsidRPr="00B7760C" w:rsidRDefault="00877691" w:rsidP="00E804B7">
            <w:pPr>
              <w:pStyle w:val="ColumnHeading"/>
            </w:pPr>
            <w:r w:rsidRPr="00B7760C">
              <w:t>Sprememba</w:t>
            </w:r>
          </w:p>
        </w:tc>
      </w:tr>
      <w:tr w:rsidR="003663AF" w:rsidRPr="00B7760C" w14:paraId="7678D9BB" w14:textId="77777777" w:rsidTr="00E804B7">
        <w:trPr>
          <w:jc w:val="center"/>
        </w:trPr>
        <w:tc>
          <w:tcPr>
            <w:tcW w:w="4876" w:type="dxa"/>
          </w:tcPr>
          <w:p w14:paraId="0E218625" w14:textId="77777777" w:rsidR="003663AF" w:rsidRPr="00B7760C" w:rsidRDefault="003663AF" w:rsidP="00E804B7">
            <w:pPr>
              <w:pStyle w:val="Normal6"/>
            </w:pPr>
            <w:r w:rsidRPr="00B7760C">
              <w:t>(c)</w:t>
            </w:r>
            <w:r w:rsidRPr="00B7760C">
              <w:tab/>
              <w:t>zmanjšanje vpliva gojenja oljk na okolje in prispevanje k podnebnim ukrepom prek gojenja oljk; ta cilja se nanašata na specifične cilje iz točk (d) in (e) člena 6(1);</w:t>
            </w:r>
          </w:p>
        </w:tc>
        <w:tc>
          <w:tcPr>
            <w:tcW w:w="4876" w:type="dxa"/>
          </w:tcPr>
          <w:p w14:paraId="3723E0EE" w14:textId="77777777" w:rsidR="003663AF" w:rsidRPr="00B7760C" w:rsidRDefault="003663AF" w:rsidP="00E804B7">
            <w:pPr>
              <w:pStyle w:val="Normal6"/>
            </w:pPr>
            <w:r w:rsidRPr="00B7760C">
              <w:t>(c)</w:t>
            </w:r>
            <w:r w:rsidRPr="00B7760C">
              <w:tab/>
              <w:t xml:space="preserve">zmanjšanje vpliva gojenja oljk na okolje in prispevanje k podnebnim ukrepom </w:t>
            </w:r>
            <w:r w:rsidRPr="00B7760C">
              <w:rPr>
                <w:b/>
                <w:i/>
              </w:rPr>
              <w:t xml:space="preserve">ter blaženju podnebnih sprememb in prilagajanju nanje </w:t>
            </w:r>
            <w:r w:rsidRPr="00B7760C">
              <w:t>prek gojenja oljk; ta cilja se nanašata na specifične cilje iz točk (d) in (e) člena 6(1);</w:t>
            </w:r>
          </w:p>
        </w:tc>
      </w:tr>
    </w:tbl>
    <w:p w14:paraId="1545E1E2" w14:textId="77777777" w:rsidR="003663AF" w:rsidRPr="00B7760C" w:rsidRDefault="003663AF" w:rsidP="003663AF"/>
    <w:p w14:paraId="34F753D3" w14:textId="6CAEC8BA" w:rsidR="003663AF" w:rsidRPr="00B7760C" w:rsidRDefault="00877691" w:rsidP="003663AF">
      <w:pPr>
        <w:pStyle w:val="AMNumberTabs"/>
      </w:pPr>
      <w:r w:rsidRPr="00B7760C">
        <w:t>Sprememba</w:t>
      </w:r>
      <w:r w:rsidR="003663AF" w:rsidRPr="00B7760C">
        <w:tab/>
      </w:r>
      <w:r w:rsidR="003663AF" w:rsidRPr="00B7760C">
        <w:tab/>
        <w:t>381</w:t>
      </w:r>
    </w:p>
    <w:p w14:paraId="0F578C63" w14:textId="77777777" w:rsidR="003663AF" w:rsidRPr="00B7760C" w:rsidRDefault="003663AF" w:rsidP="003663AF">
      <w:pPr>
        <w:pStyle w:val="NormalBold12b"/>
      </w:pPr>
      <w:r w:rsidRPr="00B7760C">
        <w:t>Predlog uredbe</w:t>
      </w:r>
    </w:p>
    <w:p w14:paraId="2CB1776D" w14:textId="77777777" w:rsidR="003663AF" w:rsidRPr="00B7760C" w:rsidRDefault="003663AF" w:rsidP="003663AF">
      <w:pPr>
        <w:pStyle w:val="NormalBold"/>
      </w:pPr>
      <w:r w:rsidRPr="00B7760C">
        <w:t>Člen 56 – odstavek 1 – točka d</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B53E55B" w14:textId="77777777" w:rsidTr="00E804B7">
        <w:trPr>
          <w:trHeight w:hRule="exact" w:val="240"/>
          <w:jc w:val="center"/>
        </w:trPr>
        <w:tc>
          <w:tcPr>
            <w:tcW w:w="9752" w:type="dxa"/>
            <w:gridSpan w:val="2"/>
          </w:tcPr>
          <w:p w14:paraId="2F3F52B0" w14:textId="77777777" w:rsidR="003663AF" w:rsidRPr="00B7760C" w:rsidRDefault="003663AF" w:rsidP="00E804B7"/>
        </w:tc>
      </w:tr>
      <w:tr w:rsidR="003663AF" w:rsidRPr="00B7760C" w14:paraId="07C2942B" w14:textId="77777777" w:rsidTr="00E804B7">
        <w:trPr>
          <w:trHeight w:val="240"/>
          <w:jc w:val="center"/>
        </w:trPr>
        <w:tc>
          <w:tcPr>
            <w:tcW w:w="4876" w:type="dxa"/>
          </w:tcPr>
          <w:p w14:paraId="4C92AF78" w14:textId="77777777" w:rsidR="003663AF" w:rsidRPr="00B7760C" w:rsidRDefault="003663AF" w:rsidP="00E804B7">
            <w:pPr>
              <w:pStyle w:val="ColumnHeading"/>
            </w:pPr>
            <w:r w:rsidRPr="00B7760C">
              <w:t>Besedilo, ki ga predlaga Komisija</w:t>
            </w:r>
          </w:p>
        </w:tc>
        <w:tc>
          <w:tcPr>
            <w:tcW w:w="4876" w:type="dxa"/>
          </w:tcPr>
          <w:p w14:paraId="32627F83" w14:textId="085786BA" w:rsidR="003663AF" w:rsidRPr="00B7760C" w:rsidRDefault="00877691" w:rsidP="00E804B7">
            <w:pPr>
              <w:pStyle w:val="ColumnHeading"/>
            </w:pPr>
            <w:r w:rsidRPr="00B7760C">
              <w:t>Sprememba</w:t>
            </w:r>
          </w:p>
        </w:tc>
      </w:tr>
      <w:tr w:rsidR="003663AF" w:rsidRPr="00B7760C" w14:paraId="019357F9" w14:textId="77777777" w:rsidTr="00E804B7">
        <w:trPr>
          <w:jc w:val="center"/>
        </w:trPr>
        <w:tc>
          <w:tcPr>
            <w:tcW w:w="4876" w:type="dxa"/>
          </w:tcPr>
          <w:p w14:paraId="4EBAE55A" w14:textId="77777777" w:rsidR="003663AF" w:rsidRPr="00B7760C" w:rsidRDefault="003663AF" w:rsidP="00E804B7">
            <w:pPr>
              <w:pStyle w:val="Normal6"/>
            </w:pPr>
            <w:r w:rsidRPr="00B7760C">
              <w:t>(d)</w:t>
            </w:r>
            <w:r w:rsidRPr="00B7760C">
              <w:tab/>
              <w:t xml:space="preserve">izboljšanje kakovosti oljčnega olja in namiznih oljk; ta cilj se nanaša na specifični cilj iz </w:t>
            </w:r>
            <w:r w:rsidRPr="00B7760C">
              <w:rPr>
                <w:b/>
                <w:i/>
              </w:rPr>
              <w:t>točke</w:t>
            </w:r>
            <w:r w:rsidRPr="00B7760C">
              <w:t xml:space="preserve"> (f) člena 6(1);</w:t>
            </w:r>
          </w:p>
        </w:tc>
        <w:tc>
          <w:tcPr>
            <w:tcW w:w="4876" w:type="dxa"/>
          </w:tcPr>
          <w:p w14:paraId="72FD7C38" w14:textId="77777777" w:rsidR="003663AF" w:rsidRPr="00B7760C" w:rsidRDefault="003663AF" w:rsidP="00E804B7">
            <w:pPr>
              <w:pStyle w:val="Normal6"/>
            </w:pPr>
            <w:r w:rsidRPr="00B7760C">
              <w:t>(d)</w:t>
            </w:r>
            <w:r w:rsidRPr="00B7760C">
              <w:tab/>
              <w:t xml:space="preserve">izboljšanje kakovosti oljčnega olja in namiznih oljk; ta cilj se nanaša na specifični cilj iz </w:t>
            </w:r>
            <w:r w:rsidRPr="00B7760C">
              <w:rPr>
                <w:b/>
                <w:i/>
              </w:rPr>
              <w:t>točk (b) in</w:t>
            </w:r>
            <w:r w:rsidRPr="00B7760C">
              <w:t xml:space="preserve"> (f) člena 6(1);</w:t>
            </w:r>
          </w:p>
        </w:tc>
      </w:tr>
    </w:tbl>
    <w:p w14:paraId="0CA2A707" w14:textId="77777777" w:rsidR="003663AF" w:rsidRPr="00B7760C" w:rsidRDefault="003663AF" w:rsidP="003663AF"/>
    <w:p w14:paraId="56EE7A87" w14:textId="20D84A7D" w:rsidR="003663AF" w:rsidRPr="00B7760C" w:rsidRDefault="00877691" w:rsidP="003663AF">
      <w:pPr>
        <w:pStyle w:val="AMNumberTabs"/>
      </w:pPr>
      <w:r w:rsidRPr="00B7760C">
        <w:t>Sprememba</w:t>
      </w:r>
      <w:r w:rsidR="003663AF" w:rsidRPr="00B7760C">
        <w:tab/>
      </w:r>
      <w:r w:rsidR="003663AF" w:rsidRPr="00B7760C">
        <w:tab/>
        <w:t>382</w:t>
      </w:r>
    </w:p>
    <w:p w14:paraId="15DF8139" w14:textId="77777777" w:rsidR="003663AF" w:rsidRPr="00B7760C" w:rsidRDefault="003663AF" w:rsidP="003663AF">
      <w:pPr>
        <w:pStyle w:val="NormalBold12b"/>
      </w:pPr>
      <w:r w:rsidRPr="00B7760C">
        <w:t>Predlog uredbe</w:t>
      </w:r>
    </w:p>
    <w:p w14:paraId="3A6D205A" w14:textId="77777777" w:rsidR="003663AF" w:rsidRPr="00B7760C" w:rsidRDefault="003663AF" w:rsidP="003663AF">
      <w:pPr>
        <w:pStyle w:val="NormalBold"/>
      </w:pPr>
      <w:r w:rsidRPr="00B7760C">
        <w:t>Člen 56 – odstavek 1 – točka f</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E9C223C" w14:textId="77777777" w:rsidTr="00262443">
        <w:trPr>
          <w:trHeight w:hRule="exact" w:val="240"/>
          <w:jc w:val="center"/>
        </w:trPr>
        <w:tc>
          <w:tcPr>
            <w:tcW w:w="9752" w:type="dxa"/>
            <w:gridSpan w:val="2"/>
          </w:tcPr>
          <w:p w14:paraId="077F02D4" w14:textId="77777777" w:rsidR="003663AF" w:rsidRPr="00B7760C" w:rsidRDefault="003663AF" w:rsidP="00E804B7"/>
        </w:tc>
      </w:tr>
      <w:tr w:rsidR="003663AF" w:rsidRPr="00B7760C" w14:paraId="00D6AC11" w14:textId="77777777" w:rsidTr="00262443">
        <w:trPr>
          <w:trHeight w:val="240"/>
          <w:jc w:val="center"/>
        </w:trPr>
        <w:tc>
          <w:tcPr>
            <w:tcW w:w="4876" w:type="dxa"/>
          </w:tcPr>
          <w:p w14:paraId="36DA1983" w14:textId="77777777" w:rsidR="003663AF" w:rsidRPr="00B7760C" w:rsidRDefault="003663AF" w:rsidP="00E804B7">
            <w:pPr>
              <w:pStyle w:val="ColumnHeading"/>
            </w:pPr>
            <w:r w:rsidRPr="00B7760C">
              <w:t>Besedilo, ki ga predlaga Komisija</w:t>
            </w:r>
          </w:p>
        </w:tc>
        <w:tc>
          <w:tcPr>
            <w:tcW w:w="4876" w:type="dxa"/>
          </w:tcPr>
          <w:p w14:paraId="68117587" w14:textId="24AE6ABD" w:rsidR="003663AF" w:rsidRPr="00B7760C" w:rsidRDefault="00877691" w:rsidP="00E804B7">
            <w:pPr>
              <w:pStyle w:val="ColumnHeading"/>
            </w:pPr>
            <w:r w:rsidRPr="00B7760C">
              <w:t>Sprememba</w:t>
            </w:r>
          </w:p>
        </w:tc>
      </w:tr>
      <w:tr w:rsidR="003663AF" w:rsidRPr="00B7760C" w14:paraId="70F9807F" w14:textId="77777777" w:rsidTr="00262443">
        <w:trPr>
          <w:jc w:val="center"/>
        </w:trPr>
        <w:tc>
          <w:tcPr>
            <w:tcW w:w="4876" w:type="dxa"/>
          </w:tcPr>
          <w:p w14:paraId="4693AA7E" w14:textId="77777777" w:rsidR="003663AF" w:rsidRPr="00B7760C" w:rsidRDefault="003663AF" w:rsidP="00E804B7">
            <w:pPr>
              <w:pStyle w:val="Normal6"/>
            </w:pPr>
            <w:r w:rsidRPr="00B7760C">
              <w:t>(f)</w:t>
            </w:r>
            <w:r w:rsidRPr="00B7760C">
              <w:tab/>
              <w:t xml:space="preserve">preprečevanje in obvladovanje kriz, da bi izboljšali odpornost na škodljivce ter preprečevali in reševali krize na trgu oljčnega olja in namiznih oljk; ta cilj se nanaša na specifični cilj iz </w:t>
            </w:r>
            <w:r w:rsidRPr="00B7760C">
              <w:rPr>
                <w:b/>
                <w:i/>
              </w:rPr>
              <w:t>točke</w:t>
            </w:r>
            <w:r w:rsidRPr="00B7760C">
              <w:t xml:space="preserve"> (</w:t>
            </w:r>
            <w:r w:rsidRPr="00B7760C">
              <w:rPr>
                <w:b/>
                <w:i/>
              </w:rPr>
              <w:t>h</w:t>
            </w:r>
            <w:r w:rsidRPr="00B7760C">
              <w:t>) člena 6(1)</w:t>
            </w:r>
            <w:r w:rsidRPr="00B7760C">
              <w:rPr>
                <w:b/>
                <w:i/>
              </w:rPr>
              <w:t>.</w:t>
            </w:r>
          </w:p>
        </w:tc>
        <w:tc>
          <w:tcPr>
            <w:tcW w:w="4876" w:type="dxa"/>
          </w:tcPr>
          <w:p w14:paraId="2A0084F5" w14:textId="77777777" w:rsidR="003663AF" w:rsidRPr="00B7760C" w:rsidRDefault="003663AF" w:rsidP="00E804B7">
            <w:pPr>
              <w:pStyle w:val="Normal6"/>
            </w:pPr>
            <w:r w:rsidRPr="00B7760C">
              <w:t>(f)</w:t>
            </w:r>
            <w:r w:rsidRPr="00B7760C">
              <w:tab/>
              <w:t>preprečevanje in obvladovanje kriz, da bi izboljšali odpornost na škodljivce ter preprečevali in reševali krize na trgu oljčnega olja in namiznih oljk</w:t>
            </w:r>
            <w:r w:rsidRPr="00B7760C">
              <w:rPr>
                <w:b/>
                <w:i/>
              </w:rPr>
              <w:t>, tudi z izboljšanjem preprečevanja škodljivcev in odpornosti nanje</w:t>
            </w:r>
            <w:r w:rsidRPr="00B7760C">
              <w:t xml:space="preserve">; ta cilj se nanaša na specifični cilj iz </w:t>
            </w:r>
            <w:r w:rsidRPr="00B7760C">
              <w:rPr>
                <w:b/>
                <w:i/>
              </w:rPr>
              <w:t>točk (a), (b) in</w:t>
            </w:r>
            <w:r w:rsidRPr="00B7760C">
              <w:t xml:space="preserve"> (</w:t>
            </w:r>
            <w:r w:rsidRPr="00B7760C">
              <w:rPr>
                <w:b/>
                <w:i/>
              </w:rPr>
              <w:t>c</w:t>
            </w:r>
            <w:r w:rsidRPr="00B7760C">
              <w:t>) člena 6(1)</w:t>
            </w:r>
            <w:r w:rsidRPr="00B7760C">
              <w:rPr>
                <w:b/>
                <w:i/>
              </w:rPr>
              <w:t>;</w:t>
            </w:r>
          </w:p>
        </w:tc>
      </w:tr>
    </w:tbl>
    <w:p w14:paraId="37F9616A" w14:textId="168B0D66" w:rsidR="00262443" w:rsidRPr="00B7760C" w:rsidRDefault="00262443" w:rsidP="00262443">
      <w:pPr>
        <w:pStyle w:val="AMNumberTabs"/>
      </w:pPr>
      <w:r w:rsidRPr="00B7760C">
        <w:t>Sprememba</w:t>
      </w:r>
      <w:r w:rsidRPr="00B7760C">
        <w:tab/>
      </w:r>
      <w:r w:rsidRPr="00B7760C">
        <w:tab/>
        <w:t>1241</w:t>
      </w:r>
    </w:p>
    <w:p w14:paraId="751B01A9" w14:textId="77777777" w:rsidR="00262443" w:rsidRPr="00B7760C" w:rsidRDefault="00262443" w:rsidP="00262443">
      <w:pPr>
        <w:pStyle w:val="NormalBold12b"/>
      </w:pPr>
      <w:r w:rsidRPr="00B7760C">
        <w:t>Predlog uredbe</w:t>
      </w:r>
    </w:p>
    <w:p w14:paraId="281BAEA7" w14:textId="3CDB152D" w:rsidR="00262443" w:rsidRPr="00B7760C" w:rsidRDefault="00262443" w:rsidP="00262443">
      <w:pPr>
        <w:pStyle w:val="NormalBold"/>
      </w:pPr>
      <w:r w:rsidRPr="00B7760C">
        <w:t>Člen 56 – odstavek 1 – točka f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62443" w:rsidRPr="00B7760C" w14:paraId="50F648B7" w14:textId="77777777" w:rsidTr="00517642">
        <w:trPr>
          <w:trHeight w:hRule="exact" w:val="240"/>
          <w:jc w:val="center"/>
        </w:trPr>
        <w:tc>
          <w:tcPr>
            <w:tcW w:w="9752" w:type="dxa"/>
            <w:gridSpan w:val="2"/>
          </w:tcPr>
          <w:p w14:paraId="4907F2B1" w14:textId="77777777" w:rsidR="00262443" w:rsidRPr="00B7760C" w:rsidRDefault="00262443" w:rsidP="00517642"/>
        </w:tc>
      </w:tr>
      <w:tr w:rsidR="00262443" w:rsidRPr="00B7760C" w14:paraId="61EADA73" w14:textId="77777777" w:rsidTr="00517642">
        <w:trPr>
          <w:trHeight w:val="240"/>
          <w:jc w:val="center"/>
        </w:trPr>
        <w:tc>
          <w:tcPr>
            <w:tcW w:w="4876" w:type="dxa"/>
          </w:tcPr>
          <w:p w14:paraId="13507B36" w14:textId="77777777" w:rsidR="00262443" w:rsidRPr="00B7760C" w:rsidRDefault="00262443" w:rsidP="00517642">
            <w:pPr>
              <w:pStyle w:val="ColumnHeading"/>
            </w:pPr>
            <w:r w:rsidRPr="00B7760C">
              <w:t>Besedilo, ki ga predlaga Komisija</w:t>
            </w:r>
          </w:p>
        </w:tc>
        <w:tc>
          <w:tcPr>
            <w:tcW w:w="4876" w:type="dxa"/>
          </w:tcPr>
          <w:p w14:paraId="11937B38" w14:textId="77777777" w:rsidR="00262443" w:rsidRPr="00B7760C" w:rsidRDefault="00262443" w:rsidP="00517642">
            <w:pPr>
              <w:pStyle w:val="ColumnHeading"/>
            </w:pPr>
            <w:r w:rsidRPr="00B7760C">
              <w:t>Sprememba</w:t>
            </w:r>
          </w:p>
        </w:tc>
      </w:tr>
      <w:tr w:rsidR="00262443" w:rsidRPr="00B7760C" w14:paraId="424742D4" w14:textId="77777777" w:rsidTr="00517642">
        <w:trPr>
          <w:jc w:val="center"/>
        </w:trPr>
        <w:tc>
          <w:tcPr>
            <w:tcW w:w="4876" w:type="dxa"/>
          </w:tcPr>
          <w:p w14:paraId="09CB5615" w14:textId="69B8BAD8" w:rsidR="00262443" w:rsidRPr="00B7760C" w:rsidRDefault="00262443" w:rsidP="00517642">
            <w:pPr>
              <w:pStyle w:val="Normal6"/>
            </w:pPr>
          </w:p>
        </w:tc>
        <w:tc>
          <w:tcPr>
            <w:tcW w:w="4876" w:type="dxa"/>
          </w:tcPr>
          <w:p w14:paraId="58B2111C" w14:textId="6005E740" w:rsidR="00262443" w:rsidRPr="00B7760C" w:rsidRDefault="00262443" w:rsidP="00517642">
            <w:pPr>
              <w:pStyle w:val="Normal6"/>
            </w:pPr>
            <w:r w:rsidRPr="00B7760C">
              <w:rPr>
                <w:b/>
                <w:i/>
              </w:rPr>
              <w:t>(fa)</w:t>
            </w:r>
            <w:r w:rsidRPr="00B7760C">
              <w:rPr>
                <w:b/>
                <w:i/>
              </w:rPr>
              <w:tab/>
              <w:t>zaščita in izboljšanje biotske raznovrstnosti in ekosistemskih storitev, vključno z ohranjanjem tal.</w:t>
            </w:r>
          </w:p>
        </w:tc>
      </w:tr>
    </w:tbl>
    <w:p w14:paraId="2EC36BA5" w14:textId="77777777" w:rsidR="003663AF" w:rsidRPr="00B7760C" w:rsidRDefault="003663AF" w:rsidP="003663AF"/>
    <w:p w14:paraId="1A0554D0" w14:textId="52419985" w:rsidR="003663AF" w:rsidRPr="00B7760C" w:rsidRDefault="00877691" w:rsidP="003663AF">
      <w:pPr>
        <w:pStyle w:val="AMNumberTabs"/>
      </w:pPr>
      <w:r w:rsidRPr="00B7760C">
        <w:t>Sprememba</w:t>
      </w:r>
      <w:r w:rsidR="003663AF" w:rsidRPr="00B7760C">
        <w:tab/>
      </w:r>
      <w:r w:rsidR="003663AF" w:rsidRPr="00B7760C">
        <w:tab/>
        <w:t>383</w:t>
      </w:r>
    </w:p>
    <w:p w14:paraId="5993680F" w14:textId="77777777" w:rsidR="003663AF" w:rsidRPr="00B7760C" w:rsidRDefault="003663AF" w:rsidP="003663AF">
      <w:pPr>
        <w:pStyle w:val="NormalBold12b"/>
      </w:pPr>
      <w:r w:rsidRPr="00B7760C">
        <w:t>Predlog uredbe</w:t>
      </w:r>
    </w:p>
    <w:p w14:paraId="070BDFA5" w14:textId="77777777" w:rsidR="003663AF" w:rsidRPr="00B7760C" w:rsidRDefault="003663AF" w:rsidP="003663AF">
      <w:pPr>
        <w:pStyle w:val="NormalBold"/>
      </w:pPr>
      <w:r w:rsidRPr="00B7760C">
        <w:t>Člen 57 – 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1A4F862" w14:textId="77777777" w:rsidTr="00E804B7">
        <w:trPr>
          <w:trHeight w:hRule="exact" w:val="240"/>
          <w:jc w:val="center"/>
        </w:trPr>
        <w:tc>
          <w:tcPr>
            <w:tcW w:w="9752" w:type="dxa"/>
            <w:gridSpan w:val="2"/>
          </w:tcPr>
          <w:p w14:paraId="6D8F6866" w14:textId="77777777" w:rsidR="003663AF" w:rsidRPr="00B7760C" w:rsidRDefault="003663AF" w:rsidP="00E804B7"/>
        </w:tc>
      </w:tr>
      <w:tr w:rsidR="003663AF" w:rsidRPr="00B7760C" w14:paraId="3C968876" w14:textId="77777777" w:rsidTr="00E804B7">
        <w:trPr>
          <w:trHeight w:val="240"/>
          <w:jc w:val="center"/>
        </w:trPr>
        <w:tc>
          <w:tcPr>
            <w:tcW w:w="4876" w:type="dxa"/>
          </w:tcPr>
          <w:p w14:paraId="20D98DA9" w14:textId="77777777" w:rsidR="003663AF" w:rsidRPr="00B7760C" w:rsidRDefault="003663AF" w:rsidP="00E804B7">
            <w:pPr>
              <w:pStyle w:val="ColumnHeading"/>
            </w:pPr>
            <w:r w:rsidRPr="00B7760C">
              <w:t>Besedilo, ki ga predlaga Komisija</w:t>
            </w:r>
          </w:p>
        </w:tc>
        <w:tc>
          <w:tcPr>
            <w:tcW w:w="4876" w:type="dxa"/>
          </w:tcPr>
          <w:p w14:paraId="551C5FDD" w14:textId="39AB5A62" w:rsidR="003663AF" w:rsidRPr="00B7760C" w:rsidRDefault="00877691" w:rsidP="00E804B7">
            <w:pPr>
              <w:pStyle w:val="ColumnHeading"/>
            </w:pPr>
            <w:r w:rsidRPr="00B7760C">
              <w:t>Sprememba</w:t>
            </w:r>
          </w:p>
        </w:tc>
      </w:tr>
      <w:tr w:rsidR="003663AF" w:rsidRPr="00B7760C" w14:paraId="5BBE6764" w14:textId="77777777" w:rsidTr="00E804B7">
        <w:trPr>
          <w:jc w:val="center"/>
        </w:trPr>
        <w:tc>
          <w:tcPr>
            <w:tcW w:w="4876" w:type="dxa"/>
          </w:tcPr>
          <w:p w14:paraId="75FDF546" w14:textId="77777777" w:rsidR="003663AF" w:rsidRPr="00B7760C" w:rsidRDefault="003663AF" w:rsidP="00E804B7">
            <w:pPr>
              <w:pStyle w:val="Normal6"/>
            </w:pPr>
            <w:r w:rsidRPr="00B7760C">
              <w:t>1.</w:t>
            </w:r>
            <w:r w:rsidRPr="00B7760C">
              <w:tab/>
              <w:t>Da bi države članice iz člena 82(4) lahko uresničile cilje iz člena 56, v svojih strateških načrtih SKP izberejo eno ali več vrst intervencij iz člena 60. Pri izbranih vrstah intervencij intervencije opredelijo.</w:t>
            </w:r>
          </w:p>
        </w:tc>
        <w:tc>
          <w:tcPr>
            <w:tcW w:w="4876" w:type="dxa"/>
          </w:tcPr>
          <w:p w14:paraId="2AB7798A" w14:textId="77777777" w:rsidR="003663AF" w:rsidRPr="00B7760C" w:rsidRDefault="003663AF" w:rsidP="00E804B7">
            <w:pPr>
              <w:pStyle w:val="Normal6"/>
            </w:pPr>
            <w:r w:rsidRPr="00B7760C">
              <w:t>1.</w:t>
            </w:r>
            <w:r w:rsidRPr="00B7760C">
              <w:tab/>
              <w:t>Da bi države članice iz člena 82(4) lahko uresničile cilje iz člena 56, v svojih strateških načrtih SKP izberejo eno ali več vrst intervencij iz člena 60</w:t>
            </w:r>
            <w:r w:rsidRPr="00B7760C">
              <w:rPr>
                <w:b/>
                <w:i/>
              </w:rPr>
              <w:t>, ki jo določi posamezna država članica</w:t>
            </w:r>
            <w:r w:rsidRPr="00B7760C">
              <w:t>. Pri izbranih vrstah intervencij intervencije opredelijo.</w:t>
            </w:r>
          </w:p>
        </w:tc>
      </w:tr>
    </w:tbl>
    <w:p w14:paraId="32915360" w14:textId="77777777" w:rsidR="003663AF" w:rsidRPr="00B7760C" w:rsidRDefault="003663AF" w:rsidP="003663AF"/>
    <w:p w14:paraId="0C3860DF" w14:textId="7DB73DFC" w:rsidR="003663AF" w:rsidRPr="00B7760C" w:rsidRDefault="00877691" w:rsidP="003663AF">
      <w:pPr>
        <w:pStyle w:val="AMNumberTabs"/>
      </w:pPr>
      <w:r w:rsidRPr="00B7760C">
        <w:t>Sprememba</w:t>
      </w:r>
      <w:r w:rsidR="003663AF" w:rsidRPr="00B7760C">
        <w:tab/>
      </w:r>
      <w:r w:rsidR="003663AF" w:rsidRPr="00B7760C">
        <w:tab/>
        <w:t>384</w:t>
      </w:r>
    </w:p>
    <w:p w14:paraId="69E8FA11" w14:textId="77777777" w:rsidR="003663AF" w:rsidRPr="00B7760C" w:rsidRDefault="003663AF" w:rsidP="003663AF">
      <w:pPr>
        <w:pStyle w:val="NormalBold12b"/>
      </w:pPr>
      <w:r w:rsidRPr="00B7760C">
        <w:t>Predlog uredbe</w:t>
      </w:r>
    </w:p>
    <w:p w14:paraId="29CE3AB7" w14:textId="77777777" w:rsidR="003663AF" w:rsidRPr="00B7760C" w:rsidRDefault="003663AF" w:rsidP="003663AF">
      <w:pPr>
        <w:pStyle w:val="NormalBold"/>
      </w:pPr>
      <w:r w:rsidRPr="00B7760C">
        <w:t>Člen 57 – odstavek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8FC6014" w14:textId="77777777" w:rsidTr="00E804B7">
        <w:trPr>
          <w:trHeight w:hRule="exact" w:val="240"/>
          <w:jc w:val="center"/>
        </w:trPr>
        <w:tc>
          <w:tcPr>
            <w:tcW w:w="9752" w:type="dxa"/>
            <w:gridSpan w:val="2"/>
          </w:tcPr>
          <w:p w14:paraId="67AF3E78" w14:textId="77777777" w:rsidR="003663AF" w:rsidRPr="00B7760C" w:rsidRDefault="003663AF" w:rsidP="00E804B7"/>
        </w:tc>
      </w:tr>
      <w:tr w:rsidR="003663AF" w:rsidRPr="00B7760C" w14:paraId="47822957" w14:textId="77777777" w:rsidTr="00E804B7">
        <w:trPr>
          <w:trHeight w:val="240"/>
          <w:jc w:val="center"/>
        </w:trPr>
        <w:tc>
          <w:tcPr>
            <w:tcW w:w="4876" w:type="dxa"/>
          </w:tcPr>
          <w:p w14:paraId="14FEBAFB" w14:textId="77777777" w:rsidR="003663AF" w:rsidRPr="00B7760C" w:rsidRDefault="003663AF" w:rsidP="00E804B7">
            <w:pPr>
              <w:pStyle w:val="ColumnHeading"/>
            </w:pPr>
            <w:r w:rsidRPr="00B7760C">
              <w:t>Besedilo, ki ga predlaga Komisija</w:t>
            </w:r>
          </w:p>
        </w:tc>
        <w:tc>
          <w:tcPr>
            <w:tcW w:w="4876" w:type="dxa"/>
          </w:tcPr>
          <w:p w14:paraId="0B57EF40" w14:textId="79D1EB53" w:rsidR="003663AF" w:rsidRPr="00B7760C" w:rsidRDefault="00877691" w:rsidP="00E804B7">
            <w:pPr>
              <w:pStyle w:val="ColumnHeading"/>
            </w:pPr>
            <w:r w:rsidRPr="00B7760C">
              <w:t>Sprememba</w:t>
            </w:r>
          </w:p>
        </w:tc>
      </w:tr>
      <w:tr w:rsidR="003663AF" w:rsidRPr="00B7760C" w14:paraId="1A73AFAA" w14:textId="77777777" w:rsidTr="00E804B7">
        <w:trPr>
          <w:jc w:val="center"/>
        </w:trPr>
        <w:tc>
          <w:tcPr>
            <w:tcW w:w="4876" w:type="dxa"/>
          </w:tcPr>
          <w:p w14:paraId="6778C632" w14:textId="77777777" w:rsidR="003663AF" w:rsidRPr="00B7760C" w:rsidRDefault="003663AF" w:rsidP="00E804B7">
            <w:pPr>
              <w:pStyle w:val="Normal6"/>
            </w:pPr>
            <w:r w:rsidRPr="00B7760C">
              <w:t>2.</w:t>
            </w:r>
            <w:r w:rsidRPr="00B7760C">
              <w:tab/>
              <w:t>Intervencije, ki jih opredelijo države članice iz člena 82(4), se izvajajo prek odobrenih operativnih programov organizacij proizvajalcev in/ali združenj organizacij proizvajalcev, priznanih na podlagi Uredbe (EU) št. 1308/2013. V ta namen se uporabljata člena 61 in 62 te uredbe.</w:t>
            </w:r>
          </w:p>
        </w:tc>
        <w:tc>
          <w:tcPr>
            <w:tcW w:w="4876" w:type="dxa"/>
          </w:tcPr>
          <w:p w14:paraId="1F5852F8" w14:textId="77777777" w:rsidR="003663AF" w:rsidRPr="00B7760C" w:rsidRDefault="003663AF" w:rsidP="00E804B7">
            <w:pPr>
              <w:pStyle w:val="Normal6"/>
            </w:pPr>
            <w:r w:rsidRPr="00B7760C">
              <w:t>2.</w:t>
            </w:r>
            <w:r w:rsidRPr="00B7760C">
              <w:tab/>
              <w:t>Intervencije, ki jih opredelijo države članice iz člena 82(4), se izvajajo prek odobrenih operativnih programov organizacij proizvajalcev in/ali združenj organizacij proizvajalcev</w:t>
            </w:r>
            <w:r w:rsidRPr="00B7760C">
              <w:rPr>
                <w:b/>
                <w:i/>
              </w:rPr>
              <w:t xml:space="preserve"> in/ali medpanožnih organizacij</w:t>
            </w:r>
            <w:r w:rsidRPr="00B7760C">
              <w:t>, priznanih na podlagi Uredbe (EU) št. 1308/2013. V ta namen se uporabljata člena 61 in 62 te uredbe.</w:t>
            </w:r>
          </w:p>
        </w:tc>
      </w:tr>
    </w:tbl>
    <w:p w14:paraId="6326CFBE" w14:textId="77777777" w:rsidR="003663AF" w:rsidRPr="00B7760C" w:rsidRDefault="003663AF" w:rsidP="003663AF"/>
    <w:p w14:paraId="62FC94B2" w14:textId="053DB5E2" w:rsidR="003663AF" w:rsidRPr="00B7760C" w:rsidRDefault="00877691" w:rsidP="003663AF">
      <w:pPr>
        <w:pStyle w:val="AMNumberTabs"/>
      </w:pPr>
      <w:r w:rsidRPr="00B7760C">
        <w:t>Sprememba</w:t>
      </w:r>
      <w:r w:rsidR="003663AF" w:rsidRPr="00B7760C">
        <w:tab/>
      </w:r>
      <w:r w:rsidR="003663AF" w:rsidRPr="00B7760C">
        <w:tab/>
        <w:t>385</w:t>
      </w:r>
    </w:p>
    <w:p w14:paraId="0EE1675B" w14:textId="77777777" w:rsidR="003663AF" w:rsidRPr="00B7760C" w:rsidRDefault="003663AF" w:rsidP="003663AF">
      <w:pPr>
        <w:pStyle w:val="NormalBold12b"/>
      </w:pPr>
      <w:r w:rsidRPr="00B7760C">
        <w:t>Predlog uredbe</w:t>
      </w:r>
    </w:p>
    <w:p w14:paraId="7846B6BE" w14:textId="77777777" w:rsidR="003663AF" w:rsidRPr="00B7760C" w:rsidRDefault="003663AF" w:rsidP="003663AF">
      <w:pPr>
        <w:pStyle w:val="NormalBold"/>
      </w:pPr>
      <w:r w:rsidRPr="00B7760C">
        <w:t>Člen 57 – odstavek 2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CE01657" w14:textId="77777777" w:rsidTr="00E804B7">
        <w:trPr>
          <w:trHeight w:hRule="exact" w:val="240"/>
          <w:jc w:val="center"/>
        </w:trPr>
        <w:tc>
          <w:tcPr>
            <w:tcW w:w="9752" w:type="dxa"/>
            <w:gridSpan w:val="2"/>
          </w:tcPr>
          <w:p w14:paraId="4BDD8910" w14:textId="77777777" w:rsidR="003663AF" w:rsidRPr="00B7760C" w:rsidRDefault="003663AF" w:rsidP="00E804B7"/>
        </w:tc>
      </w:tr>
      <w:tr w:rsidR="003663AF" w:rsidRPr="00B7760C" w14:paraId="4E2EBAB7" w14:textId="77777777" w:rsidTr="00E804B7">
        <w:trPr>
          <w:trHeight w:val="240"/>
          <w:jc w:val="center"/>
        </w:trPr>
        <w:tc>
          <w:tcPr>
            <w:tcW w:w="4876" w:type="dxa"/>
          </w:tcPr>
          <w:p w14:paraId="0BC5ADD3" w14:textId="77777777" w:rsidR="003663AF" w:rsidRPr="00B7760C" w:rsidRDefault="003663AF" w:rsidP="00E804B7">
            <w:pPr>
              <w:pStyle w:val="ColumnHeading"/>
            </w:pPr>
            <w:r w:rsidRPr="00B7760C">
              <w:t>Besedilo, ki ga predlaga Komisija</w:t>
            </w:r>
          </w:p>
        </w:tc>
        <w:tc>
          <w:tcPr>
            <w:tcW w:w="4876" w:type="dxa"/>
          </w:tcPr>
          <w:p w14:paraId="39AA1D31" w14:textId="2B7753C7" w:rsidR="003663AF" w:rsidRPr="00B7760C" w:rsidRDefault="00877691" w:rsidP="00E804B7">
            <w:pPr>
              <w:pStyle w:val="ColumnHeading"/>
            </w:pPr>
            <w:r w:rsidRPr="00B7760C">
              <w:t>Sprememba</w:t>
            </w:r>
          </w:p>
        </w:tc>
      </w:tr>
      <w:tr w:rsidR="003663AF" w:rsidRPr="00B7760C" w14:paraId="675F5127" w14:textId="77777777" w:rsidTr="00E804B7">
        <w:trPr>
          <w:jc w:val="center"/>
        </w:trPr>
        <w:tc>
          <w:tcPr>
            <w:tcW w:w="4876" w:type="dxa"/>
          </w:tcPr>
          <w:p w14:paraId="71BDD71E" w14:textId="77777777" w:rsidR="003663AF" w:rsidRPr="00B7760C" w:rsidRDefault="003663AF" w:rsidP="00E804B7">
            <w:pPr>
              <w:pStyle w:val="Normal6"/>
            </w:pPr>
          </w:p>
        </w:tc>
        <w:tc>
          <w:tcPr>
            <w:tcW w:w="4876" w:type="dxa"/>
          </w:tcPr>
          <w:p w14:paraId="1AF29588" w14:textId="77777777" w:rsidR="003663AF" w:rsidRPr="00B7760C" w:rsidRDefault="003663AF" w:rsidP="00E804B7">
            <w:pPr>
              <w:pStyle w:val="Normal6"/>
            </w:pPr>
            <w:r w:rsidRPr="00B7760C">
              <w:rPr>
                <w:b/>
                <w:i/>
              </w:rPr>
              <w:t>2a.</w:t>
            </w:r>
            <w:r w:rsidRPr="00B7760C">
              <w:tab/>
            </w:r>
            <w:r w:rsidRPr="00B7760C">
              <w:rPr>
                <w:b/>
                <w:i/>
              </w:rPr>
              <w:t>Z odstopanjem od odstavka 2 lahko države članice iz člena 82(4) v skladu s členom 157 Uredbe (EU) št. 1308/2013 izvajanje operativnih programov zaupajo priznanim medpanožnim organizacijam, če te v skladu z Uredbo (EU) št. 1308/2013 že izvajajo podoben program.</w:t>
            </w:r>
          </w:p>
        </w:tc>
      </w:tr>
    </w:tbl>
    <w:p w14:paraId="4EB941B3" w14:textId="77777777" w:rsidR="003663AF" w:rsidRPr="00B7760C" w:rsidRDefault="003663AF" w:rsidP="003663AF"/>
    <w:p w14:paraId="341A4586" w14:textId="1BD5C75F" w:rsidR="003663AF" w:rsidRPr="00B7760C" w:rsidRDefault="00877691" w:rsidP="003663AF">
      <w:pPr>
        <w:pStyle w:val="AMNumberTabs"/>
      </w:pPr>
      <w:r w:rsidRPr="00B7760C">
        <w:t>Sprememba</w:t>
      </w:r>
      <w:r w:rsidR="003663AF" w:rsidRPr="00B7760C">
        <w:tab/>
      </w:r>
      <w:r w:rsidR="003663AF" w:rsidRPr="00B7760C">
        <w:tab/>
        <w:t>386</w:t>
      </w:r>
    </w:p>
    <w:p w14:paraId="6EE9E2D2" w14:textId="77777777" w:rsidR="003663AF" w:rsidRPr="00B7760C" w:rsidRDefault="003663AF" w:rsidP="003663AF">
      <w:pPr>
        <w:pStyle w:val="NormalBold12b"/>
      </w:pPr>
      <w:r w:rsidRPr="00B7760C">
        <w:t>Predlog uredbe</w:t>
      </w:r>
    </w:p>
    <w:p w14:paraId="1DAF7486" w14:textId="77777777" w:rsidR="003663AF" w:rsidRPr="00B7760C" w:rsidRDefault="003663AF" w:rsidP="003663AF">
      <w:pPr>
        <w:pStyle w:val="NormalBold"/>
      </w:pPr>
      <w:r w:rsidRPr="00B7760C">
        <w:t>Člen 58 – odstavek 1 – točka d</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7D50369" w14:textId="77777777" w:rsidTr="00E804B7">
        <w:trPr>
          <w:trHeight w:hRule="exact" w:val="240"/>
          <w:jc w:val="center"/>
        </w:trPr>
        <w:tc>
          <w:tcPr>
            <w:tcW w:w="9752" w:type="dxa"/>
            <w:gridSpan w:val="2"/>
          </w:tcPr>
          <w:p w14:paraId="6F15F13F" w14:textId="77777777" w:rsidR="003663AF" w:rsidRPr="00B7760C" w:rsidRDefault="003663AF" w:rsidP="00E804B7"/>
        </w:tc>
      </w:tr>
      <w:tr w:rsidR="003663AF" w:rsidRPr="00B7760C" w14:paraId="1B843C3B" w14:textId="77777777" w:rsidTr="00E804B7">
        <w:trPr>
          <w:trHeight w:val="240"/>
          <w:jc w:val="center"/>
        </w:trPr>
        <w:tc>
          <w:tcPr>
            <w:tcW w:w="4876" w:type="dxa"/>
          </w:tcPr>
          <w:p w14:paraId="01F0A100" w14:textId="77777777" w:rsidR="003663AF" w:rsidRPr="00B7760C" w:rsidRDefault="003663AF" w:rsidP="00E804B7">
            <w:pPr>
              <w:pStyle w:val="ColumnHeading"/>
            </w:pPr>
            <w:r w:rsidRPr="00B7760C">
              <w:t>Besedilo, ki ga predlaga Komisija</w:t>
            </w:r>
          </w:p>
        </w:tc>
        <w:tc>
          <w:tcPr>
            <w:tcW w:w="4876" w:type="dxa"/>
          </w:tcPr>
          <w:p w14:paraId="075D25EA" w14:textId="734E4553" w:rsidR="003663AF" w:rsidRPr="00B7760C" w:rsidRDefault="00877691" w:rsidP="00E804B7">
            <w:pPr>
              <w:pStyle w:val="ColumnHeading"/>
            </w:pPr>
            <w:r w:rsidRPr="00B7760C">
              <w:t>Sprememba</w:t>
            </w:r>
          </w:p>
        </w:tc>
      </w:tr>
      <w:tr w:rsidR="003663AF" w:rsidRPr="00B7760C" w14:paraId="683BE47D" w14:textId="77777777" w:rsidTr="00E804B7">
        <w:trPr>
          <w:jc w:val="center"/>
        </w:trPr>
        <w:tc>
          <w:tcPr>
            <w:tcW w:w="4876" w:type="dxa"/>
          </w:tcPr>
          <w:p w14:paraId="3B077313" w14:textId="77777777" w:rsidR="003663AF" w:rsidRPr="00B7760C" w:rsidRDefault="003663AF" w:rsidP="00E804B7">
            <w:pPr>
              <w:pStyle w:val="Normal6"/>
            </w:pPr>
            <w:r w:rsidRPr="00B7760C">
              <w:t>(d)</w:t>
            </w:r>
            <w:r w:rsidRPr="00B7760C">
              <w:tab/>
            </w:r>
            <w:r w:rsidRPr="00B7760C">
              <w:rPr>
                <w:b/>
                <w:i/>
              </w:rPr>
              <w:t>75</w:t>
            </w:r>
            <w:r w:rsidRPr="00B7760C">
              <w:t> % dejanskih odhodkov za vrste intervencij iz točk (f) in (h) člena 60(1), kadar operativni program v najmanj treh tretjih državah ali državah članicah neproizvajalkah izvajajo organizacije proizvajalcev iz vsaj dveh držav članic proizvajalk, oziroma 50 % dejanskih odhodkov, če pri tej vrsti intervencij ta pogoj ni izpolnjen.</w:t>
            </w:r>
          </w:p>
        </w:tc>
        <w:tc>
          <w:tcPr>
            <w:tcW w:w="4876" w:type="dxa"/>
          </w:tcPr>
          <w:p w14:paraId="27D66DB8" w14:textId="77777777" w:rsidR="003663AF" w:rsidRPr="00B7760C" w:rsidRDefault="003663AF" w:rsidP="00E804B7">
            <w:pPr>
              <w:pStyle w:val="Normal6"/>
            </w:pPr>
            <w:r w:rsidRPr="00B7760C">
              <w:t>(d)</w:t>
            </w:r>
            <w:r w:rsidRPr="00B7760C">
              <w:tab/>
            </w:r>
            <w:r w:rsidRPr="00B7760C">
              <w:rPr>
                <w:b/>
                <w:i/>
              </w:rPr>
              <w:t>85</w:t>
            </w:r>
            <w:r w:rsidRPr="00B7760C">
              <w:t> % dejanskih odhodkov za vrste intervencij iz točk (f) in (h) člena 60(1), kadar operativni program v najmanj treh tretjih državah ali državah članicah neproizvajalkah izvajajo organizacije proizvajalcev</w:t>
            </w:r>
            <w:r w:rsidRPr="00B7760C">
              <w:rPr>
                <w:b/>
                <w:i/>
              </w:rPr>
              <w:t xml:space="preserve"> ali združenja organizacij proizvajalcev</w:t>
            </w:r>
            <w:r w:rsidRPr="00B7760C">
              <w:t xml:space="preserve"> iz vsaj dveh držav članic proizvajalk, oziroma 50 % dejanskih odhodkov, če pri tej vrsti intervencij ta pogoj ni izpolnjen.</w:t>
            </w:r>
          </w:p>
        </w:tc>
      </w:tr>
    </w:tbl>
    <w:p w14:paraId="5CB97589" w14:textId="77777777" w:rsidR="003663AF" w:rsidRPr="00B7760C" w:rsidRDefault="003663AF" w:rsidP="003663AF"/>
    <w:p w14:paraId="51DEF8B6" w14:textId="1CC67BBD" w:rsidR="003663AF" w:rsidRPr="00B7760C" w:rsidRDefault="00877691" w:rsidP="003663AF">
      <w:pPr>
        <w:pStyle w:val="AMNumberTabs"/>
      </w:pPr>
      <w:r w:rsidRPr="00B7760C">
        <w:t>Sprememba</w:t>
      </w:r>
      <w:r w:rsidR="003663AF" w:rsidRPr="00B7760C">
        <w:tab/>
      </w:r>
      <w:r w:rsidR="003663AF" w:rsidRPr="00B7760C">
        <w:tab/>
        <w:t>387</w:t>
      </w:r>
    </w:p>
    <w:p w14:paraId="71F84631" w14:textId="77777777" w:rsidR="003663AF" w:rsidRPr="00B7760C" w:rsidRDefault="003663AF" w:rsidP="003663AF">
      <w:pPr>
        <w:pStyle w:val="NormalBold12b"/>
      </w:pPr>
      <w:r w:rsidRPr="00B7760C">
        <w:t>Predlog uredbe</w:t>
      </w:r>
    </w:p>
    <w:p w14:paraId="5CA9AB1A" w14:textId="77777777" w:rsidR="003663AF" w:rsidRPr="00B7760C" w:rsidRDefault="003663AF" w:rsidP="003663AF">
      <w:pPr>
        <w:pStyle w:val="NormalBold"/>
      </w:pPr>
      <w:r w:rsidRPr="00B7760C">
        <w:t>Člen 58 – odstavek 1 – točka d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95041EA" w14:textId="77777777" w:rsidTr="00E804B7">
        <w:trPr>
          <w:trHeight w:hRule="exact" w:val="240"/>
          <w:jc w:val="center"/>
        </w:trPr>
        <w:tc>
          <w:tcPr>
            <w:tcW w:w="9752" w:type="dxa"/>
            <w:gridSpan w:val="2"/>
          </w:tcPr>
          <w:p w14:paraId="7415F476" w14:textId="77777777" w:rsidR="003663AF" w:rsidRPr="00B7760C" w:rsidRDefault="003663AF" w:rsidP="00E804B7"/>
        </w:tc>
      </w:tr>
      <w:tr w:rsidR="003663AF" w:rsidRPr="00B7760C" w14:paraId="7EC4004C" w14:textId="77777777" w:rsidTr="00E804B7">
        <w:trPr>
          <w:trHeight w:val="240"/>
          <w:jc w:val="center"/>
        </w:trPr>
        <w:tc>
          <w:tcPr>
            <w:tcW w:w="4876" w:type="dxa"/>
          </w:tcPr>
          <w:p w14:paraId="66FD68F9" w14:textId="77777777" w:rsidR="003663AF" w:rsidRPr="00B7760C" w:rsidRDefault="003663AF" w:rsidP="00E804B7">
            <w:pPr>
              <w:pStyle w:val="ColumnHeading"/>
            </w:pPr>
            <w:r w:rsidRPr="00B7760C">
              <w:t>Besedilo, ki ga predlaga Komisija</w:t>
            </w:r>
          </w:p>
        </w:tc>
        <w:tc>
          <w:tcPr>
            <w:tcW w:w="4876" w:type="dxa"/>
          </w:tcPr>
          <w:p w14:paraId="22B116CA" w14:textId="0585BB6F" w:rsidR="003663AF" w:rsidRPr="00B7760C" w:rsidRDefault="00877691" w:rsidP="00E804B7">
            <w:pPr>
              <w:pStyle w:val="ColumnHeading"/>
            </w:pPr>
            <w:r w:rsidRPr="00B7760C">
              <w:t>Sprememba</w:t>
            </w:r>
          </w:p>
        </w:tc>
      </w:tr>
      <w:tr w:rsidR="003663AF" w:rsidRPr="00B7760C" w14:paraId="4FC06772" w14:textId="77777777" w:rsidTr="00E804B7">
        <w:trPr>
          <w:jc w:val="center"/>
        </w:trPr>
        <w:tc>
          <w:tcPr>
            <w:tcW w:w="4876" w:type="dxa"/>
          </w:tcPr>
          <w:p w14:paraId="404C574D" w14:textId="77777777" w:rsidR="003663AF" w:rsidRPr="00B7760C" w:rsidRDefault="003663AF" w:rsidP="00E804B7">
            <w:pPr>
              <w:pStyle w:val="Normal6"/>
            </w:pPr>
          </w:p>
        </w:tc>
        <w:tc>
          <w:tcPr>
            <w:tcW w:w="4876" w:type="dxa"/>
          </w:tcPr>
          <w:p w14:paraId="4BBDE9D5" w14:textId="77777777" w:rsidR="003663AF" w:rsidRPr="00B7760C" w:rsidRDefault="003663AF" w:rsidP="00E804B7">
            <w:pPr>
              <w:pStyle w:val="Normal6"/>
            </w:pPr>
            <w:r w:rsidRPr="00B7760C">
              <w:rPr>
                <w:b/>
                <w:i/>
              </w:rPr>
              <w:t>(da)</w:t>
            </w:r>
            <w:r w:rsidRPr="00B7760C">
              <w:tab/>
            </w:r>
            <w:r w:rsidRPr="00B7760C">
              <w:rPr>
                <w:b/>
                <w:i/>
              </w:rPr>
              <w:t>v primeru otoških regij se odstotki iz točk (a) do (d) povečajo za 10 %.</w:t>
            </w:r>
          </w:p>
        </w:tc>
      </w:tr>
    </w:tbl>
    <w:p w14:paraId="234D5CCD" w14:textId="77777777" w:rsidR="003663AF" w:rsidRPr="00B7760C" w:rsidRDefault="003663AF" w:rsidP="003663AF"/>
    <w:p w14:paraId="69EDFCE3" w14:textId="76744685" w:rsidR="003663AF" w:rsidRPr="00B7760C" w:rsidRDefault="00877691" w:rsidP="003663AF">
      <w:pPr>
        <w:pStyle w:val="AMNumberTabs"/>
      </w:pPr>
      <w:r w:rsidRPr="00B7760C">
        <w:t>Sprememba</w:t>
      </w:r>
      <w:r w:rsidR="003663AF" w:rsidRPr="00B7760C">
        <w:tab/>
      </w:r>
      <w:r w:rsidR="003663AF" w:rsidRPr="00B7760C">
        <w:tab/>
        <w:t>388</w:t>
      </w:r>
    </w:p>
    <w:p w14:paraId="6A0B7730" w14:textId="77777777" w:rsidR="003663AF" w:rsidRPr="00B7760C" w:rsidRDefault="003663AF" w:rsidP="003663AF">
      <w:pPr>
        <w:pStyle w:val="NormalBold12b"/>
      </w:pPr>
      <w:r w:rsidRPr="00B7760C">
        <w:t>Predlog uredbe</w:t>
      </w:r>
    </w:p>
    <w:p w14:paraId="54E86DC3" w14:textId="77777777" w:rsidR="003663AF" w:rsidRPr="00B7760C" w:rsidRDefault="003663AF" w:rsidP="003663AF">
      <w:pPr>
        <w:pStyle w:val="NormalBold"/>
      </w:pPr>
      <w:r w:rsidRPr="00B7760C">
        <w:t>Člen 58 – odstavek 3</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1032200" w14:textId="77777777" w:rsidTr="005D1503">
        <w:trPr>
          <w:trHeight w:hRule="exact" w:val="240"/>
          <w:jc w:val="center"/>
        </w:trPr>
        <w:tc>
          <w:tcPr>
            <w:tcW w:w="9752" w:type="dxa"/>
            <w:gridSpan w:val="2"/>
          </w:tcPr>
          <w:p w14:paraId="73C7BF4F" w14:textId="77777777" w:rsidR="003663AF" w:rsidRPr="00B7760C" w:rsidRDefault="003663AF" w:rsidP="00E804B7"/>
        </w:tc>
      </w:tr>
      <w:tr w:rsidR="003663AF" w:rsidRPr="00B7760C" w14:paraId="61C6E46E" w14:textId="77777777" w:rsidTr="005D1503">
        <w:trPr>
          <w:trHeight w:val="240"/>
          <w:jc w:val="center"/>
        </w:trPr>
        <w:tc>
          <w:tcPr>
            <w:tcW w:w="4876" w:type="dxa"/>
          </w:tcPr>
          <w:p w14:paraId="003C2DD9" w14:textId="77777777" w:rsidR="003663AF" w:rsidRPr="00B7760C" w:rsidRDefault="003663AF" w:rsidP="00E804B7">
            <w:pPr>
              <w:pStyle w:val="ColumnHeading"/>
            </w:pPr>
            <w:r w:rsidRPr="00B7760C">
              <w:t>Besedilo, ki ga predlaga Komisija</w:t>
            </w:r>
          </w:p>
        </w:tc>
        <w:tc>
          <w:tcPr>
            <w:tcW w:w="4876" w:type="dxa"/>
          </w:tcPr>
          <w:p w14:paraId="1FB79B20" w14:textId="65C25B2B" w:rsidR="003663AF" w:rsidRPr="00B7760C" w:rsidRDefault="00877691" w:rsidP="00E804B7">
            <w:pPr>
              <w:pStyle w:val="ColumnHeading"/>
            </w:pPr>
            <w:r w:rsidRPr="00B7760C">
              <w:t>Sprememba</w:t>
            </w:r>
          </w:p>
        </w:tc>
      </w:tr>
      <w:tr w:rsidR="003663AF" w:rsidRPr="00B7760C" w14:paraId="3326598A" w14:textId="77777777" w:rsidTr="005D1503">
        <w:trPr>
          <w:jc w:val="center"/>
        </w:trPr>
        <w:tc>
          <w:tcPr>
            <w:tcW w:w="4876" w:type="dxa"/>
          </w:tcPr>
          <w:p w14:paraId="263634F7" w14:textId="77777777" w:rsidR="003663AF" w:rsidRPr="00B7760C" w:rsidRDefault="003663AF" w:rsidP="00E804B7">
            <w:pPr>
              <w:pStyle w:val="Normal6"/>
            </w:pPr>
            <w:r w:rsidRPr="00B7760C">
              <w:rPr>
                <w:b/>
                <w:i/>
              </w:rPr>
              <w:t>3.</w:t>
            </w:r>
            <w:r w:rsidRPr="00B7760C">
              <w:tab/>
            </w:r>
            <w:r w:rsidRPr="00B7760C">
              <w:rPr>
                <w:b/>
                <w:i/>
              </w:rPr>
              <w:t>Države članice zagotovijo dopolnilno financiranje do 50 % stroškov, ki jih ne krije finančna pomoč Unije.</w:t>
            </w:r>
          </w:p>
        </w:tc>
        <w:tc>
          <w:tcPr>
            <w:tcW w:w="4876" w:type="dxa"/>
          </w:tcPr>
          <w:p w14:paraId="089ABBE1" w14:textId="77777777" w:rsidR="003663AF" w:rsidRPr="00B7760C" w:rsidRDefault="003663AF" w:rsidP="00E804B7">
            <w:pPr>
              <w:pStyle w:val="Normal6"/>
            </w:pPr>
            <w:r w:rsidRPr="00B7760C">
              <w:rPr>
                <w:b/>
                <w:i/>
              </w:rPr>
              <w:t>črtano</w:t>
            </w:r>
          </w:p>
        </w:tc>
      </w:tr>
    </w:tbl>
    <w:p w14:paraId="568CEDDD" w14:textId="24C35520" w:rsidR="005D1503" w:rsidRPr="00B7760C" w:rsidRDefault="005D1503" w:rsidP="005D1503">
      <w:pPr>
        <w:pStyle w:val="AMNumberTabs"/>
      </w:pPr>
      <w:r w:rsidRPr="00B7760C">
        <w:t>Spremembi</w:t>
      </w:r>
      <w:r w:rsidRPr="00B7760C">
        <w:tab/>
      </w:r>
      <w:r w:rsidRPr="00B7760C">
        <w:tab/>
        <w:t>824 in 1242</w:t>
      </w:r>
    </w:p>
    <w:p w14:paraId="778E0A61" w14:textId="77777777" w:rsidR="005D1503" w:rsidRPr="00B7760C" w:rsidRDefault="005D1503" w:rsidP="005D1503">
      <w:pPr>
        <w:pStyle w:val="NormalBold12b"/>
      </w:pPr>
      <w:r w:rsidRPr="00B7760C">
        <w:t>Predlog uredbe</w:t>
      </w:r>
    </w:p>
    <w:p w14:paraId="1F3115F0" w14:textId="1668A7E4" w:rsidR="005D1503" w:rsidRPr="00B7760C" w:rsidRDefault="005D1503" w:rsidP="005D1503">
      <w:pPr>
        <w:pStyle w:val="NormalBold"/>
      </w:pPr>
      <w:r w:rsidRPr="00B7760C">
        <w:t>Naslov 3 – poglavje 3 – oddelek 6 a (novo)</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5D1503" w:rsidRPr="00B7760C" w14:paraId="1DE05EFB" w14:textId="77777777" w:rsidTr="005D1503">
        <w:trPr>
          <w:trHeight w:hRule="exact" w:val="240"/>
          <w:jc w:val="center"/>
        </w:trPr>
        <w:tc>
          <w:tcPr>
            <w:tcW w:w="9752" w:type="dxa"/>
            <w:gridSpan w:val="2"/>
          </w:tcPr>
          <w:p w14:paraId="392364D7" w14:textId="77777777" w:rsidR="005D1503" w:rsidRPr="00B7760C" w:rsidRDefault="005D1503" w:rsidP="00517642"/>
        </w:tc>
      </w:tr>
      <w:tr w:rsidR="005D1503" w:rsidRPr="00B7760C" w14:paraId="66F12678" w14:textId="77777777" w:rsidTr="005D1503">
        <w:trPr>
          <w:trHeight w:val="240"/>
          <w:jc w:val="center"/>
        </w:trPr>
        <w:tc>
          <w:tcPr>
            <w:tcW w:w="4876" w:type="dxa"/>
          </w:tcPr>
          <w:p w14:paraId="43A8729D" w14:textId="77777777" w:rsidR="005D1503" w:rsidRPr="00B7760C" w:rsidRDefault="005D1503" w:rsidP="00517642">
            <w:pPr>
              <w:pStyle w:val="ColumnHeading"/>
            </w:pPr>
            <w:r w:rsidRPr="00B7760C">
              <w:t>Besedilo, ki ga predlaga Komisija</w:t>
            </w:r>
          </w:p>
        </w:tc>
        <w:tc>
          <w:tcPr>
            <w:tcW w:w="4876" w:type="dxa"/>
          </w:tcPr>
          <w:p w14:paraId="3041CA0D" w14:textId="77777777" w:rsidR="005D1503" w:rsidRPr="00B7760C" w:rsidRDefault="005D1503" w:rsidP="00517642">
            <w:pPr>
              <w:pStyle w:val="ColumnHeading"/>
            </w:pPr>
            <w:r w:rsidRPr="00B7760C">
              <w:t>Sprememba</w:t>
            </w:r>
          </w:p>
        </w:tc>
      </w:tr>
      <w:tr w:rsidR="005D1503" w:rsidRPr="00B7760C" w14:paraId="01D0F9DF" w14:textId="77777777" w:rsidTr="005D1503">
        <w:trPr>
          <w:trHeight w:val="240"/>
          <w:jc w:val="center"/>
        </w:trPr>
        <w:tc>
          <w:tcPr>
            <w:tcW w:w="4876" w:type="dxa"/>
          </w:tcPr>
          <w:p w14:paraId="348701DF" w14:textId="77777777" w:rsidR="005D1503" w:rsidRPr="00B7760C" w:rsidRDefault="005D1503" w:rsidP="00517642">
            <w:pPr>
              <w:pStyle w:val="ColumnHeading"/>
            </w:pPr>
          </w:p>
        </w:tc>
        <w:tc>
          <w:tcPr>
            <w:tcW w:w="4876" w:type="dxa"/>
          </w:tcPr>
          <w:p w14:paraId="3A5FA1DA" w14:textId="0622F85B" w:rsidR="005D1503" w:rsidRPr="00B7760C" w:rsidRDefault="005D1503" w:rsidP="009A1B1D">
            <w:pPr>
              <w:pStyle w:val="ColumnHeading"/>
              <w:jc w:val="left"/>
              <w:rPr>
                <w:b/>
                <w:bCs/>
              </w:rPr>
            </w:pPr>
            <w:r w:rsidRPr="00B7760C">
              <w:rPr>
                <w:b/>
                <w:bCs/>
              </w:rPr>
              <w:t>O</w:t>
            </w:r>
            <w:r w:rsidR="009A1B1D" w:rsidRPr="00B7760C">
              <w:rPr>
                <w:b/>
                <w:bCs/>
              </w:rPr>
              <w:t>DDELEK</w:t>
            </w:r>
            <w:r w:rsidRPr="00B7760C">
              <w:rPr>
                <w:b/>
                <w:bCs/>
              </w:rPr>
              <w:t xml:space="preserve"> 6a</w:t>
            </w:r>
          </w:p>
        </w:tc>
      </w:tr>
      <w:tr w:rsidR="005D1503" w:rsidRPr="00B7760C" w14:paraId="01C1CE85" w14:textId="77777777" w:rsidTr="005D1503">
        <w:trPr>
          <w:jc w:val="center"/>
        </w:trPr>
        <w:tc>
          <w:tcPr>
            <w:tcW w:w="4876" w:type="dxa"/>
          </w:tcPr>
          <w:p w14:paraId="4C5DA9F3" w14:textId="2E40B9CA" w:rsidR="005D1503" w:rsidRPr="00B7760C" w:rsidRDefault="005D1503" w:rsidP="005D1503">
            <w:pPr>
              <w:pStyle w:val="Normal6"/>
            </w:pPr>
          </w:p>
        </w:tc>
        <w:tc>
          <w:tcPr>
            <w:tcW w:w="4876" w:type="dxa"/>
          </w:tcPr>
          <w:p w14:paraId="404DBFBF" w14:textId="51445CF8" w:rsidR="005D1503" w:rsidRPr="00B7760C" w:rsidRDefault="005D1503" w:rsidP="005D1503">
            <w:pPr>
              <w:pStyle w:val="Normal6"/>
              <w:rPr>
                <w:i/>
              </w:rPr>
            </w:pPr>
            <w:r w:rsidRPr="00B7760C">
              <w:rPr>
                <w:b/>
                <w:i/>
              </w:rPr>
              <w:t>SEKTOR STROČNIC</w:t>
            </w:r>
          </w:p>
        </w:tc>
      </w:tr>
      <w:tr w:rsidR="005D1503" w:rsidRPr="00B7760C" w14:paraId="4ED57794" w14:textId="77777777" w:rsidTr="005D1503">
        <w:trPr>
          <w:jc w:val="center"/>
        </w:trPr>
        <w:tc>
          <w:tcPr>
            <w:tcW w:w="4876" w:type="dxa"/>
          </w:tcPr>
          <w:p w14:paraId="67CC8285" w14:textId="77777777" w:rsidR="005D1503" w:rsidRPr="00B7760C" w:rsidRDefault="005D1503" w:rsidP="005D1503">
            <w:pPr>
              <w:pStyle w:val="Normal6"/>
            </w:pPr>
          </w:p>
        </w:tc>
        <w:tc>
          <w:tcPr>
            <w:tcW w:w="4876" w:type="dxa"/>
          </w:tcPr>
          <w:p w14:paraId="2BB80CF2" w14:textId="6E595688" w:rsidR="005D1503" w:rsidRPr="00B7760C" w:rsidRDefault="005D1503" w:rsidP="005D1503">
            <w:pPr>
              <w:pStyle w:val="Normal6"/>
              <w:rPr>
                <w:b/>
                <w:i/>
              </w:rPr>
            </w:pPr>
            <w:r w:rsidRPr="00B7760C">
              <w:rPr>
                <w:b/>
                <w:i/>
              </w:rPr>
              <w:t>Člen 58a</w:t>
            </w:r>
          </w:p>
        </w:tc>
      </w:tr>
      <w:tr w:rsidR="005D1503" w:rsidRPr="00B7760C" w14:paraId="5BCA6181" w14:textId="77777777" w:rsidTr="005D1503">
        <w:trPr>
          <w:jc w:val="center"/>
        </w:trPr>
        <w:tc>
          <w:tcPr>
            <w:tcW w:w="4876" w:type="dxa"/>
          </w:tcPr>
          <w:p w14:paraId="5100F6A3" w14:textId="77777777" w:rsidR="005D1503" w:rsidRPr="00B7760C" w:rsidRDefault="005D1503" w:rsidP="005D1503">
            <w:pPr>
              <w:pStyle w:val="Normal6"/>
            </w:pPr>
          </w:p>
        </w:tc>
        <w:tc>
          <w:tcPr>
            <w:tcW w:w="4876" w:type="dxa"/>
          </w:tcPr>
          <w:p w14:paraId="2D02B444" w14:textId="7E0B72AB" w:rsidR="005D1503" w:rsidRPr="00B7760C" w:rsidRDefault="005D1503" w:rsidP="005D1503">
            <w:pPr>
              <w:pStyle w:val="Normal6"/>
              <w:rPr>
                <w:b/>
                <w:i/>
              </w:rPr>
            </w:pPr>
            <w:r w:rsidRPr="00B7760C">
              <w:rPr>
                <w:b/>
                <w:i/>
              </w:rPr>
              <w:t>Cilji za sektor stročnic</w:t>
            </w:r>
          </w:p>
        </w:tc>
      </w:tr>
      <w:tr w:rsidR="005D1503" w:rsidRPr="00B7760C" w14:paraId="29D17926" w14:textId="77777777" w:rsidTr="005D1503">
        <w:trPr>
          <w:jc w:val="center"/>
        </w:trPr>
        <w:tc>
          <w:tcPr>
            <w:tcW w:w="4876" w:type="dxa"/>
          </w:tcPr>
          <w:p w14:paraId="20A2F8D9" w14:textId="77777777" w:rsidR="005D1503" w:rsidRPr="00B7760C" w:rsidRDefault="005D1503" w:rsidP="005D1503">
            <w:pPr>
              <w:pStyle w:val="Normal6"/>
            </w:pPr>
          </w:p>
        </w:tc>
        <w:tc>
          <w:tcPr>
            <w:tcW w:w="4876" w:type="dxa"/>
          </w:tcPr>
          <w:p w14:paraId="27314FDC" w14:textId="4AA51341" w:rsidR="005D1503" w:rsidRPr="00B7760C" w:rsidRDefault="005D1503" w:rsidP="005D1503">
            <w:pPr>
              <w:pStyle w:val="Normal6"/>
              <w:rPr>
                <w:b/>
                <w:i/>
              </w:rPr>
            </w:pPr>
            <w:r w:rsidRPr="00B7760C">
              <w:rPr>
                <w:b/>
                <w:i/>
              </w:rPr>
              <w:t>Države članice si poleg splošnih ciljev iz členov 5 in 6 prizadevajo v sektorju stročnic uresničiti te cilje:</w:t>
            </w:r>
          </w:p>
        </w:tc>
      </w:tr>
      <w:tr w:rsidR="005D1503" w:rsidRPr="00B7760C" w14:paraId="432C813D" w14:textId="77777777" w:rsidTr="005D1503">
        <w:trPr>
          <w:jc w:val="center"/>
        </w:trPr>
        <w:tc>
          <w:tcPr>
            <w:tcW w:w="4876" w:type="dxa"/>
          </w:tcPr>
          <w:p w14:paraId="4F49C0C7" w14:textId="77777777" w:rsidR="005D1503" w:rsidRPr="00B7760C" w:rsidRDefault="005D1503" w:rsidP="005D1503">
            <w:pPr>
              <w:pStyle w:val="Normal6"/>
            </w:pPr>
          </w:p>
        </w:tc>
        <w:tc>
          <w:tcPr>
            <w:tcW w:w="4876" w:type="dxa"/>
          </w:tcPr>
          <w:p w14:paraId="5B756EE7" w14:textId="0D05B0A8" w:rsidR="005D1503" w:rsidRPr="00B7760C" w:rsidRDefault="005D1503" w:rsidP="005D1503">
            <w:pPr>
              <w:pStyle w:val="Normal6"/>
              <w:rPr>
                <w:b/>
                <w:i/>
              </w:rPr>
            </w:pPr>
            <w:r w:rsidRPr="00B7760C">
              <w:rPr>
                <w:b/>
                <w:i/>
              </w:rPr>
              <w:t>(a)</w:t>
            </w:r>
            <w:r w:rsidRPr="00B7760C">
              <w:rPr>
                <w:b/>
                <w:i/>
              </w:rPr>
              <w:tab/>
              <w:t>shema povečuje trajnostno proizvodnjo in potrošnjo stročnic po vsej Uniji, da bi se povečala samooskrba s hrano in krmo v skladu s cilji iz Priloge I;</w:t>
            </w:r>
          </w:p>
        </w:tc>
      </w:tr>
      <w:tr w:rsidR="005D1503" w:rsidRPr="00B7760C" w14:paraId="5F757FCA" w14:textId="77777777" w:rsidTr="005D1503">
        <w:trPr>
          <w:jc w:val="center"/>
        </w:trPr>
        <w:tc>
          <w:tcPr>
            <w:tcW w:w="4876" w:type="dxa"/>
          </w:tcPr>
          <w:p w14:paraId="762A0037" w14:textId="77777777" w:rsidR="005D1503" w:rsidRPr="00B7760C" w:rsidRDefault="005D1503" w:rsidP="005D1503">
            <w:pPr>
              <w:pStyle w:val="Normal6"/>
            </w:pPr>
          </w:p>
        </w:tc>
        <w:tc>
          <w:tcPr>
            <w:tcW w:w="4876" w:type="dxa"/>
          </w:tcPr>
          <w:p w14:paraId="44572D66" w14:textId="651873A5" w:rsidR="005D1503" w:rsidRPr="00B7760C" w:rsidRDefault="005D1503" w:rsidP="005D1503">
            <w:pPr>
              <w:pStyle w:val="Normal6"/>
              <w:rPr>
                <w:b/>
                <w:i/>
              </w:rPr>
            </w:pPr>
            <w:r w:rsidRPr="00B7760C">
              <w:rPr>
                <w:b/>
                <w:i/>
              </w:rPr>
              <w:t>(b)</w:t>
            </w:r>
            <w:r w:rsidRPr="00B7760C">
              <w:rPr>
                <w:b/>
                <w:i/>
              </w:rPr>
              <w:tab/>
              <w:t>zmanjšanje odvisnosti od koncentrirane mešanice krme, ki vsebuje sojo, zlasti uvoženo sojo, ki izvira z zemljišč, na katerih je bil gozd nedavno izkrčen ali je bila njihova raba spremenjena, in sicer v skladu s ciljem trajnostnega razvoja št. 15, zavezo Unije na področju krčenja gozdov in obstoječo zavezo zasebnih družb, da ne bodo krčile gozdov;</w:t>
            </w:r>
          </w:p>
        </w:tc>
      </w:tr>
      <w:tr w:rsidR="005D1503" w:rsidRPr="00B7760C" w14:paraId="4D264524" w14:textId="77777777" w:rsidTr="005D1503">
        <w:trPr>
          <w:jc w:val="center"/>
        </w:trPr>
        <w:tc>
          <w:tcPr>
            <w:tcW w:w="4876" w:type="dxa"/>
          </w:tcPr>
          <w:p w14:paraId="13E356D8" w14:textId="77777777" w:rsidR="005D1503" w:rsidRPr="00B7760C" w:rsidRDefault="005D1503" w:rsidP="005D1503">
            <w:pPr>
              <w:pStyle w:val="Normal6"/>
            </w:pPr>
          </w:p>
        </w:tc>
        <w:tc>
          <w:tcPr>
            <w:tcW w:w="4876" w:type="dxa"/>
          </w:tcPr>
          <w:p w14:paraId="13876B26" w14:textId="16093862" w:rsidR="005D1503" w:rsidRPr="00B7760C" w:rsidRDefault="005D1503" w:rsidP="005D1503">
            <w:pPr>
              <w:pStyle w:val="Normal6"/>
              <w:rPr>
                <w:b/>
                <w:i/>
              </w:rPr>
            </w:pPr>
            <w:r w:rsidRPr="00B7760C">
              <w:rPr>
                <w:b/>
                <w:i/>
              </w:rPr>
              <w:t>(c)</w:t>
            </w:r>
            <w:r w:rsidRPr="00B7760C">
              <w:rPr>
                <w:b/>
                <w:i/>
              </w:rPr>
              <w:tab/>
              <w:t>zaprtje krogotokov hranil in njihovo omejevanje na ravni lokalnih in regionalnih povodij v skladu z Direktivo 2000/60/ES;</w:t>
            </w:r>
          </w:p>
        </w:tc>
      </w:tr>
      <w:tr w:rsidR="005D1503" w:rsidRPr="00B7760C" w14:paraId="17D6D343" w14:textId="77777777" w:rsidTr="005D1503">
        <w:trPr>
          <w:jc w:val="center"/>
        </w:trPr>
        <w:tc>
          <w:tcPr>
            <w:tcW w:w="4876" w:type="dxa"/>
          </w:tcPr>
          <w:p w14:paraId="04217D5B" w14:textId="77777777" w:rsidR="005D1503" w:rsidRPr="00B7760C" w:rsidRDefault="005D1503" w:rsidP="005D1503">
            <w:pPr>
              <w:pStyle w:val="Normal6"/>
            </w:pPr>
          </w:p>
        </w:tc>
        <w:tc>
          <w:tcPr>
            <w:tcW w:w="4876" w:type="dxa"/>
          </w:tcPr>
          <w:p w14:paraId="13D2C4DB" w14:textId="7628FCF3" w:rsidR="005D1503" w:rsidRPr="00B7760C" w:rsidRDefault="005D1503" w:rsidP="005D1503">
            <w:pPr>
              <w:pStyle w:val="Normal6"/>
              <w:rPr>
                <w:b/>
                <w:i/>
              </w:rPr>
            </w:pPr>
            <w:r w:rsidRPr="00B7760C">
              <w:rPr>
                <w:b/>
                <w:i/>
              </w:rPr>
              <w:t>(d)</w:t>
            </w:r>
            <w:r w:rsidRPr="00B7760C">
              <w:rPr>
                <w:b/>
                <w:i/>
              </w:rPr>
              <w:tab/>
              <w:t>spodbujanje lokalnih in regionalnih trgov z živili in krmo ter lokalno prilagojenih sort semen z nizkimi vložki.</w:t>
            </w:r>
          </w:p>
        </w:tc>
      </w:tr>
      <w:tr w:rsidR="005D1503" w:rsidRPr="00B7760C" w14:paraId="0A31000F" w14:textId="77777777" w:rsidTr="005D1503">
        <w:trPr>
          <w:jc w:val="center"/>
        </w:trPr>
        <w:tc>
          <w:tcPr>
            <w:tcW w:w="4876" w:type="dxa"/>
          </w:tcPr>
          <w:p w14:paraId="089A7133" w14:textId="77777777" w:rsidR="005D1503" w:rsidRPr="00B7760C" w:rsidRDefault="005D1503" w:rsidP="005D1503">
            <w:pPr>
              <w:pStyle w:val="Normal6"/>
            </w:pPr>
          </w:p>
        </w:tc>
        <w:tc>
          <w:tcPr>
            <w:tcW w:w="4876" w:type="dxa"/>
          </w:tcPr>
          <w:p w14:paraId="27F557AB" w14:textId="14DBF720" w:rsidR="005D1503" w:rsidRPr="00B7760C" w:rsidRDefault="005D1503" w:rsidP="005D1503">
            <w:pPr>
              <w:pStyle w:val="Normal6"/>
              <w:rPr>
                <w:b/>
                <w:i/>
              </w:rPr>
            </w:pPr>
            <w:r w:rsidRPr="00B7760C">
              <w:rPr>
                <w:b/>
                <w:i/>
              </w:rPr>
              <w:t>Ukrepi, ki se financirajo v tem sektorju, so skladni s podnebnimi in okoljskimi zavezami ter zakonodajo Unije, poleg tega pa ne povzročajo neposrednih ali posrednih sprememb v rabi zemljišč, saj imajo resnično pozitiven učinek na svetovne emisije toplogrednih plinov v skladu z modelom globalnega upravljanja biosfere (GLOBIOM).</w:t>
            </w:r>
          </w:p>
        </w:tc>
      </w:tr>
      <w:tr w:rsidR="005D1503" w:rsidRPr="00B7760C" w14:paraId="53D6892D" w14:textId="77777777" w:rsidTr="005D1503">
        <w:trPr>
          <w:jc w:val="center"/>
        </w:trPr>
        <w:tc>
          <w:tcPr>
            <w:tcW w:w="4876" w:type="dxa"/>
          </w:tcPr>
          <w:p w14:paraId="224AAD96" w14:textId="77777777" w:rsidR="005D1503" w:rsidRPr="00B7760C" w:rsidRDefault="005D1503" w:rsidP="005D1503">
            <w:pPr>
              <w:pStyle w:val="Normal6"/>
            </w:pPr>
          </w:p>
        </w:tc>
        <w:tc>
          <w:tcPr>
            <w:tcW w:w="4876" w:type="dxa"/>
          </w:tcPr>
          <w:p w14:paraId="25F219DA" w14:textId="68595A0A" w:rsidR="005D1503" w:rsidRPr="00B7760C" w:rsidRDefault="005D1503" w:rsidP="005D1503">
            <w:pPr>
              <w:pStyle w:val="Normal6"/>
              <w:rPr>
                <w:b/>
                <w:i/>
              </w:rPr>
            </w:pPr>
            <w:r w:rsidRPr="00B7760C">
              <w:rPr>
                <w:b/>
                <w:i/>
              </w:rPr>
              <w:t>Člen 58b</w:t>
            </w:r>
          </w:p>
        </w:tc>
      </w:tr>
      <w:tr w:rsidR="005D1503" w:rsidRPr="00B7760C" w14:paraId="3E5F805F" w14:textId="77777777" w:rsidTr="005D1503">
        <w:trPr>
          <w:jc w:val="center"/>
        </w:trPr>
        <w:tc>
          <w:tcPr>
            <w:tcW w:w="4876" w:type="dxa"/>
          </w:tcPr>
          <w:p w14:paraId="34C46506" w14:textId="77777777" w:rsidR="005D1503" w:rsidRPr="00B7760C" w:rsidRDefault="005D1503" w:rsidP="005D1503">
            <w:pPr>
              <w:pStyle w:val="Normal6"/>
            </w:pPr>
          </w:p>
        </w:tc>
        <w:tc>
          <w:tcPr>
            <w:tcW w:w="4876" w:type="dxa"/>
          </w:tcPr>
          <w:p w14:paraId="6D645D63" w14:textId="70CC9B71" w:rsidR="005D1503" w:rsidRPr="00B7760C" w:rsidRDefault="005D1503" w:rsidP="005D1503">
            <w:pPr>
              <w:pStyle w:val="Normal6"/>
              <w:rPr>
                <w:b/>
                <w:i/>
              </w:rPr>
            </w:pPr>
            <w:r w:rsidRPr="00B7760C">
              <w:rPr>
                <w:b/>
                <w:i/>
              </w:rPr>
              <w:t>Vrste intervencij</w:t>
            </w:r>
          </w:p>
        </w:tc>
      </w:tr>
      <w:tr w:rsidR="005D1503" w:rsidRPr="00B7760C" w14:paraId="44620E42" w14:textId="77777777" w:rsidTr="005D1503">
        <w:trPr>
          <w:jc w:val="center"/>
        </w:trPr>
        <w:tc>
          <w:tcPr>
            <w:tcW w:w="4876" w:type="dxa"/>
          </w:tcPr>
          <w:p w14:paraId="641B88F6" w14:textId="77777777" w:rsidR="005D1503" w:rsidRPr="00B7760C" w:rsidRDefault="005D1503" w:rsidP="005D1503">
            <w:pPr>
              <w:pStyle w:val="Normal6"/>
            </w:pPr>
          </w:p>
        </w:tc>
        <w:tc>
          <w:tcPr>
            <w:tcW w:w="4876" w:type="dxa"/>
          </w:tcPr>
          <w:p w14:paraId="0F622CEC" w14:textId="00C9E07C" w:rsidR="005D1503" w:rsidRPr="00B7760C" w:rsidRDefault="005D1503" w:rsidP="005D1503">
            <w:pPr>
              <w:pStyle w:val="Normal6"/>
              <w:rPr>
                <w:b/>
                <w:i/>
              </w:rPr>
            </w:pPr>
            <w:r w:rsidRPr="00B7760C">
              <w:rPr>
                <w:b/>
                <w:i/>
              </w:rPr>
              <w:t>Države članice v zvezi s cilji iz člena 58a v svojih strateških načrtih SKP izberejo eno ali več naslednjih vrst intervencij:</w:t>
            </w:r>
          </w:p>
        </w:tc>
      </w:tr>
      <w:tr w:rsidR="005D1503" w:rsidRPr="00B7760C" w14:paraId="0C67FDF5" w14:textId="77777777" w:rsidTr="005D1503">
        <w:trPr>
          <w:jc w:val="center"/>
        </w:trPr>
        <w:tc>
          <w:tcPr>
            <w:tcW w:w="4876" w:type="dxa"/>
          </w:tcPr>
          <w:p w14:paraId="163DA46B" w14:textId="77777777" w:rsidR="005D1503" w:rsidRPr="00B7760C" w:rsidRDefault="005D1503" w:rsidP="005D1503">
            <w:pPr>
              <w:pStyle w:val="Normal6"/>
            </w:pPr>
          </w:p>
        </w:tc>
        <w:tc>
          <w:tcPr>
            <w:tcW w:w="4876" w:type="dxa"/>
          </w:tcPr>
          <w:p w14:paraId="55D94CE6" w14:textId="66F163B3" w:rsidR="005D1503" w:rsidRPr="00B7760C" w:rsidRDefault="005D1503" w:rsidP="005D1503">
            <w:pPr>
              <w:pStyle w:val="Normal6"/>
              <w:rPr>
                <w:b/>
                <w:i/>
              </w:rPr>
            </w:pPr>
            <w:r w:rsidRPr="00B7760C">
              <w:rPr>
                <w:b/>
                <w:i/>
              </w:rPr>
              <w:t>(a)</w:t>
            </w:r>
            <w:r w:rsidRPr="00B7760C">
              <w:rPr>
                <w:b/>
                <w:i/>
              </w:rPr>
              <w:tab/>
              <w:t>naložbe v opredmetena in neopredmetena sredstva; raziskave in poskusna proizvodnja ter drugi ukrepi, vključno z ukrepi za:</w:t>
            </w:r>
          </w:p>
        </w:tc>
      </w:tr>
      <w:tr w:rsidR="005D1503" w:rsidRPr="00B7760C" w14:paraId="653E293E" w14:textId="77777777" w:rsidTr="005D1503">
        <w:trPr>
          <w:jc w:val="center"/>
        </w:trPr>
        <w:tc>
          <w:tcPr>
            <w:tcW w:w="4876" w:type="dxa"/>
          </w:tcPr>
          <w:p w14:paraId="21AAADB4" w14:textId="77777777" w:rsidR="005D1503" w:rsidRPr="00B7760C" w:rsidRDefault="005D1503" w:rsidP="005D1503">
            <w:pPr>
              <w:pStyle w:val="Normal6"/>
            </w:pPr>
          </w:p>
        </w:tc>
        <w:tc>
          <w:tcPr>
            <w:tcW w:w="4876" w:type="dxa"/>
          </w:tcPr>
          <w:p w14:paraId="2BD6A9D5" w14:textId="2A40A577" w:rsidR="005D1503" w:rsidRPr="00B7760C" w:rsidRDefault="005D1503" w:rsidP="005D1503">
            <w:pPr>
              <w:pStyle w:val="Normal6"/>
              <w:rPr>
                <w:b/>
                <w:i/>
              </w:rPr>
            </w:pPr>
            <w:r w:rsidRPr="00B7760C">
              <w:rPr>
                <w:b/>
                <w:i/>
              </w:rPr>
              <w:t>(i)</w:t>
            </w:r>
            <w:r w:rsidRPr="00B7760C">
              <w:rPr>
                <w:b/>
                <w:i/>
              </w:rPr>
              <w:tab/>
              <w:t>ohranjanje tal, vključno z dejanskim in dokazanim povečanjem zalog ogljika v tleh, brez sistemske uporabe pesticidov;</w:t>
            </w:r>
          </w:p>
        </w:tc>
      </w:tr>
      <w:tr w:rsidR="005D1503" w:rsidRPr="00B7760C" w14:paraId="603CE5B4" w14:textId="77777777" w:rsidTr="005D1503">
        <w:trPr>
          <w:jc w:val="center"/>
        </w:trPr>
        <w:tc>
          <w:tcPr>
            <w:tcW w:w="4876" w:type="dxa"/>
          </w:tcPr>
          <w:p w14:paraId="17E65E9F" w14:textId="77777777" w:rsidR="005D1503" w:rsidRPr="00B7760C" w:rsidRDefault="005D1503" w:rsidP="005D1503">
            <w:pPr>
              <w:pStyle w:val="Normal6"/>
            </w:pPr>
          </w:p>
        </w:tc>
        <w:tc>
          <w:tcPr>
            <w:tcW w:w="4876" w:type="dxa"/>
          </w:tcPr>
          <w:p w14:paraId="7BC8C510" w14:textId="1BBB6B1A" w:rsidR="005D1503" w:rsidRPr="00B7760C" w:rsidRDefault="005D1503" w:rsidP="005D1503">
            <w:pPr>
              <w:pStyle w:val="Normal6"/>
              <w:rPr>
                <w:b/>
                <w:i/>
              </w:rPr>
            </w:pPr>
            <w:r w:rsidRPr="00B7760C">
              <w:rPr>
                <w:b/>
                <w:i/>
              </w:rPr>
              <w:t>(ii)</w:t>
            </w:r>
            <w:r w:rsidRPr="00B7760C">
              <w:rPr>
                <w:b/>
                <w:i/>
              </w:rPr>
              <w:tab/>
              <w:t>učinkovitejša in gospodarnejša raba vode, vključno z varčevanjem z njo;</w:t>
            </w:r>
          </w:p>
        </w:tc>
      </w:tr>
      <w:tr w:rsidR="005D1503" w:rsidRPr="00B7760C" w14:paraId="0FD503F6" w14:textId="77777777" w:rsidTr="005D1503">
        <w:trPr>
          <w:jc w:val="center"/>
        </w:trPr>
        <w:tc>
          <w:tcPr>
            <w:tcW w:w="4876" w:type="dxa"/>
          </w:tcPr>
          <w:p w14:paraId="00DA3EBB" w14:textId="77777777" w:rsidR="005D1503" w:rsidRPr="00B7760C" w:rsidRDefault="005D1503" w:rsidP="005D1503">
            <w:pPr>
              <w:pStyle w:val="Normal6"/>
            </w:pPr>
          </w:p>
        </w:tc>
        <w:tc>
          <w:tcPr>
            <w:tcW w:w="4876" w:type="dxa"/>
          </w:tcPr>
          <w:p w14:paraId="4FA53452" w14:textId="4915CB26" w:rsidR="005D1503" w:rsidRPr="00B7760C" w:rsidRDefault="005D1503" w:rsidP="005D1503">
            <w:pPr>
              <w:pStyle w:val="Normal6"/>
              <w:rPr>
                <w:b/>
                <w:i/>
              </w:rPr>
            </w:pPr>
            <w:r w:rsidRPr="00B7760C">
              <w:rPr>
                <w:b/>
                <w:i/>
              </w:rPr>
              <w:t>(iii)</w:t>
            </w:r>
            <w:r w:rsidRPr="00B7760C">
              <w:rPr>
                <w:b/>
                <w:i/>
              </w:rPr>
              <w:tab/>
              <w:t>spodbujanje uporabe vrst in prakse gospodarjenja, ki se prilagajajo spreminjajočim se podnebnim razmeram;</w:t>
            </w:r>
          </w:p>
        </w:tc>
      </w:tr>
      <w:tr w:rsidR="005D1503" w:rsidRPr="00B7760C" w14:paraId="49EA1C4A" w14:textId="77777777" w:rsidTr="005D1503">
        <w:trPr>
          <w:jc w:val="center"/>
        </w:trPr>
        <w:tc>
          <w:tcPr>
            <w:tcW w:w="4876" w:type="dxa"/>
          </w:tcPr>
          <w:p w14:paraId="53C6E5F4" w14:textId="77777777" w:rsidR="005D1503" w:rsidRPr="00B7760C" w:rsidRDefault="005D1503" w:rsidP="005D1503">
            <w:pPr>
              <w:pStyle w:val="Normal6"/>
            </w:pPr>
          </w:p>
        </w:tc>
        <w:tc>
          <w:tcPr>
            <w:tcW w:w="4876" w:type="dxa"/>
          </w:tcPr>
          <w:p w14:paraId="107093FD" w14:textId="59409CA5" w:rsidR="005D1503" w:rsidRPr="00B7760C" w:rsidRDefault="005D1503" w:rsidP="005D1503">
            <w:pPr>
              <w:pStyle w:val="Normal6"/>
              <w:rPr>
                <w:b/>
                <w:i/>
              </w:rPr>
            </w:pPr>
            <w:r w:rsidRPr="00B7760C">
              <w:rPr>
                <w:b/>
                <w:i/>
              </w:rPr>
              <w:t>(iv)</w:t>
            </w:r>
            <w:r w:rsidRPr="00B7760C">
              <w:rPr>
                <w:b/>
                <w:i/>
              </w:rPr>
              <w:tab/>
              <w:t>izboljšanje gospodarjenja, da bi se povečala odpornost kmetijskih rastlin na škodljivce in zmanjšala dovzetnost za škodljivce;</w:t>
            </w:r>
          </w:p>
        </w:tc>
      </w:tr>
      <w:tr w:rsidR="005D1503" w:rsidRPr="00B7760C" w14:paraId="118E16EE" w14:textId="77777777" w:rsidTr="005D1503">
        <w:trPr>
          <w:jc w:val="center"/>
        </w:trPr>
        <w:tc>
          <w:tcPr>
            <w:tcW w:w="4876" w:type="dxa"/>
          </w:tcPr>
          <w:p w14:paraId="6872173B" w14:textId="77777777" w:rsidR="005D1503" w:rsidRPr="00B7760C" w:rsidRDefault="005D1503" w:rsidP="005D1503">
            <w:pPr>
              <w:pStyle w:val="Normal6"/>
            </w:pPr>
          </w:p>
        </w:tc>
        <w:tc>
          <w:tcPr>
            <w:tcW w:w="4876" w:type="dxa"/>
          </w:tcPr>
          <w:p w14:paraId="7BF217F5" w14:textId="4D6DB66B" w:rsidR="005D1503" w:rsidRPr="00B7760C" w:rsidRDefault="005D1503" w:rsidP="005D1503">
            <w:pPr>
              <w:pStyle w:val="Normal6"/>
              <w:rPr>
                <w:b/>
                <w:i/>
              </w:rPr>
            </w:pPr>
            <w:r w:rsidRPr="00B7760C">
              <w:rPr>
                <w:b/>
                <w:i/>
              </w:rPr>
              <w:t>(v)</w:t>
            </w:r>
            <w:r w:rsidRPr="00B7760C">
              <w:rPr>
                <w:b/>
                <w:i/>
              </w:rPr>
              <w:tab/>
              <w:t>zmanjšanje uporabe pesticidov in odvisnosti od njih;</w:t>
            </w:r>
          </w:p>
        </w:tc>
      </w:tr>
      <w:tr w:rsidR="005D1503" w:rsidRPr="00B7760C" w14:paraId="5DEEAEF7" w14:textId="77777777" w:rsidTr="005D1503">
        <w:trPr>
          <w:jc w:val="center"/>
        </w:trPr>
        <w:tc>
          <w:tcPr>
            <w:tcW w:w="4876" w:type="dxa"/>
          </w:tcPr>
          <w:p w14:paraId="1FF21F9F" w14:textId="77777777" w:rsidR="005D1503" w:rsidRPr="00B7760C" w:rsidRDefault="005D1503" w:rsidP="005D1503">
            <w:pPr>
              <w:pStyle w:val="Normal6"/>
            </w:pPr>
          </w:p>
        </w:tc>
        <w:tc>
          <w:tcPr>
            <w:tcW w:w="4876" w:type="dxa"/>
          </w:tcPr>
          <w:p w14:paraId="26B3E1EB" w14:textId="15B8A80D" w:rsidR="005D1503" w:rsidRPr="00B7760C" w:rsidRDefault="005D1503" w:rsidP="005D1503">
            <w:pPr>
              <w:pStyle w:val="Normal6"/>
              <w:rPr>
                <w:b/>
                <w:i/>
              </w:rPr>
            </w:pPr>
            <w:r w:rsidRPr="00B7760C">
              <w:rPr>
                <w:b/>
                <w:i/>
              </w:rPr>
              <w:t>(vi)</w:t>
            </w:r>
            <w:r w:rsidRPr="00B7760C">
              <w:rPr>
                <w:b/>
                <w:i/>
              </w:rPr>
              <w:tab/>
              <w:t>ustvarjanje in ohranjanje kmetijskih habitatov, ki spodbujajo biotsko raznovrstnost, brez uporabe pesticidov;</w:t>
            </w:r>
          </w:p>
        </w:tc>
      </w:tr>
      <w:tr w:rsidR="005D1503" w:rsidRPr="00B7760C" w14:paraId="0CF20B1D" w14:textId="77777777" w:rsidTr="005D1503">
        <w:trPr>
          <w:jc w:val="center"/>
        </w:trPr>
        <w:tc>
          <w:tcPr>
            <w:tcW w:w="4876" w:type="dxa"/>
          </w:tcPr>
          <w:p w14:paraId="0B0391EB" w14:textId="77777777" w:rsidR="005D1503" w:rsidRPr="00B7760C" w:rsidRDefault="005D1503" w:rsidP="005D1503">
            <w:pPr>
              <w:pStyle w:val="Normal6"/>
            </w:pPr>
          </w:p>
        </w:tc>
        <w:tc>
          <w:tcPr>
            <w:tcW w:w="4876" w:type="dxa"/>
          </w:tcPr>
          <w:p w14:paraId="23018903" w14:textId="2443C1DF" w:rsidR="005D1503" w:rsidRPr="00B7760C" w:rsidRDefault="005D1503" w:rsidP="005D1503">
            <w:pPr>
              <w:pStyle w:val="Normal6"/>
              <w:rPr>
                <w:b/>
                <w:i/>
              </w:rPr>
            </w:pPr>
            <w:r w:rsidRPr="00B7760C">
              <w:rPr>
                <w:b/>
                <w:i/>
              </w:rPr>
              <w:t>(b)</w:t>
            </w:r>
            <w:r w:rsidRPr="00B7760C">
              <w:rPr>
                <w:b/>
                <w:i/>
              </w:rPr>
              <w:tab/>
              <w:t>svetovalne storitve in tehnična pomoč, zlasti v zvezi z blaženjem podnebnih sprememb in prilagajanjem nanje ter kmetovo izbiro najustreznejšega kolobarjenja poljščin;</w:t>
            </w:r>
          </w:p>
        </w:tc>
      </w:tr>
      <w:tr w:rsidR="005D1503" w:rsidRPr="00B7760C" w14:paraId="564DDA6E" w14:textId="77777777" w:rsidTr="005D1503">
        <w:trPr>
          <w:jc w:val="center"/>
        </w:trPr>
        <w:tc>
          <w:tcPr>
            <w:tcW w:w="4876" w:type="dxa"/>
          </w:tcPr>
          <w:p w14:paraId="40BF256D" w14:textId="77777777" w:rsidR="005D1503" w:rsidRPr="00B7760C" w:rsidRDefault="005D1503" w:rsidP="005D1503">
            <w:pPr>
              <w:pStyle w:val="Normal6"/>
            </w:pPr>
          </w:p>
        </w:tc>
        <w:tc>
          <w:tcPr>
            <w:tcW w:w="4876" w:type="dxa"/>
          </w:tcPr>
          <w:p w14:paraId="000B8DDC" w14:textId="66587156" w:rsidR="005D1503" w:rsidRPr="00B7760C" w:rsidRDefault="005D1503" w:rsidP="005D1503">
            <w:pPr>
              <w:pStyle w:val="Normal6"/>
              <w:rPr>
                <w:b/>
                <w:i/>
              </w:rPr>
            </w:pPr>
            <w:r w:rsidRPr="00B7760C">
              <w:rPr>
                <w:b/>
                <w:i/>
              </w:rPr>
              <w:t>(c)</w:t>
            </w:r>
            <w:r w:rsidRPr="00B7760C">
              <w:rPr>
                <w:b/>
                <w:i/>
              </w:rPr>
              <w:tab/>
              <w:t>usposabljanje, vključno z mentorstvom in izmenjavo dobrih praks;</w:t>
            </w:r>
          </w:p>
        </w:tc>
      </w:tr>
      <w:tr w:rsidR="005D1503" w:rsidRPr="00B7760C" w14:paraId="18907ED3" w14:textId="77777777" w:rsidTr="005D1503">
        <w:trPr>
          <w:jc w:val="center"/>
        </w:trPr>
        <w:tc>
          <w:tcPr>
            <w:tcW w:w="4876" w:type="dxa"/>
          </w:tcPr>
          <w:p w14:paraId="311033FF" w14:textId="77777777" w:rsidR="005D1503" w:rsidRPr="00B7760C" w:rsidRDefault="005D1503" w:rsidP="005D1503">
            <w:pPr>
              <w:pStyle w:val="Normal6"/>
            </w:pPr>
          </w:p>
        </w:tc>
        <w:tc>
          <w:tcPr>
            <w:tcW w:w="4876" w:type="dxa"/>
          </w:tcPr>
          <w:p w14:paraId="55A791C8" w14:textId="1A2FBAC2" w:rsidR="005D1503" w:rsidRPr="00B7760C" w:rsidRDefault="005D1503" w:rsidP="005D1503">
            <w:pPr>
              <w:pStyle w:val="Normal6"/>
              <w:rPr>
                <w:b/>
                <w:i/>
              </w:rPr>
            </w:pPr>
            <w:r w:rsidRPr="00B7760C">
              <w:rPr>
                <w:b/>
                <w:i/>
              </w:rPr>
              <w:t>(d)</w:t>
            </w:r>
            <w:r w:rsidRPr="00B7760C">
              <w:rPr>
                <w:b/>
                <w:i/>
              </w:rPr>
              <w:tab/>
              <w:t>ekološka pridelava in tehnike;</w:t>
            </w:r>
          </w:p>
        </w:tc>
      </w:tr>
      <w:tr w:rsidR="005D1503" w:rsidRPr="00B7760C" w14:paraId="16C6EA43" w14:textId="77777777" w:rsidTr="005D1503">
        <w:trPr>
          <w:jc w:val="center"/>
        </w:trPr>
        <w:tc>
          <w:tcPr>
            <w:tcW w:w="4876" w:type="dxa"/>
          </w:tcPr>
          <w:p w14:paraId="2D50EC10" w14:textId="77777777" w:rsidR="005D1503" w:rsidRPr="00B7760C" w:rsidRDefault="005D1503" w:rsidP="005D1503">
            <w:pPr>
              <w:pStyle w:val="Normal6"/>
            </w:pPr>
          </w:p>
        </w:tc>
        <w:tc>
          <w:tcPr>
            <w:tcW w:w="4876" w:type="dxa"/>
          </w:tcPr>
          <w:p w14:paraId="147CE76D" w14:textId="45A68C7C" w:rsidR="005D1503" w:rsidRPr="00B7760C" w:rsidRDefault="005D1503" w:rsidP="005D1503">
            <w:pPr>
              <w:pStyle w:val="Normal6"/>
              <w:rPr>
                <w:b/>
                <w:i/>
              </w:rPr>
            </w:pPr>
            <w:r w:rsidRPr="00B7760C">
              <w:rPr>
                <w:b/>
                <w:i/>
              </w:rPr>
              <w:t>(e)</w:t>
            </w:r>
            <w:r w:rsidRPr="00B7760C">
              <w:rPr>
                <w:b/>
                <w:i/>
              </w:rPr>
              <w:tab/>
              <w:t>ukrepi za povečanje trajnostnosti in učinkovitosti prevoza ter skladiščenja proizvodov.</w:t>
            </w:r>
          </w:p>
        </w:tc>
      </w:tr>
    </w:tbl>
    <w:p w14:paraId="0AA5BF5B" w14:textId="77777777" w:rsidR="00262443" w:rsidRPr="00B7760C" w:rsidRDefault="00262443" w:rsidP="003663AF"/>
    <w:p w14:paraId="511B440A" w14:textId="6C306E63" w:rsidR="003663AF" w:rsidRPr="00B7760C" w:rsidRDefault="00877691" w:rsidP="003663AF">
      <w:pPr>
        <w:pStyle w:val="AMNumberTabs"/>
        <w:keepNext/>
      </w:pPr>
      <w:r w:rsidRPr="00B7760C">
        <w:t>Sprememba</w:t>
      </w:r>
      <w:r w:rsidR="003663AF" w:rsidRPr="00B7760C">
        <w:tab/>
      </w:r>
      <w:r w:rsidR="003663AF" w:rsidRPr="00B7760C">
        <w:tab/>
        <w:t>389</w:t>
      </w:r>
    </w:p>
    <w:p w14:paraId="1E0E24DA" w14:textId="77777777" w:rsidR="003663AF" w:rsidRPr="00B7760C" w:rsidRDefault="003663AF" w:rsidP="003663AF">
      <w:pPr>
        <w:pStyle w:val="NormalBold12b"/>
      </w:pPr>
      <w:r w:rsidRPr="00B7760C">
        <w:t>Predlog uredbe</w:t>
      </w:r>
    </w:p>
    <w:p w14:paraId="1FA88448" w14:textId="77777777" w:rsidR="003663AF" w:rsidRPr="00B7760C" w:rsidRDefault="003663AF" w:rsidP="003663AF">
      <w:pPr>
        <w:pStyle w:val="NormalBold"/>
      </w:pPr>
      <w:r w:rsidRPr="00B7760C">
        <w:t>Člen 59 – odstavek 1 – uvodni del</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2B6C63A" w14:textId="77777777" w:rsidTr="00E804B7">
        <w:trPr>
          <w:jc w:val="center"/>
        </w:trPr>
        <w:tc>
          <w:tcPr>
            <w:tcW w:w="9752" w:type="dxa"/>
            <w:gridSpan w:val="2"/>
          </w:tcPr>
          <w:p w14:paraId="1EE783C4" w14:textId="77777777" w:rsidR="003663AF" w:rsidRPr="00B7760C" w:rsidRDefault="003663AF" w:rsidP="00E804B7">
            <w:pPr>
              <w:keepNext/>
            </w:pPr>
          </w:p>
        </w:tc>
      </w:tr>
      <w:tr w:rsidR="003663AF" w:rsidRPr="00B7760C" w14:paraId="734BD940" w14:textId="77777777" w:rsidTr="00E804B7">
        <w:trPr>
          <w:jc w:val="center"/>
        </w:trPr>
        <w:tc>
          <w:tcPr>
            <w:tcW w:w="4876" w:type="dxa"/>
            <w:hideMark/>
          </w:tcPr>
          <w:p w14:paraId="28DF789D" w14:textId="77777777" w:rsidR="003663AF" w:rsidRPr="00B7760C" w:rsidRDefault="003663AF" w:rsidP="00E804B7">
            <w:pPr>
              <w:pStyle w:val="ColumnHeading"/>
              <w:keepNext/>
            </w:pPr>
            <w:r w:rsidRPr="00B7760C">
              <w:t>Besedilo, ki ga predlaga Komisija</w:t>
            </w:r>
          </w:p>
        </w:tc>
        <w:tc>
          <w:tcPr>
            <w:tcW w:w="4876" w:type="dxa"/>
            <w:hideMark/>
          </w:tcPr>
          <w:p w14:paraId="2022D4D6" w14:textId="1907D024" w:rsidR="003663AF" w:rsidRPr="00B7760C" w:rsidRDefault="00877691" w:rsidP="00E804B7">
            <w:pPr>
              <w:pStyle w:val="ColumnHeading"/>
              <w:keepNext/>
            </w:pPr>
            <w:r w:rsidRPr="00B7760C">
              <w:t>Sprememba</w:t>
            </w:r>
          </w:p>
        </w:tc>
      </w:tr>
      <w:tr w:rsidR="003663AF" w:rsidRPr="00B7760C" w14:paraId="06CEF517" w14:textId="77777777" w:rsidTr="00E804B7">
        <w:trPr>
          <w:jc w:val="center"/>
        </w:trPr>
        <w:tc>
          <w:tcPr>
            <w:tcW w:w="4876" w:type="dxa"/>
            <w:hideMark/>
          </w:tcPr>
          <w:p w14:paraId="3FDA5F57" w14:textId="77777777" w:rsidR="003663AF" w:rsidRPr="00B7760C" w:rsidRDefault="003663AF" w:rsidP="00E804B7">
            <w:pPr>
              <w:pStyle w:val="Normal6"/>
            </w:pPr>
            <w:r w:rsidRPr="00B7760C">
              <w:rPr>
                <w:b/>
                <w:i/>
              </w:rPr>
              <w:t>Države članice</w:t>
            </w:r>
            <w:r w:rsidRPr="00B7760C">
              <w:t xml:space="preserve"> si v drugih sektorjih iz točke (f) člena 39 prizadevajo uresničiti enega ali več naslednjih ciljev:</w:t>
            </w:r>
          </w:p>
        </w:tc>
        <w:tc>
          <w:tcPr>
            <w:tcW w:w="4876" w:type="dxa"/>
            <w:hideMark/>
          </w:tcPr>
          <w:p w14:paraId="37886672" w14:textId="77777777" w:rsidR="003663AF" w:rsidRPr="00B7760C" w:rsidRDefault="003663AF" w:rsidP="00E804B7">
            <w:pPr>
              <w:pStyle w:val="Normal6"/>
              <w:rPr>
                <w:szCs w:val="24"/>
              </w:rPr>
            </w:pPr>
            <w:r w:rsidRPr="00B7760C">
              <w:rPr>
                <w:b/>
                <w:i/>
              </w:rPr>
              <w:t>V skladu s členoma 5 in 6 o skupnih ciljih</w:t>
            </w:r>
            <w:r w:rsidRPr="00B7760C">
              <w:t xml:space="preserve"> si</w:t>
            </w:r>
            <w:r w:rsidRPr="00B7760C">
              <w:rPr>
                <w:b/>
                <w:i/>
              </w:rPr>
              <w:t xml:space="preserve"> države članice</w:t>
            </w:r>
            <w:r w:rsidRPr="00B7760C">
              <w:t xml:space="preserve"> v drugih sektorjih iz točke (f) člena 39 prizadevajo uresničiti enega ali več naslednjih ciljev:</w:t>
            </w:r>
          </w:p>
        </w:tc>
      </w:tr>
    </w:tbl>
    <w:p w14:paraId="4C9D2662" w14:textId="77777777" w:rsidR="003663AF" w:rsidRPr="00B7760C" w:rsidRDefault="003663AF" w:rsidP="003663AF"/>
    <w:p w14:paraId="43D64BD4" w14:textId="5BC8B870" w:rsidR="003663AF" w:rsidRPr="00B7760C" w:rsidRDefault="00877691" w:rsidP="003663AF">
      <w:pPr>
        <w:pStyle w:val="AMNumberTabs"/>
        <w:keepNext/>
      </w:pPr>
      <w:r w:rsidRPr="00B7760C">
        <w:t>Sprememba</w:t>
      </w:r>
      <w:r w:rsidR="003663AF" w:rsidRPr="00B7760C">
        <w:tab/>
      </w:r>
      <w:r w:rsidR="003663AF" w:rsidRPr="00B7760C">
        <w:tab/>
        <w:t>390</w:t>
      </w:r>
    </w:p>
    <w:p w14:paraId="0F27CFC5" w14:textId="77777777" w:rsidR="003663AF" w:rsidRPr="00B7760C" w:rsidRDefault="003663AF" w:rsidP="003663AF">
      <w:pPr>
        <w:pStyle w:val="NormalBold12b"/>
      </w:pPr>
      <w:r w:rsidRPr="00B7760C">
        <w:t>Predlog uredbe</w:t>
      </w:r>
    </w:p>
    <w:p w14:paraId="055A848C" w14:textId="77777777" w:rsidR="003663AF" w:rsidRPr="00B7760C" w:rsidRDefault="003663AF" w:rsidP="003663AF">
      <w:pPr>
        <w:pStyle w:val="NormalBold"/>
      </w:pPr>
      <w:r w:rsidRPr="00B7760C">
        <w:t>Člen 59 – odstavek 1 – točka 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ABDC2C1" w14:textId="77777777" w:rsidTr="00E804B7">
        <w:trPr>
          <w:jc w:val="center"/>
        </w:trPr>
        <w:tc>
          <w:tcPr>
            <w:tcW w:w="9752" w:type="dxa"/>
            <w:gridSpan w:val="2"/>
          </w:tcPr>
          <w:p w14:paraId="7C9BA960" w14:textId="77777777" w:rsidR="003663AF" w:rsidRPr="00B7760C" w:rsidRDefault="003663AF" w:rsidP="00E804B7">
            <w:pPr>
              <w:keepNext/>
            </w:pPr>
          </w:p>
        </w:tc>
      </w:tr>
      <w:tr w:rsidR="003663AF" w:rsidRPr="00B7760C" w14:paraId="6E866576" w14:textId="77777777" w:rsidTr="00E804B7">
        <w:trPr>
          <w:jc w:val="center"/>
        </w:trPr>
        <w:tc>
          <w:tcPr>
            <w:tcW w:w="4876" w:type="dxa"/>
            <w:hideMark/>
          </w:tcPr>
          <w:p w14:paraId="5CE5621E" w14:textId="77777777" w:rsidR="003663AF" w:rsidRPr="00B7760C" w:rsidRDefault="003663AF" w:rsidP="00E804B7">
            <w:pPr>
              <w:pStyle w:val="ColumnHeading"/>
              <w:keepNext/>
            </w:pPr>
            <w:r w:rsidRPr="00B7760C">
              <w:t>Besedilo, ki ga predlaga Komisija</w:t>
            </w:r>
          </w:p>
        </w:tc>
        <w:tc>
          <w:tcPr>
            <w:tcW w:w="4876" w:type="dxa"/>
            <w:hideMark/>
          </w:tcPr>
          <w:p w14:paraId="66F20A6A" w14:textId="3E5885D7" w:rsidR="003663AF" w:rsidRPr="00B7760C" w:rsidRDefault="00877691" w:rsidP="00E804B7">
            <w:pPr>
              <w:pStyle w:val="ColumnHeading"/>
              <w:keepNext/>
            </w:pPr>
            <w:r w:rsidRPr="00B7760C">
              <w:t>Sprememba</w:t>
            </w:r>
          </w:p>
        </w:tc>
      </w:tr>
      <w:tr w:rsidR="003663AF" w:rsidRPr="00B7760C" w14:paraId="21323E79" w14:textId="77777777" w:rsidTr="00E804B7">
        <w:trPr>
          <w:jc w:val="center"/>
        </w:trPr>
        <w:tc>
          <w:tcPr>
            <w:tcW w:w="4876" w:type="dxa"/>
            <w:hideMark/>
          </w:tcPr>
          <w:p w14:paraId="34EF61B8" w14:textId="77777777" w:rsidR="003663AF" w:rsidRPr="00B7760C" w:rsidRDefault="003663AF" w:rsidP="00E804B7">
            <w:pPr>
              <w:pStyle w:val="Normal6"/>
            </w:pPr>
            <w:r w:rsidRPr="00B7760C">
              <w:t>(a)</w:t>
            </w:r>
            <w:r w:rsidRPr="00B7760C">
              <w:tab/>
              <w:t xml:space="preserve">načrtovanje proizvodnje, prilagajanje proizvodnje povpraševanju, zlasti glede kakovosti in </w:t>
            </w:r>
            <w:r w:rsidRPr="00B7760C">
              <w:rPr>
                <w:b/>
                <w:i/>
              </w:rPr>
              <w:t>količine</w:t>
            </w:r>
            <w:r w:rsidRPr="00B7760C">
              <w:t>, optimizacija stroškov proizvodnje in donosnosti naložb ter stabiliziranje cen proizvajalcev; ti cilji se nanašajo na specifične cilje iz točk (a), (b), (c) in (i) člena 6(1);</w:t>
            </w:r>
          </w:p>
        </w:tc>
        <w:tc>
          <w:tcPr>
            <w:tcW w:w="4876" w:type="dxa"/>
            <w:hideMark/>
          </w:tcPr>
          <w:p w14:paraId="5E84A170" w14:textId="77777777" w:rsidR="003663AF" w:rsidRPr="00B7760C" w:rsidRDefault="003663AF" w:rsidP="00E804B7">
            <w:pPr>
              <w:pStyle w:val="Normal6"/>
              <w:rPr>
                <w:szCs w:val="24"/>
              </w:rPr>
            </w:pPr>
            <w:r w:rsidRPr="00B7760C">
              <w:t>(a)</w:t>
            </w:r>
            <w:r w:rsidRPr="00B7760C">
              <w:tab/>
              <w:t>načrtovanje proizvodnje, prilagajanje proizvodnje povpraševanju, zlasti glede kakovosti</w:t>
            </w:r>
            <w:r w:rsidRPr="00B7760C">
              <w:rPr>
                <w:b/>
                <w:i/>
              </w:rPr>
              <w:t>, količine</w:t>
            </w:r>
            <w:r w:rsidRPr="00B7760C">
              <w:t xml:space="preserve"> in </w:t>
            </w:r>
            <w:r w:rsidRPr="00B7760C">
              <w:rPr>
                <w:b/>
                <w:i/>
              </w:rPr>
              <w:t>raznolikosti</w:t>
            </w:r>
            <w:r w:rsidRPr="00B7760C">
              <w:t>, optimizacija stroškov proizvodnje in donosnosti naložb ter stabiliziranje cen proizvajalcev; ti cilji se nanašajo na specifične cilje iz točk (a), (b), (c) in (i) člena 6(1);</w:t>
            </w:r>
          </w:p>
        </w:tc>
      </w:tr>
    </w:tbl>
    <w:p w14:paraId="1F937A4E" w14:textId="77777777" w:rsidR="003663AF" w:rsidRPr="00B7760C" w:rsidRDefault="003663AF" w:rsidP="003663AF"/>
    <w:p w14:paraId="77C7CDB6" w14:textId="65136B2F" w:rsidR="003663AF" w:rsidRPr="00B7760C" w:rsidRDefault="00877691" w:rsidP="003663AF">
      <w:pPr>
        <w:pStyle w:val="AMNumberTabs"/>
        <w:keepNext/>
      </w:pPr>
      <w:r w:rsidRPr="00B7760C">
        <w:t>Sprememba</w:t>
      </w:r>
      <w:r w:rsidR="003663AF" w:rsidRPr="00B7760C">
        <w:tab/>
      </w:r>
      <w:r w:rsidR="003663AF" w:rsidRPr="00B7760C">
        <w:tab/>
        <w:t>391</w:t>
      </w:r>
    </w:p>
    <w:p w14:paraId="472BB4FB" w14:textId="77777777" w:rsidR="003663AF" w:rsidRPr="00B7760C" w:rsidRDefault="003663AF" w:rsidP="003663AF">
      <w:pPr>
        <w:pStyle w:val="NormalBold12b"/>
      </w:pPr>
      <w:r w:rsidRPr="00B7760C">
        <w:t>Predlog uredbe</w:t>
      </w:r>
    </w:p>
    <w:p w14:paraId="72CAD061" w14:textId="77777777" w:rsidR="003663AF" w:rsidRPr="00B7760C" w:rsidRDefault="003663AF" w:rsidP="003663AF">
      <w:pPr>
        <w:pStyle w:val="NormalBold"/>
      </w:pPr>
      <w:r w:rsidRPr="00B7760C">
        <w:t>Člen 59 – odstavek 1 – točka b</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739361D" w14:textId="77777777" w:rsidTr="00E804B7">
        <w:trPr>
          <w:jc w:val="center"/>
        </w:trPr>
        <w:tc>
          <w:tcPr>
            <w:tcW w:w="9752" w:type="dxa"/>
            <w:gridSpan w:val="2"/>
          </w:tcPr>
          <w:p w14:paraId="69A91937" w14:textId="77777777" w:rsidR="003663AF" w:rsidRPr="00B7760C" w:rsidRDefault="003663AF" w:rsidP="00E804B7">
            <w:pPr>
              <w:keepNext/>
            </w:pPr>
          </w:p>
        </w:tc>
      </w:tr>
      <w:tr w:rsidR="003663AF" w:rsidRPr="00B7760C" w14:paraId="575C04D8" w14:textId="77777777" w:rsidTr="00E804B7">
        <w:trPr>
          <w:jc w:val="center"/>
        </w:trPr>
        <w:tc>
          <w:tcPr>
            <w:tcW w:w="4876" w:type="dxa"/>
            <w:hideMark/>
          </w:tcPr>
          <w:p w14:paraId="08DDB5EE" w14:textId="77777777" w:rsidR="003663AF" w:rsidRPr="00B7760C" w:rsidRDefault="003663AF" w:rsidP="00E804B7">
            <w:pPr>
              <w:pStyle w:val="ColumnHeading"/>
              <w:keepNext/>
            </w:pPr>
            <w:r w:rsidRPr="00B7760C">
              <w:t>Besedilo, ki ga predlaga Komisija</w:t>
            </w:r>
          </w:p>
        </w:tc>
        <w:tc>
          <w:tcPr>
            <w:tcW w:w="4876" w:type="dxa"/>
            <w:hideMark/>
          </w:tcPr>
          <w:p w14:paraId="3C991233" w14:textId="3503E15C" w:rsidR="003663AF" w:rsidRPr="00B7760C" w:rsidRDefault="00877691" w:rsidP="00E804B7">
            <w:pPr>
              <w:pStyle w:val="ColumnHeading"/>
              <w:keepNext/>
            </w:pPr>
            <w:r w:rsidRPr="00B7760C">
              <w:t>Sprememba</w:t>
            </w:r>
          </w:p>
        </w:tc>
      </w:tr>
      <w:tr w:rsidR="003663AF" w:rsidRPr="00B7760C" w14:paraId="23FA1BE9" w14:textId="77777777" w:rsidTr="00E804B7">
        <w:trPr>
          <w:jc w:val="center"/>
        </w:trPr>
        <w:tc>
          <w:tcPr>
            <w:tcW w:w="4876" w:type="dxa"/>
            <w:hideMark/>
          </w:tcPr>
          <w:p w14:paraId="0032B5E7" w14:textId="77777777" w:rsidR="003663AF" w:rsidRPr="00B7760C" w:rsidRDefault="003663AF" w:rsidP="00E804B7">
            <w:pPr>
              <w:pStyle w:val="Normal6"/>
            </w:pPr>
            <w:r w:rsidRPr="00B7760C">
              <w:t>(b)</w:t>
            </w:r>
            <w:r w:rsidRPr="00B7760C">
              <w:tab/>
              <w:t>koncentracija ponudbe in dajanje na trg zadevnih proizvodov; ta cilja se nanašata na specifične cilje iz točk (a) in (c) člena 6(1);</w:t>
            </w:r>
          </w:p>
        </w:tc>
        <w:tc>
          <w:tcPr>
            <w:tcW w:w="4876" w:type="dxa"/>
            <w:hideMark/>
          </w:tcPr>
          <w:p w14:paraId="347913D2" w14:textId="77777777" w:rsidR="003663AF" w:rsidRPr="00B7760C" w:rsidRDefault="003663AF" w:rsidP="00E804B7">
            <w:pPr>
              <w:pStyle w:val="Normal6"/>
              <w:rPr>
                <w:szCs w:val="24"/>
              </w:rPr>
            </w:pPr>
            <w:r w:rsidRPr="00B7760C">
              <w:t>(b)</w:t>
            </w:r>
            <w:r w:rsidRPr="00B7760C">
              <w:tab/>
              <w:t>koncentracija ponudbe in dajanje na trg zadevnih proizvodov</w:t>
            </w:r>
            <w:r w:rsidRPr="00B7760C">
              <w:rPr>
                <w:b/>
                <w:i/>
              </w:rPr>
              <w:t xml:space="preserve"> ter spodbujanje kolektivnih pogajanj o pogodbah</w:t>
            </w:r>
            <w:r w:rsidRPr="00B7760C">
              <w:t>; ta cilja se nanašata na specifične cilje iz točk (a) in (c) člena 6(1);</w:t>
            </w:r>
          </w:p>
        </w:tc>
      </w:tr>
    </w:tbl>
    <w:p w14:paraId="4D0D797C" w14:textId="77777777" w:rsidR="003663AF" w:rsidRPr="00B7760C" w:rsidRDefault="003663AF" w:rsidP="003663AF"/>
    <w:p w14:paraId="18FA5A99" w14:textId="70E966DA" w:rsidR="003663AF" w:rsidRPr="00B7760C" w:rsidRDefault="00877691" w:rsidP="003663AF">
      <w:pPr>
        <w:pStyle w:val="AMNumberTabs"/>
        <w:keepNext/>
      </w:pPr>
      <w:r w:rsidRPr="00B7760C">
        <w:t>Sprememba</w:t>
      </w:r>
      <w:r w:rsidR="003663AF" w:rsidRPr="00B7760C">
        <w:tab/>
      </w:r>
      <w:r w:rsidR="003663AF" w:rsidRPr="00B7760C">
        <w:tab/>
        <w:t>392</w:t>
      </w:r>
    </w:p>
    <w:p w14:paraId="57725D2C" w14:textId="77777777" w:rsidR="003663AF" w:rsidRPr="00B7760C" w:rsidRDefault="003663AF" w:rsidP="003663AF">
      <w:pPr>
        <w:pStyle w:val="NormalBold12b"/>
      </w:pPr>
      <w:r w:rsidRPr="00B7760C">
        <w:t>Predlog uredbe</w:t>
      </w:r>
    </w:p>
    <w:p w14:paraId="596D46A9" w14:textId="77777777" w:rsidR="003663AF" w:rsidRPr="00B7760C" w:rsidRDefault="003663AF" w:rsidP="003663AF">
      <w:pPr>
        <w:pStyle w:val="NormalBold"/>
      </w:pPr>
      <w:r w:rsidRPr="00B7760C">
        <w:t>Člen 59 – odstavek 1 – točka c</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2E7DE44" w14:textId="77777777" w:rsidTr="00E804B7">
        <w:trPr>
          <w:jc w:val="center"/>
        </w:trPr>
        <w:tc>
          <w:tcPr>
            <w:tcW w:w="9752" w:type="dxa"/>
            <w:gridSpan w:val="2"/>
          </w:tcPr>
          <w:p w14:paraId="503CADE4" w14:textId="77777777" w:rsidR="003663AF" w:rsidRPr="00B7760C" w:rsidRDefault="003663AF" w:rsidP="00E804B7">
            <w:pPr>
              <w:keepNext/>
            </w:pPr>
          </w:p>
        </w:tc>
      </w:tr>
      <w:tr w:rsidR="003663AF" w:rsidRPr="00B7760C" w14:paraId="1C35A991" w14:textId="77777777" w:rsidTr="00E804B7">
        <w:trPr>
          <w:jc w:val="center"/>
        </w:trPr>
        <w:tc>
          <w:tcPr>
            <w:tcW w:w="4876" w:type="dxa"/>
            <w:hideMark/>
          </w:tcPr>
          <w:p w14:paraId="5446B9C2" w14:textId="77777777" w:rsidR="003663AF" w:rsidRPr="00B7760C" w:rsidRDefault="003663AF" w:rsidP="00E804B7">
            <w:pPr>
              <w:pStyle w:val="ColumnHeading"/>
              <w:keepNext/>
            </w:pPr>
            <w:r w:rsidRPr="00B7760C">
              <w:t>Besedilo, ki ga predlaga Komisija</w:t>
            </w:r>
          </w:p>
        </w:tc>
        <w:tc>
          <w:tcPr>
            <w:tcW w:w="4876" w:type="dxa"/>
            <w:hideMark/>
          </w:tcPr>
          <w:p w14:paraId="38512643" w14:textId="451BB0A2" w:rsidR="003663AF" w:rsidRPr="00B7760C" w:rsidRDefault="00877691" w:rsidP="00E804B7">
            <w:pPr>
              <w:pStyle w:val="ColumnHeading"/>
              <w:keepNext/>
            </w:pPr>
            <w:r w:rsidRPr="00B7760C">
              <w:t>Sprememba</w:t>
            </w:r>
          </w:p>
        </w:tc>
      </w:tr>
      <w:tr w:rsidR="003663AF" w:rsidRPr="00B7760C" w14:paraId="5F0F9F2E" w14:textId="77777777" w:rsidTr="00E804B7">
        <w:trPr>
          <w:jc w:val="center"/>
        </w:trPr>
        <w:tc>
          <w:tcPr>
            <w:tcW w:w="4876" w:type="dxa"/>
            <w:hideMark/>
          </w:tcPr>
          <w:p w14:paraId="51B6CF41" w14:textId="77777777" w:rsidR="003663AF" w:rsidRPr="00B7760C" w:rsidRDefault="003663AF" w:rsidP="00E804B7">
            <w:pPr>
              <w:pStyle w:val="Normal6"/>
            </w:pPr>
            <w:r w:rsidRPr="00B7760C">
              <w:t>(c)</w:t>
            </w:r>
            <w:r w:rsidRPr="00B7760C">
              <w:tab/>
              <w:t xml:space="preserve">raziskave in razvoj na področju trajnostnih proizvodnih metod, vključno z odpornostjo na škodljivce ter inovativnimi praksami in pridelovalnimi tehnikami, ki spodbujajo gospodarsko konkurenčnost in krepijo razvoj trga; </w:t>
            </w:r>
            <w:r w:rsidRPr="00B7760C">
              <w:rPr>
                <w:b/>
                <w:i/>
              </w:rPr>
              <w:t>ta cilja</w:t>
            </w:r>
            <w:r w:rsidRPr="00B7760C">
              <w:t xml:space="preserve"> se </w:t>
            </w:r>
            <w:r w:rsidRPr="00B7760C">
              <w:rPr>
                <w:b/>
                <w:i/>
              </w:rPr>
              <w:t>nanašata</w:t>
            </w:r>
            <w:r w:rsidRPr="00B7760C">
              <w:t xml:space="preserve"> na specifične cilje iz točk (a), (c) in (i) člena 6(1);</w:t>
            </w:r>
          </w:p>
        </w:tc>
        <w:tc>
          <w:tcPr>
            <w:tcW w:w="4876" w:type="dxa"/>
            <w:hideMark/>
          </w:tcPr>
          <w:p w14:paraId="6D39D790" w14:textId="7766870B" w:rsidR="003663AF" w:rsidRPr="00B7760C" w:rsidRDefault="003663AF" w:rsidP="005D023B">
            <w:pPr>
              <w:pStyle w:val="Normal6"/>
              <w:rPr>
                <w:szCs w:val="24"/>
              </w:rPr>
            </w:pPr>
            <w:r w:rsidRPr="00B7760C">
              <w:t>(c)</w:t>
            </w:r>
            <w:r w:rsidRPr="00B7760C">
              <w:tab/>
              <w:t>raziskave in razvoj na področju trajnostnih proizvodnih metod</w:t>
            </w:r>
            <w:r w:rsidRPr="00B7760C">
              <w:rPr>
                <w:b/>
                <w:i/>
              </w:rPr>
              <w:t xml:space="preserve"> ter njihova uporaba</w:t>
            </w:r>
            <w:r w:rsidRPr="00B7760C">
              <w:t xml:space="preserve">, vključno z odpornostjo </w:t>
            </w:r>
            <w:r w:rsidR="005D023B" w:rsidRPr="00B7760C">
              <w:t xml:space="preserve">na </w:t>
            </w:r>
            <w:r w:rsidRPr="00B7760C">
              <w:t xml:space="preserve">škodljivce </w:t>
            </w:r>
            <w:r w:rsidRPr="00B7760C">
              <w:rPr>
                <w:b/>
                <w:i/>
              </w:rPr>
              <w:t xml:space="preserve">in boleznim živali ter podnebnim spremembam, gensko raznovrstnostjo, zaščito tal, izboljšanjem biološke varnosti in zmanjšanjem protimikrobnih snovi </w:t>
            </w:r>
            <w:r w:rsidRPr="00B7760C">
              <w:t>ter inovativnimi praksami in pridelovalnimi tehnikami, ki spodbujajo</w:t>
            </w:r>
            <w:r w:rsidRPr="00B7760C">
              <w:rPr>
                <w:b/>
                <w:i/>
              </w:rPr>
              <w:t xml:space="preserve"> dolgoročno</w:t>
            </w:r>
            <w:r w:rsidRPr="00B7760C">
              <w:t xml:space="preserve"> gospodarsko konkurenčnost in krepijo razvoj trga; </w:t>
            </w:r>
            <w:r w:rsidRPr="00B7760C">
              <w:rPr>
                <w:b/>
                <w:i/>
              </w:rPr>
              <w:t>ti cilji</w:t>
            </w:r>
            <w:r w:rsidRPr="00B7760C">
              <w:t xml:space="preserve"> se </w:t>
            </w:r>
            <w:r w:rsidRPr="00B7760C">
              <w:rPr>
                <w:b/>
                <w:i/>
              </w:rPr>
              <w:t>nanašajo</w:t>
            </w:r>
            <w:r w:rsidRPr="00B7760C">
              <w:t xml:space="preserve"> na specifične cilje iz točk (a), (c)</w:t>
            </w:r>
            <w:r w:rsidRPr="00B7760C">
              <w:rPr>
                <w:b/>
                <w:i/>
              </w:rPr>
              <w:t>,</w:t>
            </w:r>
            <w:r w:rsidRPr="00B7760C">
              <w:t xml:space="preserve"> </w:t>
            </w:r>
            <w:r w:rsidRPr="00B7760C">
              <w:rPr>
                <w:b/>
                <w:i/>
              </w:rPr>
              <w:t>(d), (e), (f)</w:t>
            </w:r>
            <w:r w:rsidRPr="00B7760C">
              <w:t>in (i) člena 6(1);</w:t>
            </w:r>
          </w:p>
        </w:tc>
      </w:tr>
    </w:tbl>
    <w:p w14:paraId="755A88E4" w14:textId="77777777" w:rsidR="003663AF" w:rsidRPr="00B7760C" w:rsidRDefault="003663AF" w:rsidP="003663AF"/>
    <w:p w14:paraId="2D428339" w14:textId="5253FF02" w:rsidR="003663AF" w:rsidRPr="00B7760C" w:rsidRDefault="00877691" w:rsidP="003663AF">
      <w:pPr>
        <w:pStyle w:val="AMNumberTabs"/>
        <w:keepNext/>
      </w:pPr>
      <w:r w:rsidRPr="00B7760C">
        <w:t>Sprememba</w:t>
      </w:r>
      <w:r w:rsidR="003663AF" w:rsidRPr="00B7760C">
        <w:tab/>
      </w:r>
      <w:r w:rsidR="003663AF" w:rsidRPr="00B7760C">
        <w:tab/>
        <w:t>393</w:t>
      </w:r>
    </w:p>
    <w:p w14:paraId="6BB0E6DD" w14:textId="77777777" w:rsidR="003663AF" w:rsidRPr="00B7760C" w:rsidRDefault="003663AF" w:rsidP="003663AF">
      <w:pPr>
        <w:pStyle w:val="NormalBold12b"/>
      </w:pPr>
      <w:r w:rsidRPr="00B7760C">
        <w:t>Predlog uredbe</w:t>
      </w:r>
    </w:p>
    <w:p w14:paraId="7C959F39" w14:textId="77777777" w:rsidR="003663AF" w:rsidRPr="00B7760C" w:rsidRDefault="003663AF" w:rsidP="003663AF">
      <w:pPr>
        <w:pStyle w:val="NormalBold"/>
      </w:pPr>
      <w:r w:rsidRPr="00B7760C">
        <w:t>Člen 59 – odstavek 1 – točka d</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B4ACD31" w14:textId="77777777" w:rsidTr="00E804B7">
        <w:trPr>
          <w:jc w:val="center"/>
        </w:trPr>
        <w:tc>
          <w:tcPr>
            <w:tcW w:w="9752" w:type="dxa"/>
            <w:gridSpan w:val="2"/>
          </w:tcPr>
          <w:p w14:paraId="130A4020" w14:textId="77777777" w:rsidR="003663AF" w:rsidRPr="00B7760C" w:rsidRDefault="003663AF" w:rsidP="00E804B7">
            <w:pPr>
              <w:keepNext/>
            </w:pPr>
          </w:p>
        </w:tc>
      </w:tr>
      <w:tr w:rsidR="003663AF" w:rsidRPr="00B7760C" w14:paraId="1A682D3B" w14:textId="77777777" w:rsidTr="00E804B7">
        <w:trPr>
          <w:jc w:val="center"/>
        </w:trPr>
        <w:tc>
          <w:tcPr>
            <w:tcW w:w="4876" w:type="dxa"/>
            <w:hideMark/>
          </w:tcPr>
          <w:p w14:paraId="4FAE81CE" w14:textId="77777777" w:rsidR="003663AF" w:rsidRPr="00B7760C" w:rsidRDefault="003663AF" w:rsidP="00E804B7">
            <w:pPr>
              <w:pStyle w:val="ColumnHeading"/>
              <w:keepNext/>
            </w:pPr>
            <w:r w:rsidRPr="00B7760C">
              <w:t>Besedilo, ki ga predlaga Komisija</w:t>
            </w:r>
          </w:p>
        </w:tc>
        <w:tc>
          <w:tcPr>
            <w:tcW w:w="4876" w:type="dxa"/>
            <w:hideMark/>
          </w:tcPr>
          <w:p w14:paraId="74B68DBB" w14:textId="7B6AC67D" w:rsidR="003663AF" w:rsidRPr="00B7760C" w:rsidRDefault="00877691" w:rsidP="00E804B7">
            <w:pPr>
              <w:pStyle w:val="ColumnHeading"/>
              <w:keepNext/>
            </w:pPr>
            <w:r w:rsidRPr="00B7760C">
              <w:t>Sprememba</w:t>
            </w:r>
          </w:p>
        </w:tc>
      </w:tr>
      <w:tr w:rsidR="003663AF" w:rsidRPr="00B7760C" w14:paraId="6523EED2" w14:textId="77777777" w:rsidTr="00E804B7">
        <w:trPr>
          <w:jc w:val="center"/>
        </w:trPr>
        <w:tc>
          <w:tcPr>
            <w:tcW w:w="4876" w:type="dxa"/>
            <w:hideMark/>
          </w:tcPr>
          <w:p w14:paraId="299BF24C" w14:textId="77777777" w:rsidR="003663AF" w:rsidRPr="00B7760C" w:rsidRDefault="003663AF" w:rsidP="00E804B7">
            <w:pPr>
              <w:pStyle w:val="Normal6"/>
            </w:pPr>
            <w:r w:rsidRPr="00B7760C">
              <w:t>(d)</w:t>
            </w:r>
            <w:r w:rsidRPr="00B7760C">
              <w:tab/>
              <w:t>spodbujanje, razvoj in izvajanje proizvodnih metod, ki spoštujejo okolje in standarde dobrobiti živali, okolju prijaznih postopkov gojenja, pridelovalnih tehnik in proizvodnih metod, ki so odporni na škodljivce, okolju prijazne uporabe stranskih proizvodov in odpadkov ter ravnanja z njimi ter trajnostne rabe naravnih virov, zlasti varstva vode, tal in drugih naravnih virov; ti cilji se nanašajo na specifične cilje iz točk (e) in (f) člena 6(1);</w:t>
            </w:r>
          </w:p>
        </w:tc>
        <w:tc>
          <w:tcPr>
            <w:tcW w:w="4876" w:type="dxa"/>
            <w:hideMark/>
          </w:tcPr>
          <w:p w14:paraId="5EAB1A7C" w14:textId="45F6861F" w:rsidR="003663AF" w:rsidRPr="00B7760C" w:rsidRDefault="003663AF" w:rsidP="005D023B">
            <w:pPr>
              <w:pStyle w:val="Normal6"/>
              <w:rPr>
                <w:szCs w:val="24"/>
              </w:rPr>
            </w:pPr>
            <w:r w:rsidRPr="00B7760C">
              <w:t>(d)</w:t>
            </w:r>
            <w:r w:rsidRPr="00B7760C">
              <w:tab/>
              <w:t xml:space="preserve">spodbujanje, razvoj in izvajanje proizvodnih metod, ki spoštujejo okolje in standarde dobrobiti živali, okolju prijaznih postopkov gojenja, pridelovalnih tehnik in proizvodnih metod, ki so odporni </w:t>
            </w:r>
            <w:r w:rsidR="005D023B" w:rsidRPr="00B7760C">
              <w:t xml:space="preserve">na </w:t>
            </w:r>
            <w:r w:rsidRPr="00B7760C">
              <w:t xml:space="preserve">škodljivce, </w:t>
            </w:r>
            <w:r w:rsidRPr="00B7760C">
              <w:rPr>
                <w:b/>
                <w:i/>
              </w:rPr>
              <w:t xml:space="preserve">odpornosti proti boleznim živali, </w:t>
            </w:r>
            <w:r w:rsidRPr="00B7760C">
              <w:t xml:space="preserve">okolju prijazne uporabe stranskih proizvodov in odpadkov ter ravnanja z njimi ter trajnostne rabe naravnih virov, zlasti varstva vode, tal in drugih naravnih virov; </w:t>
            </w:r>
            <w:r w:rsidRPr="00B7760C">
              <w:rPr>
                <w:b/>
                <w:i/>
              </w:rPr>
              <w:t>zmanjšanje izpustov in povečanje energetske učinkovitosti;</w:t>
            </w:r>
            <w:r w:rsidRPr="00B7760C">
              <w:t xml:space="preserve"> ti cilji se nanašajo na specifične cilje iz točk (e) in (f) člena 6(1);</w:t>
            </w:r>
          </w:p>
        </w:tc>
      </w:tr>
    </w:tbl>
    <w:p w14:paraId="2E8DDE15" w14:textId="77777777" w:rsidR="003663AF" w:rsidRPr="00B7760C" w:rsidRDefault="003663AF" w:rsidP="003663AF"/>
    <w:p w14:paraId="138DA5C5" w14:textId="4A4DB6A6" w:rsidR="003663AF" w:rsidRPr="00B7760C" w:rsidRDefault="00877691" w:rsidP="003663AF">
      <w:pPr>
        <w:pStyle w:val="AMNumberTabs"/>
        <w:keepNext/>
      </w:pPr>
      <w:r w:rsidRPr="00B7760C">
        <w:t>Sprememba</w:t>
      </w:r>
      <w:r w:rsidR="003663AF" w:rsidRPr="00B7760C">
        <w:tab/>
      </w:r>
      <w:r w:rsidR="003663AF" w:rsidRPr="00B7760C">
        <w:tab/>
        <w:t>394</w:t>
      </w:r>
    </w:p>
    <w:p w14:paraId="3C1D3DC0" w14:textId="77777777" w:rsidR="003663AF" w:rsidRPr="00B7760C" w:rsidRDefault="003663AF" w:rsidP="003663AF">
      <w:pPr>
        <w:pStyle w:val="NormalBold12b"/>
      </w:pPr>
      <w:r w:rsidRPr="00B7760C">
        <w:t>Predlog uredbe</w:t>
      </w:r>
    </w:p>
    <w:p w14:paraId="48D6B7A8" w14:textId="77777777" w:rsidR="003663AF" w:rsidRPr="00B7760C" w:rsidRDefault="003663AF" w:rsidP="003663AF">
      <w:pPr>
        <w:pStyle w:val="NormalBold"/>
      </w:pPr>
      <w:r w:rsidRPr="00B7760C">
        <w:t>Člen 59 – odstavek 1 – točka e</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A0F0B24" w14:textId="77777777" w:rsidTr="00E804B7">
        <w:trPr>
          <w:jc w:val="center"/>
        </w:trPr>
        <w:tc>
          <w:tcPr>
            <w:tcW w:w="9752" w:type="dxa"/>
            <w:gridSpan w:val="2"/>
          </w:tcPr>
          <w:p w14:paraId="705077C1" w14:textId="77777777" w:rsidR="003663AF" w:rsidRPr="00B7760C" w:rsidRDefault="003663AF" w:rsidP="00E804B7">
            <w:pPr>
              <w:keepNext/>
            </w:pPr>
          </w:p>
        </w:tc>
      </w:tr>
      <w:tr w:rsidR="003663AF" w:rsidRPr="00B7760C" w14:paraId="3923E5D5" w14:textId="77777777" w:rsidTr="00E804B7">
        <w:trPr>
          <w:jc w:val="center"/>
        </w:trPr>
        <w:tc>
          <w:tcPr>
            <w:tcW w:w="4876" w:type="dxa"/>
            <w:hideMark/>
          </w:tcPr>
          <w:p w14:paraId="0E2B50CD" w14:textId="77777777" w:rsidR="003663AF" w:rsidRPr="00B7760C" w:rsidRDefault="003663AF" w:rsidP="00E804B7">
            <w:pPr>
              <w:pStyle w:val="ColumnHeading"/>
              <w:keepNext/>
            </w:pPr>
            <w:r w:rsidRPr="00B7760C">
              <w:t>Besedilo, ki ga predlaga Komisija</w:t>
            </w:r>
          </w:p>
        </w:tc>
        <w:tc>
          <w:tcPr>
            <w:tcW w:w="4876" w:type="dxa"/>
            <w:hideMark/>
          </w:tcPr>
          <w:p w14:paraId="2EC79174" w14:textId="2264E748" w:rsidR="003663AF" w:rsidRPr="00B7760C" w:rsidRDefault="00877691" w:rsidP="00E804B7">
            <w:pPr>
              <w:pStyle w:val="ColumnHeading"/>
              <w:keepNext/>
            </w:pPr>
            <w:r w:rsidRPr="00B7760C">
              <w:t>Sprememba</w:t>
            </w:r>
          </w:p>
        </w:tc>
      </w:tr>
      <w:tr w:rsidR="003663AF" w:rsidRPr="00B7760C" w14:paraId="4240B7FD" w14:textId="77777777" w:rsidTr="00E804B7">
        <w:trPr>
          <w:jc w:val="center"/>
        </w:trPr>
        <w:tc>
          <w:tcPr>
            <w:tcW w:w="4876" w:type="dxa"/>
            <w:hideMark/>
          </w:tcPr>
          <w:p w14:paraId="3134FC4A" w14:textId="77777777" w:rsidR="003663AF" w:rsidRPr="00B7760C" w:rsidRDefault="003663AF" w:rsidP="00E804B7">
            <w:pPr>
              <w:pStyle w:val="Normal6"/>
            </w:pPr>
            <w:r w:rsidRPr="00B7760C">
              <w:t>(e)</w:t>
            </w:r>
            <w:r w:rsidRPr="00B7760C">
              <w:tab/>
              <w:t>prispevanje k blažitvi podnebnih sprememb in prilagajanju nanje, kot je določeno v točki (d) člena 6(1);</w:t>
            </w:r>
          </w:p>
        </w:tc>
        <w:tc>
          <w:tcPr>
            <w:tcW w:w="4876" w:type="dxa"/>
            <w:hideMark/>
          </w:tcPr>
          <w:p w14:paraId="58BF698A" w14:textId="77777777" w:rsidR="003663AF" w:rsidRPr="00B7760C" w:rsidRDefault="003663AF" w:rsidP="00E804B7">
            <w:pPr>
              <w:pStyle w:val="Normal6"/>
              <w:rPr>
                <w:szCs w:val="24"/>
              </w:rPr>
            </w:pPr>
            <w:r w:rsidRPr="00B7760C">
              <w:t>(e)</w:t>
            </w:r>
            <w:r w:rsidRPr="00B7760C">
              <w:tab/>
              <w:t xml:space="preserve">prispevanje k blažitvi podnebnih sprememb in prilagajanju nanje, </w:t>
            </w:r>
            <w:r w:rsidRPr="00B7760C">
              <w:rPr>
                <w:b/>
                <w:i/>
              </w:rPr>
              <w:t xml:space="preserve">vključno s preprečevanjem in obvladovanjem tropskih in zoonotskih bolezni, </w:t>
            </w:r>
            <w:r w:rsidRPr="00B7760C">
              <w:t>kot je določeno v točki (d) člena 6(1);</w:t>
            </w:r>
          </w:p>
        </w:tc>
      </w:tr>
    </w:tbl>
    <w:p w14:paraId="47DF2B1E" w14:textId="77777777" w:rsidR="003663AF" w:rsidRPr="00B7760C" w:rsidRDefault="003663AF" w:rsidP="003663AF"/>
    <w:p w14:paraId="5785FF4E" w14:textId="14097AFE" w:rsidR="003663AF" w:rsidRPr="00B7760C" w:rsidRDefault="00877691" w:rsidP="003663AF">
      <w:pPr>
        <w:pStyle w:val="AMNumberTabs"/>
        <w:keepNext/>
      </w:pPr>
      <w:r w:rsidRPr="00B7760C">
        <w:t>Sprememba</w:t>
      </w:r>
      <w:r w:rsidR="003663AF" w:rsidRPr="00B7760C">
        <w:tab/>
      </w:r>
      <w:r w:rsidR="003663AF" w:rsidRPr="00B7760C">
        <w:tab/>
        <w:t>395</w:t>
      </w:r>
    </w:p>
    <w:p w14:paraId="4AA03245" w14:textId="77777777" w:rsidR="003663AF" w:rsidRPr="00B7760C" w:rsidRDefault="003663AF" w:rsidP="003663AF">
      <w:pPr>
        <w:pStyle w:val="NormalBold12b"/>
      </w:pPr>
      <w:r w:rsidRPr="00B7760C">
        <w:t>Predlog uredbe</w:t>
      </w:r>
    </w:p>
    <w:p w14:paraId="7EB56039" w14:textId="77777777" w:rsidR="003663AF" w:rsidRPr="00B7760C" w:rsidRDefault="003663AF" w:rsidP="003663AF">
      <w:pPr>
        <w:pStyle w:val="NormalBold"/>
      </w:pPr>
      <w:r w:rsidRPr="00B7760C">
        <w:t>Člen 59 – odstavek 1 – točka f</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6F59358" w14:textId="77777777" w:rsidTr="00E804B7">
        <w:trPr>
          <w:jc w:val="center"/>
        </w:trPr>
        <w:tc>
          <w:tcPr>
            <w:tcW w:w="9752" w:type="dxa"/>
            <w:gridSpan w:val="2"/>
          </w:tcPr>
          <w:p w14:paraId="0F395EC6" w14:textId="77777777" w:rsidR="003663AF" w:rsidRPr="00B7760C" w:rsidRDefault="003663AF" w:rsidP="00E804B7">
            <w:pPr>
              <w:keepNext/>
            </w:pPr>
          </w:p>
        </w:tc>
      </w:tr>
      <w:tr w:rsidR="003663AF" w:rsidRPr="00B7760C" w14:paraId="235C5C59" w14:textId="77777777" w:rsidTr="00E804B7">
        <w:trPr>
          <w:jc w:val="center"/>
        </w:trPr>
        <w:tc>
          <w:tcPr>
            <w:tcW w:w="4876" w:type="dxa"/>
            <w:hideMark/>
          </w:tcPr>
          <w:p w14:paraId="36226066" w14:textId="77777777" w:rsidR="003663AF" w:rsidRPr="00B7760C" w:rsidRDefault="003663AF" w:rsidP="00E804B7">
            <w:pPr>
              <w:pStyle w:val="ColumnHeading"/>
              <w:keepNext/>
            </w:pPr>
            <w:r w:rsidRPr="00B7760C">
              <w:t>Besedilo, ki ga predlaga Komisija</w:t>
            </w:r>
          </w:p>
        </w:tc>
        <w:tc>
          <w:tcPr>
            <w:tcW w:w="4876" w:type="dxa"/>
            <w:hideMark/>
          </w:tcPr>
          <w:p w14:paraId="5FD90331" w14:textId="4AC020D7" w:rsidR="003663AF" w:rsidRPr="00B7760C" w:rsidRDefault="00877691" w:rsidP="00E804B7">
            <w:pPr>
              <w:pStyle w:val="ColumnHeading"/>
              <w:keepNext/>
            </w:pPr>
            <w:r w:rsidRPr="00B7760C">
              <w:t>Sprememba</w:t>
            </w:r>
          </w:p>
        </w:tc>
      </w:tr>
      <w:tr w:rsidR="003663AF" w:rsidRPr="00B7760C" w14:paraId="124D2C22" w14:textId="77777777" w:rsidTr="00E804B7">
        <w:trPr>
          <w:jc w:val="center"/>
        </w:trPr>
        <w:tc>
          <w:tcPr>
            <w:tcW w:w="4876" w:type="dxa"/>
            <w:hideMark/>
          </w:tcPr>
          <w:p w14:paraId="294F8B3D" w14:textId="77777777" w:rsidR="003663AF" w:rsidRPr="00B7760C" w:rsidRDefault="003663AF" w:rsidP="00E804B7">
            <w:pPr>
              <w:pStyle w:val="Normal6"/>
            </w:pPr>
            <w:r w:rsidRPr="00B7760C">
              <w:t>(f)</w:t>
            </w:r>
            <w:r w:rsidRPr="00B7760C">
              <w:tab/>
              <w:t>povečanje tržne vrednosti in kakovosti proizvodov, vključno z izboljšanjem kakovosti proizvodov in razvijanjem proizvodov z zaščiteno označbo porekla in zaščiteno geografsko označbo ali proizvodov, ki so zajeti v nacionalni shemi kakovosti; ti cilji se nanašajo na specifični cilj iz točke (b) člena 6(1);</w:t>
            </w:r>
          </w:p>
        </w:tc>
        <w:tc>
          <w:tcPr>
            <w:tcW w:w="4876" w:type="dxa"/>
            <w:hideMark/>
          </w:tcPr>
          <w:p w14:paraId="6B9D72E2" w14:textId="77777777" w:rsidR="003663AF" w:rsidRPr="00B7760C" w:rsidRDefault="003663AF" w:rsidP="00E804B7">
            <w:pPr>
              <w:pStyle w:val="Normal6"/>
              <w:rPr>
                <w:szCs w:val="24"/>
              </w:rPr>
            </w:pPr>
            <w:r w:rsidRPr="00B7760C">
              <w:t>(f)</w:t>
            </w:r>
            <w:r w:rsidRPr="00B7760C">
              <w:tab/>
              <w:t xml:space="preserve">povečanje tržne vrednosti in kakovosti proizvodov, vključno z izboljšanjem kakovosti proizvodov in </w:t>
            </w:r>
            <w:r w:rsidRPr="00B7760C">
              <w:rPr>
                <w:b/>
                <w:i/>
              </w:rPr>
              <w:t xml:space="preserve">segmentacije trga ter </w:t>
            </w:r>
            <w:r w:rsidRPr="00B7760C">
              <w:t>razvijanjem proizvodov z zaščiteno označbo porekla in zaščiteno geografsko označbo ali proizvodov, ki so zajeti v nacionalni shemi kakovosti; ti cilji se nanašajo na specifični cilj iz točke (b) člena 6(1);</w:t>
            </w:r>
          </w:p>
        </w:tc>
      </w:tr>
    </w:tbl>
    <w:p w14:paraId="35A2DAB6" w14:textId="77777777" w:rsidR="003663AF" w:rsidRPr="00B7760C" w:rsidRDefault="003663AF" w:rsidP="003663AF"/>
    <w:p w14:paraId="43AD4119" w14:textId="47B8A548" w:rsidR="003663AF" w:rsidRPr="00B7760C" w:rsidRDefault="00877691" w:rsidP="003663AF">
      <w:pPr>
        <w:pStyle w:val="AMNumberTabs"/>
        <w:keepNext/>
      </w:pPr>
      <w:r w:rsidRPr="00B7760C">
        <w:t>Sprememba</w:t>
      </w:r>
      <w:r w:rsidR="003663AF" w:rsidRPr="00B7760C">
        <w:tab/>
      </w:r>
      <w:r w:rsidR="003663AF" w:rsidRPr="00B7760C">
        <w:tab/>
        <w:t>396</w:t>
      </w:r>
    </w:p>
    <w:p w14:paraId="68A732C6" w14:textId="77777777" w:rsidR="003663AF" w:rsidRPr="00B7760C" w:rsidRDefault="003663AF" w:rsidP="003663AF">
      <w:pPr>
        <w:pStyle w:val="NormalBold12b"/>
      </w:pPr>
      <w:r w:rsidRPr="00B7760C">
        <w:t>Predlog uredbe</w:t>
      </w:r>
    </w:p>
    <w:p w14:paraId="7153B5D6" w14:textId="77777777" w:rsidR="003663AF" w:rsidRPr="00B7760C" w:rsidRDefault="003663AF" w:rsidP="003663AF">
      <w:pPr>
        <w:pStyle w:val="NormalBold"/>
      </w:pPr>
      <w:r w:rsidRPr="00B7760C">
        <w:t>Člen 59 – odstavek 1 – točka g</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A9080C4" w14:textId="77777777" w:rsidTr="00E804B7">
        <w:trPr>
          <w:jc w:val="center"/>
        </w:trPr>
        <w:tc>
          <w:tcPr>
            <w:tcW w:w="9752" w:type="dxa"/>
            <w:gridSpan w:val="2"/>
          </w:tcPr>
          <w:p w14:paraId="3373BFC4" w14:textId="77777777" w:rsidR="003663AF" w:rsidRPr="00B7760C" w:rsidRDefault="003663AF" w:rsidP="00E804B7">
            <w:pPr>
              <w:keepNext/>
            </w:pPr>
          </w:p>
        </w:tc>
      </w:tr>
      <w:tr w:rsidR="003663AF" w:rsidRPr="00B7760C" w14:paraId="257D95C0" w14:textId="77777777" w:rsidTr="00E804B7">
        <w:trPr>
          <w:jc w:val="center"/>
        </w:trPr>
        <w:tc>
          <w:tcPr>
            <w:tcW w:w="4876" w:type="dxa"/>
            <w:hideMark/>
          </w:tcPr>
          <w:p w14:paraId="14A8D2BF" w14:textId="77777777" w:rsidR="003663AF" w:rsidRPr="00B7760C" w:rsidRDefault="003663AF" w:rsidP="00E804B7">
            <w:pPr>
              <w:pStyle w:val="ColumnHeading"/>
              <w:keepNext/>
            </w:pPr>
            <w:r w:rsidRPr="00B7760C">
              <w:t>Besedilo, ki ga predlaga Komisija</w:t>
            </w:r>
          </w:p>
        </w:tc>
        <w:tc>
          <w:tcPr>
            <w:tcW w:w="4876" w:type="dxa"/>
            <w:hideMark/>
          </w:tcPr>
          <w:p w14:paraId="2BA9A076" w14:textId="11A99872" w:rsidR="003663AF" w:rsidRPr="00B7760C" w:rsidRDefault="00877691" w:rsidP="00E804B7">
            <w:pPr>
              <w:pStyle w:val="ColumnHeading"/>
              <w:keepNext/>
            </w:pPr>
            <w:r w:rsidRPr="00B7760C">
              <w:t>Sprememba</w:t>
            </w:r>
          </w:p>
        </w:tc>
      </w:tr>
      <w:tr w:rsidR="003663AF" w:rsidRPr="00B7760C" w14:paraId="0432ABD7" w14:textId="77777777" w:rsidTr="00E804B7">
        <w:trPr>
          <w:jc w:val="center"/>
        </w:trPr>
        <w:tc>
          <w:tcPr>
            <w:tcW w:w="4876" w:type="dxa"/>
            <w:hideMark/>
          </w:tcPr>
          <w:p w14:paraId="5DE6BA25" w14:textId="77777777" w:rsidR="003663AF" w:rsidRPr="00B7760C" w:rsidRDefault="003663AF" w:rsidP="00E804B7">
            <w:pPr>
              <w:pStyle w:val="Normal6"/>
            </w:pPr>
            <w:r w:rsidRPr="00B7760C">
              <w:t>(g)</w:t>
            </w:r>
            <w:r w:rsidRPr="00B7760C">
              <w:tab/>
              <w:t>promocija in trženje proizvodov iz enega ali več sektorjev iz točke (f) člena </w:t>
            </w:r>
            <w:r w:rsidRPr="00B7760C">
              <w:rPr>
                <w:b/>
                <w:i/>
              </w:rPr>
              <w:t>40</w:t>
            </w:r>
            <w:r w:rsidRPr="00B7760C">
              <w:t>; ta cilja se nanašata na specifične cilje iz točk (b) in (c) člena 6(1);</w:t>
            </w:r>
          </w:p>
        </w:tc>
        <w:tc>
          <w:tcPr>
            <w:tcW w:w="4876" w:type="dxa"/>
            <w:hideMark/>
          </w:tcPr>
          <w:p w14:paraId="777FFDA5" w14:textId="77777777" w:rsidR="003663AF" w:rsidRPr="00B7760C" w:rsidRDefault="003663AF" w:rsidP="00E804B7">
            <w:pPr>
              <w:pStyle w:val="Normal6"/>
              <w:rPr>
                <w:szCs w:val="24"/>
              </w:rPr>
            </w:pPr>
            <w:r w:rsidRPr="00B7760C">
              <w:t>(g)</w:t>
            </w:r>
            <w:r w:rsidRPr="00B7760C">
              <w:tab/>
              <w:t>promocija in trženje proizvodov iz enega ali več sektorjev iz točke (f) člena </w:t>
            </w:r>
            <w:r w:rsidRPr="00B7760C">
              <w:rPr>
                <w:b/>
                <w:i/>
              </w:rPr>
              <w:t>39</w:t>
            </w:r>
            <w:r w:rsidRPr="00B7760C">
              <w:t>; ta cilja se nanašata na specifične cilje iz točk (b) in (c) člena 6(1);</w:t>
            </w:r>
          </w:p>
        </w:tc>
      </w:tr>
    </w:tbl>
    <w:p w14:paraId="26F70530" w14:textId="77777777" w:rsidR="003663AF" w:rsidRPr="00B7760C" w:rsidRDefault="003663AF" w:rsidP="003663AF"/>
    <w:p w14:paraId="6D8ED11C" w14:textId="324A065C" w:rsidR="003663AF" w:rsidRPr="00B7760C" w:rsidRDefault="00877691" w:rsidP="003663AF">
      <w:pPr>
        <w:pStyle w:val="AMNumberTabs"/>
        <w:keepNext/>
      </w:pPr>
      <w:r w:rsidRPr="00B7760C">
        <w:t>Sprememba</w:t>
      </w:r>
      <w:r w:rsidR="003663AF" w:rsidRPr="00B7760C">
        <w:tab/>
      </w:r>
      <w:r w:rsidR="003663AF" w:rsidRPr="00B7760C">
        <w:tab/>
        <w:t>397</w:t>
      </w:r>
    </w:p>
    <w:p w14:paraId="1AF914BD" w14:textId="77777777" w:rsidR="003663AF" w:rsidRPr="00B7760C" w:rsidRDefault="003663AF" w:rsidP="003663AF">
      <w:pPr>
        <w:pStyle w:val="NormalBold12b"/>
      </w:pPr>
      <w:r w:rsidRPr="00B7760C">
        <w:t>Predlog uredbe</w:t>
      </w:r>
    </w:p>
    <w:p w14:paraId="609D49FC" w14:textId="77777777" w:rsidR="003663AF" w:rsidRPr="00B7760C" w:rsidRDefault="003663AF" w:rsidP="003663AF">
      <w:pPr>
        <w:pStyle w:val="NormalBold"/>
      </w:pPr>
      <w:r w:rsidRPr="00B7760C">
        <w:t>Člen 59 – odstavek 1 – točka h</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39FC592" w14:textId="77777777" w:rsidTr="00E804B7">
        <w:trPr>
          <w:jc w:val="center"/>
        </w:trPr>
        <w:tc>
          <w:tcPr>
            <w:tcW w:w="9752" w:type="dxa"/>
            <w:gridSpan w:val="2"/>
          </w:tcPr>
          <w:p w14:paraId="0D2C32A6" w14:textId="77777777" w:rsidR="003663AF" w:rsidRPr="00B7760C" w:rsidRDefault="003663AF" w:rsidP="00E804B7">
            <w:pPr>
              <w:keepNext/>
            </w:pPr>
          </w:p>
        </w:tc>
      </w:tr>
      <w:tr w:rsidR="003663AF" w:rsidRPr="00B7760C" w14:paraId="076E8557" w14:textId="77777777" w:rsidTr="00E804B7">
        <w:trPr>
          <w:jc w:val="center"/>
        </w:trPr>
        <w:tc>
          <w:tcPr>
            <w:tcW w:w="4876" w:type="dxa"/>
            <w:hideMark/>
          </w:tcPr>
          <w:p w14:paraId="536B65E1" w14:textId="77777777" w:rsidR="003663AF" w:rsidRPr="00B7760C" w:rsidRDefault="003663AF" w:rsidP="00E804B7">
            <w:pPr>
              <w:pStyle w:val="ColumnHeading"/>
              <w:keepNext/>
            </w:pPr>
            <w:r w:rsidRPr="00B7760C">
              <w:t>Besedilo, ki ga predlaga Komisija</w:t>
            </w:r>
          </w:p>
        </w:tc>
        <w:tc>
          <w:tcPr>
            <w:tcW w:w="4876" w:type="dxa"/>
            <w:hideMark/>
          </w:tcPr>
          <w:p w14:paraId="5A303BAF" w14:textId="5CE2D30F" w:rsidR="003663AF" w:rsidRPr="00B7760C" w:rsidRDefault="00877691" w:rsidP="00E804B7">
            <w:pPr>
              <w:pStyle w:val="ColumnHeading"/>
              <w:keepNext/>
            </w:pPr>
            <w:r w:rsidRPr="00B7760C">
              <w:t>Sprememba</w:t>
            </w:r>
          </w:p>
        </w:tc>
      </w:tr>
      <w:tr w:rsidR="003663AF" w:rsidRPr="00B7760C" w14:paraId="4736CF94" w14:textId="77777777" w:rsidTr="00E804B7">
        <w:trPr>
          <w:jc w:val="center"/>
        </w:trPr>
        <w:tc>
          <w:tcPr>
            <w:tcW w:w="4876" w:type="dxa"/>
            <w:hideMark/>
          </w:tcPr>
          <w:p w14:paraId="35FE0923" w14:textId="77777777" w:rsidR="003663AF" w:rsidRPr="00B7760C" w:rsidRDefault="003663AF" w:rsidP="00E804B7">
            <w:pPr>
              <w:pStyle w:val="Normal6"/>
            </w:pPr>
            <w:r w:rsidRPr="00B7760C">
              <w:t>(h)</w:t>
            </w:r>
            <w:r w:rsidRPr="00B7760C">
              <w:tab/>
              <w:t xml:space="preserve">preprečevanje in obvladovanje </w:t>
            </w:r>
            <w:r w:rsidRPr="00B7760C">
              <w:rPr>
                <w:b/>
                <w:i/>
              </w:rPr>
              <w:t>kriz</w:t>
            </w:r>
            <w:r w:rsidRPr="00B7760C">
              <w:t>, da bi preprečevali in reševali krize na trgu v enem ali več sektorjih iz točke (f) člena 39; ta cilj se nanaša na specifične cilje iz točk (a), (b) in (c) člena 6(1)</w:t>
            </w:r>
            <w:r w:rsidRPr="00B7760C">
              <w:rPr>
                <w:b/>
                <w:i/>
              </w:rPr>
              <w:t>.</w:t>
            </w:r>
          </w:p>
        </w:tc>
        <w:tc>
          <w:tcPr>
            <w:tcW w:w="4876" w:type="dxa"/>
            <w:hideMark/>
          </w:tcPr>
          <w:p w14:paraId="6DB155D5" w14:textId="77777777" w:rsidR="003663AF" w:rsidRPr="00B7760C" w:rsidRDefault="003663AF" w:rsidP="00E804B7">
            <w:pPr>
              <w:pStyle w:val="Normal6"/>
              <w:rPr>
                <w:szCs w:val="24"/>
              </w:rPr>
            </w:pPr>
            <w:r w:rsidRPr="00B7760C">
              <w:t>(h)</w:t>
            </w:r>
            <w:r w:rsidRPr="00B7760C">
              <w:tab/>
              <w:t xml:space="preserve">preprečevanje </w:t>
            </w:r>
            <w:r w:rsidRPr="00B7760C">
              <w:rPr>
                <w:b/>
                <w:i/>
              </w:rPr>
              <w:t xml:space="preserve">kriz ter blažitev </w:t>
            </w:r>
            <w:r w:rsidRPr="00B7760C">
              <w:t xml:space="preserve">in obvladovanje </w:t>
            </w:r>
            <w:r w:rsidRPr="00B7760C">
              <w:rPr>
                <w:b/>
                <w:i/>
              </w:rPr>
              <w:t>tveganj</w:t>
            </w:r>
            <w:r w:rsidRPr="00B7760C">
              <w:t>, da bi preprečevali in reševali krize na trgu v enem ali več sektorjih iz točke (f) člena 39; ta cilj se nanaša na specifične cilje iz točk (a), (b) in (c) člena 6(1)</w:t>
            </w:r>
            <w:r w:rsidRPr="00B7760C">
              <w:rPr>
                <w:b/>
                <w:i/>
              </w:rPr>
              <w:t>;</w:t>
            </w:r>
          </w:p>
        </w:tc>
      </w:tr>
    </w:tbl>
    <w:p w14:paraId="1CC63CB5" w14:textId="77777777" w:rsidR="003663AF" w:rsidRPr="00B7760C" w:rsidRDefault="003663AF" w:rsidP="003663AF"/>
    <w:p w14:paraId="7C139A5B" w14:textId="752529C9" w:rsidR="003663AF" w:rsidRPr="00B7760C" w:rsidRDefault="00877691" w:rsidP="003663AF">
      <w:pPr>
        <w:pStyle w:val="AMNumberTabs"/>
        <w:keepNext/>
      </w:pPr>
      <w:r w:rsidRPr="00B7760C">
        <w:t>Sprememba</w:t>
      </w:r>
      <w:r w:rsidR="003663AF" w:rsidRPr="00B7760C">
        <w:tab/>
      </w:r>
      <w:r w:rsidR="003663AF" w:rsidRPr="00B7760C">
        <w:tab/>
        <w:t>398</w:t>
      </w:r>
    </w:p>
    <w:p w14:paraId="17159484" w14:textId="77777777" w:rsidR="003663AF" w:rsidRPr="00B7760C" w:rsidRDefault="003663AF" w:rsidP="003663AF">
      <w:pPr>
        <w:pStyle w:val="NormalBold12b"/>
      </w:pPr>
      <w:r w:rsidRPr="00B7760C">
        <w:t>Predlog uredbe</w:t>
      </w:r>
    </w:p>
    <w:p w14:paraId="31EF3E62" w14:textId="77777777" w:rsidR="003663AF" w:rsidRPr="00B7760C" w:rsidRDefault="003663AF" w:rsidP="003663AF">
      <w:pPr>
        <w:pStyle w:val="NormalBold"/>
      </w:pPr>
      <w:r w:rsidRPr="00B7760C">
        <w:t>Člen 59 – odstavek 1 – točka h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DB9C5C6" w14:textId="77777777" w:rsidTr="00E804B7">
        <w:trPr>
          <w:jc w:val="center"/>
        </w:trPr>
        <w:tc>
          <w:tcPr>
            <w:tcW w:w="9752" w:type="dxa"/>
            <w:gridSpan w:val="2"/>
          </w:tcPr>
          <w:p w14:paraId="4238F272" w14:textId="77777777" w:rsidR="003663AF" w:rsidRPr="00B7760C" w:rsidRDefault="003663AF" w:rsidP="00E804B7">
            <w:pPr>
              <w:keepNext/>
            </w:pPr>
          </w:p>
        </w:tc>
      </w:tr>
      <w:tr w:rsidR="003663AF" w:rsidRPr="00B7760C" w14:paraId="5F9ACD39" w14:textId="77777777" w:rsidTr="00E804B7">
        <w:trPr>
          <w:jc w:val="center"/>
        </w:trPr>
        <w:tc>
          <w:tcPr>
            <w:tcW w:w="4876" w:type="dxa"/>
            <w:hideMark/>
          </w:tcPr>
          <w:p w14:paraId="7AE505E8" w14:textId="77777777" w:rsidR="003663AF" w:rsidRPr="00B7760C" w:rsidRDefault="003663AF" w:rsidP="00E804B7">
            <w:pPr>
              <w:pStyle w:val="ColumnHeading"/>
              <w:keepNext/>
            </w:pPr>
            <w:r w:rsidRPr="00B7760C">
              <w:t>Besedilo, ki ga predlaga Komisija</w:t>
            </w:r>
          </w:p>
        </w:tc>
        <w:tc>
          <w:tcPr>
            <w:tcW w:w="4876" w:type="dxa"/>
            <w:hideMark/>
          </w:tcPr>
          <w:p w14:paraId="3F209256" w14:textId="2DC0EB7F" w:rsidR="003663AF" w:rsidRPr="00B7760C" w:rsidRDefault="00877691" w:rsidP="00E804B7">
            <w:pPr>
              <w:pStyle w:val="ColumnHeading"/>
              <w:keepNext/>
            </w:pPr>
            <w:r w:rsidRPr="00B7760C">
              <w:t>Sprememba</w:t>
            </w:r>
          </w:p>
        </w:tc>
      </w:tr>
      <w:tr w:rsidR="003663AF" w:rsidRPr="00B7760C" w14:paraId="407C37A3" w14:textId="77777777" w:rsidTr="00E804B7">
        <w:trPr>
          <w:jc w:val="center"/>
        </w:trPr>
        <w:tc>
          <w:tcPr>
            <w:tcW w:w="4876" w:type="dxa"/>
          </w:tcPr>
          <w:p w14:paraId="50BFF7B2" w14:textId="77777777" w:rsidR="003663AF" w:rsidRPr="00B7760C" w:rsidRDefault="003663AF" w:rsidP="00E804B7">
            <w:pPr>
              <w:pStyle w:val="Normal6"/>
            </w:pPr>
          </w:p>
        </w:tc>
        <w:tc>
          <w:tcPr>
            <w:tcW w:w="4876" w:type="dxa"/>
            <w:hideMark/>
          </w:tcPr>
          <w:p w14:paraId="6F8E4865" w14:textId="77777777" w:rsidR="003663AF" w:rsidRPr="00B7760C" w:rsidRDefault="003663AF" w:rsidP="00E804B7">
            <w:pPr>
              <w:pStyle w:val="Normal6"/>
              <w:rPr>
                <w:szCs w:val="24"/>
              </w:rPr>
            </w:pPr>
            <w:r w:rsidRPr="00B7760C">
              <w:rPr>
                <w:b/>
                <w:i/>
              </w:rPr>
              <w:t>(ha)</w:t>
            </w:r>
            <w:r w:rsidRPr="00B7760C">
              <w:rPr>
                <w:b/>
                <w:i/>
              </w:rPr>
              <w:tab/>
              <w:t>preprečevanje napadov plenilskih vrst na živino;</w:t>
            </w:r>
          </w:p>
        </w:tc>
      </w:tr>
    </w:tbl>
    <w:p w14:paraId="786F463F" w14:textId="77777777" w:rsidR="003663AF" w:rsidRPr="00B7760C" w:rsidRDefault="003663AF" w:rsidP="003663AF"/>
    <w:p w14:paraId="5FE6DD84" w14:textId="5D173B21" w:rsidR="003663AF" w:rsidRPr="00B7760C" w:rsidRDefault="00877691" w:rsidP="003663AF">
      <w:pPr>
        <w:pStyle w:val="AMNumberTabs"/>
        <w:keepNext/>
      </w:pPr>
      <w:r w:rsidRPr="00B7760C">
        <w:t>Sprememba</w:t>
      </w:r>
      <w:r w:rsidR="003663AF" w:rsidRPr="00B7760C">
        <w:tab/>
      </w:r>
      <w:r w:rsidR="003663AF" w:rsidRPr="00B7760C">
        <w:tab/>
        <w:t>399</w:t>
      </w:r>
    </w:p>
    <w:p w14:paraId="36CCE9E5" w14:textId="77777777" w:rsidR="003663AF" w:rsidRPr="00B7760C" w:rsidRDefault="003663AF" w:rsidP="003663AF">
      <w:pPr>
        <w:pStyle w:val="NormalBold12b"/>
      </w:pPr>
      <w:r w:rsidRPr="00B7760C">
        <w:t>Predlog uredbe</w:t>
      </w:r>
    </w:p>
    <w:p w14:paraId="6E35C0F8" w14:textId="77777777" w:rsidR="003663AF" w:rsidRPr="00B7760C" w:rsidRDefault="003663AF" w:rsidP="003663AF">
      <w:pPr>
        <w:pStyle w:val="NormalBold"/>
      </w:pPr>
      <w:r w:rsidRPr="00B7760C">
        <w:t>Člen 59 – odstavek 1 – točka h b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159A734" w14:textId="77777777" w:rsidTr="00E804B7">
        <w:trPr>
          <w:jc w:val="center"/>
        </w:trPr>
        <w:tc>
          <w:tcPr>
            <w:tcW w:w="9752" w:type="dxa"/>
            <w:gridSpan w:val="2"/>
          </w:tcPr>
          <w:p w14:paraId="1F38CE93" w14:textId="77777777" w:rsidR="003663AF" w:rsidRPr="00B7760C" w:rsidRDefault="003663AF" w:rsidP="00E804B7">
            <w:pPr>
              <w:keepNext/>
            </w:pPr>
          </w:p>
        </w:tc>
      </w:tr>
      <w:tr w:rsidR="003663AF" w:rsidRPr="00B7760C" w14:paraId="0265346C" w14:textId="77777777" w:rsidTr="00E804B7">
        <w:trPr>
          <w:jc w:val="center"/>
        </w:trPr>
        <w:tc>
          <w:tcPr>
            <w:tcW w:w="4876" w:type="dxa"/>
            <w:hideMark/>
          </w:tcPr>
          <w:p w14:paraId="477072DF" w14:textId="77777777" w:rsidR="003663AF" w:rsidRPr="00B7760C" w:rsidRDefault="003663AF" w:rsidP="00E804B7">
            <w:pPr>
              <w:pStyle w:val="ColumnHeading"/>
              <w:keepNext/>
            </w:pPr>
            <w:r w:rsidRPr="00B7760C">
              <w:t>Besedilo, ki ga predlaga Komisija</w:t>
            </w:r>
          </w:p>
        </w:tc>
        <w:tc>
          <w:tcPr>
            <w:tcW w:w="4876" w:type="dxa"/>
            <w:hideMark/>
          </w:tcPr>
          <w:p w14:paraId="3FF3ADF4" w14:textId="5F445294" w:rsidR="003663AF" w:rsidRPr="00B7760C" w:rsidRDefault="00877691" w:rsidP="00E804B7">
            <w:pPr>
              <w:pStyle w:val="ColumnHeading"/>
              <w:keepNext/>
            </w:pPr>
            <w:r w:rsidRPr="00B7760C">
              <w:t>Sprememba</w:t>
            </w:r>
          </w:p>
        </w:tc>
      </w:tr>
      <w:tr w:rsidR="003663AF" w:rsidRPr="00B7760C" w14:paraId="4A55C353" w14:textId="77777777" w:rsidTr="00E804B7">
        <w:trPr>
          <w:jc w:val="center"/>
        </w:trPr>
        <w:tc>
          <w:tcPr>
            <w:tcW w:w="4876" w:type="dxa"/>
          </w:tcPr>
          <w:p w14:paraId="7F98D159" w14:textId="77777777" w:rsidR="003663AF" w:rsidRPr="00B7760C" w:rsidRDefault="003663AF" w:rsidP="00E804B7">
            <w:pPr>
              <w:pStyle w:val="Normal6"/>
            </w:pPr>
          </w:p>
        </w:tc>
        <w:tc>
          <w:tcPr>
            <w:tcW w:w="4876" w:type="dxa"/>
            <w:hideMark/>
          </w:tcPr>
          <w:p w14:paraId="24A4336E" w14:textId="77777777" w:rsidR="003663AF" w:rsidRPr="00B7760C" w:rsidRDefault="003663AF" w:rsidP="00E804B7">
            <w:pPr>
              <w:pStyle w:val="Normal6"/>
              <w:rPr>
                <w:szCs w:val="24"/>
              </w:rPr>
            </w:pPr>
            <w:r w:rsidRPr="00B7760C">
              <w:rPr>
                <w:b/>
                <w:i/>
              </w:rPr>
              <w:t>(hb)</w:t>
            </w:r>
            <w:r w:rsidRPr="00B7760C">
              <w:rPr>
                <w:b/>
                <w:i/>
              </w:rPr>
              <w:tab/>
              <w:t>prispevanje k strategiji Unije za spodbujanje beljakovinskih rastlin, zlasti krme in stročnic.</w:t>
            </w:r>
          </w:p>
        </w:tc>
      </w:tr>
    </w:tbl>
    <w:p w14:paraId="5733221D" w14:textId="77777777" w:rsidR="003663AF" w:rsidRPr="00B7760C" w:rsidRDefault="003663AF" w:rsidP="003663AF"/>
    <w:p w14:paraId="5FB0A001" w14:textId="1D841B32" w:rsidR="003663AF" w:rsidRPr="00B7760C" w:rsidRDefault="00877691" w:rsidP="00517642">
      <w:pPr>
        <w:pStyle w:val="AMNumberTabs"/>
        <w:keepNext/>
      </w:pPr>
      <w:r w:rsidRPr="00B7760C">
        <w:t>Sprememb</w:t>
      </w:r>
      <w:r w:rsidR="00517642" w:rsidRPr="00B7760C">
        <w:t>i</w:t>
      </w:r>
      <w:r w:rsidR="003663AF" w:rsidRPr="00B7760C">
        <w:tab/>
      </w:r>
      <w:r w:rsidR="003663AF" w:rsidRPr="00B7760C">
        <w:tab/>
        <w:t>400</w:t>
      </w:r>
      <w:r w:rsidR="00517642" w:rsidRPr="00B7760C">
        <w:t xml:space="preserve"> in 826</w:t>
      </w:r>
      <w:r w:rsidR="009A1B1D" w:rsidRPr="00B7760C">
        <w:t xml:space="preserve"> cp</w:t>
      </w:r>
    </w:p>
    <w:p w14:paraId="15F72EAB" w14:textId="77777777" w:rsidR="003663AF" w:rsidRPr="00B7760C" w:rsidRDefault="003663AF" w:rsidP="003663AF">
      <w:pPr>
        <w:pStyle w:val="NormalBold12b"/>
      </w:pPr>
      <w:r w:rsidRPr="00B7760C">
        <w:t>Predlog uredbe</w:t>
      </w:r>
    </w:p>
    <w:p w14:paraId="46C6039A" w14:textId="77777777" w:rsidR="003663AF" w:rsidRPr="00B7760C" w:rsidRDefault="003663AF" w:rsidP="003663AF">
      <w:pPr>
        <w:pStyle w:val="NormalBold"/>
      </w:pPr>
      <w:r w:rsidRPr="00B7760C">
        <w:t>Člen 60 – odstavek 1 – uvodni del</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C8DF3C0" w14:textId="77777777" w:rsidTr="00E804B7">
        <w:trPr>
          <w:jc w:val="center"/>
        </w:trPr>
        <w:tc>
          <w:tcPr>
            <w:tcW w:w="9752" w:type="dxa"/>
            <w:gridSpan w:val="2"/>
          </w:tcPr>
          <w:p w14:paraId="35850E9A" w14:textId="77777777" w:rsidR="003663AF" w:rsidRPr="00B7760C" w:rsidRDefault="003663AF" w:rsidP="00E804B7">
            <w:pPr>
              <w:keepNext/>
            </w:pPr>
          </w:p>
        </w:tc>
      </w:tr>
      <w:tr w:rsidR="003663AF" w:rsidRPr="00B7760C" w14:paraId="10C84B36" w14:textId="77777777" w:rsidTr="00E804B7">
        <w:trPr>
          <w:jc w:val="center"/>
        </w:trPr>
        <w:tc>
          <w:tcPr>
            <w:tcW w:w="4876" w:type="dxa"/>
            <w:hideMark/>
          </w:tcPr>
          <w:p w14:paraId="7CCCE35D" w14:textId="77777777" w:rsidR="003663AF" w:rsidRPr="00B7760C" w:rsidRDefault="003663AF" w:rsidP="00E804B7">
            <w:pPr>
              <w:pStyle w:val="ColumnHeading"/>
              <w:keepNext/>
            </w:pPr>
            <w:r w:rsidRPr="00B7760C">
              <w:t>Besedilo, ki ga predlaga Komisija</w:t>
            </w:r>
          </w:p>
        </w:tc>
        <w:tc>
          <w:tcPr>
            <w:tcW w:w="4876" w:type="dxa"/>
            <w:hideMark/>
          </w:tcPr>
          <w:p w14:paraId="5B3B6616" w14:textId="173260AC" w:rsidR="003663AF" w:rsidRPr="00B7760C" w:rsidRDefault="00877691" w:rsidP="00E804B7">
            <w:pPr>
              <w:pStyle w:val="ColumnHeading"/>
              <w:keepNext/>
            </w:pPr>
            <w:r w:rsidRPr="00B7760C">
              <w:t>Sprememba</w:t>
            </w:r>
          </w:p>
        </w:tc>
      </w:tr>
      <w:tr w:rsidR="003663AF" w:rsidRPr="00B7760C" w14:paraId="4C256619" w14:textId="77777777" w:rsidTr="00E804B7">
        <w:trPr>
          <w:jc w:val="center"/>
        </w:trPr>
        <w:tc>
          <w:tcPr>
            <w:tcW w:w="4876" w:type="dxa"/>
            <w:hideMark/>
          </w:tcPr>
          <w:p w14:paraId="6EFA1BB3" w14:textId="77777777" w:rsidR="003663AF" w:rsidRPr="00B7760C" w:rsidRDefault="003663AF" w:rsidP="00E804B7">
            <w:pPr>
              <w:pStyle w:val="Normal6"/>
            </w:pPr>
            <w:r w:rsidRPr="00B7760C">
              <w:t>1.</w:t>
            </w:r>
            <w:r w:rsidRPr="00B7760C">
              <w:tab/>
              <w:t xml:space="preserve">Države članice v zvezi s cilji iz točk od (a) do (g) člena 59 v svojih strateških načrtih SKP izberejo </w:t>
            </w:r>
            <w:r w:rsidRPr="00B7760C">
              <w:rPr>
                <w:b/>
                <w:bCs/>
                <w:i/>
                <w:iCs/>
              </w:rPr>
              <w:t>eno</w:t>
            </w:r>
            <w:r w:rsidRPr="00B7760C">
              <w:t xml:space="preserve"> ali več naslednjih vrst intervencij:</w:t>
            </w:r>
          </w:p>
        </w:tc>
        <w:tc>
          <w:tcPr>
            <w:tcW w:w="4876" w:type="dxa"/>
            <w:hideMark/>
          </w:tcPr>
          <w:p w14:paraId="0C058E01" w14:textId="70140F06" w:rsidR="003663AF" w:rsidRPr="00B7760C" w:rsidRDefault="003663AF" w:rsidP="00517642">
            <w:pPr>
              <w:pStyle w:val="Normal6"/>
              <w:rPr>
                <w:szCs w:val="24"/>
              </w:rPr>
            </w:pPr>
            <w:r w:rsidRPr="00B7760C">
              <w:t>1.</w:t>
            </w:r>
            <w:r w:rsidRPr="00B7760C">
              <w:tab/>
              <w:t xml:space="preserve">Države članice v zvezi s cilji iz </w:t>
            </w:r>
            <w:r w:rsidRPr="00B7760C">
              <w:rPr>
                <w:b/>
                <w:i/>
              </w:rPr>
              <w:t>točk od (a) do (f</w:t>
            </w:r>
            <w:r w:rsidR="00A10B55" w:rsidRPr="00B7760C">
              <w:rPr>
                <w:b/>
                <w:i/>
              </w:rPr>
              <w:t>a</w:t>
            </w:r>
            <w:r w:rsidRPr="00B7760C">
              <w:rPr>
                <w:b/>
                <w:i/>
              </w:rPr>
              <w:t xml:space="preserve">) člena 56 in </w:t>
            </w:r>
            <w:r w:rsidRPr="00B7760C">
              <w:t xml:space="preserve">točk od (a) do (g) člena 59 v svojih strateških načrtih SKP izberejo </w:t>
            </w:r>
            <w:r w:rsidR="00517642" w:rsidRPr="00B7760C">
              <w:rPr>
                <w:b/>
                <w:bCs/>
                <w:i/>
                <w:iCs/>
              </w:rPr>
              <w:t>dve</w:t>
            </w:r>
            <w:r w:rsidR="00517642" w:rsidRPr="00B7760C">
              <w:t xml:space="preserve"> </w:t>
            </w:r>
            <w:r w:rsidRPr="00B7760C">
              <w:t>ali več naslednjih vrst intervencij:</w:t>
            </w:r>
          </w:p>
        </w:tc>
      </w:tr>
    </w:tbl>
    <w:p w14:paraId="51CAAD97" w14:textId="77777777" w:rsidR="003663AF" w:rsidRPr="00B7760C" w:rsidRDefault="003663AF" w:rsidP="003663AF"/>
    <w:p w14:paraId="677251E5" w14:textId="7D2D8CCB" w:rsidR="003663AF" w:rsidRPr="00B7760C" w:rsidRDefault="00877691" w:rsidP="00517642">
      <w:pPr>
        <w:pStyle w:val="AMNumberTabs"/>
        <w:keepNext/>
      </w:pPr>
      <w:r w:rsidRPr="00B7760C">
        <w:t>Sprememb</w:t>
      </w:r>
      <w:r w:rsidR="00517642" w:rsidRPr="00B7760C">
        <w:t>i</w:t>
      </w:r>
      <w:r w:rsidR="003663AF" w:rsidRPr="00B7760C">
        <w:tab/>
        <w:t>401</w:t>
      </w:r>
      <w:r w:rsidR="00517642" w:rsidRPr="00B7760C">
        <w:t xml:space="preserve"> in 826</w:t>
      </w:r>
      <w:r w:rsidR="009A1B1D" w:rsidRPr="00B7760C">
        <w:t xml:space="preserve"> cp</w:t>
      </w:r>
    </w:p>
    <w:p w14:paraId="27BCA871" w14:textId="77777777" w:rsidR="003663AF" w:rsidRPr="00B7760C" w:rsidRDefault="003663AF" w:rsidP="003663AF">
      <w:pPr>
        <w:pStyle w:val="NormalBold12b"/>
      </w:pPr>
      <w:r w:rsidRPr="00B7760C">
        <w:t>Predlog uredbe</w:t>
      </w:r>
    </w:p>
    <w:p w14:paraId="0B96C042" w14:textId="77777777" w:rsidR="003663AF" w:rsidRPr="00B7760C" w:rsidRDefault="003663AF" w:rsidP="003663AF">
      <w:pPr>
        <w:pStyle w:val="NormalBold"/>
      </w:pPr>
      <w:r w:rsidRPr="00B7760C">
        <w:t>Člen 60 – odstavek 1 – točka a – točka i</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4831029" w14:textId="77777777" w:rsidTr="00E804B7">
        <w:trPr>
          <w:jc w:val="center"/>
        </w:trPr>
        <w:tc>
          <w:tcPr>
            <w:tcW w:w="9752" w:type="dxa"/>
            <w:gridSpan w:val="2"/>
          </w:tcPr>
          <w:p w14:paraId="315A6936" w14:textId="77777777" w:rsidR="003663AF" w:rsidRPr="00B7760C" w:rsidRDefault="003663AF" w:rsidP="00E804B7">
            <w:pPr>
              <w:keepNext/>
            </w:pPr>
          </w:p>
        </w:tc>
      </w:tr>
      <w:tr w:rsidR="003663AF" w:rsidRPr="00B7760C" w14:paraId="6FB28297" w14:textId="77777777" w:rsidTr="00E804B7">
        <w:trPr>
          <w:jc w:val="center"/>
        </w:trPr>
        <w:tc>
          <w:tcPr>
            <w:tcW w:w="4876" w:type="dxa"/>
            <w:hideMark/>
          </w:tcPr>
          <w:p w14:paraId="630FE30A" w14:textId="77777777" w:rsidR="003663AF" w:rsidRPr="00B7760C" w:rsidRDefault="003663AF" w:rsidP="00E804B7">
            <w:pPr>
              <w:pStyle w:val="ColumnHeading"/>
              <w:keepNext/>
            </w:pPr>
            <w:r w:rsidRPr="00B7760C">
              <w:t>Besedilo, ki ga predlaga Komisija</w:t>
            </w:r>
          </w:p>
        </w:tc>
        <w:tc>
          <w:tcPr>
            <w:tcW w:w="4876" w:type="dxa"/>
            <w:hideMark/>
          </w:tcPr>
          <w:p w14:paraId="7385D112" w14:textId="345E51C0" w:rsidR="003663AF" w:rsidRPr="00B7760C" w:rsidRDefault="00877691" w:rsidP="00E804B7">
            <w:pPr>
              <w:pStyle w:val="ColumnHeading"/>
              <w:keepNext/>
            </w:pPr>
            <w:r w:rsidRPr="00B7760C">
              <w:t>Sprememba</w:t>
            </w:r>
          </w:p>
        </w:tc>
      </w:tr>
      <w:tr w:rsidR="003663AF" w:rsidRPr="00B7760C" w14:paraId="7CAA9F15" w14:textId="77777777" w:rsidTr="00E804B7">
        <w:trPr>
          <w:jc w:val="center"/>
        </w:trPr>
        <w:tc>
          <w:tcPr>
            <w:tcW w:w="4876" w:type="dxa"/>
            <w:hideMark/>
          </w:tcPr>
          <w:p w14:paraId="2E48E028" w14:textId="77777777" w:rsidR="003663AF" w:rsidRPr="00B7760C" w:rsidRDefault="003663AF" w:rsidP="00E804B7">
            <w:pPr>
              <w:pStyle w:val="Normal6"/>
            </w:pPr>
            <w:r w:rsidRPr="00B7760C">
              <w:t>(i)</w:t>
            </w:r>
            <w:r w:rsidRPr="00B7760C">
              <w:tab/>
              <w:t xml:space="preserve">ohranjanje tal, vključno s </w:t>
            </w:r>
            <w:r w:rsidRPr="00B7760C">
              <w:rPr>
                <w:b/>
                <w:i/>
              </w:rPr>
              <w:t>povečanjem zalog</w:t>
            </w:r>
            <w:r w:rsidRPr="00B7760C">
              <w:t xml:space="preserve"> ogljika v tleh;</w:t>
            </w:r>
          </w:p>
        </w:tc>
        <w:tc>
          <w:tcPr>
            <w:tcW w:w="4876" w:type="dxa"/>
            <w:hideMark/>
          </w:tcPr>
          <w:p w14:paraId="3CCC1767" w14:textId="6788628E" w:rsidR="003663AF" w:rsidRPr="00B7760C" w:rsidRDefault="003663AF" w:rsidP="009A1B1D">
            <w:pPr>
              <w:pStyle w:val="Normal6"/>
              <w:rPr>
                <w:szCs w:val="24"/>
              </w:rPr>
            </w:pPr>
            <w:r w:rsidRPr="00B7760C">
              <w:t>(i)</w:t>
            </w:r>
            <w:r w:rsidRPr="00B7760C">
              <w:tab/>
              <w:t>ohranjanje tal</w:t>
            </w:r>
            <w:r w:rsidR="009A1B1D" w:rsidRPr="00B7760C">
              <w:t xml:space="preserve"> </w:t>
            </w:r>
            <w:r w:rsidR="009A1B1D" w:rsidRPr="00B7760C">
              <w:rPr>
                <w:b/>
                <w:i/>
              </w:rPr>
              <w:t>ter ponovna vzpostavitev rodovitnosti in strukture tal</w:t>
            </w:r>
            <w:r w:rsidRPr="00B7760C">
              <w:t xml:space="preserve">, vključno s </w:t>
            </w:r>
            <w:r w:rsidRPr="00B7760C">
              <w:rPr>
                <w:b/>
                <w:i/>
              </w:rPr>
              <w:t>preprečevanjem degradacije tal in pospešitvijo sekvestracije</w:t>
            </w:r>
            <w:r w:rsidRPr="00B7760C">
              <w:t xml:space="preserve"> ogljika v tleh</w:t>
            </w:r>
            <w:r w:rsidR="009A1B1D" w:rsidRPr="00B7760C">
              <w:t xml:space="preserve"> </w:t>
            </w:r>
            <w:r w:rsidR="009A1B1D" w:rsidRPr="00B7760C">
              <w:rPr>
                <w:b/>
                <w:i/>
              </w:rPr>
              <w:t>in zmanjšanjem onesnaževal v gnojilih</w:t>
            </w:r>
            <w:r w:rsidRPr="00B7760C">
              <w:t>;</w:t>
            </w:r>
          </w:p>
        </w:tc>
      </w:tr>
    </w:tbl>
    <w:p w14:paraId="38A5F293" w14:textId="77777777" w:rsidR="003663AF" w:rsidRPr="00B7760C" w:rsidRDefault="003663AF" w:rsidP="003663AF"/>
    <w:p w14:paraId="5157B450" w14:textId="2172F49E" w:rsidR="003663AF" w:rsidRPr="00B7760C" w:rsidRDefault="00877691" w:rsidP="003663AF">
      <w:pPr>
        <w:pStyle w:val="AMNumberTabs"/>
        <w:keepNext/>
      </w:pPr>
      <w:r w:rsidRPr="00B7760C">
        <w:t>Sprememba</w:t>
      </w:r>
      <w:r w:rsidR="003663AF" w:rsidRPr="00B7760C">
        <w:tab/>
      </w:r>
      <w:r w:rsidR="003663AF" w:rsidRPr="00B7760C">
        <w:tab/>
        <w:t>402</w:t>
      </w:r>
    </w:p>
    <w:p w14:paraId="2CAD42C5" w14:textId="77777777" w:rsidR="003663AF" w:rsidRPr="00B7760C" w:rsidRDefault="003663AF" w:rsidP="003663AF">
      <w:pPr>
        <w:pStyle w:val="NormalBold12b"/>
      </w:pPr>
      <w:r w:rsidRPr="00B7760C">
        <w:t>Predlog uredbe</w:t>
      </w:r>
    </w:p>
    <w:p w14:paraId="0DE75404" w14:textId="77777777" w:rsidR="003663AF" w:rsidRPr="00B7760C" w:rsidRDefault="003663AF" w:rsidP="003663AF">
      <w:pPr>
        <w:pStyle w:val="NormalBold"/>
      </w:pPr>
      <w:r w:rsidRPr="00B7760C">
        <w:t>Člen 60 – odstavek 1 – točka a – točka ii</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645BF67" w14:textId="77777777" w:rsidTr="00E804B7">
        <w:trPr>
          <w:jc w:val="center"/>
        </w:trPr>
        <w:tc>
          <w:tcPr>
            <w:tcW w:w="9752" w:type="dxa"/>
            <w:gridSpan w:val="2"/>
          </w:tcPr>
          <w:p w14:paraId="7E8EC5C3" w14:textId="77777777" w:rsidR="003663AF" w:rsidRPr="00B7760C" w:rsidRDefault="003663AF" w:rsidP="00E804B7">
            <w:pPr>
              <w:keepNext/>
            </w:pPr>
          </w:p>
        </w:tc>
      </w:tr>
      <w:tr w:rsidR="003663AF" w:rsidRPr="00B7760C" w14:paraId="6065B2E9" w14:textId="77777777" w:rsidTr="00E804B7">
        <w:trPr>
          <w:jc w:val="center"/>
        </w:trPr>
        <w:tc>
          <w:tcPr>
            <w:tcW w:w="4876" w:type="dxa"/>
            <w:hideMark/>
          </w:tcPr>
          <w:p w14:paraId="7CCCAC1B" w14:textId="77777777" w:rsidR="003663AF" w:rsidRPr="00B7760C" w:rsidRDefault="003663AF" w:rsidP="00E804B7">
            <w:pPr>
              <w:pStyle w:val="ColumnHeading"/>
              <w:keepNext/>
            </w:pPr>
            <w:r w:rsidRPr="00B7760C">
              <w:t>Besedilo, ki ga predlaga Komisija</w:t>
            </w:r>
          </w:p>
        </w:tc>
        <w:tc>
          <w:tcPr>
            <w:tcW w:w="4876" w:type="dxa"/>
            <w:hideMark/>
          </w:tcPr>
          <w:p w14:paraId="52F371E8" w14:textId="521F0EEA" w:rsidR="003663AF" w:rsidRPr="00B7760C" w:rsidRDefault="00877691" w:rsidP="00E804B7">
            <w:pPr>
              <w:pStyle w:val="ColumnHeading"/>
              <w:keepNext/>
            </w:pPr>
            <w:r w:rsidRPr="00B7760C">
              <w:t>Sprememba</w:t>
            </w:r>
          </w:p>
        </w:tc>
      </w:tr>
      <w:tr w:rsidR="003663AF" w:rsidRPr="00B7760C" w14:paraId="7B67604A" w14:textId="77777777" w:rsidTr="00E804B7">
        <w:trPr>
          <w:jc w:val="center"/>
        </w:trPr>
        <w:tc>
          <w:tcPr>
            <w:tcW w:w="4876" w:type="dxa"/>
            <w:hideMark/>
          </w:tcPr>
          <w:p w14:paraId="388D887C" w14:textId="77777777" w:rsidR="003663AF" w:rsidRPr="00B7760C" w:rsidRDefault="003663AF" w:rsidP="00E804B7">
            <w:pPr>
              <w:pStyle w:val="Normal6"/>
            </w:pPr>
            <w:r w:rsidRPr="00B7760C">
              <w:t>(ii)</w:t>
            </w:r>
            <w:r w:rsidRPr="00B7760C">
              <w:tab/>
              <w:t>izboljšanje uporabe vode in gospodarjenja z njo, vključno z varčevanjem z vodo in njenim črpanjem;</w:t>
            </w:r>
          </w:p>
        </w:tc>
        <w:tc>
          <w:tcPr>
            <w:tcW w:w="4876" w:type="dxa"/>
            <w:hideMark/>
          </w:tcPr>
          <w:p w14:paraId="28B9CFD8" w14:textId="77777777" w:rsidR="003663AF" w:rsidRPr="00B7760C" w:rsidRDefault="003663AF" w:rsidP="00E804B7">
            <w:pPr>
              <w:pStyle w:val="Normal6"/>
              <w:rPr>
                <w:szCs w:val="24"/>
              </w:rPr>
            </w:pPr>
            <w:r w:rsidRPr="00B7760C">
              <w:t>(ii)</w:t>
            </w:r>
            <w:r w:rsidRPr="00B7760C">
              <w:tab/>
              <w:t xml:space="preserve">izboljšanje uporabe vode in </w:t>
            </w:r>
            <w:r w:rsidRPr="00B7760C">
              <w:rPr>
                <w:b/>
                <w:i/>
              </w:rPr>
              <w:t xml:space="preserve">dobrega </w:t>
            </w:r>
            <w:r w:rsidRPr="00B7760C">
              <w:t>gospodarjenja z njo, vključno z varčevanjem z vodo in njenim črpanjem</w:t>
            </w:r>
            <w:r w:rsidRPr="00B7760C">
              <w:rPr>
                <w:b/>
                <w:i/>
              </w:rPr>
              <w:t>, kar prispeva k dobremu stanju povodij</w:t>
            </w:r>
            <w:r w:rsidRPr="00B7760C">
              <w:t>;</w:t>
            </w:r>
          </w:p>
        </w:tc>
      </w:tr>
    </w:tbl>
    <w:p w14:paraId="47E5FA62" w14:textId="77777777" w:rsidR="003663AF" w:rsidRPr="00B7760C" w:rsidRDefault="003663AF" w:rsidP="003663AF"/>
    <w:p w14:paraId="5CC3530C" w14:textId="72C42E18" w:rsidR="003663AF" w:rsidRPr="00B7760C" w:rsidRDefault="00877691" w:rsidP="003663AF">
      <w:pPr>
        <w:pStyle w:val="AMNumberTabs"/>
        <w:keepNext/>
      </w:pPr>
      <w:r w:rsidRPr="00B7760C">
        <w:t>Sprememba</w:t>
      </w:r>
      <w:r w:rsidR="003663AF" w:rsidRPr="00B7760C">
        <w:tab/>
      </w:r>
      <w:r w:rsidR="003663AF" w:rsidRPr="00B7760C">
        <w:tab/>
        <w:t>403</w:t>
      </w:r>
    </w:p>
    <w:p w14:paraId="4C55DE35" w14:textId="77777777" w:rsidR="003663AF" w:rsidRPr="00B7760C" w:rsidRDefault="003663AF" w:rsidP="003663AF">
      <w:pPr>
        <w:pStyle w:val="NormalBold12b"/>
      </w:pPr>
      <w:r w:rsidRPr="00B7760C">
        <w:t>Predlog uredbe</w:t>
      </w:r>
    </w:p>
    <w:p w14:paraId="153A71D8" w14:textId="77777777" w:rsidR="003663AF" w:rsidRPr="00B7760C" w:rsidRDefault="003663AF" w:rsidP="003663AF">
      <w:pPr>
        <w:pStyle w:val="NormalBold"/>
      </w:pPr>
      <w:r w:rsidRPr="00B7760C">
        <w:t>Člen 60 – odstavek 1 – točka a – točka iv</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DDE33A0" w14:textId="77777777" w:rsidTr="00E804B7">
        <w:trPr>
          <w:jc w:val="center"/>
        </w:trPr>
        <w:tc>
          <w:tcPr>
            <w:tcW w:w="9752" w:type="dxa"/>
            <w:gridSpan w:val="2"/>
          </w:tcPr>
          <w:p w14:paraId="7E2E3618" w14:textId="77777777" w:rsidR="003663AF" w:rsidRPr="00B7760C" w:rsidRDefault="003663AF" w:rsidP="00E804B7">
            <w:pPr>
              <w:keepNext/>
            </w:pPr>
          </w:p>
        </w:tc>
      </w:tr>
      <w:tr w:rsidR="003663AF" w:rsidRPr="00B7760C" w14:paraId="28194F2E" w14:textId="77777777" w:rsidTr="00E804B7">
        <w:trPr>
          <w:jc w:val="center"/>
        </w:trPr>
        <w:tc>
          <w:tcPr>
            <w:tcW w:w="4876" w:type="dxa"/>
            <w:hideMark/>
          </w:tcPr>
          <w:p w14:paraId="606F532B" w14:textId="77777777" w:rsidR="003663AF" w:rsidRPr="00B7760C" w:rsidRDefault="003663AF" w:rsidP="00E804B7">
            <w:pPr>
              <w:pStyle w:val="ColumnHeading"/>
              <w:keepNext/>
            </w:pPr>
            <w:r w:rsidRPr="00B7760C">
              <w:t>Besedilo, ki ga predlaga Komisija</w:t>
            </w:r>
          </w:p>
        </w:tc>
        <w:tc>
          <w:tcPr>
            <w:tcW w:w="4876" w:type="dxa"/>
            <w:hideMark/>
          </w:tcPr>
          <w:p w14:paraId="29D694DB" w14:textId="6B294F25" w:rsidR="003663AF" w:rsidRPr="00B7760C" w:rsidRDefault="00877691" w:rsidP="00E804B7">
            <w:pPr>
              <w:pStyle w:val="ColumnHeading"/>
              <w:keepNext/>
            </w:pPr>
            <w:r w:rsidRPr="00B7760C">
              <w:t>Sprememba</w:t>
            </w:r>
          </w:p>
        </w:tc>
      </w:tr>
      <w:tr w:rsidR="003663AF" w:rsidRPr="00B7760C" w14:paraId="0C97617B" w14:textId="77777777" w:rsidTr="00E804B7">
        <w:trPr>
          <w:jc w:val="center"/>
        </w:trPr>
        <w:tc>
          <w:tcPr>
            <w:tcW w:w="4876" w:type="dxa"/>
            <w:hideMark/>
          </w:tcPr>
          <w:p w14:paraId="6DFF6556" w14:textId="77777777" w:rsidR="003663AF" w:rsidRPr="00B7760C" w:rsidRDefault="003663AF" w:rsidP="00E804B7">
            <w:pPr>
              <w:pStyle w:val="Normal6"/>
            </w:pPr>
            <w:r w:rsidRPr="00B7760C">
              <w:t>(iv)</w:t>
            </w:r>
            <w:r w:rsidRPr="00B7760C">
              <w:tab/>
              <w:t>varčevanje z energijo in večjo energijsko učinkovitost;</w:t>
            </w:r>
          </w:p>
        </w:tc>
        <w:tc>
          <w:tcPr>
            <w:tcW w:w="4876" w:type="dxa"/>
            <w:hideMark/>
          </w:tcPr>
          <w:p w14:paraId="79DF74F9" w14:textId="77777777" w:rsidR="003663AF" w:rsidRPr="00B7760C" w:rsidRDefault="003663AF" w:rsidP="00E804B7">
            <w:pPr>
              <w:pStyle w:val="Normal6"/>
              <w:rPr>
                <w:szCs w:val="24"/>
              </w:rPr>
            </w:pPr>
            <w:r w:rsidRPr="00B7760C">
              <w:t>(iv)</w:t>
            </w:r>
            <w:r w:rsidRPr="00B7760C">
              <w:tab/>
              <w:t>varčevanje z energijo in večjo energijsko učinkovitost</w:t>
            </w:r>
            <w:r w:rsidRPr="00B7760C">
              <w:rPr>
                <w:b/>
                <w:i/>
              </w:rPr>
              <w:t>, vključno z uporabo obnovljivih virov energije, kot je trajnostna uporaba ostankov iz kmetijstva</w:t>
            </w:r>
            <w:r w:rsidRPr="00B7760C">
              <w:t>;</w:t>
            </w:r>
          </w:p>
        </w:tc>
      </w:tr>
    </w:tbl>
    <w:p w14:paraId="26836A40" w14:textId="77777777" w:rsidR="003663AF" w:rsidRPr="00B7760C" w:rsidRDefault="003663AF" w:rsidP="003663AF"/>
    <w:p w14:paraId="1A8FE66E" w14:textId="7F849B23" w:rsidR="003663AF" w:rsidRPr="00B7760C" w:rsidRDefault="00877691" w:rsidP="00EB36AB">
      <w:pPr>
        <w:pStyle w:val="AMNumberTabs"/>
        <w:keepNext/>
      </w:pPr>
      <w:r w:rsidRPr="00B7760C">
        <w:t>Sprememba</w:t>
      </w:r>
      <w:r w:rsidR="003663AF" w:rsidRPr="00B7760C">
        <w:tab/>
      </w:r>
      <w:r w:rsidR="003663AF" w:rsidRPr="00B7760C">
        <w:tab/>
        <w:t>404</w:t>
      </w:r>
    </w:p>
    <w:p w14:paraId="1D87C0E3" w14:textId="77777777" w:rsidR="003663AF" w:rsidRPr="00B7760C" w:rsidRDefault="003663AF" w:rsidP="003663AF">
      <w:pPr>
        <w:pStyle w:val="NormalBold12b"/>
      </w:pPr>
      <w:r w:rsidRPr="00B7760C">
        <w:t>Predlog uredbe</w:t>
      </w:r>
    </w:p>
    <w:p w14:paraId="7BFF7D68" w14:textId="77777777" w:rsidR="003663AF" w:rsidRPr="00B7760C" w:rsidRDefault="003663AF" w:rsidP="003663AF">
      <w:pPr>
        <w:pStyle w:val="NormalBold"/>
      </w:pPr>
      <w:r w:rsidRPr="00B7760C">
        <w:t>Člen 60 – odstavek 1 – točka a – točka iv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0D9D830" w14:textId="77777777" w:rsidTr="00E804B7">
        <w:trPr>
          <w:jc w:val="center"/>
        </w:trPr>
        <w:tc>
          <w:tcPr>
            <w:tcW w:w="9752" w:type="dxa"/>
            <w:gridSpan w:val="2"/>
          </w:tcPr>
          <w:p w14:paraId="137B00C9" w14:textId="77777777" w:rsidR="003663AF" w:rsidRPr="00B7760C" w:rsidRDefault="003663AF" w:rsidP="00E804B7">
            <w:pPr>
              <w:keepNext/>
            </w:pPr>
          </w:p>
        </w:tc>
      </w:tr>
      <w:tr w:rsidR="003663AF" w:rsidRPr="00B7760C" w14:paraId="243C1F4F" w14:textId="77777777" w:rsidTr="00E804B7">
        <w:trPr>
          <w:jc w:val="center"/>
        </w:trPr>
        <w:tc>
          <w:tcPr>
            <w:tcW w:w="4876" w:type="dxa"/>
            <w:hideMark/>
          </w:tcPr>
          <w:p w14:paraId="704799FA" w14:textId="77777777" w:rsidR="003663AF" w:rsidRPr="00B7760C" w:rsidRDefault="003663AF" w:rsidP="00E804B7">
            <w:pPr>
              <w:pStyle w:val="ColumnHeading"/>
              <w:keepNext/>
            </w:pPr>
            <w:r w:rsidRPr="00B7760C">
              <w:t>Besedilo, ki ga predlaga Komisija</w:t>
            </w:r>
          </w:p>
        </w:tc>
        <w:tc>
          <w:tcPr>
            <w:tcW w:w="4876" w:type="dxa"/>
            <w:hideMark/>
          </w:tcPr>
          <w:p w14:paraId="05EB056F" w14:textId="4174BDA9" w:rsidR="003663AF" w:rsidRPr="00B7760C" w:rsidRDefault="00877691" w:rsidP="00E804B7">
            <w:pPr>
              <w:pStyle w:val="ColumnHeading"/>
              <w:keepNext/>
            </w:pPr>
            <w:r w:rsidRPr="00B7760C">
              <w:t>Sprememba</w:t>
            </w:r>
          </w:p>
        </w:tc>
      </w:tr>
      <w:tr w:rsidR="003663AF" w:rsidRPr="00B7760C" w14:paraId="56D1D154" w14:textId="77777777" w:rsidTr="00E804B7">
        <w:trPr>
          <w:jc w:val="center"/>
        </w:trPr>
        <w:tc>
          <w:tcPr>
            <w:tcW w:w="4876" w:type="dxa"/>
          </w:tcPr>
          <w:p w14:paraId="3189E514" w14:textId="77777777" w:rsidR="003663AF" w:rsidRPr="00B7760C" w:rsidRDefault="003663AF" w:rsidP="00E804B7">
            <w:pPr>
              <w:pStyle w:val="Normal6"/>
            </w:pPr>
          </w:p>
        </w:tc>
        <w:tc>
          <w:tcPr>
            <w:tcW w:w="4876" w:type="dxa"/>
            <w:hideMark/>
          </w:tcPr>
          <w:p w14:paraId="1225FFC5" w14:textId="6460B639" w:rsidR="003663AF" w:rsidRPr="00B7760C" w:rsidRDefault="003663AF" w:rsidP="00E804B7">
            <w:pPr>
              <w:pStyle w:val="Normal6"/>
              <w:rPr>
                <w:szCs w:val="24"/>
              </w:rPr>
            </w:pPr>
            <w:r w:rsidRPr="00B7760C">
              <w:rPr>
                <w:b/>
                <w:i/>
              </w:rPr>
              <w:t>(iva)</w:t>
            </w:r>
            <w:r w:rsidRPr="00B7760C">
              <w:rPr>
                <w:b/>
                <w:i/>
              </w:rPr>
              <w:tab/>
              <w:t>zmanjšanje plinastih onesnaževal in toplogrednih plinov;</w:t>
            </w:r>
          </w:p>
        </w:tc>
      </w:tr>
    </w:tbl>
    <w:p w14:paraId="4A585629" w14:textId="77777777" w:rsidR="003663AF" w:rsidRPr="00B7760C" w:rsidRDefault="003663AF" w:rsidP="003663AF"/>
    <w:p w14:paraId="39EE4A25" w14:textId="577F457A" w:rsidR="003663AF" w:rsidRPr="00B7760C" w:rsidRDefault="00877691" w:rsidP="003663AF">
      <w:pPr>
        <w:pStyle w:val="AMNumberTabs"/>
        <w:keepNext/>
      </w:pPr>
      <w:r w:rsidRPr="00B7760C">
        <w:t>Sprememb</w:t>
      </w:r>
      <w:r w:rsidR="00517642" w:rsidRPr="00B7760C">
        <w:t>i</w:t>
      </w:r>
      <w:r w:rsidR="003663AF" w:rsidRPr="00B7760C">
        <w:tab/>
      </w:r>
      <w:r w:rsidR="003663AF" w:rsidRPr="00B7760C">
        <w:tab/>
        <w:t>405</w:t>
      </w:r>
      <w:r w:rsidR="00517642" w:rsidRPr="00B7760C">
        <w:t xml:space="preserve"> in 826</w:t>
      </w:r>
      <w:r w:rsidR="00EB36AB" w:rsidRPr="00B7760C">
        <w:t xml:space="preserve"> cp</w:t>
      </w:r>
    </w:p>
    <w:p w14:paraId="059F52D3" w14:textId="77777777" w:rsidR="003663AF" w:rsidRPr="00B7760C" w:rsidRDefault="003663AF" w:rsidP="003663AF">
      <w:pPr>
        <w:pStyle w:val="NormalBold12b"/>
      </w:pPr>
      <w:r w:rsidRPr="00B7760C">
        <w:t>Predlog uredbe</w:t>
      </w:r>
    </w:p>
    <w:p w14:paraId="4C3912E9" w14:textId="77777777" w:rsidR="003663AF" w:rsidRPr="00B7760C" w:rsidRDefault="003663AF" w:rsidP="003663AF">
      <w:pPr>
        <w:pStyle w:val="NormalBold"/>
      </w:pPr>
      <w:r w:rsidRPr="00B7760C">
        <w:t>Člen 60 – odstavek 1 – točka a – točka v</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E3A1F3B" w14:textId="77777777" w:rsidTr="006F0B5B">
        <w:trPr>
          <w:jc w:val="center"/>
        </w:trPr>
        <w:tc>
          <w:tcPr>
            <w:tcW w:w="9752" w:type="dxa"/>
            <w:gridSpan w:val="2"/>
          </w:tcPr>
          <w:p w14:paraId="44975F91" w14:textId="77777777" w:rsidR="003663AF" w:rsidRPr="00B7760C" w:rsidRDefault="003663AF" w:rsidP="00E804B7">
            <w:pPr>
              <w:keepNext/>
            </w:pPr>
          </w:p>
        </w:tc>
      </w:tr>
      <w:tr w:rsidR="003663AF" w:rsidRPr="00B7760C" w14:paraId="1531F5F0" w14:textId="77777777" w:rsidTr="006F0B5B">
        <w:trPr>
          <w:jc w:val="center"/>
        </w:trPr>
        <w:tc>
          <w:tcPr>
            <w:tcW w:w="4876" w:type="dxa"/>
            <w:hideMark/>
          </w:tcPr>
          <w:p w14:paraId="16CD074F" w14:textId="77777777" w:rsidR="003663AF" w:rsidRPr="00B7760C" w:rsidRDefault="003663AF" w:rsidP="00E804B7">
            <w:pPr>
              <w:pStyle w:val="ColumnHeading"/>
              <w:keepNext/>
            </w:pPr>
            <w:r w:rsidRPr="00B7760C">
              <w:t>Besedilo, ki ga predlaga Komisija</w:t>
            </w:r>
          </w:p>
        </w:tc>
        <w:tc>
          <w:tcPr>
            <w:tcW w:w="4876" w:type="dxa"/>
            <w:hideMark/>
          </w:tcPr>
          <w:p w14:paraId="529E1254" w14:textId="381041C6" w:rsidR="003663AF" w:rsidRPr="00B7760C" w:rsidRDefault="00877691" w:rsidP="00E804B7">
            <w:pPr>
              <w:pStyle w:val="ColumnHeading"/>
              <w:keepNext/>
            </w:pPr>
            <w:r w:rsidRPr="00B7760C">
              <w:t>Sprememba</w:t>
            </w:r>
          </w:p>
        </w:tc>
      </w:tr>
      <w:tr w:rsidR="003663AF" w:rsidRPr="00B7760C" w14:paraId="2628BB6B" w14:textId="77777777" w:rsidTr="006F0B5B">
        <w:trPr>
          <w:jc w:val="center"/>
        </w:trPr>
        <w:tc>
          <w:tcPr>
            <w:tcW w:w="4876" w:type="dxa"/>
            <w:hideMark/>
          </w:tcPr>
          <w:p w14:paraId="38B4AE5D" w14:textId="77777777" w:rsidR="003663AF" w:rsidRPr="00B7760C" w:rsidRDefault="003663AF" w:rsidP="00E804B7">
            <w:pPr>
              <w:pStyle w:val="Normal6"/>
            </w:pPr>
            <w:r w:rsidRPr="00B7760C">
              <w:t>(v)</w:t>
            </w:r>
            <w:r w:rsidRPr="00B7760C">
              <w:tab/>
              <w:t>ekološko embalažo;</w:t>
            </w:r>
          </w:p>
        </w:tc>
        <w:tc>
          <w:tcPr>
            <w:tcW w:w="4876" w:type="dxa"/>
            <w:hideMark/>
          </w:tcPr>
          <w:p w14:paraId="0691E5C7" w14:textId="77777777" w:rsidR="003663AF" w:rsidRPr="00B7760C" w:rsidRDefault="003663AF" w:rsidP="00E804B7">
            <w:pPr>
              <w:pStyle w:val="Normal6"/>
              <w:rPr>
                <w:szCs w:val="24"/>
              </w:rPr>
            </w:pPr>
            <w:r w:rsidRPr="00B7760C">
              <w:t>(v)</w:t>
            </w:r>
            <w:r w:rsidRPr="00B7760C">
              <w:tab/>
              <w:t>ekološko embalažo</w:t>
            </w:r>
            <w:r w:rsidRPr="00B7760C">
              <w:rPr>
                <w:b/>
                <w:i/>
              </w:rPr>
              <w:t xml:space="preserve"> in zmanjšanje količine odpadne embalaže</w:t>
            </w:r>
            <w:r w:rsidRPr="00B7760C">
              <w:t>;</w:t>
            </w:r>
          </w:p>
        </w:tc>
      </w:tr>
    </w:tbl>
    <w:p w14:paraId="03AAAD39" w14:textId="77777777" w:rsidR="003663AF" w:rsidRPr="00B7760C" w:rsidRDefault="003663AF" w:rsidP="003663AF"/>
    <w:p w14:paraId="45C423C5" w14:textId="48992B5E" w:rsidR="003663AF" w:rsidRPr="00B7760C" w:rsidRDefault="00877691" w:rsidP="003663AF">
      <w:pPr>
        <w:pStyle w:val="AMNumberTabs"/>
        <w:keepNext/>
      </w:pPr>
      <w:r w:rsidRPr="00B7760C">
        <w:t>Sprememb</w:t>
      </w:r>
      <w:r w:rsidR="00517642" w:rsidRPr="00B7760C">
        <w:t>i</w:t>
      </w:r>
      <w:r w:rsidR="003663AF" w:rsidRPr="00B7760C">
        <w:tab/>
      </w:r>
      <w:r w:rsidR="003663AF" w:rsidRPr="00B7760C">
        <w:tab/>
        <w:t>406</w:t>
      </w:r>
      <w:r w:rsidR="00517642" w:rsidRPr="00B7760C">
        <w:t xml:space="preserve"> in 826</w:t>
      </w:r>
      <w:r w:rsidR="00EB36AB" w:rsidRPr="00B7760C">
        <w:t xml:space="preserve"> cp</w:t>
      </w:r>
    </w:p>
    <w:p w14:paraId="109D2206" w14:textId="77777777" w:rsidR="003663AF" w:rsidRPr="00B7760C" w:rsidRDefault="003663AF" w:rsidP="003663AF">
      <w:pPr>
        <w:pStyle w:val="NormalBold12b"/>
      </w:pPr>
      <w:r w:rsidRPr="00B7760C">
        <w:t>Predlog uredbe</w:t>
      </w:r>
    </w:p>
    <w:p w14:paraId="772EF168" w14:textId="77777777" w:rsidR="003663AF" w:rsidRPr="00B7760C" w:rsidRDefault="003663AF" w:rsidP="003663AF">
      <w:pPr>
        <w:pStyle w:val="NormalBold"/>
      </w:pPr>
      <w:r w:rsidRPr="00B7760C">
        <w:t>Člen 60 – odstavek 1 – točka a – točka vi</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9AC7B10" w14:textId="77777777" w:rsidTr="00EB36AB">
        <w:trPr>
          <w:jc w:val="center"/>
        </w:trPr>
        <w:tc>
          <w:tcPr>
            <w:tcW w:w="9752" w:type="dxa"/>
            <w:gridSpan w:val="2"/>
          </w:tcPr>
          <w:p w14:paraId="5EF00995" w14:textId="77777777" w:rsidR="003663AF" w:rsidRPr="00B7760C" w:rsidRDefault="003663AF" w:rsidP="00E804B7">
            <w:pPr>
              <w:keepNext/>
            </w:pPr>
          </w:p>
        </w:tc>
      </w:tr>
      <w:tr w:rsidR="003663AF" w:rsidRPr="00B7760C" w14:paraId="76F71057" w14:textId="77777777" w:rsidTr="00EB36AB">
        <w:trPr>
          <w:jc w:val="center"/>
        </w:trPr>
        <w:tc>
          <w:tcPr>
            <w:tcW w:w="4876" w:type="dxa"/>
            <w:hideMark/>
          </w:tcPr>
          <w:p w14:paraId="28F9D7CD" w14:textId="77777777" w:rsidR="003663AF" w:rsidRPr="00B7760C" w:rsidRDefault="003663AF" w:rsidP="00E804B7">
            <w:pPr>
              <w:pStyle w:val="ColumnHeading"/>
              <w:keepNext/>
            </w:pPr>
            <w:r w:rsidRPr="00B7760C">
              <w:t>Besedilo, ki ga predlaga Komisija</w:t>
            </w:r>
          </w:p>
        </w:tc>
        <w:tc>
          <w:tcPr>
            <w:tcW w:w="4876" w:type="dxa"/>
            <w:hideMark/>
          </w:tcPr>
          <w:p w14:paraId="13D895CA" w14:textId="4C431AF0" w:rsidR="003663AF" w:rsidRPr="00B7760C" w:rsidRDefault="00877691" w:rsidP="00E804B7">
            <w:pPr>
              <w:pStyle w:val="ColumnHeading"/>
              <w:keepNext/>
            </w:pPr>
            <w:r w:rsidRPr="00B7760C">
              <w:t>Sprememba</w:t>
            </w:r>
          </w:p>
        </w:tc>
      </w:tr>
      <w:tr w:rsidR="003663AF" w:rsidRPr="00B7760C" w14:paraId="32AFB318" w14:textId="77777777" w:rsidTr="00EB36AB">
        <w:trPr>
          <w:jc w:val="center"/>
        </w:trPr>
        <w:tc>
          <w:tcPr>
            <w:tcW w:w="4876" w:type="dxa"/>
            <w:hideMark/>
          </w:tcPr>
          <w:p w14:paraId="7F3ACF04" w14:textId="77777777" w:rsidR="003663AF" w:rsidRPr="00B7760C" w:rsidRDefault="003663AF" w:rsidP="00E804B7">
            <w:pPr>
              <w:pStyle w:val="Normal6"/>
            </w:pPr>
            <w:r w:rsidRPr="00B7760C">
              <w:t>(vi)</w:t>
            </w:r>
            <w:r w:rsidRPr="00B7760C">
              <w:tab/>
            </w:r>
            <w:r w:rsidRPr="00B7760C">
              <w:rPr>
                <w:b/>
                <w:i/>
              </w:rPr>
              <w:t xml:space="preserve">zdravje in dobrobit </w:t>
            </w:r>
            <w:r w:rsidRPr="00B7760C">
              <w:t>živali;</w:t>
            </w:r>
          </w:p>
        </w:tc>
        <w:tc>
          <w:tcPr>
            <w:tcW w:w="4876" w:type="dxa"/>
            <w:hideMark/>
          </w:tcPr>
          <w:p w14:paraId="0E24BE93" w14:textId="47C41059" w:rsidR="003663AF" w:rsidRPr="00B7760C" w:rsidRDefault="003663AF" w:rsidP="00E804B7">
            <w:pPr>
              <w:pStyle w:val="Normal6"/>
              <w:rPr>
                <w:szCs w:val="24"/>
              </w:rPr>
            </w:pPr>
            <w:r w:rsidRPr="00B7760C">
              <w:t>(vi)</w:t>
            </w:r>
            <w:r w:rsidRPr="00B7760C">
              <w:tab/>
            </w:r>
            <w:r w:rsidRPr="00B7760C">
              <w:rPr>
                <w:b/>
                <w:i/>
              </w:rPr>
              <w:t xml:space="preserve">biološko zaščito, varstvo zdravja </w:t>
            </w:r>
            <w:r w:rsidRPr="00B7760C">
              <w:t xml:space="preserve">živali </w:t>
            </w:r>
            <w:r w:rsidRPr="00B7760C">
              <w:rPr>
                <w:b/>
                <w:i/>
              </w:rPr>
              <w:t>in njihovo dobrobit</w:t>
            </w:r>
            <w:r w:rsidR="00EB36AB" w:rsidRPr="00B7760C">
              <w:rPr>
                <w:b/>
                <w:i/>
              </w:rPr>
              <w:t>, vključno s trajnostnim upravljanjem in preprečevanjem tropskih ter zoonotskih bolezni</w:t>
            </w:r>
            <w:r w:rsidRPr="00B7760C">
              <w:t>;</w:t>
            </w:r>
          </w:p>
        </w:tc>
      </w:tr>
    </w:tbl>
    <w:p w14:paraId="52246D2E" w14:textId="541C862E" w:rsidR="00EB36AB" w:rsidRPr="00B7760C" w:rsidRDefault="00EB36AB" w:rsidP="00EB36AB">
      <w:pPr>
        <w:pStyle w:val="AMNumberTabs"/>
        <w:keepNext/>
      </w:pPr>
      <w:r w:rsidRPr="00B7760C">
        <w:t>Sprememba</w:t>
      </w:r>
      <w:r w:rsidRPr="00B7760C">
        <w:tab/>
      </w:r>
      <w:r w:rsidRPr="00B7760C">
        <w:tab/>
        <w:t>826 cp</w:t>
      </w:r>
    </w:p>
    <w:p w14:paraId="5A7D6F3A" w14:textId="77777777" w:rsidR="00EB36AB" w:rsidRPr="00B7760C" w:rsidRDefault="00EB36AB" w:rsidP="00EB36AB">
      <w:pPr>
        <w:pStyle w:val="NormalBold12b"/>
      </w:pPr>
      <w:r w:rsidRPr="00B7760C">
        <w:t>Predlog uredbe</w:t>
      </w:r>
    </w:p>
    <w:p w14:paraId="1920E508" w14:textId="4E3E82EB" w:rsidR="00EB36AB" w:rsidRPr="00B7760C" w:rsidRDefault="00EB36AB" w:rsidP="00EB36AB">
      <w:pPr>
        <w:pStyle w:val="NormalBold"/>
      </w:pPr>
      <w:r w:rsidRPr="00B7760C">
        <w:t>Člen 60 – odstavek 1 – točka a – točka vi</w:t>
      </w:r>
      <w:r w:rsidR="00C11DA9" w:rsidRPr="00B7760C">
        <w:t>i</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EB36AB" w:rsidRPr="00B7760C" w14:paraId="5E70196D" w14:textId="77777777" w:rsidTr="006F0B5B">
        <w:trPr>
          <w:jc w:val="center"/>
        </w:trPr>
        <w:tc>
          <w:tcPr>
            <w:tcW w:w="9752" w:type="dxa"/>
            <w:gridSpan w:val="2"/>
          </w:tcPr>
          <w:p w14:paraId="1DFF1908" w14:textId="77777777" w:rsidR="00EB36AB" w:rsidRPr="00B7760C" w:rsidRDefault="00EB36AB" w:rsidP="005847CC">
            <w:pPr>
              <w:keepNext/>
            </w:pPr>
          </w:p>
        </w:tc>
      </w:tr>
      <w:tr w:rsidR="00EB36AB" w:rsidRPr="00B7760C" w14:paraId="1F1155D3" w14:textId="77777777" w:rsidTr="006F0B5B">
        <w:trPr>
          <w:jc w:val="center"/>
        </w:trPr>
        <w:tc>
          <w:tcPr>
            <w:tcW w:w="4876" w:type="dxa"/>
            <w:hideMark/>
          </w:tcPr>
          <w:p w14:paraId="0D8C5C6B" w14:textId="77777777" w:rsidR="00EB36AB" w:rsidRPr="00B7760C" w:rsidRDefault="00EB36AB" w:rsidP="005847CC">
            <w:pPr>
              <w:pStyle w:val="ColumnHeading"/>
              <w:keepNext/>
            </w:pPr>
            <w:r w:rsidRPr="00B7760C">
              <w:t>Besedilo, ki ga predlaga Komisija</w:t>
            </w:r>
          </w:p>
        </w:tc>
        <w:tc>
          <w:tcPr>
            <w:tcW w:w="4876" w:type="dxa"/>
            <w:hideMark/>
          </w:tcPr>
          <w:p w14:paraId="5CC224F9" w14:textId="77777777" w:rsidR="00EB36AB" w:rsidRPr="00B7760C" w:rsidRDefault="00EB36AB" w:rsidP="005847CC">
            <w:pPr>
              <w:pStyle w:val="ColumnHeading"/>
              <w:keepNext/>
            </w:pPr>
            <w:r w:rsidRPr="00B7760C">
              <w:t>Sprememba</w:t>
            </w:r>
          </w:p>
        </w:tc>
      </w:tr>
      <w:tr w:rsidR="00EB36AB" w:rsidRPr="00B7760C" w14:paraId="1F5BDE5F" w14:textId="77777777" w:rsidTr="006F0B5B">
        <w:trPr>
          <w:jc w:val="center"/>
        </w:trPr>
        <w:tc>
          <w:tcPr>
            <w:tcW w:w="4876" w:type="dxa"/>
          </w:tcPr>
          <w:p w14:paraId="1E43C87B" w14:textId="77777777" w:rsidR="00EB36AB" w:rsidRPr="00B7760C" w:rsidRDefault="00EB36AB" w:rsidP="005847CC">
            <w:pPr>
              <w:pStyle w:val="Normal6"/>
            </w:pPr>
            <w:r w:rsidRPr="00B7760C">
              <w:t>(vii)</w:t>
            </w:r>
            <w:r w:rsidRPr="00B7760C">
              <w:tab/>
              <w:t>zmanjšanje nastajanja odpadkov ter izboljšanje uporabe stranskih proizvodov in odpadkov in ravnanja z njimi;</w:t>
            </w:r>
          </w:p>
        </w:tc>
        <w:tc>
          <w:tcPr>
            <w:tcW w:w="4876" w:type="dxa"/>
          </w:tcPr>
          <w:p w14:paraId="296EEBE1" w14:textId="77777777" w:rsidR="00EB36AB" w:rsidRPr="00B7760C" w:rsidRDefault="00EB36AB" w:rsidP="005847CC">
            <w:pPr>
              <w:pStyle w:val="Normal6"/>
            </w:pPr>
            <w:r w:rsidRPr="00B7760C">
              <w:t>(vii)</w:t>
            </w:r>
            <w:r w:rsidRPr="00B7760C">
              <w:tab/>
              <w:t xml:space="preserve">zmanjšanje nastajanja </w:t>
            </w:r>
            <w:r w:rsidRPr="00B7760C">
              <w:rPr>
                <w:b/>
                <w:i/>
              </w:rPr>
              <w:t>emisij in</w:t>
            </w:r>
            <w:r w:rsidRPr="00B7760C">
              <w:t xml:space="preserve"> odpadkov ter izboljšanje uporabe stranskih proizvodov in odpadkov in ravnanja z njimi;</w:t>
            </w:r>
          </w:p>
        </w:tc>
      </w:tr>
    </w:tbl>
    <w:p w14:paraId="6BDFBCE2" w14:textId="77777777" w:rsidR="00EB36AB" w:rsidRPr="00B7760C" w:rsidRDefault="00EB36AB" w:rsidP="003663AF"/>
    <w:p w14:paraId="6D7BFEA6" w14:textId="456D44C0" w:rsidR="003663AF" w:rsidRPr="00B7760C" w:rsidRDefault="00877691" w:rsidP="003663AF">
      <w:pPr>
        <w:pStyle w:val="AMNumberTabs"/>
        <w:keepNext/>
      </w:pPr>
      <w:r w:rsidRPr="00B7760C">
        <w:t>Sprememba</w:t>
      </w:r>
      <w:r w:rsidR="003663AF" w:rsidRPr="00B7760C">
        <w:tab/>
      </w:r>
      <w:r w:rsidR="003663AF" w:rsidRPr="00B7760C">
        <w:tab/>
        <w:t>407</w:t>
      </w:r>
    </w:p>
    <w:p w14:paraId="48E522AF" w14:textId="77777777" w:rsidR="003663AF" w:rsidRPr="00B7760C" w:rsidRDefault="003663AF" w:rsidP="003663AF">
      <w:pPr>
        <w:pStyle w:val="NormalBold12b"/>
      </w:pPr>
      <w:r w:rsidRPr="00B7760C">
        <w:t>Predlog uredbe</w:t>
      </w:r>
    </w:p>
    <w:p w14:paraId="1970817F" w14:textId="77777777" w:rsidR="003663AF" w:rsidRPr="00B7760C" w:rsidRDefault="003663AF" w:rsidP="003663AF">
      <w:pPr>
        <w:pStyle w:val="NormalBold"/>
      </w:pPr>
      <w:r w:rsidRPr="00B7760C">
        <w:t>Člen 60 – odstavek 1 – točka a – točka vii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5AE91CC" w14:textId="77777777" w:rsidTr="00E804B7">
        <w:trPr>
          <w:jc w:val="center"/>
        </w:trPr>
        <w:tc>
          <w:tcPr>
            <w:tcW w:w="9752" w:type="dxa"/>
            <w:gridSpan w:val="2"/>
          </w:tcPr>
          <w:p w14:paraId="0C24AA86" w14:textId="77777777" w:rsidR="003663AF" w:rsidRPr="00B7760C" w:rsidRDefault="003663AF" w:rsidP="00E804B7">
            <w:pPr>
              <w:keepNext/>
            </w:pPr>
          </w:p>
        </w:tc>
      </w:tr>
      <w:tr w:rsidR="003663AF" w:rsidRPr="00B7760C" w14:paraId="0DE52311" w14:textId="77777777" w:rsidTr="00E804B7">
        <w:trPr>
          <w:jc w:val="center"/>
        </w:trPr>
        <w:tc>
          <w:tcPr>
            <w:tcW w:w="4876" w:type="dxa"/>
            <w:hideMark/>
          </w:tcPr>
          <w:p w14:paraId="451C2503" w14:textId="77777777" w:rsidR="003663AF" w:rsidRPr="00B7760C" w:rsidRDefault="003663AF" w:rsidP="00E804B7">
            <w:pPr>
              <w:pStyle w:val="ColumnHeading"/>
              <w:keepNext/>
            </w:pPr>
            <w:r w:rsidRPr="00B7760C">
              <w:t>Besedilo, ki ga predlaga Komisija</w:t>
            </w:r>
          </w:p>
        </w:tc>
        <w:tc>
          <w:tcPr>
            <w:tcW w:w="4876" w:type="dxa"/>
            <w:hideMark/>
          </w:tcPr>
          <w:p w14:paraId="63C4BF20" w14:textId="0BF3523E" w:rsidR="003663AF" w:rsidRPr="00B7760C" w:rsidRDefault="00877691" w:rsidP="00E804B7">
            <w:pPr>
              <w:pStyle w:val="ColumnHeading"/>
              <w:keepNext/>
            </w:pPr>
            <w:r w:rsidRPr="00B7760C">
              <w:t>Sprememba</w:t>
            </w:r>
          </w:p>
        </w:tc>
      </w:tr>
      <w:tr w:rsidR="003663AF" w:rsidRPr="00B7760C" w14:paraId="2B2B95E8" w14:textId="77777777" w:rsidTr="00E804B7">
        <w:trPr>
          <w:jc w:val="center"/>
        </w:trPr>
        <w:tc>
          <w:tcPr>
            <w:tcW w:w="4876" w:type="dxa"/>
          </w:tcPr>
          <w:p w14:paraId="2A7F00FE" w14:textId="77777777" w:rsidR="003663AF" w:rsidRPr="00B7760C" w:rsidRDefault="003663AF" w:rsidP="00E804B7">
            <w:pPr>
              <w:pStyle w:val="Normal6"/>
            </w:pPr>
          </w:p>
        </w:tc>
        <w:tc>
          <w:tcPr>
            <w:tcW w:w="4876" w:type="dxa"/>
            <w:hideMark/>
          </w:tcPr>
          <w:p w14:paraId="6555E47E" w14:textId="77777777" w:rsidR="003663AF" w:rsidRPr="00B7760C" w:rsidRDefault="003663AF" w:rsidP="00E804B7">
            <w:pPr>
              <w:pStyle w:val="Normal6"/>
              <w:rPr>
                <w:szCs w:val="24"/>
              </w:rPr>
            </w:pPr>
            <w:r w:rsidRPr="00B7760C">
              <w:rPr>
                <w:b/>
                <w:i/>
              </w:rPr>
              <w:t>(viia)</w:t>
            </w:r>
            <w:r w:rsidRPr="00B7760C">
              <w:rPr>
                <w:b/>
                <w:i/>
              </w:rPr>
              <w:tab/>
              <w:t>preprečevanje in obvladovanje tropskih in zoonotskih bolezni;</w:t>
            </w:r>
          </w:p>
        </w:tc>
      </w:tr>
    </w:tbl>
    <w:p w14:paraId="4222C0D8" w14:textId="77777777" w:rsidR="003663AF" w:rsidRPr="00B7760C" w:rsidRDefault="003663AF" w:rsidP="003663AF"/>
    <w:p w14:paraId="4A4CF6F5" w14:textId="37218B04" w:rsidR="003663AF" w:rsidRPr="00B7760C" w:rsidRDefault="00877691" w:rsidP="003663AF">
      <w:pPr>
        <w:pStyle w:val="AMNumberTabs"/>
        <w:keepNext/>
      </w:pPr>
      <w:r w:rsidRPr="00B7760C">
        <w:t>Sprememb</w:t>
      </w:r>
      <w:r w:rsidR="00517642" w:rsidRPr="00B7760C">
        <w:t>i</w:t>
      </w:r>
      <w:r w:rsidR="003663AF" w:rsidRPr="00B7760C">
        <w:tab/>
      </w:r>
      <w:r w:rsidR="003663AF" w:rsidRPr="00B7760C">
        <w:tab/>
        <w:t>408</w:t>
      </w:r>
      <w:r w:rsidR="00517642" w:rsidRPr="00B7760C">
        <w:t xml:space="preserve"> in 826</w:t>
      </w:r>
      <w:r w:rsidR="00EB36AB" w:rsidRPr="00B7760C">
        <w:t xml:space="preserve"> cp</w:t>
      </w:r>
    </w:p>
    <w:p w14:paraId="05AB02B4" w14:textId="77777777" w:rsidR="003663AF" w:rsidRPr="00B7760C" w:rsidRDefault="003663AF" w:rsidP="003663AF">
      <w:pPr>
        <w:pStyle w:val="NormalBold12b"/>
      </w:pPr>
      <w:r w:rsidRPr="00B7760C">
        <w:t>Predlog uredbe</w:t>
      </w:r>
    </w:p>
    <w:p w14:paraId="0C9363DF" w14:textId="77777777" w:rsidR="003663AF" w:rsidRPr="00B7760C" w:rsidRDefault="003663AF" w:rsidP="003663AF">
      <w:pPr>
        <w:pStyle w:val="NormalBold"/>
      </w:pPr>
      <w:r w:rsidRPr="00B7760C">
        <w:t>Člen 60 – odstavek 1 – točka a – točka viii</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323AB8D" w14:textId="77777777" w:rsidTr="00E804B7">
        <w:trPr>
          <w:jc w:val="center"/>
        </w:trPr>
        <w:tc>
          <w:tcPr>
            <w:tcW w:w="9752" w:type="dxa"/>
            <w:gridSpan w:val="2"/>
          </w:tcPr>
          <w:p w14:paraId="0D6B297F" w14:textId="77777777" w:rsidR="003663AF" w:rsidRPr="00B7760C" w:rsidRDefault="003663AF" w:rsidP="00E804B7">
            <w:pPr>
              <w:keepNext/>
            </w:pPr>
          </w:p>
        </w:tc>
      </w:tr>
      <w:tr w:rsidR="003663AF" w:rsidRPr="00B7760C" w14:paraId="3A46C445" w14:textId="77777777" w:rsidTr="00E804B7">
        <w:trPr>
          <w:jc w:val="center"/>
        </w:trPr>
        <w:tc>
          <w:tcPr>
            <w:tcW w:w="4876" w:type="dxa"/>
            <w:hideMark/>
          </w:tcPr>
          <w:p w14:paraId="6A7925D3" w14:textId="77777777" w:rsidR="003663AF" w:rsidRPr="00B7760C" w:rsidRDefault="003663AF" w:rsidP="00E804B7">
            <w:pPr>
              <w:pStyle w:val="ColumnHeading"/>
              <w:keepNext/>
            </w:pPr>
            <w:r w:rsidRPr="00B7760C">
              <w:t>Besedilo, ki ga predlaga Komisija</w:t>
            </w:r>
          </w:p>
        </w:tc>
        <w:tc>
          <w:tcPr>
            <w:tcW w:w="4876" w:type="dxa"/>
            <w:hideMark/>
          </w:tcPr>
          <w:p w14:paraId="44ACF52E" w14:textId="695331E6" w:rsidR="003663AF" w:rsidRPr="00B7760C" w:rsidRDefault="00877691" w:rsidP="00E804B7">
            <w:pPr>
              <w:pStyle w:val="ColumnHeading"/>
              <w:keepNext/>
            </w:pPr>
            <w:r w:rsidRPr="00B7760C">
              <w:t>Sprememba</w:t>
            </w:r>
          </w:p>
        </w:tc>
      </w:tr>
      <w:tr w:rsidR="003663AF" w:rsidRPr="00B7760C" w14:paraId="0C33DE22" w14:textId="77777777" w:rsidTr="00E804B7">
        <w:trPr>
          <w:jc w:val="center"/>
        </w:trPr>
        <w:tc>
          <w:tcPr>
            <w:tcW w:w="4876" w:type="dxa"/>
            <w:hideMark/>
          </w:tcPr>
          <w:p w14:paraId="47E46DBF" w14:textId="77777777" w:rsidR="003663AF" w:rsidRPr="00B7760C" w:rsidRDefault="003663AF" w:rsidP="00E804B7">
            <w:pPr>
              <w:pStyle w:val="Normal6"/>
            </w:pPr>
            <w:r w:rsidRPr="00B7760C">
              <w:t>(viii)</w:t>
            </w:r>
            <w:r w:rsidRPr="00B7760C">
              <w:tab/>
              <w:t>izboljšanje odpornosti na škodljivce;</w:t>
            </w:r>
          </w:p>
        </w:tc>
        <w:tc>
          <w:tcPr>
            <w:tcW w:w="4876" w:type="dxa"/>
            <w:hideMark/>
          </w:tcPr>
          <w:p w14:paraId="21531AB2" w14:textId="30EDAE51" w:rsidR="003663AF" w:rsidRPr="00B7760C" w:rsidRDefault="003663AF" w:rsidP="00FC7E29">
            <w:pPr>
              <w:pStyle w:val="Normal6"/>
              <w:rPr>
                <w:szCs w:val="24"/>
              </w:rPr>
            </w:pPr>
            <w:r w:rsidRPr="00B7760C">
              <w:t>(viii)</w:t>
            </w:r>
            <w:r w:rsidRPr="00B7760C">
              <w:tab/>
              <w:t xml:space="preserve">izboljšanje odpornosti </w:t>
            </w:r>
            <w:r w:rsidR="00487290" w:rsidRPr="00B7760C">
              <w:t xml:space="preserve">na </w:t>
            </w:r>
            <w:r w:rsidRPr="00B7760C">
              <w:t>škodljivce</w:t>
            </w:r>
            <w:r w:rsidRPr="00B7760C">
              <w:rPr>
                <w:b/>
                <w:i/>
              </w:rPr>
              <w:t xml:space="preserve"> </w:t>
            </w:r>
            <w:r w:rsidR="00487290" w:rsidRPr="00B7760C">
              <w:rPr>
                <w:b/>
                <w:i/>
              </w:rPr>
              <w:t xml:space="preserve">s spodbujanjem integriranega zatiranja škodljivcev, vključno z ustreznimi praksami gospodarjenja in postopki gojenja rastlin, in </w:t>
            </w:r>
            <w:r w:rsidRPr="00B7760C">
              <w:rPr>
                <w:b/>
                <w:i/>
              </w:rPr>
              <w:t>s praksami obvladovanja ter boj proti boleznim živali</w:t>
            </w:r>
            <w:r w:rsidRPr="00B7760C">
              <w:t>;</w:t>
            </w:r>
          </w:p>
        </w:tc>
      </w:tr>
    </w:tbl>
    <w:p w14:paraId="3CDD6C0F" w14:textId="77777777" w:rsidR="003663AF" w:rsidRPr="00B7760C" w:rsidRDefault="003663AF" w:rsidP="003663AF"/>
    <w:p w14:paraId="15874DA6" w14:textId="294513CC" w:rsidR="003663AF" w:rsidRPr="00B7760C" w:rsidRDefault="00877691" w:rsidP="003663AF">
      <w:pPr>
        <w:pStyle w:val="AMNumberTabs"/>
        <w:keepNext/>
      </w:pPr>
      <w:r w:rsidRPr="00B7760C">
        <w:t>Sprememb</w:t>
      </w:r>
      <w:r w:rsidR="00487290" w:rsidRPr="00B7760C">
        <w:t>i</w:t>
      </w:r>
      <w:r w:rsidR="003663AF" w:rsidRPr="00B7760C">
        <w:tab/>
      </w:r>
      <w:r w:rsidR="003663AF" w:rsidRPr="00B7760C">
        <w:tab/>
        <w:t>409</w:t>
      </w:r>
      <w:r w:rsidR="00487290" w:rsidRPr="00B7760C">
        <w:t xml:space="preserve"> in 826</w:t>
      </w:r>
      <w:r w:rsidR="00EB36AB" w:rsidRPr="00B7760C">
        <w:t xml:space="preserve"> cp</w:t>
      </w:r>
    </w:p>
    <w:p w14:paraId="02BA96C0" w14:textId="77777777" w:rsidR="003663AF" w:rsidRPr="00B7760C" w:rsidRDefault="003663AF" w:rsidP="003663AF">
      <w:pPr>
        <w:pStyle w:val="NormalBold12b"/>
      </w:pPr>
      <w:r w:rsidRPr="00B7760C">
        <w:t>Predlog uredbe</w:t>
      </w:r>
    </w:p>
    <w:p w14:paraId="4B35F521" w14:textId="77777777" w:rsidR="003663AF" w:rsidRPr="00B7760C" w:rsidRDefault="003663AF" w:rsidP="003663AF">
      <w:pPr>
        <w:pStyle w:val="NormalBold"/>
      </w:pPr>
      <w:r w:rsidRPr="00B7760C">
        <w:t>Člen 60 – odstavek 1 – točka a – točka ix</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14BFD7A" w14:textId="77777777" w:rsidTr="00487290">
        <w:trPr>
          <w:jc w:val="center"/>
        </w:trPr>
        <w:tc>
          <w:tcPr>
            <w:tcW w:w="9752" w:type="dxa"/>
            <w:gridSpan w:val="2"/>
          </w:tcPr>
          <w:p w14:paraId="7009C15D" w14:textId="77777777" w:rsidR="003663AF" w:rsidRPr="00B7760C" w:rsidRDefault="003663AF" w:rsidP="00E804B7">
            <w:pPr>
              <w:keepNext/>
            </w:pPr>
          </w:p>
        </w:tc>
      </w:tr>
      <w:tr w:rsidR="003663AF" w:rsidRPr="00B7760C" w14:paraId="6CA14A91" w14:textId="77777777" w:rsidTr="00487290">
        <w:trPr>
          <w:jc w:val="center"/>
        </w:trPr>
        <w:tc>
          <w:tcPr>
            <w:tcW w:w="4876" w:type="dxa"/>
            <w:hideMark/>
          </w:tcPr>
          <w:p w14:paraId="1B48125B" w14:textId="77777777" w:rsidR="003663AF" w:rsidRPr="00B7760C" w:rsidRDefault="003663AF" w:rsidP="00E804B7">
            <w:pPr>
              <w:pStyle w:val="ColumnHeading"/>
              <w:keepNext/>
            </w:pPr>
            <w:r w:rsidRPr="00B7760C">
              <w:t>Besedilo, ki ga predlaga Komisija</w:t>
            </w:r>
          </w:p>
        </w:tc>
        <w:tc>
          <w:tcPr>
            <w:tcW w:w="4876" w:type="dxa"/>
            <w:hideMark/>
          </w:tcPr>
          <w:p w14:paraId="36F4E927" w14:textId="2F7A4739" w:rsidR="003663AF" w:rsidRPr="00B7760C" w:rsidRDefault="00877691" w:rsidP="00E804B7">
            <w:pPr>
              <w:pStyle w:val="ColumnHeading"/>
              <w:keepNext/>
            </w:pPr>
            <w:r w:rsidRPr="00B7760C">
              <w:t>Sprememba</w:t>
            </w:r>
          </w:p>
        </w:tc>
      </w:tr>
      <w:tr w:rsidR="003663AF" w:rsidRPr="00B7760C" w14:paraId="2C777CFC" w14:textId="77777777" w:rsidTr="00487290">
        <w:trPr>
          <w:jc w:val="center"/>
        </w:trPr>
        <w:tc>
          <w:tcPr>
            <w:tcW w:w="4876" w:type="dxa"/>
            <w:hideMark/>
          </w:tcPr>
          <w:p w14:paraId="02B68EDF" w14:textId="77777777" w:rsidR="003663AF" w:rsidRPr="00B7760C" w:rsidRDefault="003663AF" w:rsidP="00E804B7">
            <w:pPr>
              <w:pStyle w:val="Normal6"/>
            </w:pPr>
            <w:r w:rsidRPr="00B7760C">
              <w:t>(ix)</w:t>
            </w:r>
            <w:r w:rsidRPr="00B7760C">
              <w:tab/>
              <w:t xml:space="preserve">zmanjšanje </w:t>
            </w:r>
            <w:r w:rsidRPr="00B7760C">
              <w:rPr>
                <w:b/>
                <w:i/>
              </w:rPr>
              <w:t>tveganj in vplivov</w:t>
            </w:r>
            <w:r w:rsidRPr="00B7760C">
              <w:t xml:space="preserve"> rabe pesticidov;</w:t>
            </w:r>
          </w:p>
        </w:tc>
        <w:tc>
          <w:tcPr>
            <w:tcW w:w="4876" w:type="dxa"/>
            <w:hideMark/>
          </w:tcPr>
          <w:p w14:paraId="3093AD98" w14:textId="5A153FB1" w:rsidR="003663AF" w:rsidRPr="00B7760C" w:rsidRDefault="003663AF" w:rsidP="005D097D">
            <w:pPr>
              <w:pStyle w:val="Normal6"/>
              <w:rPr>
                <w:szCs w:val="24"/>
              </w:rPr>
            </w:pPr>
            <w:r w:rsidRPr="00B7760C">
              <w:t>(ix)</w:t>
            </w:r>
            <w:r w:rsidRPr="00B7760C">
              <w:tab/>
            </w:r>
            <w:r w:rsidR="005D097D" w:rsidRPr="00B7760C">
              <w:rPr>
                <w:b/>
                <w:i/>
              </w:rPr>
              <w:t>bistveno</w:t>
            </w:r>
            <w:r w:rsidR="005D097D" w:rsidRPr="00B7760C">
              <w:t xml:space="preserve"> </w:t>
            </w:r>
            <w:r w:rsidRPr="00B7760C">
              <w:t>zmanjšanje rabe pesticidov</w:t>
            </w:r>
            <w:r w:rsidRPr="00B7760C">
              <w:rPr>
                <w:b/>
                <w:i/>
              </w:rPr>
              <w:t xml:space="preserve"> ter odvisnosti od njih</w:t>
            </w:r>
            <w:r w:rsidRPr="00B7760C">
              <w:t>;</w:t>
            </w:r>
          </w:p>
        </w:tc>
      </w:tr>
    </w:tbl>
    <w:p w14:paraId="5EBA4778" w14:textId="31531A4D" w:rsidR="00487290" w:rsidRPr="00B7760C" w:rsidRDefault="00487290" w:rsidP="00487290">
      <w:pPr>
        <w:pStyle w:val="AMNumberTabs"/>
        <w:keepNext/>
      </w:pPr>
      <w:r w:rsidRPr="00B7760C">
        <w:t>Sprememba</w:t>
      </w:r>
      <w:r w:rsidRPr="00B7760C">
        <w:tab/>
      </w:r>
      <w:r w:rsidRPr="00B7760C">
        <w:tab/>
        <w:t>826</w:t>
      </w:r>
      <w:r w:rsidR="00EB36AB" w:rsidRPr="00B7760C">
        <w:t xml:space="preserve"> cp</w:t>
      </w:r>
    </w:p>
    <w:p w14:paraId="2B54C047" w14:textId="77777777" w:rsidR="00487290" w:rsidRPr="00B7760C" w:rsidRDefault="00487290" w:rsidP="00487290">
      <w:pPr>
        <w:pStyle w:val="NormalBold12b"/>
      </w:pPr>
      <w:r w:rsidRPr="00B7760C">
        <w:t>Predlog uredbe</w:t>
      </w:r>
    </w:p>
    <w:p w14:paraId="6D613D08" w14:textId="28DD623E" w:rsidR="00487290" w:rsidRPr="00B7760C" w:rsidRDefault="00487290" w:rsidP="00487290">
      <w:pPr>
        <w:pStyle w:val="NormalBold"/>
      </w:pPr>
      <w:r w:rsidRPr="00B7760C">
        <w:t>Člen 60 – odstavek 1 – točka a – točka ix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87290" w:rsidRPr="00B7760C" w14:paraId="35593C18" w14:textId="77777777" w:rsidTr="005847CC">
        <w:trPr>
          <w:jc w:val="center"/>
        </w:trPr>
        <w:tc>
          <w:tcPr>
            <w:tcW w:w="9752" w:type="dxa"/>
            <w:gridSpan w:val="2"/>
          </w:tcPr>
          <w:p w14:paraId="466F428F" w14:textId="77777777" w:rsidR="00487290" w:rsidRPr="00B7760C" w:rsidRDefault="00487290" w:rsidP="005847CC">
            <w:pPr>
              <w:keepNext/>
            </w:pPr>
          </w:p>
        </w:tc>
      </w:tr>
      <w:tr w:rsidR="00487290" w:rsidRPr="00B7760C" w14:paraId="53278522" w14:textId="77777777" w:rsidTr="005847CC">
        <w:trPr>
          <w:jc w:val="center"/>
        </w:trPr>
        <w:tc>
          <w:tcPr>
            <w:tcW w:w="4876" w:type="dxa"/>
            <w:hideMark/>
          </w:tcPr>
          <w:p w14:paraId="3B633DE2" w14:textId="77777777" w:rsidR="00487290" w:rsidRPr="00B7760C" w:rsidRDefault="00487290" w:rsidP="005847CC">
            <w:pPr>
              <w:pStyle w:val="ColumnHeading"/>
              <w:keepNext/>
            </w:pPr>
            <w:r w:rsidRPr="00B7760C">
              <w:t>Besedilo, ki ga predlaga Komisija</w:t>
            </w:r>
          </w:p>
        </w:tc>
        <w:tc>
          <w:tcPr>
            <w:tcW w:w="4876" w:type="dxa"/>
            <w:hideMark/>
          </w:tcPr>
          <w:p w14:paraId="6949E6C8" w14:textId="77777777" w:rsidR="00487290" w:rsidRPr="00B7760C" w:rsidRDefault="00487290" w:rsidP="005847CC">
            <w:pPr>
              <w:pStyle w:val="ColumnHeading"/>
              <w:keepNext/>
            </w:pPr>
            <w:r w:rsidRPr="00B7760C">
              <w:t>Sprememba</w:t>
            </w:r>
          </w:p>
        </w:tc>
      </w:tr>
      <w:tr w:rsidR="00487290" w:rsidRPr="00B7760C" w14:paraId="02C7893D" w14:textId="77777777" w:rsidTr="00487290">
        <w:trPr>
          <w:jc w:val="center"/>
        </w:trPr>
        <w:tc>
          <w:tcPr>
            <w:tcW w:w="4876" w:type="dxa"/>
          </w:tcPr>
          <w:p w14:paraId="2E2B5A92" w14:textId="46C63ECF" w:rsidR="00487290" w:rsidRPr="00B7760C" w:rsidRDefault="00487290" w:rsidP="005847CC">
            <w:pPr>
              <w:pStyle w:val="Normal6"/>
            </w:pPr>
          </w:p>
        </w:tc>
        <w:tc>
          <w:tcPr>
            <w:tcW w:w="4876" w:type="dxa"/>
          </w:tcPr>
          <w:p w14:paraId="503E581F" w14:textId="14A04F02" w:rsidR="00487290" w:rsidRPr="00B7760C" w:rsidRDefault="00487290" w:rsidP="005847CC">
            <w:pPr>
              <w:pStyle w:val="Normal6"/>
              <w:rPr>
                <w:szCs w:val="24"/>
              </w:rPr>
            </w:pPr>
            <w:r w:rsidRPr="00B7760C">
              <w:rPr>
                <w:b/>
                <w:i/>
              </w:rPr>
              <w:t>(ixa)</w:t>
            </w:r>
            <w:r w:rsidRPr="00B7760C">
              <w:tab/>
            </w:r>
            <w:r w:rsidRPr="00B7760C">
              <w:rPr>
                <w:b/>
                <w:i/>
              </w:rPr>
              <w:t>izboljšanje odpornosti na živalske bolezni in zmanjšanje uporabe antibiotikov;</w:t>
            </w:r>
          </w:p>
        </w:tc>
      </w:tr>
    </w:tbl>
    <w:p w14:paraId="7F029514" w14:textId="77777777" w:rsidR="003663AF" w:rsidRPr="00B7760C" w:rsidRDefault="003663AF" w:rsidP="003663AF"/>
    <w:p w14:paraId="211E0FB0" w14:textId="010B32FF" w:rsidR="003663AF" w:rsidRPr="00B7760C" w:rsidRDefault="00877691" w:rsidP="003663AF">
      <w:pPr>
        <w:pStyle w:val="AMNumberTabs"/>
        <w:keepNext/>
      </w:pPr>
      <w:r w:rsidRPr="00B7760C">
        <w:t>Sprememba</w:t>
      </w:r>
      <w:r w:rsidR="003663AF" w:rsidRPr="00B7760C">
        <w:tab/>
      </w:r>
      <w:r w:rsidR="003663AF" w:rsidRPr="00B7760C">
        <w:tab/>
        <w:t>410</w:t>
      </w:r>
    </w:p>
    <w:p w14:paraId="194C8A50" w14:textId="77777777" w:rsidR="003663AF" w:rsidRPr="00B7760C" w:rsidRDefault="003663AF" w:rsidP="003663AF">
      <w:pPr>
        <w:pStyle w:val="NormalBold12b"/>
      </w:pPr>
      <w:r w:rsidRPr="00B7760C">
        <w:t>Predlog uredbe</w:t>
      </w:r>
    </w:p>
    <w:p w14:paraId="2862DB75" w14:textId="77777777" w:rsidR="003663AF" w:rsidRPr="00B7760C" w:rsidRDefault="003663AF" w:rsidP="003663AF">
      <w:pPr>
        <w:pStyle w:val="NormalBold"/>
      </w:pPr>
      <w:r w:rsidRPr="00B7760C">
        <w:t>Člen 60 – odstavek 1 – točka a – točka x</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A8CF638" w14:textId="77777777" w:rsidTr="00E804B7">
        <w:trPr>
          <w:jc w:val="center"/>
        </w:trPr>
        <w:tc>
          <w:tcPr>
            <w:tcW w:w="9752" w:type="dxa"/>
            <w:gridSpan w:val="2"/>
          </w:tcPr>
          <w:p w14:paraId="7389DA69" w14:textId="77777777" w:rsidR="003663AF" w:rsidRPr="00B7760C" w:rsidRDefault="003663AF" w:rsidP="00E804B7">
            <w:pPr>
              <w:keepNext/>
            </w:pPr>
          </w:p>
        </w:tc>
      </w:tr>
      <w:tr w:rsidR="003663AF" w:rsidRPr="00B7760C" w14:paraId="1ECB50A2" w14:textId="77777777" w:rsidTr="00E804B7">
        <w:trPr>
          <w:jc w:val="center"/>
        </w:trPr>
        <w:tc>
          <w:tcPr>
            <w:tcW w:w="4876" w:type="dxa"/>
            <w:hideMark/>
          </w:tcPr>
          <w:p w14:paraId="5CCE706C" w14:textId="77777777" w:rsidR="003663AF" w:rsidRPr="00B7760C" w:rsidRDefault="003663AF" w:rsidP="00E804B7">
            <w:pPr>
              <w:pStyle w:val="ColumnHeading"/>
              <w:keepNext/>
            </w:pPr>
            <w:r w:rsidRPr="00B7760C">
              <w:t>Besedilo, ki ga predlaga Komisija</w:t>
            </w:r>
          </w:p>
        </w:tc>
        <w:tc>
          <w:tcPr>
            <w:tcW w:w="4876" w:type="dxa"/>
            <w:hideMark/>
          </w:tcPr>
          <w:p w14:paraId="76BBD445" w14:textId="25B01996" w:rsidR="003663AF" w:rsidRPr="00B7760C" w:rsidRDefault="00877691" w:rsidP="00E804B7">
            <w:pPr>
              <w:pStyle w:val="ColumnHeading"/>
              <w:keepNext/>
            </w:pPr>
            <w:r w:rsidRPr="00B7760C">
              <w:t>Sprememba</w:t>
            </w:r>
          </w:p>
        </w:tc>
      </w:tr>
      <w:tr w:rsidR="003663AF" w:rsidRPr="00B7760C" w14:paraId="5F44D90B" w14:textId="77777777" w:rsidTr="00E804B7">
        <w:trPr>
          <w:jc w:val="center"/>
        </w:trPr>
        <w:tc>
          <w:tcPr>
            <w:tcW w:w="4876" w:type="dxa"/>
            <w:hideMark/>
          </w:tcPr>
          <w:p w14:paraId="78E10A2D" w14:textId="77777777" w:rsidR="003663AF" w:rsidRPr="00B7760C" w:rsidRDefault="003663AF" w:rsidP="00E804B7">
            <w:pPr>
              <w:pStyle w:val="Normal6"/>
            </w:pPr>
            <w:r w:rsidRPr="00B7760C">
              <w:t>(x)</w:t>
            </w:r>
            <w:r w:rsidRPr="00B7760C">
              <w:tab/>
              <w:t>oblikovanje in ohranjanje habitatov, ki spodbujajo biotsko raznovrstnost;</w:t>
            </w:r>
          </w:p>
        </w:tc>
        <w:tc>
          <w:tcPr>
            <w:tcW w:w="4876" w:type="dxa"/>
            <w:hideMark/>
          </w:tcPr>
          <w:p w14:paraId="6C504A72" w14:textId="77777777" w:rsidR="003663AF" w:rsidRPr="00B7760C" w:rsidRDefault="003663AF" w:rsidP="00E804B7">
            <w:pPr>
              <w:pStyle w:val="Normal6"/>
              <w:rPr>
                <w:szCs w:val="24"/>
              </w:rPr>
            </w:pPr>
            <w:r w:rsidRPr="00B7760C">
              <w:t>(x)</w:t>
            </w:r>
            <w:r w:rsidRPr="00B7760C">
              <w:tab/>
              <w:t>oblikovanje in ohranjanje habitatov, ki spodbujajo biotsko raznovrstnost</w:t>
            </w:r>
            <w:r w:rsidRPr="00B7760C">
              <w:rPr>
                <w:b/>
                <w:i/>
              </w:rPr>
              <w:t>, ter spodbujanje lokalnih sort</w:t>
            </w:r>
            <w:r w:rsidRPr="00B7760C">
              <w:t>;</w:t>
            </w:r>
          </w:p>
        </w:tc>
      </w:tr>
    </w:tbl>
    <w:p w14:paraId="6F476EE8" w14:textId="77777777" w:rsidR="003663AF" w:rsidRPr="00B7760C" w:rsidRDefault="003663AF" w:rsidP="003663AF"/>
    <w:p w14:paraId="2276BA69" w14:textId="6FD244C4" w:rsidR="003663AF" w:rsidRPr="00B7760C" w:rsidRDefault="00877691" w:rsidP="003663AF">
      <w:pPr>
        <w:pStyle w:val="AMNumberTabs"/>
        <w:keepNext/>
      </w:pPr>
      <w:r w:rsidRPr="00B7760C">
        <w:t>Sprememba</w:t>
      </w:r>
      <w:r w:rsidR="003663AF" w:rsidRPr="00B7760C">
        <w:tab/>
      </w:r>
      <w:r w:rsidR="003663AF" w:rsidRPr="00B7760C">
        <w:tab/>
        <w:t>411</w:t>
      </w:r>
    </w:p>
    <w:p w14:paraId="3FDA1900" w14:textId="77777777" w:rsidR="003663AF" w:rsidRPr="00B7760C" w:rsidRDefault="003663AF" w:rsidP="003663AF">
      <w:pPr>
        <w:pStyle w:val="NormalBold12b"/>
      </w:pPr>
      <w:r w:rsidRPr="00B7760C">
        <w:t>Predlog uredbe</w:t>
      </w:r>
    </w:p>
    <w:p w14:paraId="2CFDDA16" w14:textId="77777777" w:rsidR="003663AF" w:rsidRPr="00B7760C" w:rsidRDefault="003663AF" w:rsidP="003663AF">
      <w:pPr>
        <w:pStyle w:val="NormalBold"/>
      </w:pPr>
      <w:r w:rsidRPr="00B7760C">
        <w:t>Člen 60 – odstavek 1 – točka a – točka x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5C23AF8" w14:textId="77777777" w:rsidTr="00E804B7">
        <w:trPr>
          <w:jc w:val="center"/>
        </w:trPr>
        <w:tc>
          <w:tcPr>
            <w:tcW w:w="9752" w:type="dxa"/>
            <w:gridSpan w:val="2"/>
          </w:tcPr>
          <w:p w14:paraId="21A4439A" w14:textId="77777777" w:rsidR="003663AF" w:rsidRPr="00B7760C" w:rsidRDefault="003663AF" w:rsidP="00E804B7">
            <w:pPr>
              <w:keepNext/>
            </w:pPr>
          </w:p>
        </w:tc>
      </w:tr>
      <w:tr w:rsidR="003663AF" w:rsidRPr="00B7760C" w14:paraId="1653911E" w14:textId="77777777" w:rsidTr="00E804B7">
        <w:trPr>
          <w:jc w:val="center"/>
        </w:trPr>
        <w:tc>
          <w:tcPr>
            <w:tcW w:w="4876" w:type="dxa"/>
            <w:hideMark/>
          </w:tcPr>
          <w:p w14:paraId="775D15A1" w14:textId="77777777" w:rsidR="003663AF" w:rsidRPr="00B7760C" w:rsidRDefault="003663AF" w:rsidP="00E804B7">
            <w:pPr>
              <w:pStyle w:val="ColumnHeading"/>
              <w:keepNext/>
            </w:pPr>
            <w:r w:rsidRPr="00B7760C">
              <w:t>Besedilo, ki ga predlaga Komisija</w:t>
            </w:r>
          </w:p>
        </w:tc>
        <w:tc>
          <w:tcPr>
            <w:tcW w:w="4876" w:type="dxa"/>
            <w:hideMark/>
          </w:tcPr>
          <w:p w14:paraId="4913C403" w14:textId="70A4FE29" w:rsidR="003663AF" w:rsidRPr="00B7760C" w:rsidRDefault="00877691" w:rsidP="00E804B7">
            <w:pPr>
              <w:pStyle w:val="ColumnHeading"/>
              <w:keepNext/>
            </w:pPr>
            <w:r w:rsidRPr="00B7760C">
              <w:t>Sprememba</w:t>
            </w:r>
          </w:p>
        </w:tc>
      </w:tr>
      <w:tr w:rsidR="003663AF" w:rsidRPr="00B7760C" w14:paraId="37165C0C" w14:textId="77777777" w:rsidTr="00E804B7">
        <w:trPr>
          <w:jc w:val="center"/>
        </w:trPr>
        <w:tc>
          <w:tcPr>
            <w:tcW w:w="4876" w:type="dxa"/>
          </w:tcPr>
          <w:p w14:paraId="1EF2E033" w14:textId="77777777" w:rsidR="003663AF" w:rsidRPr="00B7760C" w:rsidRDefault="003663AF" w:rsidP="00E804B7">
            <w:pPr>
              <w:pStyle w:val="Normal6"/>
            </w:pPr>
          </w:p>
        </w:tc>
        <w:tc>
          <w:tcPr>
            <w:tcW w:w="4876" w:type="dxa"/>
            <w:hideMark/>
          </w:tcPr>
          <w:p w14:paraId="668FD61F" w14:textId="77777777" w:rsidR="003663AF" w:rsidRPr="00B7760C" w:rsidRDefault="003663AF" w:rsidP="00E804B7">
            <w:pPr>
              <w:pStyle w:val="Normal6"/>
              <w:rPr>
                <w:szCs w:val="24"/>
              </w:rPr>
            </w:pPr>
            <w:r w:rsidRPr="00B7760C">
              <w:rPr>
                <w:b/>
                <w:i/>
              </w:rPr>
              <w:t>(xa)</w:t>
            </w:r>
            <w:r w:rsidRPr="00B7760C">
              <w:rPr>
                <w:b/>
                <w:i/>
              </w:rPr>
              <w:tab/>
              <w:t>zmanjšanje uporabe protimikrobnih snovi;</w:t>
            </w:r>
          </w:p>
        </w:tc>
      </w:tr>
    </w:tbl>
    <w:p w14:paraId="6FD60AB4" w14:textId="77777777" w:rsidR="003663AF" w:rsidRPr="00B7760C" w:rsidRDefault="003663AF" w:rsidP="003663AF"/>
    <w:p w14:paraId="01658D23" w14:textId="04B76329" w:rsidR="003663AF" w:rsidRPr="00B7760C" w:rsidRDefault="00877691" w:rsidP="003663AF">
      <w:pPr>
        <w:pStyle w:val="AMNumberTabs"/>
        <w:keepNext/>
      </w:pPr>
      <w:r w:rsidRPr="00B7760C">
        <w:t>Sprememba</w:t>
      </w:r>
      <w:r w:rsidR="003663AF" w:rsidRPr="00B7760C">
        <w:tab/>
      </w:r>
      <w:r w:rsidR="003663AF" w:rsidRPr="00B7760C">
        <w:tab/>
        <w:t>412</w:t>
      </w:r>
    </w:p>
    <w:p w14:paraId="2FE42100" w14:textId="77777777" w:rsidR="003663AF" w:rsidRPr="00B7760C" w:rsidRDefault="003663AF" w:rsidP="003663AF">
      <w:pPr>
        <w:pStyle w:val="NormalBold12b"/>
      </w:pPr>
      <w:r w:rsidRPr="00B7760C">
        <w:t>Predlog uredbe</w:t>
      </w:r>
    </w:p>
    <w:p w14:paraId="5DD2DA10" w14:textId="77777777" w:rsidR="003663AF" w:rsidRPr="00B7760C" w:rsidRDefault="003663AF" w:rsidP="003663AF">
      <w:pPr>
        <w:pStyle w:val="NormalBold"/>
      </w:pPr>
      <w:r w:rsidRPr="00B7760C">
        <w:t>Člen 60 – odstavek 1 – točka a – točka x b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DF1FC2B" w14:textId="77777777" w:rsidTr="00E804B7">
        <w:trPr>
          <w:jc w:val="center"/>
        </w:trPr>
        <w:tc>
          <w:tcPr>
            <w:tcW w:w="9752" w:type="dxa"/>
            <w:gridSpan w:val="2"/>
          </w:tcPr>
          <w:p w14:paraId="7D046DB7" w14:textId="77777777" w:rsidR="003663AF" w:rsidRPr="00B7760C" w:rsidRDefault="003663AF" w:rsidP="00E804B7">
            <w:pPr>
              <w:keepNext/>
            </w:pPr>
          </w:p>
        </w:tc>
      </w:tr>
      <w:tr w:rsidR="003663AF" w:rsidRPr="00B7760C" w14:paraId="10B94645" w14:textId="77777777" w:rsidTr="00E804B7">
        <w:trPr>
          <w:jc w:val="center"/>
        </w:trPr>
        <w:tc>
          <w:tcPr>
            <w:tcW w:w="4876" w:type="dxa"/>
            <w:hideMark/>
          </w:tcPr>
          <w:p w14:paraId="3763CCAC" w14:textId="77777777" w:rsidR="003663AF" w:rsidRPr="00B7760C" w:rsidRDefault="003663AF" w:rsidP="00E804B7">
            <w:pPr>
              <w:pStyle w:val="ColumnHeading"/>
              <w:keepNext/>
            </w:pPr>
            <w:r w:rsidRPr="00B7760C">
              <w:t>Besedilo, ki ga predlaga Komisija</w:t>
            </w:r>
          </w:p>
        </w:tc>
        <w:tc>
          <w:tcPr>
            <w:tcW w:w="4876" w:type="dxa"/>
            <w:hideMark/>
          </w:tcPr>
          <w:p w14:paraId="0AAFAE2A" w14:textId="0A63BD8A" w:rsidR="003663AF" w:rsidRPr="00B7760C" w:rsidRDefault="00877691" w:rsidP="00E804B7">
            <w:pPr>
              <w:pStyle w:val="ColumnHeading"/>
              <w:keepNext/>
            </w:pPr>
            <w:r w:rsidRPr="00B7760C">
              <w:t>Sprememba</w:t>
            </w:r>
          </w:p>
        </w:tc>
      </w:tr>
      <w:tr w:rsidR="003663AF" w:rsidRPr="00B7760C" w14:paraId="25B372B9" w14:textId="77777777" w:rsidTr="00E804B7">
        <w:trPr>
          <w:jc w:val="center"/>
        </w:trPr>
        <w:tc>
          <w:tcPr>
            <w:tcW w:w="4876" w:type="dxa"/>
          </w:tcPr>
          <w:p w14:paraId="2EC983B5" w14:textId="77777777" w:rsidR="003663AF" w:rsidRPr="00B7760C" w:rsidRDefault="003663AF" w:rsidP="00E804B7">
            <w:pPr>
              <w:pStyle w:val="Normal6"/>
            </w:pPr>
          </w:p>
        </w:tc>
        <w:tc>
          <w:tcPr>
            <w:tcW w:w="4876" w:type="dxa"/>
            <w:hideMark/>
          </w:tcPr>
          <w:p w14:paraId="03CE8AE7" w14:textId="77777777" w:rsidR="003663AF" w:rsidRPr="00B7760C" w:rsidRDefault="003663AF" w:rsidP="00E804B7">
            <w:pPr>
              <w:pStyle w:val="Normal6"/>
              <w:rPr>
                <w:szCs w:val="24"/>
              </w:rPr>
            </w:pPr>
            <w:r w:rsidRPr="00B7760C">
              <w:rPr>
                <w:b/>
                <w:i/>
              </w:rPr>
              <w:t>(xb)</w:t>
            </w:r>
            <w:r w:rsidRPr="00B7760C">
              <w:rPr>
                <w:b/>
                <w:i/>
              </w:rPr>
              <w:tab/>
              <w:t>izboljšanje pogojev gojenja, spravila in oddaje proizvodov;</w:t>
            </w:r>
          </w:p>
        </w:tc>
      </w:tr>
    </w:tbl>
    <w:p w14:paraId="7044DC86" w14:textId="77777777" w:rsidR="003663AF" w:rsidRPr="00B7760C" w:rsidRDefault="003663AF" w:rsidP="003663AF"/>
    <w:p w14:paraId="1CCCFF29" w14:textId="2F6B1FF7" w:rsidR="003663AF" w:rsidRPr="00B7760C" w:rsidRDefault="00877691" w:rsidP="003663AF">
      <w:pPr>
        <w:pStyle w:val="AMNumberTabs"/>
        <w:keepNext/>
      </w:pPr>
      <w:r w:rsidRPr="00B7760C">
        <w:t>Sprememba</w:t>
      </w:r>
      <w:r w:rsidR="003663AF" w:rsidRPr="00B7760C">
        <w:tab/>
      </w:r>
      <w:r w:rsidR="003663AF" w:rsidRPr="00B7760C">
        <w:tab/>
        <w:t>413</w:t>
      </w:r>
    </w:p>
    <w:p w14:paraId="7F6592BF" w14:textId="77777777" w:rsidR="003663AF" w:rsidRPr="00B7760C" w:rsidRDefault="003663AF" w:rsidP="003663AF">
      <w:pPr>
        <w:pStyle w:val="NormalBold12b"/>
      </w:pPr>
      <w:r w:rsidRPr="00B7760C">
        <w:t>Predlog uredbe</w:t>
      </w:r>
    </w:p>
    <w:p w14:paraId="76BB94D5" w14:textId="77777777" w:rsidR="003663AF" w:rsidRPr="00B7760C" w:rsidRDefault="003663AF" w:rsidP="003663AF">
      <w:pPr>
        <w:pStyle w:val="NormalBold"/>
      </w:pPr>
      <w:r w:rsidRPr="00B7760C">
        <w:t>Člen 60 – odstavek 1 – točka a – točka x c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3DF5B89" w14:textId="77777777" w:rsidTr="00E804B7">
        <w:trPr>
          <w:jc w:val="center"/>
        </w:trPr>
        <w:tc>
          <w:tcPr>
            <w:tcW w:w="9752" w:type="dxa"/>
            <w:gridSpan w:val="2"/>
          </w:tcPr>
          <w:p w14:paraId="15499B81" w14:textId="77777777" w:rsidR="003663AF" w:rsidRPr="00B7760C" w:rsidRDefault="003663AF" w:rsidP="00E804B7">
            <w:pPr>
              <w:keepNext/>
            </w:pPr>
          </w:p>
        </w:tc>
      </w:tr>
      <w:tr w:rsidR="003663AF" w:rsidRPr="00B7760C" w14:paraId="6F2C73BA" w14:textId="77777777" w:rsidTr="00E804B7">
        <w:trPr>
          <w:jc w:val="center"/>
        </w:trPr>
        <w:tc>
          <w:tcPr>
            <w:tcW w:w="4876" w:type="dxa"/>
            <w:hideMark/>
          </w:tcPr>
          <w:p w14:paraId="6AC76F08" w14:textId="77777777" w:rsidR="003663AF" w:rsidRPr="00B7760C" w:rsidRDefault="003663AF" w:rsidP="00E804B7">
            <w:pPr>
              <w:pStyle w:val="ColumnHeading"/>
              <w:keepNext/>
            </w:pPr>
            <w:r w:rsidRPr="00B7760C">
              <w:t>Besedilo, ki ga predlaga Komisija</w:t>
            </w:r>
          </w:p>
        </w:tc>
        <w:tc>
          <w:tcPr>
            <w:tcW w:w="4876" w:type="dxa"/>
            <w:hideMark/>
          </w:tcPr>
          <w:p w14:paraId="7FFB850E" w14:textId="3BB60F7D" w:rsidR="003663AF" w:rsidRPr="00B7760C" w:rsidRDefault="00877691" w:rsidP="00E804B7">
            <w:pPr>
              <w:pStyle w:val="ColumnHeading"/>
              <w:keepNext/>
            </w:pPr>
            <w:r w:rsidRPr="00B7760C">
              <w:t>Sprememba</w:t>
            </w:r>
          </w:p>
        </w:tc>
      </w:tr>
      <w:tr w:rsidR="003663AF" w:rsidRPr="00B7760C" w14:paraId="55EBE25B" w14:textId="77777777" w:rsidTr="00E804B7">
        <w:trPr>
          <w:jc w:val="center"/>
        </w:trPr>
        <w:tc>
          <w:tcPr>
            <w:tcW w:w="4876" w:type="dxa"/>
          </w:tcPr>
          <w:p w14:paraId="17609A56" w14:textId="77777777" w:rsidR="003663AF" w:rsidRPr="00B7760C" w:rsidRDefault="003663AF" w:rsidP="00E804B7">
            <w:pPr>
              <w:pStyle w:val="Normal6"/>
            </w:pPr>
          </w:p>
        </w:tc>
        <w:tc>
          <w:tcPr>
            <w:tcW w:w="4876" w:type="dxa"/>
            <w:hideMark/>
          </w:tcPr>
          <w:p w14:paraId="700DA124" w14:textId="77777777" w:rsidR="003663AF" w:rsidRPr="00B7760C" w:rsidRDefault="003663AF" w:rsidP="00E804B7">
            <w:pPr>
              <w:pStyle w:val="Normal6"/>
              <w:rPr>
                <w:szCs w:val="24"/>
              </w:rPr>
            </w:pPr>
            <w:r w:rsidRPr="00B7760C">
              <w:rPr>
                <w:b/>
                <w:i/>
              </w:rPr>
              <w:t>(xc)</w:t>
            </w:r>
            <w:r w:rsidRPr="00B7760C">
              <w:rPr>
                <w:b/>
                <w:i/>
              </w:rPr>
              <w:tab/>
              <w:t>spremljanje, poznavanje in nadzor trga;</w:t>
            </w:r>
          </w:p>
        </w:tc>
      </w:tr>
    </w:tbl>
    <w:p w14:paraId="555795B3" w14:textId="77777777" w:rsidR="003663AF" w:rsidRPr="00B7760C" w:rsidRDefault="003663AF" w:rsidP="003663AF"/>
    <w:p w14:paraId="1C16C94C" w14:textId="527CF032" w:rsidR="003663AF" w:rsidRPr="00B7760C" w:rsidRDefault="00877691" w:rsidP="003663AF">
      <w:pPr>
        <w:pStyle w:val="AMNumberTabs"/>
        <w:keepNext/>
      </w:pPr>
      <w:r w:rsidRPr="00B7760C">
        <w:t>Sprememba</w:t>
      </w:r>
      <w:r w:rsidR="003663AF" w:rsidRPr="00B7760C">
        <w:tab/>
      </w:r>
      <w:r w:rsidR="003663AF" w:rsidRPr="00B7760C">
        <w:tab/>
        <w:t>414</w:t>
      </w:r>
    </w:p>
    <w:p w14:paraId="31353736" w14:textId="77777777" w:rsidR="003663AF" w:rsidRPr="00B7760C" w:rsidRDefault="003663AF" w:rsidP="003663AF">
      <w:pPr>
        <w:pStyle w:val="NormalBold12b"/>
      </w:pPr>
      <w:r w:rsidRPr="00B7760C">
        <w:t>Predlog uredbe</w:t>
      </w:r>
    </w:p>
    <w:p w14:paraId="6193DAD9" w14:textId="77777777" w:rsidR="003663AF" w:rsidRPr="00B7760C" w:rsidRDefault="003663AF" w:rsidP="003663AF">
      <w:pPr>
        <w:pStyle w:val="NormalBold"/>
      </w:pPr>
      <w:r w:rsidRPr="00B7760C">
        <w:t>Člen 60 – odstavek 1 – točka a – točka x d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233616F" w14:textId="77777777" w:rsidTr="00E804B7">
        <w:trPr>
          <w:jc w:val="center"/>
        </w:trPr>
        <w:tc>
          <w:tcPr>
            <w:tcW w:w="9752" w:type="dxa"/>
            <w:gridSpan w:val="2"/>
          </w:tcPr>
          <w:p w14:paraId="003F9492" w14:textId="77777777" w:rsidR="003663AF" w:rsidRPr="00B7760C" w:rsidRDefault="003663AF" w:rsidP="00E804B7">
            <w:pPr>
              <w:keepNext/>
            </w:pPr>
          </w:p>
        </w:tc>
      </w:tr>
      <w:tr w:rsidR="003663AF" w:rsidRPr="00B7760C" w14:paraId="4DC2457A" w14:textId="77777777" w:rsidTr="00E804B7">
        <w:trPr>
          <w:jc w:val="center"/>
        </w:trPr>
        <w:tc>
          <w:tcPr>
            <w:tcW w:w="4876" w:type="dxa"/>
            <w:hideMark/>
          </w:tcPr>
          <w:p w14:paraId="282DA23D" w14:textId="77777777" w:rsidR="003663AF" w:rsidRPr="00B7760C" w:rsidRDefault="003663AF" w:rsidP="00E804B7">
            <w:pPr>
              <w:pStyle w:val="ColumnHeading"/>
              <w:keepNext/>
            </w:pPr>
            <w:r w:rsidRPr="00B7760C">
              <w:t>Besedilo, ki ga predlaga Komisija</w:t>
            </w:r>
          </w:p>
        </w:tc>
        <w:tc>
          <w:tcPr>
            <w:tcW w:w="4876" w:type="dxa"/>
            <w:hideMark/>
          </w:tcPr>
          <w:p w14:paraId="79B5C7E3" w14:textId="1E179A70" w:rsidR="003663AF" w:rsidRPr="00B7760C" w:rsidRDefault="00877691" w:rsidP="00E804B7">
            <w:pPr>
              <w:pStyle w:val="ColumnHeading"/>
              <w:keepNext/>
            </w:pPr>
            <w:r w:rsidRPr="00B7760C">
              <w:t>Sprememba</w:t>
            </w:r>
          </w:p>
        </w:tc>
      </w:tr>
      <w:tr w:rsidR="003663AF" w:rsidRPr="00B7760C" w14:paraId="04E33042" w14:textId="77777777" w:rsidTr="00E804B7">
        <w:trPr>
          <w:jc w:val="center"/>
        </w:trPr>
        <w:tc>
          <w:tcPr>
            <w:tcW w:w="4876" w:type="dxa"/>
          </w:tcPr>
          <w:p w14:paraId="30F03675" w14:textId="77777777" w:rsidR="003663AF" w:rsidRPr="00B7760C" w:rsidRDefault="003663AF" w:rsidP="00E804B7">
            <w:pPr>
              <w:pStyle w:val="Normal6"/>
            </w:pPr>
          </w:p>
        </w:tc>
        <w:tc>
          <w:tcPr>
            <w:tcW w:w="4876" w:type="dxa"/>
            <w:hideMark/>
          </w:tcPr>
          <w:p w14:paraId="0A65F7E1" w14:textId="77777777" w:rsidR="003663AF" w:rsidRPr="00B7760C" w:rsidRDefault="003663AF" w:rsidP="00E804B7">
            <w:pPr>
              <w:pStyle w:val="Normal6"/>
              <w:rPr>
                <w:szCs w:val="24"/>
              </w:rPr>
            </w:pPr>
            <w:r w:rsidRPr="00B7760C">
              <w:rPr>
                <w:b/>
                <w:i/>
              </w:rPr>
              <w:t>(xd)</w:t>
            </w:r>
            <w:r w:rsidRPr="00B7760C">
              <w:rPr>
                <w:b/>
                <w:i/>
              </w:rPr>
              <w:tab/>
              <w:t>preprečevanje napadov plenilskih vrst na živino.</w:t>
            </w:r>
          </w:p>
        </w:tc>
      </w:tr>
    </w:tbl>
    <w:p w14:paraId="1ABF0C53" w14:textId="77777777" w:rsidR="003663AF" w:rsidRPr="00B7760C" w:rsidRDefault="003663AF" w:rsidP="003663AF"/>
    <w:p w14:paraId="2E489668" w14:textId="7C39472F" w:rsidR="003663AF" w:rsidRPr="00B7760C" w:rsidRDefault="00877691" w:rsidP="00487290">
      <w:pPr>
        <w:pStyle w:val="AMNumberTabs"/>
        <w:keepNext/>
      </w:pPr>
      <w:r w:rsidRPr="00B7760C">
        <w:t>Sprememb</w:t>
      </w:r>
      <w:r w:rsidR="00487290" w:rsidRPr="00B7760C">
        <w:t>i</w:t>
      </w:r>
      <w:r w:rsidR="003663AF" w:rsidRPr="00B7760C">
        <w:tab/>
      </w:r>
      <w:r w:rsidR="003663AF" w:rsidRPr="00B7760C">
        <w:tab/>
        <w:t>415</w:t>
      </w:r>
      <w:r w:rsidR="00487290" w:rsidRPr="00B7760C">
        <w:t xml:space="preserve"> in 826</w:t>
      </w:r>
      <w:r w:rsidR="00EB36AB" w:rsidRPr="00B7760C">
        <w:t xml:space="preserve"> cp</w:t>
      </w:r>
    </w:p>
    <w:p w14:paraId="31BEEDD9" w14:textId="77777777" w:rsidR="003663AF" w:rsidRPr="00B7760C" w:rsidRDefault="003663AF" w:rsidP="003663AF">
      <w:pPr>
        <w:pStyle w:val="NormalBold12b"/>
      </w:pPr>
      <w:r w:rsidRPr="00B7760C">
        <w:t>Predlog uredbe</w:t>
      </w:r>
    </w:p>
    <w:p w14:paraId="04B75E0D" w14:textId="77777777" w:rsidR="003663AF" w:rsidRPr="00B7760C" w:rsidRDefault="003663AF" w:rsidP="003663AF">
      <w:pPr>
        <w:pStyle w:val="NormalBold"/>
      </w:pPr>
      <w:r w:rsidRPr="00B7760C">
        <w:t>Člen 60 – odstavek 1 – točka b</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07E0850" w14:textId="77777777" w:rsidTr="006F0B5B">
        <w:trPr>
          <w:jc w:val="center"/>
        </w:trPr>
        <w:tc>
          <w:tcPr>
            <w:tcW w:w="9752" w:type="dxa"/>
            <w:gridSpan w:val="2"/>
          </w:tcPr>
          <w:p w14:paraId="099FBF64" w14:textId="77777777" w:rsidR="003663AF" w:rsidRPr="00B7760C" w:rsidRDefault="003663AF" w:rsidP="00E804B7">
            <w:pPr>
              <w:keepNext/>
            </w:pPr>
          </w:p>
        </w:tc>
      </w:tr>
      <w:tr w:rsidR="003663AF" w:rsidRPr="00B7760C" w14:paraId="4162AD3D" w14:textId="77777777" w:rsidTr="006F0B5B">
        <w:trPr>
          <w:jc w:val="center"/>
        </w:trPr>
        <w:tc>
          <w:tcPr>
            <w:tcW w:w="4876" w:type="dxa"/>
            <w:hideMark/>
          </w:tcPr>
          <w:p w14:paraId="0E11CC9E" w14:textId="77777777" w:rsidR="003663AF" w:rsidRPr="00B7760C" w:rsidRDefault="003663AF" w:rsidP="00E804B7">
            <w:pPr>
              <w:pStyle w:val="ColumnHeading"/>
              <w:keepNext/>
            </w:pPr>
            <w:r w:rsidRPr="00B7760C">
              <w:t>Besedilo, ki ga predlaga Komisija</w:t>
            </w:r>
          </w:p>
        </w:tc>
        <w:tc>
          <w:tcPr>
            <w:tcW w:w="4876" w:type="dxa"/>
            <w:hideMark/>
          </w:tcPr>
          <w:p w14:paraId="5BE37DEC" w14:textId="4B1FD3C3" w:rsidR="003663AF" w:rsidRPr="00B7760C" w:rsidRDefault="00877691" w:rsidP="00E804B7">
            <w:pPr>
              <w:pStyle w:val="ColumnHeading"/>
              <w:keepNext/>
            </w:pPr>
            <w:r w:rsidRPr="00B7760C">
              <w:t>Sprememba</w:t>
            </w:r>
          </w:p>
        </w:tc>
      </w:tr>
      <w:tr w:rsidR="003663AF" w:rsidRPr="00B7760C" w14:paraId="151728BE" w14:textId="77777777" w:rsidTr="006F0B5B">
        <w:trPr>
          <w:jc w:val="center"/>
        </w:trPr>
        <w:tc>
          <w:tcPr>
            <w:tcW w:w="4876" w:type="dxa"/>
            <w:hideMark/>
          </w:tcPr>
          <w:p w14:paraId="019CC339" w14:textId="77777777" w:rsidR="003663AF" w:rsidRPr="00B7760C" w:rsidRDefault="003663AF" w:rsidP="00E804B7">
            <w:pPr>
              <w:pStyle w:val="Normal6"/>
            </w:pPr>
            <w:r w:rsidRPr="00B7760C">
              <w:t>(b)</w:t>
            </w:r>
            <w:r w:rsidRPr="00B7760C">
              <w:tab/>
              <w:t xml:space="preserve">storitve svetovanja in tehnična pomoč, zlasti na področju prilagajanja </w:t>
            </w:r>
            <w:r w:rsidRPr="00B7760C">
              <w:rPr>
                <w:b/>
                <w:bCs/>
                <w:i/>
                <w:iCs/>
              </w:rPr>
              <w:t>podnebnim spremembam in njihove blažitve</w:t>
            </w:r>
            <w:r w:rsidRPr="00B7760C">
              <w:t>;</w:t>
            </w:r>
          </w:p>
        </w:tc>
        <w:tc>
          <w:tcPr>
            <w:tcW w:w="4876" w:type="dxa"/>
            <w:hideMark/>
          </w:tcPr>
          <w:p w14:paraId="75FA0ED0" w14:textId="3C6CC6C4" w:rsidR="003663AF" w:rsidRPr="00B7760C" w:rsidRDefault="003663AF" w:rsidP="00EB36AB">
            <w:pPr>
              <w:pStyle w:val="Normal6"/>
              <w:rPr>
                <w:szCs w:val="24"/>
              </w:rPr>
            </w:pPr>
            <w:r w:rsidRPr="00B7760C">
              <w:t>(b)</w:t>
            </w:r>
            <w:r w:rsidRPr="00B7760C">
              <w:tab/>
              <w:t xml:space="preserve">storitve svetovanja in tehnična pomoč, zlasti na področju </w:t>
            </w:r>
            <w:r w:rsidR="00EB36AB" w:rsidRPr="00B7760C">
              <w:rPr>
                <w:b/>
                <w:i/>
              </w:rPr>
              <w:t xml:space="preserve">kakovosti pridelave, </w:t>
            </w:r>
            <w:r w:rsidRPr="00B7760C">
              <w:rPr>
                <w:b/>
                <w:i/>
              </w:rPr>
              <w:t>biotske raznovrstnosti</w:t>
            </w:r>
            <w:r w:rsidR="00EB36AB" w:rsidRPr="00B7760C">
              <w:rPr>
                <w:b/>
                <w:i/>
              </w:rPr>
              <w:t xml:space="preserve"> in okolja</w:t>
            </w:r>
            <w:r w:rsidRPr="00B7760C">
              <w:rPr>
                <w:b/>
                <w:i/>
              </w:rPr>
              <w:t xml:space="preserve">, </w:t>
            </w:r>
            <w:r w:rsidR="00EB36AB" w:rsidRPr="00B7760C">
              <w:rPr>
                <w:b/>
                <w:i/>
              </w:rPr>
              <w:t>blažitve podnebnih sprememb in</w:t>
            </w:r>
            <w:r w:rsidR="00EB36AB" w:rsidRPr="00B7760C">
              <w:t xml:space="preserve"> </w:t>
            </w:r>
            <w:r w:rsidRPr="00B7760C">
              <w:t xml:space="preserve">prilagajanja </w:t>
            </w:r>
            <w:r w:rsidR="00EB36AB" w:rsidRPr="00B7760C">
              <w:rPr>
                <w:b/>
                <w:i/>
              </w:rPr>
              <w:t>nanje</w:t>
            </w:r>
            <w:r w:rsidRPr="00B7760C">
              <w:rPr>
                <w:b/>
                <w:i/>
              </w:rPr>
              <w:t>, boja proti škodljivcem in boleznim živali in izboljšanja odpornosti nanje ter izboljšanja kakovosti proizvodov</w:t>
            </w:r>
            <w:r w:rsidRPr="00B7760C">
              <w:t>;</w:t>
            </w:r>
          </w:p>
        </w:tc>
      </w:tr>
    </w:tbl>
    <w:p w14:paraId="521570D9" w14:textId="397A33A1" w:rsidR="00487290" w:rsidRPr="00B7760C" w:rsidRDefault="00487290" w:rsidP="00EB36AB">
      <w:pPr>
        <w:pStyle w:val="AMNumberTabs"/>
        <w:keepNext/>
      </w:pPr>
      <w:r w:rsidRPr="00B7760C">
        <w:t>Sprememb</w:t>
      </w:r>
      <w:r w:rsidR="00EB36AB" w:rsidRPr="00B7760C">
        <w:t>a</w:t>
      </w:r>
      <w:r w:rsidRPr="00B7760C">
        <w:tab/>
      </w:r>
      <w:r w:rsidRPr="00B7760C">
        <w:tab/>
        <w:t>826</w:t>
      </w:r>
      <w:r w:rsidR="00EB36AB" w:rsidRPr="00B7760C">
        <w:t xml:space="preserve"> cp</w:t>
      </w:r>
    </w:p>
    <w:p w14:paraId="1B970ED3" w14:textId="77777777" w:rsidR="00487290" w:rsidRPr="00B7760C" w:rsidRDefault="00487290" w:rsidP="00487290">
      <w:pPr>
        <w:pStyle w:val="NormalBold12b"/>
      </w:pPr>
      <w:r w:rsidRPr="00B7760C">
        <w:t>Predlog uredbe</w:t>
      </w:r>
    </w:p>
    <w:p w14:paraId="0D206DE7" w14:textId="23E60DE0" w:rsidR="00487290" w:rsidRPr="00B7760C" w:rsidRDefault="00487290" w:rsidP="00487290">
      <w:pPr>
        <w:pStyle w:val="NormalBold"/>
      </w:pPr>
      <w:r w:rsidRPr="00B7760C">
        <w:t>Člen 60 – odstavek 1 – točka c</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487290" w:rsidRPr="00B7760C" w14:paraId="11F3855E" w14:textId="77777777" w:rsidTr="006F0B5B">
        <w:trPr>
          <w:jc w:val="center"/>
        </w:trPr>
        <w:tc>
          <w:tcPr>
            <w:tcW w:w="9752" w:type="dxa"/>
            <w:gridSpan w:val="2"/>
          </w:tcPr>
          <w:p w14:paraId="3024E1B4" w14:textId="77777777" w:rsidR="00487290" w:rsidRPr="00B7760C" w:rsidRDefault="00487290" w:rsidP="005847CC">
            <w:pPr>
              <w:keepNext/>
            </w:pPr>
          </w:p>
        </w:tc>
      </w:tr>
      <w:tr w:rsidR="00487290" w:rsidRPr="00B7760C" w14:paraId="3F04B75A" w14:textId="77777777" w:rsidTr="006F0B5B">
        <w:trPr>
          <w:jc w:val="center"/>
        </w:trPr>
        <w:tc>
          <w:tcPr>
            <w:tcW w:w="4876" w:type="dxa"/>
            <w:hideMark/>
          </w:tcPr>
          <w:p w14:paraId="46502BDC" w14:textId="77777777" w:rsidR="00487290" w:rsidRPr="00B7760C" w:rsidRDefault="00487290" w:rsidP="005847CC">
            <w:pPr>
              <w:pStyle w:val="ColumnHeading"/>
              <w:keepNext/>
            </w:pPr>
            <w:r w:rsidRPr="00B7760C">
              <w:t>Besedilo, ki ga predlaga Komisija</w:t>
            </w:r>
          </w:p>
        </w:tc>
        <w:tc>
          <w:tcPr>
            <w:tcW w:w="4876" w:type="dxa"/>
            <w:hideMark/>
          </w:tcPr>
          <w:p w14:paraId="0CAF600E" w14:textId="77777777" w:rsidR="00487290" w:rsidRPr="00B7760C" w:rsidRDefault="00487290" w:rsidP="005847CC">
            <w:pPr>
              <w:pStyle w:val="ColumnHeading"/>
              <w:keepNext/>
            </w:pPr>
            <w:r w:rsidRPr="00B7760C">
              <w:t>Sprememba</w:t>
            </w:r>
          </w:p>
        </w:tc>
      </w:tr>
      <w:tr w:rsidR="00487290" w:rsidRPr="00B7760C" w14:paraId="0DB2379D" w14:textId="77777777" w:rsidTr="006F0B5B">
        <w:trPr>
          <w:jc w:val="center"/>
        </w:trPr>
        <w:tc>
          <w:tcPr>
            <w:tcW w:w="4876" w:type="dxa"/>
          </w:tcPr>
          <w:p w14:paraId="32FACF5D" w14:textId="5AD5B014" w:rsidR="00487290" w:rsidRPr="00B7760C" w:rsidRDefault="00487290" w:rsidP="005847CC">
            <w:pPr>
              <w:pStyle w:val="Normal6"/>
            </w:pPr>
            <w:r w:rsidRPr="00B7760C">
              <w:t>(c)</w:t>
            </w:r>
            <w:r w:rsidRPr="00B7760C">
              <w:tab/>
              <w:t>usposabljanje, vključno z mentorstvom in izmenjavo dobrih praks;</w:t>
            </w:r>
          </w:p>
        </w:tc>
        <w:tc>
          <w:tcPr>
            <w:tcW w:w="4876" w:type="dxa"/>
          </w:tcPr>
          <w:p w14:paraId="5AF1EA31" w14:textId="1AC446DF" w:rsidR="00487290" w:rsidRPr="00B7760C" w:rsidRDefault="00487290" w:rsidP="005847CC">
            <w:pPr>
              <w:pStyle w:val="Normal6"/>
              <w:rPr>
                <w:szCs w:val="24"/>
              </w:rPr>
            </w:pPr>
            <w:r w:rsidRPr="00B7760C">
              <w:t>(c)</w:t>
            </w:r>
            <w:r w:rsidRPr="00B7760C">
              <w:tab/>
              <w:t>usposabljanje, vključno z mentorstvom in izmenjavo dobrih praks</w:t>
            </w:r>
            <w:r w:rsidRPr="00B7760C">
              <w:rPr>
                <w:b/>
                <w:i/>
              </w:rPr>
              <w:t>, zlasti na področju ekološkega kmetovanja, oblikovanja permakulturnih sistemov in praks za povečevanje zalog ogljika</w:t>
            </w:r>
            <w:r w:rsidRPr="00B7760C">
              <w:t>;</w:t>
            </w:r>
          </w:p>
        </w:tc>
      </w:tr>
    </w:tbl>
    <w:p w14:paraId="3482C4AF" w14:textId="77777777" w:rsidR="003663AF" w:rsidRPr="00B7760C" w:rsidRDefault="003663AF" w:rsidP="003663AF"/>
    <w:p w14:paraId="17C0483D" w14:textId="1F0BBD81" w:rsidR="003663AF" w:rsidRPr="00B7760C" w:rsidRDefault="00877691" w:rsidP="003663AF">
      <w:pPr>
        <w:pStyle w:val="AMNumberTabs"/>
        <w:keepNext/>
      </w:pPr>
      <w:r w:rsidRPr="00B7760C">
        <w:t>Sprememba</w:t>
      </w:r>
      <w:r w:rsidR="003663AF" w:rsidRPr="00B7760C">
        <w:tab/>
      </w:r>
      <w:r w:rsidR="003663AF" w:rsidRPr="00B7760C">
        <w:tab/>
        <w:t>416</w:t>
      </w:r>
    </w:p>
    <w:p w14:paraId="46A01DC2" w14:textId="77777777" w:rsidR="003663AF" w:rsidRPr="00B7760C" w:rsidRDefault="003663AF" w:rsidP="003663AF">
      <w:pPr>
        <w:pStyle w:val="NormalBold12b"/>
      </w:pPr>
      <w:r w:rsidRPr="00B7760C">
        <w:t>Predlog uredbe</w:t>
      </w:r>
    </w:p>
    <w:p w14:paraId="07A26DE7" w14:textId="77777777" w:rsidR="003663AF" w:rsidRPr="00B7760C" w:rsidRDefault="003663AF" w:rsidP="003663AF">
      <w:pPr>
        <w:pStyle w:val="NormalBold"/>
      </w:pPr>
      <w:r w:rsidRPr="00B7760C">
        <w:t>Člen 60 – odstavek 1 – točka d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C33834C" w14:textId="77777777" w:rsidTr="00E804B7">
        <w:trPr>
          <w:jc w:val="center"/>
        </w:trPr>
        <w:tc>
          <w:tcPr>
            <w:tcW w:w="9752" w:type="dxa"/>
            <w:gridSpan w:val="2"/>
          </w:tcPr>
          <w:p w14:paraId="7D5EE2E6" w14:textId="77777777" w:rsidR="003663AF" w:rsidRPr="00B7760C" w:rsidRDefault="003663AF" w:rsidP="00E804B7">
            <w:pPr>
              <w:keepNext/>
            </w:pPr>
          </w:p>
        </w:tc>
      </w:tr>
      <w:tr w:rsidR="003663AF" w:rsidRPr="00B7760C" w14:paraId="67F90109" w14:textId="77777777" w:rsidTr="00E804B7">
        <w:trPr>
          <w:jc w:val="center"/>
        </w:trPr>
        <w:tc>
          <w:tcPr>
            <w:tcW w:w="4876" w:type="dxa"/>
            <w:hideMark/>
          </w:tcPr>
          <w:p w14:paraId="1F40CA43" w14:textId="77777777" w:rsidR="003663AF" w:rsidRPr="00B7760C" w:rsidRDefault="003663AF" w:rsidP="00E804B7">
            <w:pPr>
              <w:pStyle w:val="ColumnHeading"/>
              <w:keepNext/>
            </w:pPr>
            <w:r w:rsidRPr="00B7760C">
              <w:t>Besedilo, ki ga predlaga Komisija</w:t>
            </w:r>
          </w:p>
        </w:tc>
        <w:tc>
          <w:tcPr>
            <w:tcW w:w="4876" w:type="dxa"/>
            <w:hideMark/>
          </w:tcPr>
          <w:p w14:paraId="139C230A" w14:textId="2071B34A" w:rsidR="003663AF" w:rsidRPr="00B7760C" w:rsidRDefault="00877691" w:rsidP="00E804B7">
            <w:pPr>
              <w:pStyle w:val="ColumnHeading"/>
              <w:keepNext/>
            </w:pPr>
            <w:r w:rsidRPr="00B7760C">
              <w:t>Sprememba</w:t>
            </w:r>
          </w:p>
        </w:tc>
      </w:tr>
      <w:tr w:rsidR="003663AF" w:rsidRPr="00B7760C" w14:paraId="0B3B8C32" w14:textId="77777777" w:rsidTr="00E804B7">
        <w:trPr>
          <w:jc w:val="center"/>
        </w:trPr>
        <w:tc>
          <w:tcPr>
            <w:tcW w:w="4876" w:type="dxa"/>
          </w:tcPr>
          <w:p w14:paraId="56A99E45" w14:textId="77777777" w:rsidR="003663AF" w:rsidRPr="00B7760C" w:rsidRDefault="003663AF" w:rsidP="00E804B7">
            <w:pPr>
              <w:pStyle w:val="Normal6"/>
            </w:pPr>
          </w:p>
        </w:tc>
        <w:tc>
          <w:tcPr>
            <w:tcW w:w="4876" w:type="dxa"/>
            <w:hideMark/>
          </w:tcPr>
          <w:p w14:paraId="44299B67" w14:textId="77777777" w:rsidR="003663AF" w:rsidRPr="00B7760C" w:rsidRDefault="003663AF" w:rsidP="00E804B7">
            <w:pPr>
              <w:pStyle w:val="Normal6"/>
              <w:rPr>
                <w:szCs w:val="24"/>
              </w:rPr>
            </w:pPr>
            <w:r w:rsidRPr="00B7760C">
              <w:rPr>
                <w:b/>
                <w:i/>
              </w:rPr>
              <w:t>(da)</w:t>
            </w:r>
            <w:r w:rsidRPr="00B7760C">
              <w:rPr>
                <w:b/>
                <w:i/>
              </w:rPr>
              <w:tab/>
              <w:t>integrirana pridelava;</w:t>
            </w:r>
          </w:p>
        </w:tc>
      </w:tr>
    </w:tbl>
    <w:p w14:paraId="067E2279" w14:textId="77777777" w:rsidR="003663AF" w:rsidRPr="00B7760C" w:rsidRDefault="003663AF" w:rsidP="003663AF"/>
    <w:p w14:paraId="2FFD3A4C" w14:textId="44F7E4EA" w:rsidR="003663AF" w:rsidRPr="00B7760C" w:rsidRDefault="00877691" w:rsidP="003663AF">
      <w:pPr>
        <w:pStyle w:val="AMNumberTabs"/>
        <w:keepNext/>
      </w:pPr>
      <w:r w:rsidRPr="00B7760C">
        <w:t>Sprememba</w:t>
      </w:r>
      <w:r w:rsidR="003663AF" w:rsidRPr="00B7760C">
        <w:tab/>
      </w:r>
      <w:r w:rsidR="003663AF" w:rsidRPr="00B7760C">
        <w:tab/>
        <w:t>417</w:t>
      </w:r>
    </w:p>
    <w:p w14:paraId="20B2543F" w14:textId="77777777" w:rsidR="003663AF" w:rsidRPr="00B7760C" w:rsidRDefault="003663AF" w:rsidP="003663AF">
      <w:pPr>
        <w:pStyle w:val="NormalBold12b"/>
      </w:pPr>
      <w:r w:rsidRPr="00B7760C">
        <w:t>Predlog uredbe</w:t>
      </w:r>
    </w:p>
    <w:p w14:paraId="7456B82B" w14:textId="77777777" w:rsidR="003663AF" w:rsidRPr="00B7760C" w:rsidRDefault="003663AF" w:rsidP="003663AF">
      <w:pPr>
        <w:pStyle w:val="NormalBold"/>
      </w:pPr>
      <w:r w:rsidRPr="00B7760C">
        <w:t>Člen 60 – odstavek 1 – točka e</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A97ADE5" w14:textId="77777777" w:rsidTr="00E804B7">
        <w:trPr>
          <w:jc w:val="center"/>
        </w:trPr>
        <w:tc>
          <w:tcPr>
            <w:tcW w:w="9752" w:type="dxa"/>
            <w:gridSpan w:val="2"/>
          </w:tcPr>
          <w:p w14:paraId="3DE44E2B" w14:textId="77777777" w:rsidR="003663AF" w:rsidRPr="00B7760C" w:rsidRDefault="003663AF" w:rsidP="00E804B7">
            <w:pPr>
              <w:keepNext/>
            </w:pPr>
          </w:p>
        </w:tc>
      </w:tr>
      <w:tr w:rsidR="003663AF" w:rsidRPr="00B7760C" w14:paraId="71059490" w14:textId="77777777" w:rsidTr="00E804B7">
        <w:trPr>
          <w:jc w:val="center"/>
        </w:trPr>
        <w:tc>
          <w:tcPr>
            <w:tcW w:w="4876" w:type="dxa"/>
            <w:hideMark/>
          </w:tcPr>
          <w:p w14:paraId="27F72813" w14:textId="77777777" w:rsidR="003663AF" w:rsidRPr="00B7760C" w:rsidRDefault="003663AF" w:rsidP="00E804B7">
            <w:pPr>
              <w:pStyle w:val="ColumnHeading"/>
              <w:keepNext/>
            </w:pPr>
            <w:r w:rsidRPr="00B7760C">
              <w:t>Besedilo, ki ga predlaga Komisija</w:t>
            </w:r>
          </w:p>
        </w:tc>
        <w:tc>
          <w:tcPr>
            <w:tcW w:w="4876" w:type="dxa"/>
            <w:hideMark/>
          </w:tcPr>
          <w:p w14:paraId="4FC91A5F" w14:textId="7515C656" w:rsidR="003663AF" w:rsidRPr="00B7760C" w:rsidRDefault="00877691" w:rsidP="00E804B7">
            <w:pPr>
              <w:pStyle w:val="ColumnHeading"/>
              <w:keepNext/>
            </w:pPr>
            <w:r w:rsidRPr="00B7760C">
              <w:t>Sprememba</w:t>
            </w:r>
          </w:p>
        </w:tc>
      </w:tr>
      <w:tr w:rsidR="003663AF" w:rsidRPr="00B7760C" w14:paraId="1197265C" w14:textId="77777777" w:rsidTr="00E804B7">
        <w:trPr>
          <w:jc w:val="center"/>
        </w:trPr>
        <w:tc>
          <w:tcPr>
            <w:tcW w:w="4876" w:type="dxa"/>
            <w:hideMark/>
          </w:tcPr>
          <w:p w14:paraId="7E214149" w14:textId="77777777" w:rsidR="003663AF" w:rsidRPr="00B7760C" w:rsidRDefault="003663AF" w:rsidP="00E804B7">
            <w:pPr>
              <w:pStyle w:val="Normal6"/>
            </w:pPr>
            <w:r w:rsidRPr="00B7760C">
              <w:t>(e)</w:t>
            </w:r>
            <w:r w:rsidRPr="00B7760C">
              <w:tab/>
              <w:t>ukrepi za povečanje trajnostnosti in učinkovitosti prevoza in skladiščenja proizvodov iz enega ali več sektorjev iz točke (f) člena </w:t>
            </w:r>
            <w:r w:rsidRPr="00B7760C">
              <w:rPr>
                <w:b/>
                <w:i/>
              </w:rPr>
              <w:t>40</w:t>
            </w:r>
            <w:r w:rsidRPr="00B7760C">
              <w:t>;</w:t>
            </w:r>
          </w:p>
        </w:tc>
        <w:tc>
          <w:tcPr>
            <w:tcW w:w="4876" w:type="dxa"/>
            <w:hideMark/>
          </w:tcPr>
          <w:p w14:paraId="5CD279CA" w14:textId="77777777" w:rsidR="003663AF" w:rsidRPr="00B7760C" w:rsidRDefault="003663AF" w:rsidP="00E804B7">
            <w:pPr>
              <w:pStyle w:val="Normal6"/>
              <w:rPr>
                <w:szCs w:val="24"/>
              </w:rPr>
            </w:pPr>
            <w:r w:rsidRPr="00B7760C">
              <w:t>(e)</w:t>
            </w:r>
            <w:r w:rsidRPr="00B7760C">
              <w:tab/>
              <w:t>ukrepi za povečanje trajnostnosti in učinkovitosti prevoza in skladiščenja proizvodov iz enega ali več sektorjev iz točke (f) člena </w:t>
            </w:r>
            <w:r w:rsidRPr="00B7760C">
              <w:rPr>
                <w:b/>
                <w:i/>
              </w:rPr>
              <w:t>39</w:t>
            </w:r>
            <w:r w:rsidRPr="00B7760C">
              <w:t>;</w:t>
            </w:r>
          </w:p>
        </w:tc>
      </w:tr>
    </w:tbl>
    <w:p w14:paraId="6EA74114" w14:textId="77777777" w:rsidR="003663AF" w:rsidRPr="00B7760C" w:rsidRDefault="003663AF" w:rsidP="003663AF"/>
    <w:p w14:paraId="21789C2C" w14:textId="0635F779" w:rsidR="003663AF" w:rsidRPr="00B7760C" w:rsidRDefault="00877691" w:rsidP="003663AF">
      <w:pPr>
        <w:pStyle w:val="AMNumberTabs"/>
        <w:keepNext/>
      </w:pPr>
      <w:r w:rsidRPr="00B7760C">
        <w:t>Sprememba</w:t>
      </w:r>
      <w:r w:rsidR="003663AF" w:rsidRPr="00B7760C">
        <w:tab/>
      </w:r>
      <w:r w:rsidR="003663AF" w:rsidRPr="00B7760C">
        <w:tab/>
        <w:t>418</w:t>
      </w:r>
    </w:p>
    <w:p w14:paraId="2B0BF9DC" w14:textId="77777777" w:rsidR="003663AF" w:rsidRPr="00B7760C" w:rsidRDefault="003663AF" w:rsidP="003663AF">
      <w:pPr>
        <w:pStyle w:val="NormalBold12b"/>
      </w:pPr>
      <w:r w:rsidRPr="00B7760C">
        <w:t>Predlog uredbe</w:t>
      </w:r>
    </w:p>
    <w:p w14:paraId="057D3768" w14:textId="77777777" w:rsidR="003663AF" w:rsidRPr="00B7760C" w:rsidRDefault="003663AF" w:rsidP="003663AF">
      <w:pPr>
        <w:pStyle w:val="NormalBold"/>
      </w:pPr>
      <w:r w:rsidRPr="00B7760C">
        <w:t>Člen 60 – odstavek 1 – točka h</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E894764" w14:textId="77777777" w:rsidTr="00E804B7">
        <w:trPr>
          <w:jc w:val="center"/>
        </w:trPr>
        <w:tc>
          <w:tcPr>
            <w:tcW w:w="9752" w:type="dxa"/>
            <w:gridSpan w:val="2"/>
          </w:tcPr>
          <w:p w14:paraId="2FC33306" w14:textId="77777777" w:rsidR="003663AF" w:rsidRPr="00B7760C" w:rsidRDefault="003663AF" w:rsidP="00E804B7">
            <w:pPr>
              <w:keepNext/>
            </w:pPr>
          </w:p>
        </w:tc>
      </w:tr>
      <w:tr w:rsidR="003663AF" w:rsidRPr="00B7760C" w14:paraId="13F6F796" w14:textId="77777777" w:rsidTr="00E804B7">
        <w:trPr>
          <w:jc w:val="center"/>
        </w:trPr>
        <w:tc>
          <w:tcPr>
            <w:tcW w:w="4876" w:type="dxa"/>
            <w:hideMark/>
          </w:tcPr>
          <w:p w14:paraId="2384BBD8" w14:textId="77777777" w:rsidR="003663AF" w:rsidRPr="00B7760C" w:rsidRDefault="003663AF" w:rsidP="00E804B7">
            <w:pPr>
              <w:pStyle w:val="ColumnHeading"/>
              <w:keepNext/>
            </w:pPr>
            <w:r w:rsidRPr="00B7760C">
              <w:t>Besedilo, ki ga predlaga Komisija</w:t>
            </w:r>
          </w:p>
        </w:tc>
        <w:tc>
          <w:tcPr>
            <w:tcW w:w="4876" w:type="dxa"/>
            <w:hideMark/>
          </w:tcPr>
          <w:p w14:paraId="36271254" w14:textId="5F6391DB" w:rsidR="003663AF" w:rsidRPr="00B7760C" w:rsidRDefault="00877691" w:rsidP="00E804B7">
            <w:pPr>
              <w:pStyle w:val="ColumnHeading"/>
              <w:keepNext/>
            </w:pPr>
            <w:r w:rsidRPr="00B7760C">
              <w:t>Sprememba</w:t>
            </w:r>
          </w:p>
        </w:tc>
      </w:tr>
      <w:tr w:rsidR="003663AF" w:rsidRPr="00B7760C" w14:paraId="50909FE0" w14:textId="77777777" w:rsidTr="00E804B7">
        <w:trPr>
          <w:jc w:val="center"/>
        </w:trPr>
        <w:tc>
          <w:tcPr>
            <w:tcW w:w="4876" w:type="dxa"/>
            <w:hideMark/>
          </w:tcPr>
          <w:p w14:paraId="0484EB85" w14:textId="77777777" w:rsidR="003663AF" w:rsidRPr="00B7760C" w:rsidRDefault="003663AF" w:rsidP="00E804B7">
            <w:pPr>
              <w:pStyle w:val="Normal6"/>
            </w:pPr>
            <w:r w:rsidRPr="00B7760C">
              <w:t>(h)</w:t>
            </w:r>
            <w:r w:rsidRPr="00B7760C">
              <w:tab/>
              <w:t>izvajanje sistemov sledljivosti in certificiranja, zlasti spremljanje kakovosti proizvodov, ki se prodajajo končnim potrošnikom</w:t>
            </w:r>
            <w:r w:rsidRPr="00B7760C">
              <w:rPr>
                <w:b/>
                <w:i/>
              </w:rPr>
              <w:t>.</w:t>
            </w:r>
          </w:p>
        </w:tc>
        <w:tc>
          <w:tcPr>
            <w:tcW w:w="4876" w:type="dxa"/>
            <w:hideMark/>
          </w:tcPr>
          <w:p w14:paraId="7A4BFF5E" w14:textId="77777777" w:rsidR="003663AF" w:rsidRPr="00B7760C" w:rsidRDefault="003663AF" w:rsidP="00E804B7">
            <w:pPr>
              <w:pStyle w:val="Normal6"/>
              <w:rPr>
                <w:szCs w:val="24"/>
              </w:rPr>
            </w:pPr>
            <w:r w:rsidRPr="00B7760C">
              <w:t>(h)</w:t>
            </w:r>
            <w:r w:rsidRPr="00B7760C">
              <w:tab/>
              <w:t xml:space="preserve">izvajanje sistemov sledljivosti </w:t>
            </w:r>
            <w:r w:rsidRPr="00B7760C">
              <w:rPr>
                <w:b/>
                <w:i/>
              </w:rPr>
              <w:t xml:space="preserve">vzdolž celotne proizvodne verige </w:t>
            </w:r>
            <w:r w:rsidRPr="00B7760C">
              <w:t>in certificiranja, zlasti spremljanje kakovosti proizvodov, ki se prodajajo končnim potrošnikom</w:t>
            </w:r>
            <w:r w:rsidRPr="00B7760C">
              <w:rPr>
                <w:b/>
                <w:i/>
              </w:rPr>
              <w:t>, vključno s sledljivostjo izvora oljk in olja skozi različne stopnje proizvodne verige ter informacijami o proizvodnih metodah;</w:t>
            </w:r>
          </w:p>
        </w:tc>
      </w:tr>
    </w:tbl>
    <w:p w14:paraId="57522F69" w14:textId="77777777" w:rsidR="003663AF" w:rsidRPr="00B7760C" w:rsidRDefault="003663AF" w:rsidP="003663AF"/>
    <w:p w14:paraId="06F1C396" w14:textId="09DF618B" w:rsidR="003663AF" w:rsidRPr="00B7760C" w:rsidRDefault="00877691" w:rsidP="003663AF">
      <w:pPr>
        <w:pStyle w:val="AMNumberTabs"/>
        <w:keepNext/>
      </w:pPr>
      <w:r w:rsidRPr="00B7760C">
        <w:t>Sprememba</w:t>
      </w:r>
      <w:r w:rsidR="003663AF" w:rsidRPr="00B7760C">
        <w:tab/>
      </w:r>
      <w:r w:rsidR="003663AF" w:rsidRPr="00B7760C">
        <w:tab/>
        <w:t>419</w:t>
      </w:r>
    </w:p>
    <w:p w14:paraId="03E90F50" w14:textId="77777777" w:rsidR="003663AF" w:rsidRPr="00B7760C" w:rsidRDefault="003663AF" w:rsidP="003663AF">
      <w:pPr>
        <w:pStyle w:val="NormalBold12b"/>
      </w:pPr>
      <w:r w:rsidRPr="00B7760C">
        <w:t>Predlog uredbe</w:t>
      </w:r>
    </w:p>
    <w:p w14:paraId="1EFD1DEC" w14:textId="77777777" w:rsidR="003663AF" w:rsidRPr="00B7760C" w:rsidRDefault="003663AF" w:rsidP="003663AF">
      <w:pPr>
        <w:pStyle w:val="NormalBold"/>
      </w:pPr>
      <w:r w:rsidRPr="00B7760C">
        <w:t>Člen 60 – odstavek 1 – točka h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527506C" w14:textId="77777777" w:rsidTr="00E804B7">
        <w:trPr>
          <w:jc w:val="center"/>
        </w:trPr>
        <w:tc>
          <w:tcPr>
            <w:tcW w:w="9752" w:type="dxa"/>
            <w:gridSpan w:val="2"/>
          </w:tcPr>
          <w:p w14:paraId="6F71A080" w14:textId="77777777" w:rsidR="003663AF" w:rsidRPr="00B7760C" w:rsidRDefault="003663AF" w:rsidP="00E804B7">
            <w:pPr>
              <w:keepNext/>
            </w:pPr>
          </w:p>
        </w:tc>
      </w:tr>
      <w:tr w:rsidR="003663AF" w:rsidRPr="00B7760C" w14:paraId="4C354D6F" w14:textId="77777777" w:rsidTr="00E804B7">
        <w:trPr>
          <w:jc w:val="center"/>
        </w:trPr>
        <w:tc>
          <w:tcPr>
            <w:tcW w:w="4876" w:type="dxa"/>
            <w:hideMark/>
          </w:tcPr>
          <w:p w14:paraId="00453E3E" w14:textId="77777777" w:rsidR="003663AF" w:rsidRPr="00B7760C" w:rsidRDefault="003663AF" w:rsidP="00E804B7">
            <w:pPr>
              <w:pStyle w:val="ColumnHeading"/>
              <w:keepNext/>
            </w:pPr>
            <w:r w:rsidRPr="00B7760C">
              <w:t>Besedilo, ki ga predlaga Komisija</w:t>
            </w:r>
          </w:p>
        </w:tc>
        <w:tc>
          <w:tcPr>
            <w:tcW w:w="4876" w:type="dxa"/>
            <w:hideMark/>
          </w:tcPr>
          <w:p w14:paraId="7B717F80" w14:textId="59ADC2F3" w:rsidR="003663AF" w:rsidRPr="00B7760C" w:rsidRDefault="00877691" w:rsidP="00E804B7">
            <w:pPr>
              <w:pStyle w:val="ColumnHeading"/>
              <w:keepNext/>
            </w:pPr>
            <w:r w:rsidRPr="00B7760C">
              <w:t>Sprememba</w:t>
            </w:r>
          </w:p>
        </w:tc>
      </w:tr>
      <w:tr w:rsidR="003663AF" w:rsidRPr="00B7760C" w14:paraId="3B3A0391" w14:textId="77777777" w:rsidTr="00E804B7">
        <w:trPr>
          <w:jc w:val="center"/>
        </w:trPr>
        <w:tc>
          <w:tcPr>
            <w:tcW w:w="4876" w:type="dxa"/>
          </w:tcPr>
          <w:p w14:paraId="33E86DD2" w14:textId="77777777" w:rsidR="003663AF" w:rsidRPr="00B7760C" w:rsidRDefault="003663AF" w:rsidP="00E804B7">
            <w:pPr>
              <w:pStyle w:val="Normal6"/>
            </w:pPr>
          </w:p>
        </w:tc>
        <w:tc>
          <w:tcPr>
            <w:tcW w:w="4876" w:type="dxa"/>
            <w:hideMark/>
          </w:tcPr>
          <w:p w14:paraId="76C9EA9A" w14:textId="77777777" w:rsidR="003663AF" w:rsidRPr="00B7760C" w:rsidRDefault="003663AF" w:rsidP="00E804B7">
            <w:pPr>
              <w:pStyle w:val="Normal6"/>
              <w:rPr>
                <w:szCs w:val="24"/>
              </w:rPr>
            </w:pPr>
            <w:r w:rsidRPr="00B7760C">
              <w:rPr>
                <w:b/>
                <w:i/>
              </w:rPr>
              <w:t>(ha)</w:t>
            </w:r>
            <w:r w:rsidRPr="00B7760C">
              <w:rPr>
                <w:b/>
                <w:i/>
              </w:rPr>
              <w:tab/>
              <w:t>izvajanje fitosanitarnih in veterinarskih protokolov tretjih držav.</w:t>
            </w:r>
          </w:p>
        </w:tc>
      </w:tr>
    </w:tbl>
    <w:p w14:paraId="3BA7A1A0" w14:textId="77777777" w:rsidR="003663AF" w:rsidRPr="00B7760C" w:rsidRDefault="003663AF" w:rsidP="003663AF"/>
    <w:p w14:paraId="28F049B3" w14:textId="3B09DE55" w:rsidR="003663AF" w:rsidRPr="00B7760C" w:rsidRDefault="00877691" w:rsidP="003663AF">
      <w:pPr>
        <w:pStyle w:val="AMNumberTabs"/>
        <w:keepNext/>
      </w:pPr>
      <w:r w:rsidRPr="00B7760C">
        <w:t>Sprememba</w:t>
      </w:r>
      <w:r w:rsidR="003663AF" w:rsidRPr="00B7760C">
        <w:tab/>
      </w:r>
      <w:r w:rsidR="003663AF" w:rsidRPr="00B7760C">
        <w:tab/>
        <w:t>420</w:t>
      </w:r>
    </w:p>
    <w:p w14:paraId="254811F3" w14:textId="77777777" w:rsidR="003663AF" w:rsidRPr="00B7760C" w:rsidRDefault="003663AF" w:rsidP="003663AF">
      <w:pPr>
        <w:pStyle w:val="NormalBold12b"/>
      </w:pPr>
      <w:r w:rsidRPr="00B7760C">
        <w:t>Predlog uredbe</w:t>
      </w:r>
    </w:p>
    <w:p w14:paraId="58E55A69" w14:textId="77777777" w:rsidR="003663AF" w:rsidRPr="00B7760C" w:rsidRDefault="003663AF" w:rsidP="003663AF">
      <w:pPr>
        <w:pStyle w:val="NormalBold"/>
      </w:pPr>
      <w:r w:rsidRPr="00B7760C">
        <w:t>Člen 60 – odstavek 2 – uvodni del</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C882E8E" w14:textId="77777777" w:rsidTr="00E804B7">
        <w:trPr>
          <w:jc w:val="center"/>
        </w:trPr>
        <w:tc>
          <w:tcPr>
            <w:tcW w:w="9752" w:type="dxa"/>
            <w:gridSpan w:val="2"/>
          </w:tcPr>
          <w:p w14:paraId="71CA64C1" w14:textId="77777777" w:rsidR="003663AF" w:rsidRPr="00B7760C" w:rsidRDefault="003663AF" w:rsidP="00E804B7">
            <w:pPr>
              <w:keepNext/>
            </w:pPr>
          </w:p>
        </w:tc>
      </w:tr>
      <w:tr w:rsidR="003663AF" w:rsidRPr="00B7760C" w14:paraId="54C238C7" w14:textId="77777777" w:rsidTr="00E804B7">
        <w:trPr>
          <w:jc w:val="center"/>
        </w:trPr>
        <w:tc>
          <w:tcPr>
            <w:tcW w:w="4876" w:type="dxa"/>
            <w:hideMark/>
          </w:tcPr>
          <w:p w14:paraId="0F6EF3E7" w14:textId="77777777" w:rsidR="003663AF" w:rsidRPr="00B7760C" w:rsidRDefault="003663AF" w:rsidP="00E804B7">
            <w:pPr>
              <w:pStyle w:val="ColumnHeading"/>
              <w:keepNext/>
            </w:pPr>
            <w:r w:rsidRPr="00B7760C">
              <w:t>Besedilo, ki ga predlaga Komisija</w:t>
            </w:r>
          </w:p>
        </w:tc>
        <w:tc>
          <w:tcPr>
            <w:tcW w:w="4876" w:type="dxa"/>
            <w:hideMark/>
          </w:tcPr>
          <w:p w14:paraId="2E8F9134" w14:textId="04A32724" w:rsidR="003663AF" w:rsidRPr="00B7760C" w:rsidRDefault="00877691" w:rsidP="00E804B7">
            <w:pPr>
              <w:pStyle w:val="ColumnHeading"/>
              <w:keepNext/>
            </w:pPr>
            <w:r w:rsidRPr="00B7760C">
              <w:t>Sprememba</w:t>
            </w:r>
          </w:p>
        </w:tc>
      </w:tr>
      <w:tr w:rsidR="003663AF" w:rsidRPr="00B7760C" w14:paraId="24AF98BC" w14:textId="77777777" w:rsidTr="00E804B7">
        <w:trPr>
          <w:jc w:val="center"/>
        </w:trPr>
        <w:tc>
          <w:tcPr>
            <w:tcW w:w="4876" w:type="dxa"/>
            <w:hideMark/>
          </w:tcPr>
          <w:p w14:paraId="3A090FAC" w14:textId="77777777" w:rsidR="003663AF" w:rsidRPr="00B7760C" w:rsidRDefault="003663AF" w:rsidP="00E804B7">
            <w:pPr>
              <w:pStyle w:val="Normal6"/>
            </w:pPr>
            <w:r w:rsidRPr="00B7760C">
              <w:t>2.</w:t>
            </w:r>
            <w:r w:rsidRPr="00B7760C">
              <w:tab/>
              <w:t>Države članice v zvezi s ciljem iz točke (h) člena 59 v svojih strateških načrtih SKP izberejo eno ali več naslednjih vrst intervencij:</w:t>
            </w:r>
          </w:p>
        </w:tc>
        <w:tc>
          <w:tcPr>
            <w:tcW w:w="4876" w:type="dxa"/>
            <w:hideMark/>
          </w:tcPr>
          <w:p w14:paraId="08AB0A1C" w14:textId="77777777" w:rsidR="003663AF" w:rsidRPr="00B7760C" w:rsidRDefault="003663AF" w:rsidP="00E804B7">
            <w:pPr>
              <w:pStyle w:val="Normal6"/>
              <w:rPr>
                <w:szCs w:val="24"/>
              </w:rPr>
            </w:pPr>
            <w:r w:rsidRPr="00B7760C">
              <w:t>2.</w:t>
            </w:r>
            <w:r w:rsidRPr="00B7760C">
              <w:tab/>
              <w:t xml:space="preserve">Države članice v zvezi s ciljem iz </w:t>
            </w:r>
            <w:r w:rsidRPr="00B7760C">
              <w:rPr>
                <w:b/>
                <w:i/>
              </w:rPr>
              <w:t xml:space="preserve">točke (f) člena 56 in </w:t>
            </w:r>
            <w:r w:rsidRPr="00B7760C">
              <w:t>točke (h) člena 59 v svojih strateških načrtih SKP izberejo eno ali več naslednjih vrst intervencij:</w:t>
            </w:r>
          </w:p>
        </w:tc>
      </w:tr>
    </w:tbl>
    <w:p w14:paraId="7F831F7D" w14:textId="77777777" w:rsidR="003663AF" w:rsidRPr="00B7760C" w:rsidRDefault="003663AF" w:rsidP="003663AF"/>
    <w:p w14:paraId="645BEB47" w14:textId="022155C4" w:rsidR="003663AF" w:rsidRPr="00B7760C" w:rsidRDefault="00877691" w:rsidP="003663AF">
      <w:pPr>
        <w:pStyle w:val="AMNumberTabs"/>
        <w:keepNext/>
      </w:pPr>
      <w:r w:rsidRPr="00B7760C">
        <w:t>Sprememba</w:t>
      </w:r>
      <w:r w:rsidR="003663AF" w:rsidRPr="00B7760C">
        <w:tab/>
      </w:r>
      <w:r w:rsidR="003663AF" w:rsidRPr="00B7760C">
        <w:tab/>
        <w:t>421</w:t>
      </w:r>
    </w:p>
    <w:p w14:paraId="355E0026" w14:textId="77777777" w:rsidR="003663AF" w:rsidRPr="00B7760C" w:rsidRDefault="003663AF" w:rsidP="003663AF">
      <w:pPr>
        <w:pStyle w:val="NormalBold12b"/>
      </w:pPr>
      <w:r w:rsidRPr="00B7760C">
        <w:t>Predlog uredbe</w:t>
      </w:r>
    </w:p>
    <w:p w14:paraId="72388738" w14:textId="77777777" w:rsidR="003663AF" w:rsidRPr="00B7760C" w:rsidRDefault="003663AF" w:rsidP="003663AF">
      <w:pPr>
        <w:pStyle w:val="NormalBold"/>
      </w:pPr>
      <w:r w:rsidRPr="00B7760C">
        <w:t>Člen 60 – odstavek 2 – točka b</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2339AF3" w14:textId="77777777" w:rsidTr="00E804B7">
        <w:trPr>
          <w:jc w:val="center"/>
        </w:trPr>
        <w:tc>
          <w:tcPr>
            <w:tcW w:w="9752" w:type="dxa"/>
            <w:gridSpan w:val="2"/>
          </w:tcPr>
          <w:p w14:paraId="7DA8723D" w14:textId="77777777" w:rsidR="003663AF" w:rsidRPr="00B7760C" w:rsidRDefault="003663AF" w:rsidP="00E804B7">
            <w:pPr>
              <w:keepNext/>
            </w:pPr>
          </w:p>
        </w:tc>
      </w:tr>
      <w:tr w:rsidR="003663AF" w:rsidRPr="00B7760C" w14:paraId="3369B760" w14:textId="77777777" w:rsidTr="00E804B7">
        <w:trPr>
          <w:jc w:val="center"/>
        </w:trPr>
        <w:tc>
          <w:tcPr>
            <w:tcW w:w="4876" w:type="dxa"/>
            <w:hideMark/>
          </w:tcPr>
          <w:p w14:paraId="50CC41CE" w14:textId="77777777" w:rsidR="003663AF" w:rsidRPr="00B7760C" w:rsidRDefault="003663AF" w:rsidP="00E804B7">
            <w:pPr>
              <w:pStyle w:val="ColumnHeading"/>
              <w:keepNext/>
            </w:pPr>
            <w:r w:rsidRPr="00B7760C">
              <w:t>Besedilo, ki ga predlaga Komisija</w:t>
            </w:r>
          </w:p>
        </w:tc>
        <w:tc>
          <w:tcPr>
            <w:tcW w:w="4876" w:type="dxa"/>
            <w:hideMark/>
          </w:tcPr>
          <w:p w14:paraId="47055A65" w14:textId="53E3F0D5" w:rsidR="003663AF" w:rsidRPr="00B7760C" w:rsidRDefault="00877691" w:rsidP="00E804B7">
            <w:pPr>
              <w:pStyle w:val="ColumnHeading"/>
              <w:keepNext/>
            </w:pPr>
            <w:r w:rsidRPr="00B7760C">
              <w:t>Sprememba</w:t>
            </w:r>
          </w:p>
        </w:tc>
      </w:tr>
      <w:tr w:rsidR="003663AF" w:rsidRPr="00B7760C" w14:paraId="26DCDC42" w14:textId="77777777" w:rsidTr="00E804B7">
        <w:trPr>
          <w:jc w:val="center"/>
        </w:trPr>
        <w:tc>
          <w:tcPr>
            <w:tcW w:w="4876" w:type="dxa"/>
            <w:hideMark/>
          </w:tcPr>
          <w:p w14:paraId="79AC99D0" w14:textId="77777777" w:rsidR="003663AF" w:rsidRPr="00B7760C" w:rsidRDefault="003663AF" w:rsidP="00E804B7">
            <w:pPr>
              <w:pStyle w:val="Normal6"/>
            </w:pPr>
            <w:r w:rsidRPr="00B7760C">
              <w:t>(b)</w:t>
            </w:r>
            <w:r w:rsidRPr="00B7760C">
              <w:tab/>
              <w:t>naložbe v opredmetena in neopredmetena sredstva, ki omogočajo učinkovitejše upravljanje količin, danih na trg;</w:t>
            </w:r>
          </w:p>
        </w:tc>
        <w:tc>
          <w:tcPr>
            <w:tcW w:w="4876" w:type="dxa"/>
            <w:hideMark/>
          </w:tcPr>
          <w:p w14:paraId="6D95CCC0" w14:textId="77777777" w:rsidR="003663AF" w:rsidRPr="00B7760C" w:rsidRDefault="003663AF" w:rsidP="00E804B7">
            <w:pPr>
              <w:pStyle w:val="Normal6"/>
              <w:rPr>
                <w:szCs w:val="24"/>
              </w:rPr>
            </w:pPr>
            <w:r w:rsidRPr="00B7760C">
              <w:t>(b)</w:t>
            </w:r>
            <w:r w:rsidRPr="00B7760C">
              <w:tab/>
              <w:t>naložbe v opredmetena in neopredmetena sredstva, ki omogočajo učinkovitejše upravljanje količin, danih na trg</w:t>
            </w:r>
            <w:r w:rsidRPr="00B7760C">
              <w:rPr>
                <w:b/>
                <w:i/>
              </w:rPr>
              <w:t>, ter boljšo prilagoditev ponudbe povpraševanju</w:t>
            </w:r>
            <w:r w:rsidRPr="00B7760C">
              <w:t>;</w:t>
            </w:r>
          </w:p>
        </w:tc>
      </w:tr>
    </w:tbl>
    <w:p w14:paraId="01FAA938" w14:textId="77777777" w:rsidR="003663AF" w:rsidRPr="00B7760C" w:rsidRDefault="003663AF" w:rsidP="003663AF"/>
    <w:p w14:paraId="083A89A3" w14:textId="6A9AF0CC" w:rsidR="003663AF" w:rsidRPr="00B7760C" w:rsidRDefault="00877691" w:rsidP="003663AF">
      <w:pPr>
        <w:pStyle w:val="AMNumberTabs"/>
        <w:keepNext/>
      </w:pPr>
      <w:r w:rsidRPr="00B7760C">
        <w:t>Sprememba</w:t>
      </w:r>
      <w:r w:rsidR="003663AF" w:rsidRPr="00B7760C">
        <w:tab/>
      </w:r>
      <w:r w:rsidR="003663AF" w:rsidRPr="00B7760C">
        <w:tab/>
        <w:t>422</w:t>
      </w:r>
    </w:p>
    <w:p w14:paraId="48BEDFD9" w14:textId="77777777" w:rsidR="003663AF" w:rsidRPr="00B7760C" w:rsidRDefault="003663AF" w:rsidP="003663AF">
      <w:pPr>
        <w:pStyle w:val="NormalBold12b"/>
      </w:pPr>
      <w:r w:rsidRPr="00B7760C">
        <w:t>Predlog uredbe</w:t>
      </w:r>
    </w:p>
    <w:p w14:paraId="5D9E6A0D" w14:textId="77777777" w:rsidR="003663AF" w:rsidRPr="00B7760C" w:rsidRDefault="003663AF" w:rsidP="003663AF">
      <w:pPr>
        <w:pStyle w:val="NormalBold"/>
      </w:pPr>
      <w:r w:rsidRPr="00B7760C">
        <w:t>Člen 60 – odstavek 2 – točka c</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1A3AB7D" w14:textId="77777777" w:rsidTr="00E804B7">
        <w:trPr>
          <w:jc w:val="center"/>
        </w:trPr>
        <w:tc>
          <w:tcPr>
            <w:tcW w:w="9752" w:type="dxa"/>
            <w:gridSpan w:val="2"/>
          </w:tcPr>
          <w:p w14:paraId="21576AA9" w14:textId="77777777" w:rsidR="003663AF" w:rsidRPr="00B7760C" w:rsidRDefault="003663AF" w:rsidP="00E804B7">
            <w:pPr>
              <w:keepNext/>
            </w:pPr>
          </w:p>
        </w:tc>
      </w:tr>
      <w:tr w:rsidR="003663AF" w:rsidRPr="00B7760C" w14:paraId="48D2DDB5" w14:textId="77777777" w:rsidTr="00E804B7">
        <w:trPr>
          <w:jc w:val="center"/>
        </w:trPr>
        <w:tc>
          <w:tcPr>
            <w:tcW w:w="4876" w:type="dxa"/>
            <w:hideMark/>
          </w:tcPr>
          <w:p w14:paraId="6EF6A8EF" w14:textId="77777777" w:rsidR="003663AF" w:rsidRPr="00B7760C" w:rsidRDefault="003663AF" w:rsidP="00E804B7">
            <w:pPr>
              <w:pStyle w:val="ColumnHeading"/>
              <w:keepNext/>
            </w:pPr>
            <w:r w:rsidRPr="00B7760C">
              <w:t>Besedilo, ki ga predlaga Komisija</w:t>
            </w:r>
          </w:p>
        </w:tc>
        <w:tc>
          <w:tcPr>
            <w:tcW w:w="4876" w:type="dxa"/>
            <w:hideMark/>
          </w:tcPr>
          <w:p w14:paraId="07BBC074" w14:textId="5514B5A6" w:rsidR="003663AF" w:rsidRPr="00B7760C" w:rsidRDefault="00877691" w:rsidP="00E804B7">
            <w:pPr>
              <w:pStyle w:val="ColumnHeading"/>
              <w:keepNext/>
            </w:pPr>
            <w:r w:rsidRPr="00B7760C">
              <w:t>Sprememba</w:t>
            </w:r>
          </w:p>
        </w:tc>
      </w:tr>
      <w:tr w:rsidR="003663AF" w:rsidRPr="00B7760C" w14:paraId="569AAD95" w14:textId="77777777" w:rsidTr="00E804B7">
        <w:trPr>
          <w:jc w:val="center"/>
        </w:trPr>
        <w:tc>
          <w:tcPr>
            <w:tcW w:w="4876" w:type="dxa"/>
            <w:hideMark/>
          </w:tcPr>
          <w:p w14:paraId="5C90521A" w14:textId="77777777" w:rsidR="003663AF" w:rsidRPr="00B7760C" w:rsidRDefault="003663AF" w:rsidP="00E804B7">
            <w:pPr>
              <w:pStyle w:val="Normal6"/>
            </w:pPr>
            <w:r w:rsidRPr="00B7760C">
              <w:t>(c)</w:t>
            </w:r>
            <w:r w:rsidRPr="00B7760C">
              <w:tab/>
              <w:t>skupno skladiščenje proizvodov, ki jih proizvaja organizacija proizvajalcev ali člani organizacije proizvajalcev;</w:t>
            </w:r>
          </w:p>
        </w:tc>
        <w:tc>
          <w:tcPr>
            <w:tcW w:w="4876" w:type="dxa"/>
            <w:hideMark/>
          </w:tcPr>
          <w:p w14:paraId="27AA981F" w14:textId="77777777" w:rsidR="003663AF" w:rsidRPr="00B7760C" w:rsidRDefault="003663AF" w:rsidP="00E804B7">
            <w:pPr>
              <w:pStyle w:val="Normal6"/>
              <w:rPr>
                <w:szCs w:val="24"/>
              </w:rPr>
            </w:pPr>
            <w:r w:rsidRPr="00B7760C">
              <w:t>(c)</w:t>
            </w:r>
            <w:r w:rsidRPr="00B7760C">
              <w:tab/>
              <w:t>skupno skladiščenje proizvodov, ki jih proizvaja organizacija proizvajalcev ali člani organizacije proizvajalcev</w:t>
            </w:r>
            <w:r w:rsidRPr="00B7760C">
              <w:rPr>
                <w:b/>
                <w:i/>
              </w:rPr>
              <w:t>, ter obdelava proizvodov, da se olajša njihovo skladiščenje</w:t>
            </w:r>
            <w:r w:rsidRPr="00B7760C">
              <w:t>;</w:t>
            </w:r>
          </w:p>
        </w:tc>
      </w:tr>
    </w:tbl>
    <w:p w14:paraId="0702228C" w14:textId="77777777" w:rsidR="003663AF" w:rsidRPr="00B7760C" w:rsidRDefault="003663AF" w:rsidP="003663AF"/>
    <w:p w14:paraId="77F3FA2C" w14:textId="34122E3C" w:rsidR="003663AF" w:rsidRPr="00B7760C" w:rsidRDefault="00877691" w:rsidP="003663AF">
      <w:pPr>
        <w:pStyle w:val="AMNumberTabs"/>
        <w:keepNext/>
      </w:pPr>
      <w:r w:rsidRPr="00B7760C">
        <w:t>Sprememb</w:t>
      </w:r>
      <w:r w:rsidR="00487290" w:rsidRPr="00B7760C">
        <w:t>i</w:t>
      </w:r>
      <w:r w:rsidR="003663AF" w:rsidRPr="00B7760C">
        <w:tab/>
      </w:r>
      <w:r w:rsidR="003663AF" w:rsidRPr="00B7760C">
        <w:tab/>
        <w:t>423</w:t>
      </w:r>
      <w:r w:rsidR="00487290" w:rsidRPr="00B7760C">
        <w:t xml:space="preserve"> in 826</w:t>
      </w:r>
      <w:r w:rsidR="00EB36AB" w:rsidRPr="00B7760C">
        <w:t xml:space="preserve"> cp</w:t>
      </w:r>
    </w:p>
    <w:p w14:paraId="65D1555B" w14:textId="77777777" w:rsidR="003663AF" w:rsidRPr="00B7760C" w:rsidRDefault="003663AF" w:rsidP="003663AF">
      <w:pPr>
        <w:pStyle w:val="NormalBold12b"/>
      </w:pPr>
      <w:r w:rsidRPr="00B7760C">
        <w:t>Predlog uredbe</w:t>
      </w:r>
    </w:p>
    <w:p w14:paraId="2AC46923" w14:textId="77777777" w:rsidR="003663AF" w:rsidRPr="00B7760C" w:rsidRDefault="003663AF" w:rsidP="003663AF">
      <w:pPr>
        <w:pStyle w:val="NormalBold"/>
      </w:pPr>
      <w:r w:rsidRPr="00B7760C">
        <w:t>Člen 60 – odstavek 2 – točka d</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D312010" w14:textId="77777777" w:rsidTr="00E804B7">
        <w:trPr>
          <w:jc w:val="center"/>
        </w:trPr>
        <w:tc>
          <w:tcPr>
            <w:tcW w:w="9752" w:type="dxa"/>
            <w:gridSpan w:val="2"/>
          </w:tcPr>
          <w:p w14:paraId="4C023ED4" w14:textId="77777777" w:rsidR="003663AF" w:rsidRPr="00B7760C" w:rsidRDefault="003663AF" w:rsidP="00E804B7">
            <w:pPr>
              <w:keepNext/>
            </w:pPr>
          </w:p>
        </w:tc>
      </w:tr>
      <w:tr w:rsidR="003663AF" w:rsidRPr="00B7760C" w14:paraId="4E5AFEE6" w14:textId="77777777" w:rsidTr="00E804B7">
        <w:trPr>
          <w:jc w:val="center"/>
        </w:trPr>
        <w:tc>
          <w:tcPr>
            <w:tcW w:w="4876" w:type="dxa"/>
            <w:hideMark/>
          </w:tcPr>
          <w:p w14:paraId="30A7BF82" w14:textId="77777777" w:rsidR="003663AF" w:rsidRPr="00B7760C" w:rsidRDefault="003663AF" w:rsidP="00E804B7">
            <w:pPr>
              <w:pStyle w:val="ColumnHeading"/>
              <w:keepNext/>
            </w:pPr>
            <w:r w:rsidRPr="00B7760C">
              <w:t>Besedilo, ki ga predlaga Komisija</w:t>
            </w:r>
          </w:p>
        </w:tc>
        <w:tc>
          <w:tcPr>
            <w:tcW w:w="4876" w:type="dxa"/>
            <w:hideMark/>
          </w:tcPr>
          <w:p w14:paraId="2E6AB2D2" w14:textId="71F294E4" w:rsidR="003663AF" w:rsidRPr="00B7760C" w:rsidRDefault="00877691" w:rsidP="00E804B7">
            <w:pPr>
              <w:pStyle w:val="ColumnHeading"/>
              <w:keepNext/>
            </w:pPr>
            <w:r w:rsidRPr="00B7760C">
              <w:t>Sprememba</w:t>
            </w:r>
          </w:p>
        </w:tc>
      </w:tr>
      <w:tr w:rsidR="003663AF" w:rsidRPr="00B7760C" w14:paraId="482887BF" w14:textId="77777777" w:rsidTr="00E804B7">
        <w:trPr>
          <w:jc w:val="center"/>
        </w:trPr>
        <w:tc>
          <w:tcPr>
            <w:tcW w:w="4876" w:type="dxa"/>
            <w:hideMark/>
          </w:tcPr>
          <w:p w14:paraId="13F1AAE1" w14:textId="77777777" w:rsidR="003663AF" w:rsidRPr="00B7760C" w:rsidRDefault="003663AF" w:rsidP="00E804B7">
            <w:pPr>
              <w:pStyle w:val="Normal6"/>
            </w:pPr>
            <w:r w:rsidRPr="00B7760C">
              <w:t>(d)</w:t>
            </w:r>
            <w:r w:rsidRPr="00B7760C">
              <w:tab/>
              <w:t>ponovna zasaditev sadovnjakov, kadar je to potrebno po obvezni izkrčitvi iz zdravstvenih ali fitosanitarnih razlogov po navodilu pristojnega organa države članice ali zaradi prilagoditve podnebnim spremembam;</w:t>
            </w:r>
          </w:p>
        </w:tc>
        <w:tc>
          <w:tcPr>
            <w:tcW w:w="4876" w:type="dxa"/>
            <w:hideMark/>
          </w:tcPr>
          <w:p w14:paraId="39352DBD" w14:textId="77777777" w:rsidR="003663AF" w:rsidRPr="00B7760C" w:rsidRDefault="003663AF" w:rsidP="00E804B7">
            <w:pPr>
              <w:pStyle w:val="Normal6"/>
              <w:rPr>
                <w:szCs w:val="24"/>
              </w:rPr>
            </w:pPr>
            <w:r w:rsidRPr="00B7760C">
              <w:t>(d)</w:t>
            </w:r>
            <w:r w:rsidRPr="00B7760C">
              <w:tab/>
              <w:t>ponovna zasaditev sadovnjakov</w:t>
            </w:r>
            <w:r w:rsidRPr="00B7760C">
              <w:rPr>
                <w:b/>
                <w:i/>
              </w:rPr>
              <w:t xml:space="preserve"> ali nasadov oljk</w:t>
            </w:r>
            <w:r w:rsidRPr="00B7760C">
              <w:t>, kadar je to potrebno po obvezni izkrčitvi iz zdravstvenih ali fitosanitarnih razlogov po navodilu pristojnega organa države članice ali zaradi prilagoditve podnebnim spremembam;</w:t>
            </w:r>
          </w:p>
        </w:tc>
      </w:tr>
    </w:tbl>
    <w:p w14:paraId="55EC8D4B" w14:textId="77777777" w:rsidR="003663AF" w:rsidRPr="00B7760C" w:rsidRDefault="003663AF" w:rsidP="003663AF"/>
    <w:p w14:paraId="6EF54717" w14:textId="0246F4A7" w:rsidR="003663AF" w:rsidRPr="00B7760C" w:rsidRDefault="00877691" w:rsidP="003663AF">
      <w:pPr>
        <w:pStyle w:val="AMNumberTabs"/>
        <w:keepNext/>
      </w:pPr>
      <w:r w:rsidRPr="00B7760C">
        <w:t>Sprememba</w:t>
      </w:r>
      <w:r w:rsidR="003663AF" w:rsidRPr="00B7760C">
        <w:tab/>
      </w:r>
      <w:r w:rsidR="003663AF" w:rsidRPr="00B7760C">
        <w:tab/>
        <w:t>424</w:t>
      </w:r>
    </w:p>
    <w:p w14:paraId="52B53D2F" w14:textId="77777777" w:rsidR="003663AF" w:rsidRPr="00B7760C" w:rsidRDefault="003663AF" w:rsidP="003663AF">
      <w:pPr>
        <w:pStyle w:val="NormalBold12b"/>
      </w:pPr>
      <w:r w:rsidRPr="00B7760C">
        <w:t>Predlog uredbe</w:t>
      </w:r>
    </w:p>
    <w:p w14:paraId="0DF9096C" w14:textId="77777777" w:rsidR="003663AF" w:rsidRPr="00B7760C" w:rsidRDefault="003663AF" w:rsidP="003663AF">
      <w:pPr>
        <w:pStyle w:val="NormalBold"/>
      </w:pPr>
      <w:r w:rsidRPr="00B7760C">
        <w:t>Člen 60 – odstavek 2 – točka d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8BB6A29" w14:textId="77777777" w:rsidTr="00E804B7">
        <w:trPr>
          <w:jc w:val="center"/>
        </w:trPr>
        <w:tc>
          <w:tcPr>
            <w:tcW w:w="9752" w:type="dxa"/>
            <w:gridSpan w:val="2"/>
          </w:tcPr>
          <w:p w14:paraId="25EB2371" w14:textId="77777777" w:rsidR="003663AF" w:rsidRPr="00B7760C" w:rsidRDefault="003663AF" w:rsidP="00E804B7">
            <w:pPr>
              <w:keepNext/>
            </w:pPr>
          </w:p>
        </w:tc>
      </w:tr>
      <w:tr w:rsidR="003663AF" w:rsidRPr="00B7760C" w14:paraId="1A3A0041" w14:textId="77777777" w:rsidTr="00E804B7">
        <w:trPr>
          <w:jc w:val="center"/>
        </w:trPr>
        <w:tc>
          <w:tcPr>
            <w:tcW w:w="4876" w:type="dxa"/>
            <w:hideMark/>
          </w:tcPr>
          <w:p w14:paraId="58E48501" w14:textId="77777777" w:rsidR="003663AF" w:rsidRPr="00B7760C" w:rsidRDefault="003663AF" w:rsidP="00E804B7">
            <w:pPr>
              <w:pStyle w:val="ColumnHeading"/>
              <w:keepNext/>
            </w:pPr>
            <w:r w:rsidRPr="00B7760C">
              <w:t>Besedilo, ki ga predlaga Komisija</w:t>
            </w:r>
          </w:p>
        </w:tc>
        <w:tc>
          <w:tcPr>
            <w:tcW w:w="4876" w:type="dxa"/>
            <w:hideMark/>
          </w:tcPr>
          <w:p w14:paraId="51CF5699" w14:textId="77246E07" w:rsidR="003663AF" w:rsidRPr="00B7760C" w:rsidRDefault="00877691" w:rsidP="00E804B7">
            <w:pPr>
              <w:pStyle w:val="ColumnHeading"/>
              <w:keepNext/>
            </w:pPr>
            <w:r w:rsidRPr="00B7760C">
              <w:t>Sprememba</w:t>
            </w:r>
          </w:p>
        </w:tc>
      </w:tr>
      <w:tr w:rsidR="003663AF" w:rsidRPr="00B7760C" w14:paraId="51FE18B8" w14:textId="77777777" w:rsidTr="00E804B7">
        <w:trPr>
          <w:jc w:val="center"/>
        </w:trPr>
        <w:tc>
          <w:tcPr>
            <w:tcW w:w="4876" w:type="dxa"/>
          </w:tcPr>
          <w:p w14:paraId="3E287AD5" w14:textId="77777777" w:rsidR="003663AF" w:rsidRPr="00B7760C" w:rsidRDefault="003663AF" w:rsidP="00E804B7">
            <w:pPr>
              <w:pStyle w:val="Normal6"/>
            </w:pPr>
          </w:p>
        </w:tc>
        <w:tc>
          <w:tcPr>
            <w:tcW w:w="4876" w:type="dxa"/>
            <w:hideMark/>
          </w:tcPr>
          <w:p w14:paraId="31FD0037" w14:textId="77777777" w:rsidR="003663AF" w:rsidRPr="00B7760C" w:rsidRDefault="003663AF" w:rsidP="00E804B7">
            <w:pPr>
              <w:pStyle w:val="Normal6"/>
              <w:rPr>
                <w:szCs w:val="24"/>
              </w:rPr>
            </w:pPr>
            <w:r w:rsidRPr="00B7760C">
              <w:rPr>
                <w:b/>
                <w:i/>
              </w:rPr>
              <w:t>(da)</w:t>
            </w:r>
            <w:r w:rsidRPr="00B7760C">
              <w:rPr>
                <w:b/>
                <w:i/>
              </w:rPr>
              <w:tab/>
              <w:t>podporni ukrepi za zdravje in dobrobit živali;</w:t>
            </w:r>
          </w:p>
        </w:tc>
      </w:tr>
    </w:tbl>
    <w:p w14:paraId="1C072369" w14:textId="77777777" w:rsidR="003663AF" w:rsidRPr="00B7760C" w:rsidRDefault="003663AF" w:rsidP="003663AF"/>
    <w:p w14:paraId="58E64172" w14:textId="03CE90D4" w:rsidR="003663AF" w:rsidRPr="00B7760C" w:rsidRDefault="00877691" w:rsidP="003663AF">
      <w:pPr>
        <w:pStyle w:val="AMNumberTabs"/>
        <w:keepNext/>
      </w:pPr>
      <w:r w:rsidRPr="00B7760C">
        <w:t>Sprememba</w:t>
      </w:r>
      <w:r w:rsidR="003663AF" w:rsidRPr="00B7760C">
        <w:tab/>
      </w:r>
      <w:r w:rsidR="003663AF" w:rsidRPr="00B7760C">
        <w:tab/>
        <w:t>425</w:t>
      </w:r>
    </w:p>
    <w:p w14:paraId="14698523" w14:textId="77777777" w:rsidR="003663AF" w:rsidRPr="00B7760C" w:rsidRDefault="003663AF" w:rsidP="003663AF">
      <w:pPr>
        <w:pStyle w:val="NormalBold12b"/>
      </w:pPr>
      <w:r w:rsidRPr="00B7760C">
        <w:t>Predlog uredbe</w:t>
      </w:r>
    </w:p>
    <w:p w14:paraId="2F255793" w14:textId="77777777" w:rsidR="003663AF" w:rsidRPr="00B7760C" w:rsidRDefault="003663AF" w:rsidP="003663AF">
      <w:pPr>
        <w:pStyle w:val="NormalBold"/>
      </w:pPr>
      <w:r w:rsidRPr="00B7760C">
        <w:t>Člen 60 – odstavek 2 – točka d b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E10FD9C" w14:textId="77777777" w:rsidTr="00E804B7">
        <w:trPr>
          <w:jc w:val="center"/>
        </w:trPr>
        <w:tc>
          <w:tcPr>
            <w:tcW w:w="9752" w:type="dxa"/>
            <w:gridSpan w:val="2"/>
          </w:tcPr>
          <w:p w14:paraId="469D5D4C" w14:textId="77777777" w:rsidR="003663AF" w:rsidRPr="00B7760C" w:rsidRDefault="003663AF" w:rsidP="00E804B7">
            <w:pPr>
              <w:keepNext/>
            </w:pPr>
          </w:p>
        </w:tc>
      </w:tr>
      <w:tr w:rsidR="003663AF" w:rsidRPr="00B7760C" w14:paraId="69283BEB" w14:textId="77777777" w:rsidTr="00E804B7">
        <w:trPr>
          <w:jc w:val="center"/>
        </w:trPr>
        <w:tc>
          <w:tcPr>
            <w:tcW w:w="4876" w:type="dxa"/>
            <w:hideMark/>
          </w:tcPr>
          <w:p w14:paraId="0CDE0AB7" w14:textId="77777777" w:rsidR="003663AF" w:rsidRPr="00B7760C" w:rsidRDefault="003663AF" w:rsidP="00E804B7">
            <w:pPr>
              <w:pStyle w:val="ColumnHeading"/>
              <w:keepNext/>
            </w:pPr>
            <w:r w:rsidRPr="00B7760C">
              <w:t>Besedilo, ki ga predlaga Komisija</w:t>
            </w:r>
          </w:p>
        </w:tc>
        <w:tc>
          <w:tcPr>
            <w:tcW w:w="4876" w:type="dxa"/>
            <w:hideMark/>
          </w:tcPr>
          <w:p w14:paraId="3D4DB512" w14:textId="2696BD7B" w:rsidR="003663AF" w:rsidRPr="00B7760C" w:rsidRDefault="00877691" w:rsidP="00E804B7">
            <w:pPr>
              <w:pStyle w:val="ColumnHeading"/>
              <w:keepNext/>
            </w:pPr>
            <w:r w:rsidRPr="00B7760C">
              <w:t>Sprememba</w:t>
            </w:r>
          </w:p>
        </w:tc>
      </w:tr>
      <w:tr w:rsidR="003663AF" w:rsidRPr="00B7760C" w14:paraId="32E88740" w14:textId="77777777" w:rsidTr="00E804B7">
        <w:trPr>
          <w:jc w:val="center"/>
        </w:trPr>
        <w:tc>
          <w:tcPr>
            <w:tcW w:w="4876" w:type="dxa"/>
          </w:tcPr>
          <w:p w14:paraId="478F920B" w14:textId="77777777" w:rsidR="003663AF" w:rsidRPr="00B7760C" w:rsidRDefault="003663AF" w:rsidP="00E804B7">
            <w:pPr>
              <w:pStyle w:val="Normal6"/>
            </w:pPr>
          </w:p>
        </w:tc>
        <w:tc>
          <w:tcPr>
            <w:tcW w:w="4876" w:type="dxa"/>
            <w:hideMark/>
          </w:tcPr>
          <w:p w14:paraId="69E28A82" w14:textId="77777777" w:rsidR="003663AF" w:rsidRPr="00B7760C" w:rsidRDefault="003663AF" w:rsidP="00E804B7">
            <w:pPr>
              <w:pStyle w:val="Normal6"/>
              <w:rPr>
                <w:szCs w:val="24"/>
              </w:rPr>
            </w:pPr>
            <w:r w:rsidRPr="00B7760C">
              <w:rPr>
                <w:b/>
                <w:i/>
              </w:rPr>
              <w:t>(db)</w:t>
            </w:r>
            <w:r w:rsidRPr="00B7760C">
              <w:rPr>
                <w:b/>
                <w:i/>
              </w:rPr>
              <w:tab/>
              <w:t>obnovitev staleža živine po obveznem zakolu iz zdravstvenih razlogov ali zaradi izgub, ki so posledica naravnih nesreč;</w:t>
            </w:r>
          </w:p>
        </w:tc>
      </w:tr>
    </w:tbl>
    <w:p w14:paraId="1D997CEA" w14:textId="77777777" w:rsidR="003663AF" w:rsidRPr="00B7760C" w:rsidRDefault="003663AF" w:rsidP="003663AF"/>
    <w:p w14:paraId="2459EE9B" w14:textId="7FEFCE74" w:rsidR="003663AF" w:rsidRPr="00B7760C" w:rsidRDefault="00877691" w:rsidP="003663AF">
      <w:pPr>
        <w:pStyle w:val="AMNumberTabs"/>
        <w:keepNext/>
      </w:pPr>
      <w:r w:rsidRPr="00B7760C">
        <w:t>Sprememba</w:t>
      </w:r>
      <w:r w:rsidR="003663AF" w:rsidRPr="00B7760C">
        <w:tab/>
      </w:r>
      <w:r w:rsidR="003663AF" w:rsidRPr="00B7760C">
        <w:tab/>
        <w:t>426</w:t>
      </w:r>
    </w:p>
    <w:p w14:paraId="292382BB" w14:textId="77777777" w:rsidR="003663AF" w:rsidRPr="00B7760C" w:rsidRDefault="003663AF" w:rsidP="003663AF">
      <w:pPr>
        <w:pStyle w:val="NormalBold12b"/>
      </w:pPr>
      <w:r w:rsidRPr="00B7760C">
        <w:t>Predlog uredbe</w:t>
      </w:r>
    </w:p>
    <w:p w14:paraId="525B1247" w14:textId="77777777" w:rsidR="003663AF" w:rsidRPr="00B7760C" w:rsidRDefault="003663AF" w:rsidP="003663AF">
      <w:pPr>
        <w:pStyle w:val="NormalBold"/>
      </w:pPr>
      <w:r w:rsidRPr="00B7760C">
        <w:t>Člen 60 – odstavek 2 – točka d c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69B9A45" w14:textId="77777777" w:rsidTr="00E804B7">
        <w:trPr>
          <w:jc w:val="center"/>
        </w:trPr>
        <w:tc>
          <w:tcPr>
            <w:tcW w:w="9752" w:type="dxa"/>
            <w:gridSpan w:val="2"/>
          </w:tcPr>
          <w:p w14:paraId="0AD91F8A" w14:textId="77777777" w:rsidR="003663AF" w:rsidRPr="00B7760C" w:rsidRDefault="003663AF" w:rsidP="00E804B7">
            <w:pPr>
              <w:keepNext/>
            </w:pPr>
          </w:p>
        </w:tc>
      </w:tr>
      <w:tr w:rsidR="003663AF" w:rsidRPr="00B7760C" w14:paraId="054216AB" w14:textId="77777777" w:rsidTr="00E804B7">
        <w:trPr>
          <w:jc w:val="center"/>
        </w:trPr>
        <w:tc>
          <w:tcPr>
            <w:tcW w:w="4876" w:type="dxa"/>
            <w:hideMark/>
          </w:tcPr>
          <w:p w14:paraId="5A7A1830" w14:textId="77777777" w:rsidR="003663AF" w:rsidRPr="00B7760C" w:rsidRDefault="003663AF" w:rsidP="00E804B7">
            <w:pPr>
              <w:pStyle w:val="ColumnHeading"/>
              <w:keepNext/>
            </w:pPr>
            <w:r w:rsidRPr="00B7760C">
              <w:t>Besedilo, ki ga predlaga Komisija</w:t>
            </w:r>
          </w:p>
        </w:tc>
        <w:tc>
          <w:tcPr>
            <w:tcW w:w="4876" w:type="dxa"/>
            <w:hideMark/>
          </w:tcPr>
          <w:p w14:paraId="18FEE273" w14:textId="2DD02FE1" w:rsidR="003663AF" w:rsidRPr="00B7760C" w:rsidRDefault="00877691" w:rsidP="00E804B7">
            <w:pPr>
              <w:pStyle w:val="ColumnHeading"/>
              <w:keepNext/>
            </w:pPr>
            <w:r w:rsidRPr="00B7760C">
              <w:t>Sprememba</w:t>
            </w:r>
          </w:p>
        </w:tc>
      </w:tr>
      <w:tr w:rsidR="003663AF" w:rsidRPr="00B7760C" w14:paraId="02A1462B" w14:textId="77777777" w:rsidTr="00E804B7">
        <w:trPr>
          <w:jc w:val="center"/>
        </w:trPr>
        <w:tc>
          <w:tcPr>
            <w:tcW w:w="4876" w:type="dxa"/>
          </w:tcPr>
          <w:p w14:paraId="536C5D23" w14:textId="77777777" w:rsidR="003663AF" w:rsidRPr="00B7760C" w:rsidRDefault="003663AF" w:rsidP="00E804B7">
            <w:pPr>
              <w:pStyle w:val="Normal6"/>
            </w:pPr>
          </w:p>
        </w:tc>
        <w:tc>
          <w:tcPr>
            <w:tcW w:w="4876" w:type="dxa"/>
            <w:hideMark/>
          </w:tcPr>
          <w:p w14:paraId="7F3DD856" w14:textId="77777777" w:rsidR="003663AF" w:rsidRPr="00B7760C" w:rsidRDefault="003663AF" w:rsidP="00E804B7">
            <w:pPr>
              <w:pStyle w:val="Normal6"/>
              <w:rPr>
                <w:szCs w:val="24"/>
              </w:rPr>
            </w:pPr>
            <w:r w:rsidRPr="00B7760C">
              <w:rPr>
                <w:b/>
                <w:i/>
              </w:rPr>
              <w:t>(dc)</w:t>
            </w:r>
            <w:r w:rsidRPr="00B7760C">
              <w:rPr>
                <w:b/>
                <w:i/>
              </w:rPr>
              <w:tab/>
              <w:t>izboljševanje genskih virov;</w:t>
            </w:r>
          </w:p>
        </w:tc>
      </w:tr>
    </w:tbl>
    <w:p w14:paraId="000D9AE5" w14:textId="77777777" w:rsidR="003663AF" w:rsidRPr="00B7760C" w:rsidRDefault="003663AF" w:rsidP="003663AF"/>
    <w:p w14:paraId="24FBEA4F" w14:textId="26C98868" w:rsidR="003663AF" w:rsidRPr="00B7760C" w:rsidRDefault="00877691" w:rsidP="003663AF">
      <w:pPr>
        <w:pStyle w:val="AMNumberTabs"/>
        <w:keepNext/>
      </w:pPr>
      <w:r w:rsidRPr="00B7760C">
        <w:t>Sprememba</w:t>
      </w:r>
      <w:r w:rsidR="003663AF" w:rsidRPr="00B7760C">
        <w:tab/>
      </w:r>
      <w:r w:rsidR="003663AF" w:rsidRPr="00B7760C">
        <w:tab/>
        <w:t>427</w:t>
      </w:r>
    </w:p>
    <w:p w14:paraId="6F589C20" w14:textId="77777777" w:rsidR="003663AF" w:rsidRPr="00B7760C" w:rsidRDefault="003663AF" w:rsidP="003663AF">
      <w:pPr>
        <w:pStyle w:val="NormalBold12b"/>
      </w:pPr>
      <w:r w:rsidRPr="00B7760C">
        <w:t>Predlog uredbe</w:t>
      </w:r>
    </w:p>
    <w:p w14:paraId="356A7924" w14:textId="77777777" w:rsidR="003663AF" w:rsidRPr="00B7760C" w:rsidRDefault="003663AF" w:rsidP="003663AF">
      <w:pPr>
        <w:pStyle w:val="NormalBold"/>
      </w:pPr>
      <w:r w:rsidRPr="00B7760C">
        <w:t>Člen 60 – odstavek 2 – točka d d (novo)</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5E4B337" w14:textId="77777777" w:rsidTr="00487290">
        <w:trPr>
          <w:jc w:val="center"/>
        </w:trPr>
        <w:tc>
          <w:tcPr>
            <w:tcW w:w="9752" w:type="dxa"/>
            <w:gridSpan w:val="2"/>
          </w:tcPr>
          <w:p w14:paraId="50B61F89" w14:textId="77777777" w:rsidR="003663AF" w:rsidRPr="00B7760C" w:rsidRDefault="003663AF" w:rsidP="00E804B7">
            <w:pPr>
              <w:keepNext/>
            </w:pPr>
          </w:p>
        </w:tc>
      </w:tr>
      <w:tr w:rsidR="003663AF" w:rsidRPr="00B7760C" w14:paraId="43F64A0F" w14:textId="77777777" w:rsidTr="00487290">
        <w:trPr>
          <w:jc w:val="center"/>
        </w:trPr>
        <w:tc>
          <w:tcPr>
            <w:tcW w:w="4876" w:type="dxa"/>
            <w:hideMark/>
          </w:tcPr>
          <w:p w14:paraId="61BC4D20" w14:textId="77777777" w:rsidR="003663AF" w:rsidRPr="00B7760C" w:rsidRDefault="003663AF" w:rsidP="00E804B7">
            <w:pPr>
              <w:pStyle w:val="ColumnHeading"/>
              <w:keepNext/>
            </w:pPr>
            <w:r w:rsidRPr="00B7760C">
              <w:t>Besedilo, ki ga predlaga Komisija</w:t>
            </w:r>
          </w:p>
        </w:tc>
        <w:tc>
          <w:tcPr>
            <w:tcW w:w="4876" w:type="dxa"/>
            <w:hideMark/>
          </w:tcPr>
          <w:p w14:paraId="0FE7A01E" w14:textId="1C82C411" w:rsidR="003663AF" w:rsidRPr="00B7760C" w:rsidRDefault="00877691" w:rsidP="00E804B7">
            <w:pPr>
              <w:pStyle w:val="ColumnHeading"/>
              <w:keepNext/>
            </w:pPr>
            <w:r w:rsidRPr="00B7760C">
              <w:t>Sprememba</w:t>
            </w:r>
          </w:p>
        </w:tc>
      </w:tr>
      <w:tr w:rsidR="003663AF" w:rsidRPr="00B7760C" w14:paraId="116110F9" w14:textId="77777777" w:rsidTr="00487290">
        <w:trPr>
          <w:jc w:val="center"/>
        </w:trPr>
        <w:tc>
          <w:tcPr>
            <w:tcW w:w="4876" w:type="dxa"/>
          </w:tcPr>
          <w:p w14:paraId="5A83ECE7" w14:textId="77777777" w:rsidR="003663AF" w:rsidRPr="00B7760C" w:rsidRDefault="003663AF" w:rsidP="00E804B7">
            <w:pPr>
              <w:pStyle w:val="Normal6"/>
            </w:pPr>
          </w:p>
        </w:tc>
        <w:tc>
          <w:tcPr>
            <w:tcW w:w="4876" w:type="dxa"/>
            <w:hideMark/>
          </w:tcPr>
          <w:p w14:paraId="12243063" w14:textId="77777777" w:rsidR="003663AF" w:rsidRPr="00B7760C" w:rsidRDefault="003663AF" w:rsidP="00E804B7">
            <w:pPr>
              <w:pStyle w:val="Normal6"/>
              <w:rPr>
                <w:szCs w:val="24"/>
              </w:rPr>
            </w:pPr>
            <w:r w:rsidRPr="00B7760C">
              <w:rPr>
                <w:b/>
                <w:i/>
              </w:rPr>
              <w:t>(dd)</w:t>
            </w:r>
            <w:r w:rsidRPr="00B7760C">
              <w:rPr>
                <w:b/>
                <w:i/>
              </w:rPr>
              <w:tab/>
              <w:t>podaljšanje obveznih prekinitev proizvodnje na kmetijah zaradi kriz, ki izvirajo iz bolezni živali;</w:t>
            </w:r>
          </w:p>
        </w:tc>
      </w:tr>
    </w:tbl>
    <w:p w14:paraId="1E178DA2" w14:textId="3BEAEE25" w:rsidR="00487290" w:rsidRPr="00B7760C" w:rsidRDefault="00487290" w:rsidP="00487290">
      <w:pPr>
        <w:pStyle w:val="AMNumberTabs"/>
        <w:keepNext/>
      </w:pPr>
      <w:r w:rsidRPr="00B7760C">
        <w:t>Sprememba</w:t>
      </w:r>
      <w:r w:rsidRPr="00B7760C">
        <w:tab/>
      </w:r>
      <w:r w:rsidRPr="00B7760C">
        <w:tab/>
        <w:t>826</w:t>
      </w:r>
    </w:p>
    <w:p w14:paraId="08A150A1" w14:textId="77777777" w:rsidR="00487290" w:rsidRPr="00B7760C" w:rsidRDefault="00487290" w:rsidP="00487290">
      <w:pPr>
        <w:pStyle w:val="NormalBold12b"/>
      </w:pPr>
      <w:r w:rsidRPr="00B7760C">
        <w:t>Predlog uredbe</w:t>
      </w:r>
    </w:p>
    <w:p w14:paraId="2F9EDC9F" w14:textId="3B2B881D" w:rsidR="00487290" w:rsidRPr="00B7760C" w:rsidRDefault="00487290" w:rsidP="00487290">
      <w:pPr>
        <w:pStyle w:val="NormalBold"/>
      </w:pPr>
      <w:r w:rsidRPr="00B7760C">
        <w:t>Člen 60 – odstavek 2 – točka h</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487290" w:rsidRPr="00B7760C" w14:paraId="39375B86" w14:textId="77777777" w:rsidTr="006F0B5B">
        <w:trPr>
          <w:jc w:val="center"/>
        </w:trPr>
        <w:tc>
          <w:tcPr>
            <w:tcW w:w="9752" w:type="dxa"/>
            <w:gridSpan w:val="2"/>
          </w:tcPr>
          <w:p w14:paraId="7C829913" w14:textId="77777777" w:rsidR="00487290" w:rsidRPr="00B7760C" w:rsidRDefault="00487290" w:rsidP="005847CC">
            <w:pPr>
              <w:keepNext/>
            </w:pPr>
          </w:p>
        </w:tc>
      </w:tr>
      <w:tr w:rsidR="00487290" w:rsidRPr="00B7760C" w14:paraId="02E131BC" w14:textId="77777777" w:rsidTr="006F0B5B">
        <w:trPr>
          <w:jc w:val="center"/>
        </w:trPr>
        <w:tc>
          <w:tcPr>
            <w:tcW w:w="4876" w:type="dxa"/>
            <w:hideMark/>
          </w:tcPr>
          <w:p w14:paraId="1BBEF3A1" w14:textId="77777777" w:rsidR="00487290" w:rsidRPr="00B7760C" w:rsidRDefault="00487290" w:rsidP="005847CC">
            <w:pPr>
              <w:pStyle w:val="ColumnHeading"/>
              <w:keepNext/>
            </w:pPr>
            <w:r w:rsidRPr="00B7760C">
              <w:t>Besedilo, ki ga predlaga Komisija</w:t>
            </w:r>
          </w:p>
        </w:tc>
        <w:tc>
          <w:tcPr>
            <w:tcW w:w="4876" w:type="dxa"/>
            <w:hideMark/>
          </w:tcPr>
          <w:p w14:paraId="07953A10" w14:textId="77777777" w:rsidR="00487290" w:rsidRPr="00B7760C" w:rsidRDefault="00487290" w:rsidP="005847CC">
            <w:pPr>
              <w:pStyle w:val="ColumnHeading"/>
              <w:keepNext/>
            </w:pPr>
            <w:r w:rsidRPr="00B7760C">
              <w:t>Sprememba</w:t>
            </w:r>
          </w:p>
        </w:tc>
      </w:tr>
      <w:tr w:rsidR="00487290" w:rsidRPr="00B7760C" w14:paraId="1005EC7D" w14:textId="77777777" w:rsidTr="006F0B5B">
        <w:trPr>
          <w:jc w:val="center"/>
        </w:trPr>
        <w:tc>
          <w:tcPr>
            <w:tcW w:w="4876" w:type="dxa"/>
          </w:tcPr>
          <w:p w14:paraId="143DBC70" w14:textId="1DD612E6" w:rsidR="00487290" w:rsidRPr="00B7760C" w:rsidRDefault="00487290" w:rsidP="005847CC">
            <w:pPr>
              <w:pStyle w:val="Normal6"/>
            </w:pPr>
            <w:r w:rsidRPr="00B7760C">
              <w:t>(h)</w:t>
            </w:r>
            <w:r w:rsidRPr="00B7760C">
              <w:tab/>
              <w:t>zavarovanje letine in proizvodnje, ki prispeva k varovanju dohodkov pridelovalcev, kadar imajo izgube zaradi naravnih nesreč, slabih vremenskih razmer, bolezni ali napadov škodljivcev, ter hkrati zagotavlja, da upravičenci sprejmejo potrebne ukrepe za preprečevanje tveganj.</w:t>
            </w:r>
          </w:p>
        </w:tc>
        <w:tc>
          <w:tcPr>
            <w:tcW w:w="4876" w:type="dxa"/>
            <w:hideMark/>
          </w:tcPr>
          <w:p w14:paraId="1F72BE94" w14:textId="49153A90" w:rsidR="00487290" w:rsidRPr="00B7760C" w:rsidRDefault="00487290" w:rsidP="005847CC">
            <w:pPr>
              <w:pStyle w:val="Normal6"/>
              <w:rPr>
                <w:szCs w:val="24"/>
              </w:rPr>
            </w:pPr>
            <w:r w:rsidRPr="00B7760C">
              <w:t>(h)</w:t>
            </w:r>
            <w:r w:rsidRPr="00B7760C">
              <w:tab/>
              <w:t xml:space="preserve">zavarovanje letine in proizvodnje, ki prispeva k varovanju dohodkov pridelovalcev, kadar imajo izgube zaradi naravnih nesreč, slabih vremenskih razmer, bolezni ali napadov škodljivcev, ter hkrati zagotavlja, da vsi upravičenci sprejmejo potrebne ukrepe za preprečevanje tveganj. </w:t>
            </w:r>
            <w:r w:rsidRPr="00B7760C">
              <w:rPr>
                <w:b/>
                <w:i/>
              </w:rPr>
              <w:t>Zavarovanje ne bo zagotovljeno, če proizvajalci ne bodo dejavno sprejeli ukrepov za zmanjšanje svojih tveganj.</w:t>
            </w:r>
          </w:p>
        </w:tc>
      </w:tr>
    </w:tbl>
    <w:p w14:paraId="53D4CD1D" w14:textId="77777777" w:rsidR="003663AF" w:rsidRPr="00B7760C" w:rsidRDefault="003663AF" w:rsidP="003663AF"/>
    <w:p w14:paraId="25CDB544" w14:textId="5FA88230" w:rsidR="003663AF" w:rsidRPr="00B7760C" w:rsidRDefault="00877691" w:rsidP="003663AF">
      <w:pPr>
        <w:pStyle w:val="AMNumberTabs"/>
        <w:keepNext/>
      </w:pPr>
      <w:r w:rsidRPr="00B7760C">
        <w:t>Sprememba</w:t>
      </w:r>
      <w:r w:rsidR="003663AF" w:rsidRPr="00B7760C">
        <w:tab/>
      </w:r>
      <w:r w:rsidR="003663AF" w:rsidRPr="00B7760C">
        <w:tab/>
        <w:t>428</w:t>
      </w:r>
    </w:p>
    <w:p w14:paraId="5FAFC279" w14:textId="77777777" w:rsidR="003663AF" w:rsidRPr="00B7760C" w:rsidRDefault="003663AF" w:rsidP="003663AF">
      <w:pPr>
        <w:pStyle w:val="NormalBold12b"/>
      </w:pPr>
      <w:r w:rsidRPr="00B7760C">
        <w:t>Predlog uredbe</w:t>
      </w:r>
    </w:p>
    <w:p w14:paraId="74C494D0" w14:textId="77777777" w:rsidR="003663AF" w:rsidRPr="00B7760C" w:rsidRDefault="003663AF" w:rsidP="003663AF">
      <w:pPr>
        <w:pStyle w:val="NormalBold"/>
      </w:pPr>
      <w:r w:rsidRPr="00B7760C">
        <w:t>Člen 61 – odstavek 7</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41FE4C8" w14:textId="77777777" w:rsidTr="00E804B7">
        <w:trPr>
          <w:jc w:val="center"/>
        </w:trPr>
        <w:tc>
          <w:tcPr>
            <w:tcW w:w="9752" w:type="dxa"/>
            <w:gridSpan w:val="2"/>
          </w:tcPr>
          <w:p w14:paraId="348DEF3E" w14:textId="77777777" w:rsidR="003663AF" w:rsidRPr="00B7760C" w:rsidRDefault="003663AF" w:rsidP="00E804B7">
            <w:pPr>
              <w:keepNext/>
            </w:pPr>
          </w:p>
        </w:tc>
      </w:tr>
      <w:tr w:rsidR="003663AF" w:rsidRPr="00B7760C" w14:paraId="2FC70622" w14:textId="77777777" w:rsidTr="00E804B7">
        <w:trPr>
          <w:jc w:val="center"/>
        </w:trPr>
        <w:tc>
          <w:tcPr>
            <w:tcW w:w="4876" w:type="dxa"/>
            <w:hideMark/>
          </w:tcPr>
          <w:p w14:paraId="16989C88" w14:textId="77777777" w:rsidR="003663AF" w:rsidRPr="00B7760C" w:rsidRDefault="003663AF" w:rsidP="00E804B7">
            <w:pPr>
              <w:pStyle w:val="ColumnHeading"/>
              <w:keepNext/>
            </w:pPr>
            <w:r w:rsidRPr="00B7760C">
              <w:t>Besedilo, ki ga predlaga Komisija</w:t>
            </w:r>
          </w:p>
        </w:tc>
        <w:tc>
          <w:tcPr>
            <w:tcW w:w="4876" w:type="dxa"/>
            <w:hideMark/>
          </w:tcPr>
          <w:p w14:paraId="77B9D901" w14:textId="5E974640" w:rsidR="003663AF" w:rsidRPr="00B7760C" w:rsidRDefault="00877691" w:rsidP="00E804B7">
            <w:pPr>
              <w:pStyle w:val="ColumnHeading"/>
              <w:keepNext/>
            </w:pPr>
            <w:r w:rsidRPr="00B7760C">
              <w:t>Sprememba</w:t>
            </w:r>
          </w:p>
        </w:tc>
      </w:tr>
      <w:tr w:rsidR="003663AF" w:rsidRPr="00B7760C" w14:paraId="2F249A06" w14:textId="77777777" w:rsidTr="00E804B7">
        <w:trPr>
          <w:jc w:val="center"/>
        </w:trPr>
        <w:tc>
          <w:tcPr>
            <w:tcW w:w="4876" w:type="dxa"/>
            <w:hideMark/>
          </w:tcPr>
          <w:p w14:paraId="0143091E" w14:textId="77777777" w:rsidR="003663AF" w:rsidRPr="00B7760C" w:rsidRDefault="003663AF" w:rsidP="00E804B7">
            <w:pPr>
              <w:pStyle w:val="Normal6"/>
            </w:pPr>
            <w:r w:rsidRPr="00B7760C">
              <w:t>7.</w:t>
            </w:r>
            <w:r w:rsidRPr="00B7760C">
              <w:tab/>
              <w:t xml:space="preserve">Države članice zagotovijo, da intervencije, povezane s ciljem iz točke (h) člena 59, ne presegajo </w:t>
            </w:r>
            <w:r w:rsidRPr="00B7760C">
              <w:rPr>
                <w:b/>
                <w:i/>
              </w:rPr>
              <w:t>tretjine</w:t>
            </w:r>
            <w:r w:rsidRPr="00B7760C">
              <w:t xml:space="preserve"> skupnih odhodkov v okviru operativnih programov organizacij proizvajalcev ali združenj organizacij proizvajalcev.</w:t>
            </w:r>
          </w:p>
        </w:tc>
        <w:tc>
          <w:tcPr>
            <w:tcW w:w="4876" w:type="dxa"/>
            <w:hideMark/>
          </w:tcPr>
          <w:p w14:paraId="03C1714F" w14:textId="77777777" w:rsidR="003663AF" w:rsidRPr="00B7760C" w:rsidRDefault="003663AF" w:rsidP="00E804B7">
            <w:pPr>
              <w:pStyle w:val="Normal6"/>
              <w:rPr>
                <w:szCs w:val="24"/>
              </w:rPr>
            </w:pPr>
            <w:r w:rsidRPr="00B7760C">
              <w:t>7.</w:t>
            </w:r>
            <w:r w:rsidRPr="00B7760C">
              <w:tab/>
              <w:t xml:space="preserve">Države članice zagotovijo, da intervencije, povezane s ciljem iz točke (h) člena 59, ne presegajo </w:t>
            </w:r>
            <w:r w:rsidRPr="00B7760C">
              <w:rPr>
                <w:b/>
                <w:i/>
              </w:rPr>
              <w:t>50 %</w:t>
            </w:r>
            <w:r w:rsidRPr="00B7760C">
              <w:t xml:space="preserve"> skupnih odhodkov v okviru operativnih programov organizacij proizvajalcev ali združenj organizacij proizvajalcev.</w:t>
            </w:r>
          </w:p>
        </w:tc>
      </w:tr>
    </w:tbl>
    <w:p w14:paraId="2A35B19B" w14:textId="77777777" w:rsidR="003663AF" w:rsidRPr="00B7760C" w:rsidRDefault="003663AF" w:rsidP="003663AF"/>
    <w:p w14:paraId="68EB3E31" w14:textId="6C6EE4C8" w:rsidR="003663AF" w:rsidRPr="00B7760C" w:rsidRDefault="00877691" w:rsidP="003663AF">
      <w:pPr>
        <w:pStyle w:val="AMNumberTabs"/>
        <w:keepNext/>
      </w:pPr>
      <w:r w:rsidRPr="00B7760C">
        <w:t>Sprememba</w:t>
      </w:r>
      <w:r w:rsidR="003663AF" w:rsidRPr="00B7760C">
        <w:tab/>
      </w:r>
      <w:r w:rsidR="003663AF" w:rsidRPr="00B7760C">
        <w:tab/>
        <w:t>429</w:t>
      </w:r>
    </w:p>
    <w:p w14:paraId="23BDCCCF" w14:textId="77777777" w:rsidR="003663AF" w:rsidRPr="00B7760C" w:rsidRDefault="003663AF" w:rsidP="003663AF">
      <w:pPr>
        <w:pStyle w:val="NormalBold12b"/>
      </w:pPr>
      <w:r w:rsidRPr="00B7760C">
        <w:t>Predlog uredbe</w:t>
      </w:r>
    </w:p>
    <w:p w14:paraId="4366EBAE" w14:textId="77777777" w:rsidR="003663AF" w:rsidRPr="00B7760C" w:rsidRDefault="003663AF" w:rsidP="003663AF">
      <w:pPr>
        <w:pStyle w:val="NormalBold"/>
      </w:pPr>
      <w:r w:rsidRPr="00B7760C">
        <w:t>Člen 62 – naslov</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9193E23" w14:textId="77777777" w:rsidTr="00E804B7">
        <w:trPr>
          <w:jc w:val="center"/>
        </w:trPr>
        <w:tc>
          <w:tcPr>
            <w:tcW w:w="9752" w:type="dxa"/>
            <w:gridSpan w:val="2"/>
          </w:tcPr>
          <w:p w14:paraId="5E6C3AD1" w14:textId="77777777" w:rsidR="003663AF" w:rsidRPr="00B7760C" w:rsidRDefault="003663AF" w:rsidP="00E804B7">
            <w:pPr>
              <w:keepNext/>
            </w:pPr>
          </w:p>
        </w:tc>
      </w:tr>
      <w:tr w:rsidR="003663AF" w:rsidRPr="00B7760C" w14:paraId="14F90151" w14:textId="77777777" w:rsidTr="00E804B7">
        <w:trPr>
          <w:jc w:val="center"/>
        </w:trPr>
        <w:tc>
          <w:tcPr>
            <w:tcW w:w="4876" w:type="dxa"/>
            <w:hideMark/>
          </w:tcPr>
          <w:p w14:paraId="5871B93A" w14:textId="77777777" w:rsidR="003663AF" w:rsidRPr="00B7760C" w:rsidRDefault="003663AF" w:rsidP="00E804B7">
            <w:pPr>
              <w:pStyle w:val="ColumnHeading"/>
              <w:keepNext/>
            </w:pPr>
            <w:r w:rsidRPr="00B7760C">
              <w:t>Besedilo, ki ga predlaga Komisija</w:t>
            </w:r>
          </w:p>
        </w:tc>
        <w:tc>
          <w:tcPr>
            <w:tcW w:w="4876" w:type="dxa"/>
            <w:hideMark/>
          </w:tcPr>
          <w:p w14:paraId="1DDBD14C" w14:textId="754BBD32" w:rsidR="003663AF" w:rsidRPr="00B7760C" w:rsidRDefault="00877691" w:rsidP="00E804B7">
            <w:pPr>
              <w:pStyle w:val="ColumnHeading"/>
              <w:keepNext/>
            </w:pPr>
            <w:r w:rsidRPr="00B7760C">
              <w:t>Sprememba</w:t>
            </w:r>
          </w:p>
        </w:tc>
      </w:tr>
      <w:tr w:rsidR="003663AF" w:rsidRPr="00B7760C" w14:paraId="3655E887" w14:textId="77777777" w:rsidTr="00E804B7">
        <w:trPr>
          <w:jc w:val="center"/>
        </w:trPr>
        <w:tc>
          <w:tcPr>
            <w:tcW w:w="4876" w:type="dxa"/>
            <w:hideMark/>
          </w:tcPr>
          <w:p w14:paraId="2FB43673" w14:textId="77777777" w:rsidR="003663AF" w:rsidRPr="00B7760C" w:rsidRDefault="003663AF" w:rsidP="00E804B7">
            <w:pPr>
              <w:pStyle w:val="Normal6"/>
            </w:pPr>
            <w:r w:rsidRPr="00B7760C">
              <w:t>Operativni skladi</w:t>
            </w:r>
          </w:p>
        </w:tc>
        <w:tc>
          <w:tcPr>
            <w:tcW w:w="4876" w:type="dxa"/>
            <w:hideMark/>
          </w:tcPr>
          <w:p w14:paraId="2F99B232" w14:textId="77777777" w:rsidR="003663AF" w:rsidRPr="00B7760C" w:rsidRDefault="003663AF" w:rsidP="00E804B7">
            <w:pPr>
              <w:pStyle w:val="Normal6"/>
              <w:rPr>
                <w:szCs w:val="24"/>
              </w:rPr>
            </w:pPr>
            <w:r w:rsidRPr="00B7760C">
              <w:t>Operativni skladi</w:t>
            </w:r>
            <w:r w:rsidRPr="00B7760C">
              <w:rPr>
                <w:b/>
                <w:i/>
              </w:rPr>
              <w:t xml:space="preserve"> organizacij proizvajalcev</w:t>
            </w:r>
          </w:p>
        </w:tc>
      </w:tr>
    </w:tbl>
    <w:p w14:paraId="18C65E02" w14:textId="77777777" w:rsidR="003663AF" w:rsidRPr="00B7760C" w:rsidRDefault="003663AF" w:rsidP="003663AF"/>
    <w:p w14:paraId="0D1139D6" w14:textId="75A620C5" w:rsidR="003663AF" w:rsidRPr="00B7760C" w:rsidRDefault="00877691" w:rsidP="003663AF">
      <w:pPr>
        <w:pStyle w:val="AMNumberTabs"/>
        <w:keepNext/>
      </w:pPr>
      <w:r w:rsidRPr="00B7760C">
        <w:t>Sprememba</w:t>
      </w:r>
      <w:r w:rsidR="003663AF" w:rsidRPr="00B7760C">
        <w:tab/>
      </w:r>
      <w:r w:rsidR="003663AF" w:rsidRPr="00B7760C">
        <w:tab/>
        <w:t>430</w:t>
      </w:r>
    </w:p>
    <w:p w14:paraId="68E488AD" w14:textId="77777777" w:rsidR="003663AF" w:rsidRPr="00B7760C" w:rsidRDefault="003663AF" w:rsidP="003663AF">
      <w:pPr>
        <w:pStyle w:val="NormalBold12b"/>
      </w:pPr>
      <w:r w:rsidRPr="00B7760C">
        <w:t>Predlog uredbe</w:t>
      </w:r>
    </w:p>
    <w:p w14:paraId="225C4F0F" w14:textId="77777777" w:rsidR="003663AF" w:rsidRPr="00B7760C" w:rsidRDefault="003663AF" w:rsidP="003663AF">
      <w:pPr>
        <w:pStyle w:val="NormalBold"/>
      </w:pPr>
      <w:r w:rsidRPr="00B7760C">
        <w:t>Člen 63 – odstavek 1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ACFD5D4" w14:textId="77777777" w:rsidTr="00E804B7">
        <w:trPr>
          <w:jc w:val="center"/>
        </w:trPr>
        <w:tc>
          <w:tcPr>
            <w:tcW w:w="9752" w:type="dxa"/>
            <w:gridSpan w:val="2"/>
          </w:tcPr>
          <w:p w14:paraId="4A51AFBE" w14:textId="77777777" w:rsidR="003663AF" w:rsidRPr="00B7760C" w:rsidRDefault="003663AF" w:rsidP="00E804B7">
            <w:pPr>
              <w:keepNext/>
            </w:pPr>
          </w:p>
        </w:tc>
      </w:tr>
      <w:tr w:rsidR="003663AF" w:rsidRPr="00B7760C" w14:paraId="772D5586" w14:textId="77777777" w:rsidTr="00E804B7">
        <w:trPr>
          <w:jc w:val="center"/>
        </w:trPr>
        <w:tc>
          <w:tcPr>
            <w:tcW w:w="4876" w:type="dxa"/>
            <w:hideMark/>
          </w:tcPr>
          <w:p w14:paraId="524AFCA2" w14:textId="77777777" w:rsidR="003663AF" w:rsidRPr="00B7760C" w:rsidRDefault="003663AF" w:rsidP="00E804B7">
            <w:pPr>
              <w:pStyle w:val="ColumnHeading"/>
              <w:keepNext/>
            </w:pPr>
            <w:r w:rsidRPr="00B7760C">
              <w:t>Besedilo, ki ga predlaga Komisija</w:t>
            </w:r>
          </w:p>
        </w:tc>
        <w:tc>
          <w:tcPr>
            <w:tcW w:w="4876" w:type="dxa"/>
            <w:hideMark/>
          </w:tcPr>
          <w:p w14:paraId="21CAABCB" w14:textId="01441E48" w:rsidR="003663AF" w:rsidRPr="00B7760C" w:rsidRDefault="00877691" w:rsidP="00E804B7">
            <w:pPr>
              <w:pStyle w:val="ColumnHeading"/>
              <w:keepNext/>
            </w:pPr>
            <w:r w:rsidRPr="00B7760C">
              <w:t>Sprememba</w:t>
            </w:r>
          </w:p>
        </w:tc>
      </w:tr>
      <w:tr w:rsidR="003663AF" w:rsidRPr="00B7760C" w14:paraId="795F49A4" w14:textId="77777777" w:rsidTr="00E804B7">
        <w:trPr>
          <w:jc w:val="center"/>
        </w:trPr>
        <w:tc>
          <w:tcPr>
            <w:tcW w:w="4876" w:type="dxa"/>
          </w:tcPr>
          <w:p w14:paraId="2136DA29" w14:textId="77777777" w:rsidR="003663AF" w:rsidRPr="00B7760C" w:rsidRDefault="003663AF" w:rsidP="00E804B7">
            <w:pPr>
              <w:pStyle w:val="Normal6"/>
            </w:pPr>
          </w:p>
        </w:tc>
        <w:tc>
          <w:tcPr>
            <w:tcW w:w="4876" w:type="dxa"/>
            <w:hideMark/>
          </w:tcPr>
          <w:p w14:paraId="505C20B3" w14:textId="77777777" w:rsidR="003663AF" w:rsidRPr="00B7760C" w:rsidRDefault="003663AF" w:rsidP="00E804B7">
            <w:pPr>
              <w:pStyle w:val="Normal6"/>
              <w:rPr>
                <w:szCs w:val="24"/>
              </w:rPr>
            </w:pPr>
            <w:r w:rsidRPr="00B7760C">
              <w:rPr>
                <w:b/>
                <w:i/>
              </w:rPr>
              <w:t>1a.</w:t>
            </w:r>
            <w:r w:rsidRPr="00B7760C">
              <w:rPr>
                <w:b/>
                <w:i/>
              </w:rPr>
              <w:tab/>
              <w:t>Omejitev iz odstavka 1 se s 50 % poveča na 60 % za organizacije proizvajalcev ali njihova združenja, priznana v skladu z Uredbo (EU) št. 1308/2013, za prvih pet let po letu priznanja in za organizacije proizvajalcev, ki delujejo izključno na območjih z naravnimi omejitvami.</w:t>
            </w:r>
          </w:p>
        </w:tc>
      </w:tr>
    </w:tbl>
    <w:p w14:paraId="579917E1" w14:textId="77777777" w:rsidR="003663AF" w:rsidRPr="00B7760C" w:rsidRDefault="003663AF" w:rsidP="003663AF"/>
    <w:p w14:paraId="273603F5" w14:textId="2D4A553F" w:rsidR="003663AF" w:rsidRPr="00B7760C" w:rsidRDefault="00877691" w:rsidP="003663AF">
      <w:pPr>
        <w:pStyle w:val="AMNumberTabs"/>
        <w:keepNext/>
      </w:pPr>
      <w:r w:rsidRPr="00B7760C">
        <w:t>Sprememba</w:t>
      </w:r>
      <w:r w:rsidR="003663AF" w:rsidRPr="00B7760C">
        <w:tab/>
      </w:r>
      <w:r w:rsidR="003663AF" w:rsidRPr="00B7760C">
        <w:tab/>
        <w:t>431</w:t>
      </w:r>
    </w:p>
    <w:p w14:paraId="5E429316" w14:textId="77777777" w:rsidR="003663AF" w:rsidRPr="00B7760C" w:rsidRDefault="003663AF" w:rsidP="003663AF">
      <w:pPr>
        <w:pStyle w:val="NormalBold12b"/>
      </w:pPr>
      <w:r w:rsidRPr="00B7760C">
        <w:t>Predlog uredbe</w:t>
      </w:r>
    </w:p>
    <w:p w14:paraId="3B119EF7" w14:textId="77777777" w:rsidR="003663AF" w:rsidRPr="00B7760C" w:rsidRDefault="003663AF" w:rsidP="003663AF">
      <w:pPr>
        <w:pStyle w:val="NormalBold"/>
      </w:pPr>
      <w:r w:rsidRPr="00B7760C">
        <w:t>Člen 64 – odstavek 1 – točka 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6107AA8" w14:textId="77777777" w:rsidTr="00E804B7">
        <w:trPr>
          <w:jc w:val="center"/>
        </w:trPr>
        <w:tc>
          <w:tcPr>
            <w:tcW w:w="9752" w:type="dxa"/>
            <w:gridSpan w:val="2"/>
          </w:tcPr>
          <w:p w14:paraId="2E0C39C1" w14:textId="77777777" w:rsidR="003663AF" w:rsidRPr="00B7760C" w:rsidRDefault="003663AF" w:rsidP="00E804B7">
            <w:pPr>
              <w:keepNext/>
            </w:pPr>
          </w:p>
        </w:tc>
      </w:tr>
      <w:tr w:rsidR="003663AF" w:rsidRPr="00B7760C" w14:paraId="2E79018E" w14:textId="77777777" w:rsidTr="00E804B7">
        <w:trPr>
          <w:jc w:val="center"/>
        </w:trPr>
        <w:tc>
          <w:tcPr>
            <w:tcW w:w="4876" w:type="dxa"/>
            <w:hideMark/>
          </w:tcPr>
          <w:p w14:paraId="613E34D4" w14:textId="77777777" w:rsidR="003663AF" w:rsidRPr="00B7760C" w:rsidRDefault="003663AF" w:rsidP="00E804B7">
            <w:pPr>
              <w:pStyle w:val="ColumnHeading"/>
              <w:keepNext/>
            </w:pPr>
            <w:r w:rsidRPr="00B7760C">
              <w:t>Besedilo, ki ga predlaga Komisija</w:t>
            </w:r>
          </w:p>
        </w:tc>
        <w:tc>
          <w:tcPr>
            <w:tcW w:w="4876" w:type="dxa"/>
            <w:hideMark/>
          </w:tcPr>
          <w:p w14:paraId="2A7D92E4" w14:textId="17B5285C" w:rsidR="003663AF" w:rsidRPr="00B7760C" w:rsidRDefault="00877691" w:rsidP="00E804B7">
            <w:pPr>
              <w:pStyle w:val="ColumnHeading"/>
              <w:keepNext/>
            </w:pPr>
            <w:r w:rsidRPr="00B7760C">
              <w:t>Sprememba</w:t>
            </w:r>
          </w:p>
        </w:tc>
      </w:tr>
      <w:tr w:rsidR="003663AF" w:rsidRPr="00B7760C" w14:paraId="2BC6499B" w14:textId="77777777" w:rsidTr="00E804B7">
        <w:trPr>
          <w:jc w:val="center"/>
        </w:trPr>
        <w:tc>
          <w:tcPr>
            <w:tcW w:w="4876" w:type="dxa"/>
            <w:hideMark/>
          </w:tcPr>
          <w:p w14:paraId="733D7E6C" w14:textId="77777777" w:rsidR="003663AF" w:rsidRPr="00B7760C" w:rsidRDefault="003663AF" w:rsidP="00E804B7">
            <w:pPr>
              <w:pStyle w:val="Normal6"/>
            </w:pPr>
            <w:r w:rsidRPr="00B7760C">
              <w:t>(a)</w:t>
            </w:r>
            <w:r w:rsidRPr="00B7760C">
              <w:tab/>
            </w:r>
            <w:r w:rsidRPr="00B7760C">
              <w:rPr>
                <w:b/>
                <w:i/>
              </w:rPr>
              <w:t>okoljske</w:t>
            </w:r>
            <w:r w:rsidRPr="00B7760C">
              <w:t xml:space="preserve">, </w:t>
            </w:r>
            <w:r w:rsidRPr="00B7760C">
              <w:rPr>
                <w:b/>
                <w:i/>
              </w:rPr>
              <w:t>podnebne</w:t>
            </w:r>
            <w:r w:rsidRPr="00B7760C">
              <w:t xml:space="preserve"> in druge upravljavske obveznosti;</w:t>
            </w:r>
          </w:p>
        </w:tc>
        <w:tc>
          <w:tcPr>
            <w:tcW w:w="4876" w:type="dxa"/>
            <w:hideMark/>
          </w:tcPr>
          <w:p w14:paraId="1927ED46" w14:textId="77777777" w:rsidR="003663AF" w:rsidRPr="00B7760C" w:rsidRDefault="003663AF" w:rsidP="00E804B7">
            <w:pPr>
              <w:pStyle w:val="Normal6"/>
              <w:rPr>
                <w:szCs w:val="24"/>
              </w:rPr>
            </w:pPr>
            <w:r w:rsidRPr="00B7760C">
              <w:t>(a)</w:t>
            </w:r>
            <w:r w:rsidRPr="00B7760C">
              <w:tab/>
            </w:r>
            <w:r w:rsidRPr="00B7760C">
              <w:rPr>
                <w:b/>
                <w:i/>
              </w:rPr>
              <w:t>ukrepi na področju kmetijsko-okoljske trajnosti</w:t>
            </w:r>
            <w:r w:rsidRPr="00B7760C">
              <w:t xml:space="preserve">, </w:t>
            </w:r>
            <w:r w:rsidRPr="00B7760C">
              <w:rPr>
                <w:b/>
                <w:i/>
              </w:rPr>
              <w:t>blažitve podnebnih sprememb</w:t>
            </w:r>
            <w:r w:rsidRPr="00B7760C">
              <w:t xml:space="preserve"> in</w:t>
            </w:r>
            <w:r w:rsidRPr="00B7760C">
              <w:rPr>
                <w:b/>
                <w:i/>
              </w:rPr>
              <w:t xml:space="preserve"> prilagajanja nanje ter</w:t>
            </w:r>
            <w:r w:rsidRPr="00B7760C">
              <w:t xml:space="preserve"> druge upravljavske obveznosti;</w:t>
            </w:r>
          </w:p>
        </w:tc>
      </w:tr>
    </w:tbl>
    <w:p w14:paraId="71029B78" w14:textId="77777777" w:rsidR="003663AF" w:rsidRPr="00B7760C" w:rsidRDefault="003663AF" w:rsidP="003663AF"/>
    <w:p w14:paraId="0C133479" w14:textId="1BDA0191" w:rsidR="003663AF" w:rsidRPr="00B7760C" w:rsidRDefault="00877691" w:rsidP="003663AF">
      <w:pPr>
        <w:pStyle w:val="AMNumberTabs"/>
        <w:keepNext/>
      </w:pPr>
      <w:r w:rsidRPr="00B7760C">
        <w:t>Sprememba</w:t>
      </w:r>
      <w:r w:rsidR="003663AF" w:rsidRPr="00B7760C">
        <w:tab/>
      </w:r>
      <w:r w:rsidR="003663AF" w:rsidRPr="00B7760C">
        <w:tab/>
        <w:t>432</w:t>
      </w:r>
    </w:p>
    <w:p w14:paraId="57D0AC65" w14:textId="77777777" w:rsidR="003663AF" w:rsidRPr="00B7760C" w:rsidRDefault="003663AF" w:rsidP="003663AF">
      <w:pPr>
        <w:pStyle w:val="NormalBold12b"/>
      </w:pPr>
      <w:r w:rsidRPr="00B7760C">
        <w:t>Predlog uredbe</w:t>
      </w:r>
    </w:p>
    <w:p w14:paraId="7B727F7F" w14:textId="77777777" w:rsidR="003663AF" w:rsidRPr="00B7760C" w:rsidRDefault="003663AF" w:rsidP="003663AF">
      <w:pPr>
        <w:pStyle w:val="NormalBold"/>
      </w:pPr>
      <w:r w:rsidRPr="00B7760C">
        <w:t>Člen 64 – odstavek 1 – točka e</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ABE0F8F" w14:textId="77777777" w:rsidTr="00E804B7">
        <w:trPr>
          <w:jc w:val="center"/>
        </w:trPr>
        <w:tc>
          <w:tcPr>
            <w:tcW w:w="9752" w:type="dxa"/>
            <w:gridSpan w:val="2"/>
          </w:tcPr>
          <w:p w14:paraId="72921F0C" w14:textId="77777777" w:rsidR="003663AF" w:rsidRPr="00B7760C" w:rsidRDefault="003663AF" w:rsidP="00E804B7">
            <w:pPr>
              <w:keepNext/>
            </w:pPr>
          </w:p>
        </w:tc>
      </w:tr>
      <w:tr w:rsidR="003663AF" w:rsidRPr="00B7760C" w14:paraId="6A02734D" w14:textId="77777777" w:rsidTr="00E804B7">
        <w:trPr>
          <w:jc w:val="center"/>
        </w:trPr>
        <w:tc>
          <w:tcPr>
            <w:tcW w:w="4876" w:type="dxa"/>
            <w:hideMark/>
          </w:tcPr>
          <w:p w14:paraId="1867D910" w14:textId="77777777" w:rsidR="003663AF" w:rsidRPr="00B7760C" w:rsidRDefault="003663AF" w:rsidP="00E804B7">
            <w:pPr>
              <w:pStyle w:val="ColumnHeading"/>
              <w:keepNext/>
            </w:pPr>
            <w:r w:rsidRPr="00B7760C">
              <w:t>Besedilo, ki ga predlaga Komisija</w:t>
            </w:r>
          </w:p>
        </w:tc>
        <w:tc>
          <w:tcPr>
            <w:tcW w:w="4876" w:type="dxa"/>
            <w:hideMark/>
          </w:tcPr>
          <w:p w14:paraId="62FEF4CE" w14:textId="157AD2FC" w:rsidR="003663AF" w:rsidRPr="00B7760C" w:rsidRDefault="00877691" w:rsidP="00E804B7">
            <w:pPr>
              <w:pStyle w:val="ColumnHeading"/>
              <w:keepNext/>
            </w:pPr>
            <w:r w:rsidRPr="00B7760C">
              <w:t>Sprememba</w:t>
            </w:r>
          </w:p>
        </w:tc>
      </w:tr>
      <w:tr w:rsidR="003663AF" w:rsidRPr="00B7760C" w14:paraId="233DD04B" w14:textId="77777777" w:rsidTr="00E804B7">
        <w:trPr>
          <w:jc w:val="center"/>
        </w:trPr>
        <w:tc>
          <w:tcPr>
            <w:tcW w:w="4876" w:type="dxa"/>
            <w:hideMark/>
          </w:tcPr>
          <w:p w14:paraId="7B0E4376" w14:textId="77777777" w:rsidR="003663AF" w:rsidRPr="00B7760C" w:rsidRDefault="003663AF" w:rsidP="00E804B7">
            <w:pPr>
              <w:pStyle w:val="Normal6"/>
            </w:pPr>
            <w:r w:rsidRPr="00B7760C">
              <w:t>(e)</w:t>
            </w:r>
            <w:r w:rsidRPr="00B7760C">
              <w:tab/>
              <w:t xml:space="preserve">vzpostavitev gospodarstev mladih kmetov </w:t>
            </w:r>
            <w:r w:rsidRPr="00B7760C">
              <w:rPr>
                <w:b/>
                <w:i/>
              </w:rPr>
              <w:t>in</w:t>
            </w:r>
            <w:r w:rsidRPr="00B7760C">
              <w:t xml:space="preserve"> zagon podeželskih podjetij;</w:t>
            </w:r>
          </w:p>
        </w:tc>
        <w:tc>
          <w:tcPr>
            <w:tcW w:w="4876" w:type="dxa"/>
            <w:hideMark/>
          </w:tcPr>
          <w:p w14:paraId="6D3EF4AF" w14:textId="77777777" w:rsidR="003663AF" w:rsidRPr="00B7760C" w:rsidRDefault="003663AF" w:rsidP="00E804B7">
            <w:pPr>
              <w:pStyle w:val="Normal6"/>
              <w:rPr>
                <w:szCs w:val="24"/>
              </w:rPr>
            </w:pPr>
            <w:r w:rsidRPr="00B7760C">
              <w:t>(e)</w:t>
            </w:r>
            <w:r w:rsidRPr="00B7760C">
              <w:tab/>
              <w:t xml:space="preserve">vzpostavitev gospodarstev mladih </w:t>
            </w:r>
            <w:r w:rsidRPr="00B7760C">
              <w:rPr>
                <w:b/>
                <w:i/>
              </w:rPr>
              <w:t xml:space="preserve">in novih </w:t>
            </w:r>
            <w:r w:rsidRPr="00B7760C">
              <w:t xml:space="preserve">kmetov </w:t>
            </w:r>
            <w:r w:rsidRPr="00B7760C">
              <w:rPr>
                <w:b/>
                <w:i/>
              </w:rPr>
              <w:t>ter</w:t>
            </w:r>
            <w:r w:rsidRPr="00B7760C">
              <w:t xml:space="preserve"> zagon</w:t>
            </w:r>
            <w:r w:rsidRPr="00B7760C">
              <w:rPr>
                <w:b/>
                <w:i/>
              </w:rPr>
              <w:t xml:space="preserve"> in razvoj trajnostnih</w:t>
            </w:r>
            <w:r w:rsidRPr="00B7760C">
              <w:t xml:space="preserve"> podeželskih podjetij;</w:t>
            </w:r>
          </w:p>
        </w:tc>
      </w:tr>
    </w:tbl>
    <w:p w14:paraId="156C8452" w14:textId="77777777" w:rsidR="003663AF" w:rsidRPr="00B7760C" w:rsidRDefault="003663AF" w:rsidP="003663AF"/>
    <w:p w14:paraId="7F1D04AB" w14:textId="23FCCB54" w:rsidR="003663AF" w:rsidRPr="00B7760C" w:rsidRDefault="00877691" w:rsidP="003663AF">
      <w:pPr>
        <w:pStyle w:val="AMNumberTabs"/>
        <w:keepNext/>
      </w:pPr>
      <w:r w:rsidRPr="00B7760C">
        <w:t>Sprememba</w:t>
      </w:r>
      <w:r w:rsidR="003663AF" w:rsidRPr="00B7760C">
        <w:tab/>
      </w:r>
      <w:r w:rsidR="003663AF" w:rsidRPr="00B7760C">
        <w:tab/>
        <w:t>433</w:t>
      </w:r>
    </w:p>
    <w:p w14:paraId="17490DE2" w14:textId="77777777" w:rsidR="003663AF" w:rsidRPr="00B7760C" w:rsidRDefault="003663AF" w:rsidP="003663AF">
      <w:pPr>
        <w:pStyle w:val="NormalBold12b"/>
      </w:pPr>
      <w:r w:rsidRPr="00B7760C">
        <w:t>Predlog uredbe</w:t>
      </w:r>
    </w:p>
    <w:p w14:paraId="68A65105" w14:textId="77777777" w:rsidR="003663AF" w:rsidRPr="00B7760C" w:rsidRDefault="003663AF" w:rsidP="003663AF">
      <w:pPr>
        <w:pStyle w:val="NormalBold"/>
      </w:pPr>
      <w:r w:rsidRPr="00B7760C">
        <w:t>Člen 64 – odstavek 1 – točka e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987F1AC" w14:textId="77777777" w:rsidTr="00E804B7">
        <w:trPr>
          <w:jc w:val="center"/>
        </w:trPr>
        <w:tc>
          <w:tcPr>
            <w:tcW w:w="9752" w:type="dxa"/>
            <w:gridSpan w:val="2"/>
          </w:tcPr>
          <w:p w14:paraId="4F7F1651" w14:textId="77777777" w:rsidR="003663AF" w:rsidRPr="00B7760C" w:rsidRDefault="003663AF" w:rsidP="00E804B7">
            <w:pPr>
              <w:keepNext/>
            </w:pPr>
          </w:p>
        </w:tc>
      </w:tr>
      <w:tr w:rsidR="003663AF" w:rsidRPr="00B7760C" w14:paraId="750629F9" w14:textId="77777777" w:rsidTr="00E804B7">
        <w:trPr>
          <w:jc w:val="center"/>
        </w:trPr>
        <w:tc>
          <w:tcPr>
            <w:tcW w:w="4876" w:type="dxa"/>
            <w:hideMark/>
          </w:tcPr>
          <w:p w14:paraId="4F4F41EE" w14:textId="77777777" w:rsidR="003663AF" w:rsidRPr="00B7760C" w:rsidRDefault="003663AF" w:rsidP="00E804B7">
            <w:pPr>
              <w:pStyle w:val="ColumnHeading"/>
              <w:keepNext/>
            </w:pPr>
            <w:r w:rsidRPr="00B7760C">
              <w:t>Besedilo, ki ga predlaga Komisija</w:t>
            </w:r>
          </w:p>
        </w:tc>
        <w:tc>
          <w:tcPr>
            <w:tcW w:w="4876" w:type="dxa"/>
            <w:hideMark/>
          </w:tcPr>
          <w:p w14:paraId="2EA11743" w14:textId="34111312" w:rsidR="003663AF" w:rsidRPr="00B7760C" w:rsidRDefault="00877691" w:rsidP="00E804B7">
            <w:pPr>
              <w:pStyle w:val="ColumnHeading"/>
              <w:keepNext/>
            </w:pPr>
            <w:r w:rsidRPr="00B7760C">
              <w:t>Sprememba</w:t>
            </w:r>
          </w:p>
        </w:tc>
      </w:tr>
      <w:tr w:rsidR="003663AF" w:rsidRPr="00B7760C" w14:paraId="16389DFD" w14:textId="77777777" w:rsidTr="00E804B7">
        <w:trPr>
          <w:jc w:val="center"/>
        </w:trPr>
        <w:tc>
          <w:tcPr>
            <w:tcW w:w="4876" w:type="dxa"/>
          </w:tcPr>
          <w:p w14:paraId="08851DFC" w14:textId="77777777" w:rsidR="003663AF" w:rsidRPr="00B7760C" w:rsidRDefault="003663AF" w:rsidP="00E804B7">
            <w:pPr>
              <w:pStyle w:val="Normal6"/>
            </w:pPr>
          </w:p>
        </w:tc>
        <w:tc>
          <w:tcPr>
            <w:tcW w:w="4876" w:type="dxa"/>
            <w:hideMark/>
          </w:tcPr>
          <w:p w14:paraId="75DC0F01" w14:textId="77777777" w:rsidR="003663AF" w:rsidRPr="00B7760C" w:rsidRDefault="003663AF" w:rsidP="00E804B7">
            <w:pPr>
              <w:pStyle w:val="Normal6"/>
              <w:rPr>
                <w:szCs w:val="24"/>
              </w:rPr>
            </w:pPr>
            <w:r w:rsidRPr="00B7760C">
              <w:rPr>
                <w:b/>
                <w:i/>
              </w:rPr>
              <w:t>(ea)</w:t>
            </w:r>
            <w:r w:rsidRPr="00B7760C">
              <w:rPr>
                <w:b/>
                <w:i/>
              </w:rPr>
              <w:tab/>
              <w:t>ženske na podeželskih območjih;</w:t>
            </w:r>
          </w:p>
        </w:tc>
      </w:tr>
    </w:tbl>
    <w:p w14:paraId="1511B9DF" w14:textId="77777777" w:rsidR="003663AF" w:rsidRPr="00B7760C" w:rsidRDefault="003663AF" w:rsidP="003663AF"/>
    <w:p w14:paraId="64145403" w14:textId="0E15688E" w:rsidR="003663AF" w:rsidRPr="00B7760C" w:rsidRDefault="00877691" w:rsidP="003663AF">
      <w:pPr>
        <w:pStyle w:val="AMNumberTabs"/>
        <w:keepNext/>
      </w:pPr>
      <w:r w:rsidRPr="00B7760C">
        <w:t>Sprememba</w:t>
      </w:r>
      <w:r w:rsidR="003663AF" w:rsidRPr="00B7760C">
        <w:tab/>
      </w:r>
      <w:r w:rsidR="003663AF" w:rsidRPr="00B7760C">
        <w:tab/>
        <w:t>434</w:t>
      </w:r>
    </w:p>
    <w:p w14:paraId="7AE7D32C" w14:textId="77777777" w:rsidR="003663AF" w:rsidRPr="00B7760C" w:rsidRDefault="003663AF" w:rsidP="003663AF">
      <w:pPr>
        <w:pStyle w:val="NormalBold12b"/>
      </w:pPr>
      <w:r w:rsidRPr="00B7760C">
        <w:t>Predlog uredbe</w:t>
      </w:r>
    </w:p>
    <w:p w14:paraId="2A9D4841" w14:textId="77777777" w:rsidR="003663AF" w:rsidRPr="00B7760C" w:rsidRDefault="003663AF" w:rsidP="003663AF">
      <w:pPr>
        <w:pStyle w:val="NormalBold"/>
      </w:pPr>
      <w:r w:rsidRPr="00B7760C">
        <w:t>Člen 64 – odstavek 1 – točka h</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709A656" w14:textId="77777777" w:rsidTr="00E804B7">
        <w:trPr>
          <w:jc w:val="center"/>
        </w:trPr>
        <w:tc>
          <w:tcPr>
            <w:tcW w:w="9752" w:type="dxa"/>
            <w:gridSpan w:val="2"/>
          </w:tcPr>
          <w:p w14:paraId="6EE9B675" w14:textId="77777777" w:rsidR="003663AF" w:rsidRPr="00B7760C" w:rsidRDefault="003663AF" w:rsidP="00E804B7">
            <w:pPr>
              <w:keepNext/>
            </w:pPr>
          </w:p>
        </w:tc>
      </w:tr>
      <w:tr w:rsidR="003663AF" w:rsidRPr="00B7760C" w14:paraId="02D927E8" w14:textId="77777777" w:rsidTr="00E804B7">
        <w:trPr>
          <w:jc w:val="center"/>
        </w:trPr>
        <w:tc>
          <w:tcPr>
            <w:tcW w:w="4876" w:type="dxa"/>
            <w:hideMark/>
          </w:tcPr>
          <w:p w14:paraId="683EE038" w14:textId="77777777" w:rsidR="003663AF" w:rsidRPr="00B7760C" w:rsidRDefault="003663AF" w:rsidP="00E804B7">
            <w:pPr>
              <w:pStyle w:val="ColumnHeading"/>
              <w:keepNext/>
            </w:pPr>
            <w:r w:rsidRPr="00B7760C">
              <w:t>Besedilo, ki ga predlaga Komisija</w:t>
            </w:r>
          </w:p>
        </w:tc>
        <w:tc>
          <w:tcPr>
            <w:tcW w:w="4876" w:type="dxa"/>
            <w:hideMark/>
          </w:tcPr>
          <w:p w14:paraId="4F2CC046" w14:textId="6658C498" w:rsidR="003663AF" w:rsidRPr="00B7760C" w:rsidRDefault="00877691" w:rsidP="00E804B7">
            <w:pPr>
              <w:pStyle w:val="ColumnHeading"/>
              <w:keepNext/>
            </w:pPr>
            <w:r w:rsidRPr="00B7760C">
              <w:t>Sprememba</w:t>
            </w:r>
          </w:p>
        </w:tc>
      </w:tr>
      <w:tr w:rsidR="003663AF" w:rsidRPr="00B7760C" w14:paraId="44A53BF7" w14:textId="77777777" w:rsidTr="00E804B7">
        <w:trPr>
          <w:jc w:val="center"/>
        </w:trPr>
        <w:tc>
          <w:tcPr>
            <w:tcW w:w="4876" w:type="dxa"/>
          </w:tcPr>
          <w:p w14:paraId="5FDCA707" w14:textId="77777777" w:rsidR="003663AF" w:rsidRPr="00B7760C" w:rsidRDefault="003663AF" w:rsidP="00E804B7">
            <w:pPr>
              <w:pStyle w:val="Normal6"/>
            </w:pPr>
            <w:r w:rsidRPr="00B7760C">
              <w:t>(h)</w:t>
            </w:r>
            <w:r w:rsidRPr="00B7760C">
              <w:rPr>
                <w:b/>
                <w:i/>
              </w:rPr>
              <w:tab/>
            </w:r>
            <w:r w:rsidRPr="00B7760C">
              <w:t>izmenjava znanja in informiranje</w:t>
            </w:r>
            <w:r w:rsidRPr="00B7760C">
              <w:rPr>
                <w:b/>
                <w:i/>
              </w:rPr>
              <w:t>.</w:t>
            </w:r>
          </w:p>
        </w:tc>
        <w:tc>
          <w:tcPr>
            <w:tcW w:w="4876" w:type="dxa"/>
          </w:tcPr>
          <w:p w14:paraId="2F0096C8" w14:textId="1B67A069" w:rsidR="003663AF" w:rsidRPr="00B7760C" w:rsidRDefault="003663AF" w:rsidP="00240E71">
            <w:pPr>
              <w:pStyle w:val="Normal6"/>
              <w:rPr>
                <w:szCs w:val="24"/>
              </w:rPr>
            </w:pPr>
            <w:r w:rsidRPr="00B7760C">
              <w:t>(h)</w:t>
            </w:r>
            <w:r w:rsidRPr="00B7760C">
              <w:rPr>
                <w:b/>
                <w:i/>
              </w:rPr>
              <w:tab/>
            </w:r>
            <w:r w:rsidRPr="00B7760C">
              <w:t xml:space="preserve">izmenjava znanja in informiranje </w:t>
            </w:r>
            <w:r w:rsidRPr="00B7760C">
              <w:rPr>
                <w:b/>
                <w:i/>
              </w:rPr>
              <w:t>ter</w:t>
            </w:r>
          </w:p>
        </w:tc>
      </w:tr>
    </w:tbl>
    <w:p w14:paraId="11FA4D3F" w14:textId="77777777" w:rsidR="003663AF" w:rsidRPr="00B7760C" w:rsidRDefault="003663AF" w:rsidP="003663AF"/>
    <w:p w14:paraId="4A722D8C" w14:textId="77777777" w:rsidR="003663AF" w:rsidRPr="00B7760C" w:rsidRDefault="003663AF" w:rsidP="003663AF">
      <w:pPr>
        <w:pStyle w:val="Normal6"/>
      </w:pPr>
    </w:p>
    <w:p w14:paraId="194A2E86" w14:textId="38849641" w:rsidR="003663AF" w:rsidRPr="00B7760C" w:rsidRDefault="00877691" w:rsidP="00615734">
      <w:pPr>
        <w:pStyle w:val="AMNumberTabs"/>
        <w:keepNext/>
      </w:pPr>
      <w:r w:rsidRPr="00B7760C">
        <w:t>Sprememb</w:t>
      </w:r>
      <w:r w:rsidR="00615734" w:rsidRPr="00B7760C">
        <w:t>e</w:t>
      </w:r>
      <w:r w:rsidR="003663AF" w:rsidRPr="00B7760C">
        <w:tab/>
      </w:r>
      <w:r w:rsidR="003663AF" w:rsidRPr="00B7760C">
        <w:tab/>
        <w:t>435</w:t>
      </w:r>
      <w:r w:rsidR="00615734" w:rsidRPr="00B7760C">
        <w:t>, 1123 cp2 in 1165 cp2</w:t>
      </w:r>
    </w:p>
    <w:p w14:paraId="4DE79C47" w14:textId="77777777" w:rsidR="003663AF" w:rsidRPr="00B7760C" w:rsidRDefault="003663AF" w:rsidP="003663AF">
      <w:pPr>
        <w:pStyle w:val="NormalBold12b"/>
      </w:pPr>
      <w:r w:rsidRPr="00B7760C">
        <w:t>Predlog uredbe</w:t>
      </w:r>
    </w:p>
    <w:p w14:paraId="49632237" w14:textId="77777777" w:rsidR="003663AF" w:rsidRPr="00B7760C" w:rsidRDefault="003663AF" w:rsidP="003663AF">
      <w:pPr>
        <w:pStyle w:val="NormalBold"/>
      </w:pPr>
      <w:r w:rsidRPr="00B7760C">
        <w:t>Člen 64 – odstavek 1 – točka h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F0FE3E5" w14:textId="77777777" w:rsidTr="00E804B7">
        <w:trPr>
          <w:jc w:val="center"/>
        </w:trPr>
        <w:tc>
          <w:tcPr>
            <w:tcW w:w="9752" w:type="dxa"/>
            <w:gridSpan w:val="2"/>
          </w:tcPr>
          <w:p w14:paraId="7B246A53" w14:textId="77777777" w:rsidR="003663AF" w:rsidRPr="00B7760C" w:rsidRDefault="003663AF" w:rsidP="00E804B7">
            <w:pPr>
              <w:keepNext/>
            </w:pPr>
          </w:p>
        </w:tc>
      </w:tr>
      <w:tr w:rsidR="003663AF" w:rsidRPr="00B7760C" w14:paraId="6BD96C06" w14:textId="77777777" w:rsidTr="00E804B7">
        <w:trPr>
          <w:jc w:val="center"/>
        </w:trPr>
        <w:tc>
          <w:tcPr>
            <w:tcW w:w="4876" w:type="dxa"/>
            <w:hideMark/>
          </w:tcPr>
          <w:p w14:paraId="5FA697D7" w14:textId="77777777" w:rsidR="003663AF" w:rsidRPr="00B7760C" w:rsidRDefault="003663AF" w:rsidP="00E804B7">
            <w:pPr>
              <w:pStyle w:val="ColumnHeading"/>
              <w:keepNext/>
            </w:pPr>
            <w:r w:rsidRPr="00B7760C">
              <w:t>Besedilo, ki ga predlaga Komisija</w:t>
            </w:r>
          </w:p>
        </w:tc>
        <w:tc>
          <w:tcPr>
            <w:tcW w:w="4876" w:type="dxa"/>
            <w:hideMark/>
          </w:tcPr>
          <w:p w14:paraId="151BF02B" w14:textId="671BFF3B" w:rsidR="003663AF" w:rsidRPr="00B7760C" w:rsidRDefault="00877691" w:rsidP="00E804B7">
            <w:pPr>
              <w:pStyle w:val="ColumnHeading"/>
              <w:keepNext/>
            </w:pPr>
            <w:r w:rsidRPr="00B7760C">
              <w:t>Sprememba</w:t>
            </w:r>
          </w:p>
        </w:tc>
      </w:tr>
      <w:tr w:rsidR="003663AF" w:rsidRPr="00B7760C" w14:paraId="7CBA4B22" w14:textId="77777777" w:rsidTr="00E804B7">
        <w:trPr>
          <w:jc w:val="center"/>
        </w:trPr>
        <w:tc>
          <w:tcPr>
            <w:tcW w:w="4876" w:type="dxa"/>
          </w:tcPr>
          <w:p w14:paraId="0F120A2F" w14:textId="77777777" w:rsidR="003663AF" w:rsidRPr="00B7760C" w:rsidRDefault="003663AF" w:rsidP="00E804B7">
            <w:pPr>
              <w:pStyle w:val="Normal6"/>
            </w:pPr>
          </w:p>
        </w:tc>
        <w:tc>
          <w:tcPr>
            <w:tcW w:w="4876" w:type="dxa"/>
            <w:hideMark/>
          </w:tcPr>
          <w:p w14:paraId="421D650C" w14:textId="77777777" w:rsidR="003663AF" w:rsidRPr="00B7760C" w:rsidRDefault="003663AF" w:rsidP="00E804B7">
            <w:pPr>
              <w:pStyle w:val="Normal6"/>
              <w:rPr>
                <w:szCs w:val="24"/>
              </w:rPr>
            </w:pPr>
            <w:r w:rsidRPr="00B7760C">
              <w:rPr>
                <w:b/>
                <w:i/>
              </w:rPr>
              <w:t>(ha)</w:t>
            </w:r>
            <w:r w:rsidRPr="00B7760C">
              <w:rPr>
                <w:b/>
                <w:i/>
              </w:rPr>
              <w:tab/>
              <w:t>namestitev digitalnih tehnologij.</w:t>
            </w:r>
          </w:p>
        </w:tc>
      </w:tr>
    </w:tbl>
    <w:p w14:paraId="11E14606" w14:textId="77777777" w:rsidR="003663AF" w:rsidRPr="00B7760C" w:rsidRDefault="003663AF" w:rsidP="003663AF"/>
    <w:p w14:paraId="326BAB00" w14:textId="2867E447" w:rsidR="003663AF" w:rsidRPr="00B7760C" w:rsidRDefault="003663AF" w:rsidP="003663AF"/>
    <w:p w14:paraId="36074BEB" w14:textId="455D8411" w:rsidR="00EE51BC" w:rsidRPr="00B7760C" w:rsidRDefault="007768A6" w:rsidP="007768A6">
      <w:pPr>
        <w:pStyle w:val="AmNumberTabs0"/>
      </w:pPr>
      <w:r w:rsidRPr="00B7760C">
        <w:t>S</w:t>
      </w:r>
      <w:r w:rsidR="00EE51BC" w:rsidRPr="00B7760C">
        <w:t>prememb</w:t>
      </w:r>
      <w:r w:rsidRPr="00B7760C">
        <w:t>a</w:t>
      </w:r>
      <w:r w:rsidR="00EE51BC" w:rsidRPr="00B7760C">
        <w:tab/>
      </w:r>
      <w:r w:rsidR="00EE51BC" w:rsidRPr="00B7760C">
        <w:tab/>
        <w:t>1133</w:t>
      </w:r>
    </w:p>
    <w:p w14:paraId="50F853A8" w14:textId="77777777" w:rsidR="00EE51BC" w:rsidRPr="00B7760C" w:rsidRDefault="00EE51BC" w:rsidP="00EE51BC">
      <w:pPr>
        <w:pStyle w:val="NormalBold12b"/>
      </w:pPr>
      <w:r w:rsidRPr="00B7760C">
        <w:t>Predlog uredbe</w:t>
      </w:r>
    </w:p>
    <w:p w14:paraId="61AE3357" w14:textId="77777777" w:rsidR="00EE51BC" w:rsidRPr="00B7760C" w:rsidRDefault="00EE51BC" w:rsidP="00EE51BC">
      <w:pPr>
        <w:pStyle w:val="NormalBold"/>
      </w:pPr>
      <w:r w:rsidRPr="00B7760C">
        <w:t>Člen 65</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EE51BC" w:rsidRPr="00B7760C" w14:paraId="25E965FC" w14:textId="77777777" w:rsidTr="004F0B88">
        <w:trPr>
          <w:jc w:val="center"/>
        </w:trPr>
        <w:tc>
          <w:tcPr>
            <w:tcW w:w="9752" w:type="dxa"/>
            <w:gridSpan w:val="2"/>
          </w:tcPr>
          <w:p w14:paraId="72F46C3D" w14:textId="77777777" w:rsidR="00EE51BC" w:rsidRPr="00B7760C" w:rsidRDefault="00EE51BC" w:rsidP="004F0B88">
            <w:pPr>
              <w:keepNext/>
            </w:pPr>
          </w:p>
        </w:tc>
      </w:tr>
      <w:tr w:rsidR="00EE51BC" w:rsidRPr="00B7760C" w14:paraId="03941869" w14:textId="77777777" w:rsidTr="004F0B88">
        <w:trPr>
          <w:jc w:val="center"/>
        </w:trPr>
        <w:tc>
          <w:tcPr>
            <w:tcW w:w="4876" w:type="dxa"/>
          </w:tcPr>
          <w:p w14:paraId="05FA37E9" w14:textId="77777777" w:rsidR="00EE51BC" w:rsidRPr="00B7760C" w:rsidRDefault="00EE51BC" w:rsidP="004F0B88">
            <w:pPr>
              <w:pStyle w:val="AmColumnHeading"/>
              <w:keepNext/>
            </w:pPr>
            <w:r w:rsidRPr="00B7760C">
              <w:t>Besedilo, ki ga predlaga Komisija</w:t>
            </w:r>
          </w:p>
        </w:tc>
        <w:tc>
          <w:tcPr>
            <w:tcW w:w="4876" w:type="dxa"/>
          </w:tcPr>
          <w:p w14:paraId="6B3FA46F" w14:textId="1F9DE9C6" w:rsidR="00EE51BC" w:rsidRPr="00B7760C" w:rsidRDefault="007768A6" w:rsidP="007768A6">
            <w:pPr>
              <w:pStyle w:val="AmColumnHeading"/>
              <w:keepNext/>
            </w:pPr>
            <w:r w:rsidRPr="00B7760C">
              <w:t>S</w:t>
            </w:r>
            <w:r w:rsidR="00EE51BC" w:rsidRPr="00B7760C">
              <w:t>prememb</w:t>
            </w:r>
            <w:r w:rsidRPr="00B7760C">
              <w:t>a</w:t>
            </w:r>
          </w:p>
        </w:tc>
      </w:tr>
      <w:tr w:rsidR="00EE51BC" w:rsidRPr="00B7760C" w14:paraId="38613C9E" w14:textId="77777777" w:rsidTr="004F0B88">
        <w:trPr>
          <w:jc w:val="center"/>
        </w:trPr>
        <w:tc>
          <w:tcPr>
            <w:tcW w:w="4876" w:type="dxa"/>
          </w:tcPr>
          <w:p w14:paraId="63791EC7" w14:textId="77777777" w:rsidR="00EE51BC" w:rsidRPr="00B7760C" w:rsidRDefault="00EE51BC" w:rsidP="004F0B88">
            <w:pPr>
              <w:pStyle w:val="Normal6a"/>
              <w:jc w:val="center"/>
            </w:pPr>
            <w:r w:rsidRPr="00B7760C">
              <w:t>Člen 65</w:t>
            </w:r>
          </w:p>
        </w:tc>
        <w:tc>
          <w:tcPr>
            <w:tcW w:w="4876" w:type="dxa"/>
          </w:tcPr>
          <w:p w14:paraId="389E9FB2" w14:textId="77777777" w:rsidR="00EE51BC" w:rsidRPr="00B7760C" w:rsidRDefault="00EE51BC" w:rsidP="004F0B88">
            <w:pPr>
              <w:pStyle w:val="Normal6a"/>
              <w:jc w:val="center"/>
              <w:rPr>
                <w:szCs w:val="24"/>
              </w:rPr>
            </w:pPr>
            <w:r w:rsidRPr="00B7760C">
              <w:t>Člen 65</w:t>
            </w:r>
          </w:p>
        </w:tc>
      </w:tr>
      <w:tr w:rsidR="00EE51BC" w:rsidRPr="00B7760C" w14:paraId="5B8D903E" w14:textId="77777777" w:rsidTr="004F0B88">
        <w:tblPrEx>
          <w:tblLook w:val="04A0" w:firstRow="1" w:lastRow="0" w:firstColumn="1" w:lastColumn="0" w:noHBand="0" w:noVBand="1"/>
        </w:tblPrEx>
        <w:trPr>
          <w:jc w:val="center"/>
        </w:trPr>
        <w:tc>
          <w:tcPr>
            <w:tcW w:w="4876" w:type="dxa"/>
          </w:tcPr>
          <w:p w14:paraId="055F41C8" w14:textId="77777777" w:rsidR="00EE51BC" w:rsidRPr="00B7760C" w:rsidRDefault="00EE51BC" w:rsidP="004F0B88">
            <w:pPr>
              <w:pStyle w:val="Normal6"/>
              <w:jc w:val="center"/>
            </w:pPr>
            <w:r w:rsidRPr="00B7760C">
              <w:rPr>
                <w:b/>
                <w:i/>
              </w:rPr>
              <w:t>Okoljske</w:t>
            </w:r>
            <w:r w:rsidRPr="00B7760C">
              <w:t xml:space="preserve">, </w:t>
            </w:r>
            <w:r w:rsidRPr="00B7760C">
              <w:rPr>
                <w:b/>
                <w:i/>
              </w:rPr>
              <w:t>podnebne</w:t>
            </w:r>
            <w:r w:rsidRPr="00B7760C">
              <w:t xml:space="preserve"> in druge upravljavske obveznosti</w:t>
            </w:r>
          </w:p>
        </w:tc>
        <w:tc>
          <w:tcPr>
            <w:tcW w:w="4876" w:type="dxa"/>
          </w:tcPr>
          <w:p w14:paraId="326B5AF7" w14:textId="1C7FC72F" w:rsidR="00EE51BC" w:rsidRPr="00B7760C" w:rsidRDefault="00EE51BC" w:rsidP="004F0B88">
            <w:pPr>
              <w:pStyle w:val="Normal6"/>
              <w:jc w:val="center"/>
            </w:pPr>
            <w:r w:rsidRPr="00B7760C">
              <w:rPr>
                <w:b/>
                <w:i/>
              </w:rPr>
              <w:t xml:space="preserve">Kmetijsko-okoljska </w:t>
            </w:r>
            <w:r w:rsidR="00CC51B6" w:rsidRPr="00B7760C">
              <w:rPr>
                <w:b/>
                <w:i/>
              </w:rPr>
              <w:t>trajnost</w:t>
            </w:r>
            <w:r w:rsidRPr="00B7760C">
              <w:t xml:space="preserve">, </w:t>
            </w:r>
            <w:r w:rsidRPr="00B7760C">
              <w:rPr>
                <w:b/>
                <w:i/>
              </w:rPr>
              <w:t>ukrepi za blažitev podnebnih sprememb</w:t>
            </w:r>
            <w:r w:rsidRPr="00B7760C">
              <w:t xml:space="preserve"> in </w:t>
            </w:r>
            <w:r w:rsidRPr="00B7760C">
              <w:rPr>
                <w:b/>
                <w:i/>
              </w:rPr>
              <w:t xml:space="preserve">prilagajanje nanje ter </w:t>
            </w:r>
            <w:r w:rsidRPr="00B7760C">
              <w:t>druge upravljavske obveznosti</w:t>
            </w:r>
            <w:r w:rsidRPr="00B7760C">
              <w:rPr>
                <w:b/>
                <w:i/>
              </w:rPr>
              <w:t>, koristne za okolje</w:t>
            </w:r>
          </w:p>
        </w:tc>
      </w:tr>
      <w:tr w:rsidR="00EE51BC" w:rsidRPr="00B7760C" w14:paraId="031FEB48" w14:textId="77777777" w:rsidTr="004F0B88">
        <w:tblPrEx>
          <w:tblLook w:val="04A0" w:firstRow="1" w:lastRow="0" w:firstColumn="1" w:lastColumn="0" w:noHBand="0" w:noVBand="1"/>
        </w:tblPrEx>
        <w:trPr>
          <w:jc w:val="center"/>
        </w:trPr>
        <w:tc>
          <w:tcPr>
            <w:tcW w:w="4876" w:type="dxa"/>
            <w:hideMark/>
          </w:tcPr>
          <w:p w14:paraId="60E3848C" w14:textId="77777777" w:rsidR="00EE51BC" w:rsidRPr="00B7760C" w:rsidRDefault="00EE51BC" w:rsidP="004F0B88">
            <w:pPr>
              <w:pStyle w:val="Normal6"/>
            </w:pPr>
            <w:r w:rsidRPr="00B7760C">
              <w:t>1.</w:t>
            </w:r>
            <w:r w:rsidRPr="00B7760C">
              <w:tab/>
              <w:t xml:space="preserve">Države članice lahko odobrijo plačila za </w:t>
            </w:r>
            <w:r w:rsidRPr="00B7760C">
              <w:rPr>
                <w:b/>
                <w:i/>
              </w:rPr>
              <w:t>okoljske</w:t>
            </w:r>
            <w:r w:rsidRPr="00B7760C">
              <w:t xml:space="preserve">, </w:t>
            </w:r>
            <w:r w:rsidRPr="00B7760C">
              <w:rPr>
                <w:b/>
                <w:i/>
              </w:rPr>
              <w:t>podnebne</w:t>
            </w:r>
            <w:r w:rsidRPr="00B7760C">
              <w:t xml:space="preserve"> in druge upravljavske obveznosti v skladu s pogoji iz tega člena in kot je podrobneje opredeljeno v njihovih strateških načrtih SKP.</w:t>
            </w:r>
          </w:p>
        </w:tc>
        <w:tc>
          <w:tcPr>
            <w:tcW w:w="4876" w:type="dxa"/>
            <w:hideMark/>
          </w:tcPr>
          <w:p w14:paraId="1360C987" w14:textId="77777777" w:rsidR="00EE51BC" w:rsidRPr="00B7760C" w:rsidRDefault="00EE51BC" w:rsidP="004F0B88">
            <w:pPr>
              <w:pStyle w:val="Normal6"/>
              <w:rPr>
                <w:szCs w:val="24"/>
              </w:rPr>
            </w:pPr>
            <w:r w:rsidRPr="00B7760C">
              <w:t>1.</w:t>
            </w:r>
            <w:r w:rsidRPr="00B7760C">
              <w:tab/>
              <w:t xml:space="preserve">Države članice lahko odobrijo plačila za </w:t>
            </w:r>
            <w:r w:rsidRPr="00B7760C">
              <w:rPr>
                <w:b/>
                <w:i/>
              </w:rPr>
              <w:t>kmetijsko-okoljske trajnostne prakse</w:t>
            </w:r>
            <w:r w:rsidRPr="00B7760C">
              <w:t xml:space="preserve">, </w:t>
            </w:r>
            <w:r w:rsidRPr="00B7760C">
              <w:rPr>
                <w:b/>
                <w:i/>
              </w:rPr>
              <w:t>blaženje podnebnih sprememb</w:t>
            </w:r>
            <w:r w:rsidRPr="00B7760C">
              <w:t xml:space="preserve"> in</w:t>
            </w:r>
            <w:r w:rsidRPr="00B7760C">
              <w:rPr>
                <w:b/>
                <w:i/>
              </w:rPr>
              <w:t xml:space="preserve"> prilagajanje nanje, vključno z upravljanjem naravnih tveganj, ter</w:t>
            </w:r>
            <w:r w:rsidRPr="00B7760C">
              <w:t xml:space="preserve"> druge upravljavske obveznosti</w:t>
            </w:r>
            <w:r w:rsidRPr="00B7760C">
              <w:rPr>
                <w:b/>
                <w:i/>
              </w:rPr>
              <w:t>, kot so gozdarstvo, varstvo in izboljšanje genskih virov ter zdravje in dobrobit živali,</w:t>
            </w:r>
            <w:r w:rsidRPr="00B7760C">
              <w:t xml:space="preserve"> v skladu s pogoji iz tega člena in kot je podrobneje opredeljeno v njihovih strateških načrtih SKP.</w:t>
            </w:r>
          </w:p>
        </w:tc>
      </w:tr>
      <w:tr w:rsidR="00EE51BC" w:rsidRPr="00B7760C" w14:paraId="63E185E5" w14:textId="77777777" w:rsidTr="004F0B88">
        <w:tblPrEx>
          <w:tblLook w:val="04A0" w:firstRow="1" w:lastRow="0" w:firstColumn="1" w:lastColumn="0" w:noHBand="0" w:noVBand="1"/>
        </w:tblPrEx>
        <w:trPr>
          <w:jc w:val="center"/>
        </w:trPr>
        <w:tc>
          <w:tcPr>
            <w:tcW w:w="4876" w:type="dxa"/>
            <w:hideMark/>
          </w:tcPr>
          <w:p w14:paraId="7A91D536" w14:textId="77777777" w:rsidR="00EE51BC" w:rsidRPr="00B7760C" w:rsidRDefault="00EE51BC" w:rsidP="004F0B88">
            <w:pPr>
              <w:pStyle w:val="Normal6"/>
            </w:pPr>
            <w:r w:rsidRPr="00B7760C">
              <w:t>2.</w:t>
            </w:r>
            <w:r w:rsidRPr="00B7760C">
              <w:tab/>
              <w:t>Države članice kmetijsko-okoljsko-podnebne obveznosti vključijo v svoje strateške načrte SKP.</w:t>
            </w:r>
          </w:p>
        </w:tc>
        <w:tc>
          <w:tcPr>
            <w:tcW w:w="4876" w:type="dxa"/>
            <w:hideMark/>
          </w:tcPr>
          <w:p w14:paraId="47AD7154" w14:textId="77777777" w:rsidR="00EE51BC" w:rsidRPr="00B7760C" w:rsidRDefault="00EE51BC" w:rsidP="004F0B88">
            <w:pPr>
              <w:pStyle w:val="Normal6"/>
              <w:rPr>
                <w:szCs w:val="24"/>
              </w:rPr>
            </w:pPr>
            <w:r w:rsidRPr="00B7760C">
              <w:t>2.</w:t>
            </w:r>
            <w:r w:rsidRPr="00B7760C">
              <w:tab/>
              <w:t>Države članice kmetijsko-okoljsko-podnebne obveznosti vključijo v svoje strateške načrte SKP.</w:t>
            </w:r>
          </w:p>
        </w:tc>
      </w:tr>
      <w:tr w:rsidR="00EE51BC" w:rsidRPr="00B7760C" w14:paraId="01807D7F" w14:textId="77777777" w:rsidTr="004F0B88">
        <w:tblPrEx>
          <w:tblLook w:val="04A0" w:firstRow="1" w:lastRow="0" w:firstColumn="1" w:lastColumn="0" w:noHBand="0" w:noVBand="1"/>
        </w:tblPrEx>
        <w:trPr>
          <w:jc w:val="center"/>
        </w:trPr>
        <w:tc>
          <w:tcPr>
            <w:tcW w:w="4876" w:type="dxa"/>
            <w:hideMark/>
          </w:tcPr>
          <w:p w14:paraId="5DDA8EFC" w14:textId="77777777" w:rsidR="00EE51BC" w:rsidRPr="00B7760C" w:rsidRDefault="00EE51BC" w:rsidP="004F0B88">
            <w:pPr>
              <w:pStyle w:val="Normal6"/>
            </w:pPr>
            <w:r w:rsidRPr="00B7760C">
              <w:t>3.</w:t>
            </w:r>
            <w:r w:rsidRPr="00B7760C">
              <w:tab/>
              <w:t xml:space="preserve">Države članice </w:t>
            </w:r>
            <w:r w:rsidRPr="00B7760C">
              <w:rPr>
                <w:b/>
                <w:i/>
              </w:rPr>
              <w:t xml:space="preserve">lahko </w:t>
            </w:r>
            <w:r w:rsidRPr="00B7760C">
              <w:t>možnost pridobitve podpore v okviru te vrste intervencij v skladu s svojimi nacionalno, regionalno ali lokalno specifičnimi potrebami zagotovijo na svojem celotnem ozemlju.</w:t>
            </w:r>
          </w:p>
        </w:tc>
        <w:tc>
          <w:tcPr>
            <w:tcW w:w="4876" w:type="dxa"/>
            <w:hideMark/>
          </w:tcPr>
          <w:p w14:paraId="24AC4FDC" w14:textId="77777777" w:rsidR="00EE51BC" w:rsidRPr="00B7760C" w:rsidRDefault="00EE51BC" w:rsidP="004F0B88">
            <w:pPr>
              <w:pStyle w:val="Normal6"/>
              <w:rPr>
                <w:szCs w:val="24"/>
              </w:rPr>
            </w:pPr>
            <w:r w:rsidRPr="00B7760C">
              <w:t>3.</w:t>
            </w:r>
            <w:r w:rsidRPr="00B7760C">
              <w:tab/>
              <w:t xml:space="preserve">Države članice možnost pridobitve podpore v okviru te vrste intervencij v skladu s svojimi nacionalno, regionalno ali lokalno specifičnimi potrebami zagotovijo na svojem celotnem ozemlju. </w:t>
            </w:r>
            <w:r w:rsidRPr="00B7760C">
              <w:rPr>
                <w:b/>
                <w:i/>
              </w:rPr>
              <w:t>Ta podpora ne presega najvišjih zneskov iz Priloge IXaa.</w:t>
            </w:r>
          </w:p>
        </w:tc>
      </w:tr>
      <w:tr w:rsidR="00EE51BC" w:rsidRPr="00B7760C" w14:paraId="1636D335" w14:textId="77777777" w:rsidTr="004F0B88">
        <w:tblPrEx>
          <w:tblLook w:val="04A0" w:firstRow="1" w:lastRow="0" w:firstColumn="1" w:lastColumn="0" w:noHBand="0" w:noVBand="1"/>
        </w:tblPrEx>
        <w:trPr>
          <w:jc w:val="center"/>
        </w:trPr>
        <w:tc>
          <w:tcPr>
            <w:tcW w:w="4876" w:type="dxa"/>
            <w:hideMark/>
          </w:tcPr>
          <w:p w14:paraId="395B2B0F" w14:textId="77777777" w:rsidR="00EE51BC" w:rsidRPr="00B7760C" w:rsidRDefault="00EE51BC" w:rsidP="004F0B88">
            <w:pPr>
              <w:pStyle w:val="Normal6"/>
            </w:pPr>
            <w:r w:rsidRPr="00B7760C">
              <w:t>4.</w:t>
            </w:r>
            <w:r w:rsidRPr="00B7760C">
              <w:tab/>
              <w:t xml:space="preserve">Države članice odobrijo plačila samo tistim kmetom in drugim </w:t>
            </w:r>
            <w:r w:rsidRPr="00B7760C">
              <w:rPr>
                <w:b/>
                <w:i/>
              </w:rPr>
              <w:t>upravičencem</w:t>
            </w:r>
            <w:r w:rsidRPr="00B7760C">
              <w:t>, ki prostovoljno sprejmejo upravljavske obveznosti, za katere velja, da pripomorejo k uresničevanju specifičnih ciljev iz člena 6(1).</w:t>
            </w:r>
          </w:p>
        </w:tc>
        <w:tc>
          <w:tcPr>
            <w:tcW w:w="4876" w:type="dxa"/>
            <w:hideMark/>
          </w:tcPr>
          <w:p w14:paraId="798FA195" w14:textId="77777777" w:rsidR="00EE51BC" w:rsidRPr="00B7760C" w:rsidRDefault="00EE51BC" w:rsidP="004F0B88">
            <w:pPr>
              <w:pStyle w:val="Normal6"/>
              <w:rPr>
                <w:szCs w:val="24"/>
              </w:rPr>
            </w:pPr>
            <w:r w:rsidRPr="00B7760C">
              <w:t>4.</w:t>
            </w:r>
            <w:r w:rsidRPr="00B7760C">
              <w:tab/>
              <w:t>Države članice odobrijo plačila samo tistim kmetom</w:t>
            </w:r>
            <w:r w:rsidRPr="00B7760C">
              <w:rPr>
                <w:b/>
                <w:i/>
              </w:rPr>
              <w:t>, skupinam kmetov</w:t>
            </w:r>
            <w:r w:rsidRPr="00B7760C">
              <w:t xml:space="preserve"> in drugim </w:t>
            </w:r>
            <w:r w:rsidRPr="00B7760C">
              <w:rPr>
                <w:b/>
                <w:i/>
              </w:rPr>
              <w:t>upravljavcem zemljišč</w:t>
            </w:r>
            <w:r w:rsidRPr="00B7760C">
              <w:t xml:space="preserve">, ki prostovoljno sprejmejo upravljavske obveznosti, </w:t>
            </w:r>
            <w:r w:rsidRPr="00B7760C">
              <w:rPr>
                <w:b/>
                <w:i/>
              </w:rPr>
              <w:t xml:space="preserve">kot je ustrezno varstvo mokrišč in organskih tal, </w:t>
            </w:r>
            <w:r w:rsidRPr="00B7760C">
              <w:t xml:space="preserve">za katere velja, da pripomorejo k uresničevanju </w:t>
            </w:r>
            <w:r w:rsidRPr="00B7760C">
              <w:rPr>
                <w:b/>
                <w:i/>
              </w:rPr>
              <w:t xml:space="preserve">ustreznih </w:t>
            </w:r>
            <w:r w:rsidRPr="00B7760C">
              <w:t xml:space="preserve">specifičnih ciljev iz člena 6(1). </w:t>
            </w:r>
            <w:r w:rsidRPr="00B7760C">
              <w:rPr>
                <w:b/>
                <w:i/>
              </w:rPr>
              <w:t>Prednost lahko imajo sheme, ki so posebej usmerjene na obravnavanje razmer in potreb v lokalnem okolju ter po potrebi prispevajo k uresničevanju ciljev iz zakonodajnih aktov, navedenih v Prilogi XI.</w:t>
            </w:r>
          </w:p>
        </w:tc>
      </w:tr>
      <w:tr w:rsidR="00EE51BC" w:rsidRPr="00B7760C" w14:paraId="704C8F54" w14:textId="77777777" w:rsidTr="004F0B88">
        <w:tblPrEx>
          <w:tblLook w:val="04A0" w:firstRow="1" w:lastRow="0" w:firstColumn="1" w:lastColumn="0" w:noHBand="0" w:noVBand="1"/>
        </w:tblPrEx>
        <w:trPr>
          <w:jc w:val="center"/>
        </w:trPr>
        <w:tc>
          <w:tcPr>
            <w:tcW w:w="4876" w:type="dxa"/>
            <w:hideMark/>
          </w:tcPr>
          <w:p w14:paraId="50515851" w14:textId="77777777" w:rsidR="00EE51BC" w:rsidRPr="00B7760C" w:rsidRDefault="00EE51BC" w:rsidP="004F0B88">
            <w:pPr>
              <w:pStyle w:val="Normal6"/>
            </w:pPr>
            <w:r w:rsidRPr="00B7760C">
              <w:t>5.</w:t>
            </w:r>
            <w:r w:rsidRPr="00B7760C">
              <w:tab/>
              <w:t>V okviru tovrstnih intervencij države članice določijo le plačila, ki zajemajo obveznosti, ki:</w:t>
            </w:r>
          </w:p>
        </w:tc>
        <w:tc>
          <w:tcPr>
            <w:tcW w:w="4876" w:type="dxa"/>
            <w:hideMark/>
          </w:tcPr>
          <w:p w14:paraId="5BB600E1" w14:textId="77777777" w:rsidR="00EE51BC" w:rsidRPr="00B7760C" w:rsidRDefault="00EE51BC" w:rsidP="004F0B88">
            <w:pPr>
              <w:pStyle w:val="Normal6"/>
              <w:rPr>
                <w:szCs w:val="24"/>
              </w:rPr>
            </w:pPr>
            <w:r w:rsidRPr="00B7760C">
              <w:t>5.</w:t>
            </w:r>
            <w:r w:rsidRPr="00B7760C">
              <w:tab/>
              <w:t>V okviru tovrstnih intervencij države članice določijo le plačila, ki zajemajo obveznosti, ki:</w:t>
            </w:r>
          </w:p>
        </w:tc>
      </w:tr>
      <w:tr w:rsidR="00EE51BC" w:rsidRPr="00B7760C" w14:paraId="63724D68" w14:textId="77777777" w:rsidTr="004F0B88">
        <w:tblPrEx>
          <w:tblLook w:val="04A0" w:firstRow="1" w:lastRow="0" w:firstColumn="1" w:lastColumn="0" w:noHBand="0" w:noVBand="1"/>
        </w:tblPrEx>
        <w:trPr>
          <w:jc w:val="center"/>
        </w:trPr>
        <w:tc>
          <w:tcPr>
            <w:tcW w:w="4876" w:type="dxa"/>
            <w:hideMark/>
          </w:tcPr>
          <w:p w14:paraId="44237051" w14:textId="77777777" w:rsidR="00EE51BC" w:rsidRPr="00B7760C" w:rsidRDefault="00EE51BC" w:rsidP="004F0B88">
            <w:pPr>
              <w:pStyle w:val="Normal6"/>
            </w:pPr>
            <w:r w:rsidRPr="00B7760C">
              <w:t>(a)</w:t>
            </w:r>
            <w:r w:rsidRPr="00B7760C">
              <w:tab/>
              <w:t>presegajo zadevne predpisane zahteve ravnanja ter standarde za dobre kmetijske in okoljske pogoje, določene v skladu z oddelkom 2 poglavja I tega naslova;</w:t>
            </w:r>
          </w:p>
        </w:tc>
        <w:tc>
          <w:tcPr>
            <w:tcW w:w="4876" w:type="dxa"/>
            <w:hideMark/>
          </w:tcPr>
          <w:p w14:paraId="1E98B55C" w14:textId="77777777" w:rsidR="00EE51BC" w:rsidRPr="00B7760C" w:rsidRDefault="00EE51BC" w:rsidP="004F0B88">
            <w:pPr>
              <w:pStyle w:val="Normal6"/>
              <w:rPr>
                <w:szCs w:val="24"/>
              </w:rPr>
            </w:pPr>
            <w:r w:rsidRPr="00B7760C">
              <w:t>(a)</w:t>
            </w:r>
            <w:r w:rsidRPr="00B7760C">
              <w:tab/>
              <w:t>presegajo zadevne predpisane zahteve ravnanja ter standarde za dobre kmetijske in okoljske pogoje, določene v skladu z oddelkom 2 poglavja I tega naslova;</w:t>
            </w:r>
          </w:p>
        </w:tc>
      </w:tr>
      <w:tr w:rsidR="00EE51BC" w:rsidRPr="00B7760C" w14:paraId="7F0AFB10" w14:textId="77777777" w:rsidTr="004F0B88">
        <w:tblPrEx>
          <w:tblLook w:val="04A0" w:firstRow="1" w:lastRow="0" w:firstColumn="1" w:lastColumn="0" w:noHBand="0" w:noVBand="1"/>
        </w:tblPrEx>
        <w:trPr>
          <w:jc w:val="center"/>
        </w:trPr>
        <w:tc>
          <w:tcPr>
            <w:tcW w:w="4876" w:type="dxa"/>
            <w:hideMark/>
          </w:tcPr>
          <w:p w14:paraId="33107775" w14:textId="77777777" w:rsidR="00EE51BC" w:rsidRPr="00B7760C" w:rsidRDefault="00EE51BC" w:rsidP="004F0B88">
            <w:pPr>
              <w:pStyle w:val="Normal6"/>
            </w:pPr>
            <w:r w:rsidRPr="00B7760C">
              <w:t>(b)</w:t>
            </w:r>
            <w:r w:rsidRPr="00B7760C">
              <w:tab/>
              <w:t xml:space="preserve">presegajo minimalne zahteve za uporabo gnojil in fitofarmacevtskih sredstev ter dobrobit živali kot tudi druge obvezne zahteve, določene </w:t>
            </w:r>
            <w:r w:rsidRPr="00B7760C">
              <w:rPr>
                <w:b/>
                <w:i/>
              </w:rPr>
              <w:t>z nacionalnim pravom in</w:t>
            </w:r>
            <w:r w:rsidRPr="00B7760C">
              <w:t xml:space="preserve"> pravom Unije;</w:t>
            </w:r>
          </w:p>
        </w:tc>
        <w:tc>
          <w:tcPr>
            <w:tcW w:w="4876" w:type="dxa"/>
            <w:hideMark/>
          </w:tcPr>
          <w:p w14:paraId="19C393D4" w14:textId="77777777" w:rsidR="00EE51BC" w:rsidRPr="00B7760C" w:rsidRDefault="00EE51BC" w:rsidP="004F0B88">
            <w:pPr>
              <w:pStyle w:val="Normal6"/>
              <w:rPr>
                <w:szCs w:val="24"/>
              </w:rPr>
            </w:pPr>
            <w:r w:rsidRPr="00B7760C">
              <w:t>(b)</w:t>
            </w:r>
            <w:r w:rsidRPr="00B7760C">
              <w:tab/>
              <w:t xml:space="preserve">presegajo </w:t>
            </w:r>
            <w:r w:rsidRPr="00B7760C">
              <w:rPr>
                <w:b/>
                <w:i/>
              </w:rPr>
              <w:t xml:space="preserve">ustrezne </w:t>
            </w:r>
            <w:r w:rsidRPr="00B7760C">
              <w:t>minimalne zahteve za uporabo gnojil in fitofarmacevtskih sredstev ter dobrobit živali</w:t>
            </w:r>
            <w:r w:rsidRPr="00B7760C">
              <w:rPr>
                <w:b/>
                <w:i/>
              </w:rPr>
              <w:t xml:space="preserve"> in preprečevanje protimikrobne odpornosti</w:t>
            </w:r>
            <w:r w:rsidRPr="00B7760C">
              <w:t xml:space="preserve"> kot tudi druge </w:t>
            </w:r>
            <w:r w:rsidRPr="00B7760C">
              <w:rPr>
                <w:b/>
                <w:i/>
              </w:rPr>
              <w:t xml:space="preserve">ustrezne </w:t>
            </w:r>
            <w:r w:rsidRPr="00B7760C">
              <w:t xml:space="preserve">obvezne zahteve, določene </w:t>
            </w:r>
            <w:r w:rsidRPr="00B7760C">
              <w:rPr>
                <w:b/>
                <w:i/>
              </w:rPr>
              <w:t>s</w:t>
            </w:r>
            <w:r w:rsidRPr="00B7760C">
              <w:t xml:space="preserve"> pravom Unije;</w:t>
            </w:r>
          </w:p>
        </w:tc>
      </w:tr>
      <w:tr w:rsidR="00EE51BC" w:rsidRPr="00B7760C" w14:paraId="2A91136C" w14:textId="77777777" w:rsidTr="004F0B88">
        <w:tblPrEx>
          <w:tblLook w:val="04A0" w:firstRow="1" w:lastRow="0" w:firstColumn="1" w:lastColumn="0" w:noHBand="0" w:noVBand="1"/>
        </w:tblPrEx>
        <w:trPr>
          <w:jc w:val="center"/>
        </w:trPr>
        <w:tc>
          <w:tcPr>
            <w:tcW w:w="4876" w:type="dxa"/>
            <w:hideMark/>
          </w:tcPr>
          <w:p w14:paraId="634E86DA" w14:textId="77777777" w:rsidR="00EE51BC" w:rsidRPr="00B7760C" w:rsidRDefault="00EE51BC" w:rsidP="004F0B88">
            <w:pPr>
              <w:pStyle w:val="Normal6"/>
            </w:pPr>
            <w:r w:rsidRPr="00B7760C">
              <w:t>(c)</w:t>
            </w:r>
            <w:r w:rsidRPr="00B7760C">
              <w:tab/>
              <w:t>presegajo pogoje, določene za vzdrževanje kmetijske površine v skladu s točko (a) člena 4(1);</w:t>
            </w:r>
          </w:p>
        </w:tc>
        <w:tc>
          <w:tcPr>
            <w:tcW w:w="4876" w:type="dxa"/>
            <w:hideMark/>
          </w:tcPr>
          <w:p w14:paraId="569844B7" w14:textId="77777777" w:rsidR="00EE51BC" w:rsidRPr="00B7760C" w:rsidRDefault="00EE51BC" w:rsidP="004F0B88">
            <w:pPr>
              <w:pStyle w:val="Normal6"/>
              <w:rPr>
                <w:szCs w:val="24"/>
              </w:rPr>
            </w:pPr>
            <w:r w:rsidRPr="00B7760C">
              <w:t>(c)</w:t>
            </w:r>
            <w:r w:rsidRPr="00B7760C">
              <w:tab/>
              <w:t>presegajo pogoje, določene za vzdrževanje kmetijske površine v skladu s točko (a) člena 4(1);</w:t>
            </w:r>
          </w:p>
        </w:tc>
      </w:tr>
      <w:tr w:rsidR="00EE51BC" w:rsidRPr="00B7760C" w14:paraId="69052320" w14:textId="77777777" w:rsidTr="004F0B88">
        <w:tblPrEx>
          <w:tblLook w:val="04A0" w:firstRow="1" w:lastRow="0" w:firstColumn="1" w:lastColumn="0" w:noHBand="0" w:noVBand="1"/>
        </w:tblPrEx>
        <w:trPr>
          <w:jc w:val="center"/>
        </w:trPr>
        <w:tc>
          <w:tcPr>
            <w:tcW w:w="4876" w:type="dxa"/>
            <w:hideMark/>
          </w:tcPr>
          <w:p w14:paraId="1AA2E224" w14:textId="77777777" w:rsidR="00EE51BC" w:rsidRPr="00B7760C" w:rsidRDefault="00EE51BC" w:rsidP="004F0B88">
            <w:pPr>
              <w:pStyle w:val="Normal6"/>
            </w:pPr>
            <w:r w:rsidRPr="00B7760C">
              <w:t>(d)</w:t>
            </w:r>
            <w:r w:rsidRPr="00B7760C">
              <w:tab/>
              <w:t>se razlikujejo od obveznosti, v zvezi s katerimi so odobrena plačila v skladu s členom 28.</w:t>
            </w:r>
          </w:p>
        </w:tc>
        <w:tc>
          <w:tcPr>
            <w:tcW w:w="4876" w:type="dxa"/>
            <w:hideMark/>
          </w:tcPr>
          <w:p w14:paraId="75CA32A0" w14:textId="77777777" w:rsidR="00EE51BC" w:rsidRPr="00B7760C" w:rsidRDefault="00EE51BC" w:rsidP="004F0B88">
            <w:pPr>
              <w:pStyle w:val="Normal6"/>
              <w:rPr>
                <w:szCs w:val="24"/>
              </w:rPr>
            </w:pPr>
            <w:r w:rsidRPr="00B7760C">
              <w:t>(d)</w:t>
            </w:r>
            <w:r w:rsidRPr="00B7760C">
              <w:tab/>
              <w:t>se razlikujejo od obveznosti, v zvezi s katerimi so odobrena plačila v skladu s členom 28</w:t>
            </w:r>
            <w:r w:rsidRPr="00B7760C">
              <w:rPr>
                <w:b/>
                <w:i/>
              </w:rPr>
              <w:t>, ali se z njimi dopolnjujejo, ob zagotavljanju, da ne pride do dvojnega financiranja</w:t>
            </w:r>
            <w:r w:rsidRPr="00B7760C">
              <w:t>.</w:t>
            </w:r>
          </w:p>
        </w:tc>
      </w:tr>
      <w:tr w:rsidR="00EE51BC" w:rsidRPr="00B7760C" w14:paraId="0265F7E4" w14:textId="77777777" w:rsidTr="004F0B88">
        <w:tblPrEx>
          <w:tblLook w:val="04A0" w:firstRow="1" w:lastRow="0" w:firstColumn="1" w:lastColumn="0" w:noHBand="0" w:noVBand="1"/>
        </w:tblPrEx>
        <w:trPr>
          <w:jc w:val="center"/>
        </w:trPr>
        <w:tc>
          <w:tcPr>
            <w:tcW w:w="4876" w:type="dxa"/>
            <w:hideMark/>
          </w:tcPr>
          <w:p w14:paraId="05217E56" w14:textId="77777777" w:rsidR="00EE51BC" w:rsidRPr="00B7760C" w:rsidRDefault="00EE51BC" w:rsidP="004F0B88">
            <w:pPr>
              <w:pStyle w:val="Normal6"/>
            </w:pPr>
            <w:r w:rsidRPr="00B7760C">
              <w:t>6.</w:t>
            </w:r>
            <w:r w:rsidRPr="00B7760C">
              <w:tab/>
              <w:t>Države članice upravičencem nadomestijo stroške in izpad dohodka zaradi sprejetih obveznosti. Po potrebi lahko krijejo tudi stroške poslovanja. Države članice lahko v ustrezno utemeljenih primerih odobrijo podporo kot pavšalni znesek ali enkratno plačilo na enoto. Plačila se odobrijo letno.</w:t>
            </w:r>
          </w:p>
        </w:tc>
        <w:tc>
          <w:tcPr>
            <w:tcW w:w="4876" w:type="dxa"/>
            <w:hideMark/>
          </w:tcPr>
          <w:p w14:paraId="70F85872" w14:textId="77777777" w:rsidR="00EE51BC" w:rsidRPr="00B7760C" w:rsidRDefault="00EE51BC" w:rsidP="004F0B88">
            <w:pPr>
              <w:pStyle w:val="Normal6"/>
              <w:rPr>
                <w:szCs w:val="24"/>
              </w:rPr>
            </w:pPr>
            <w:r w:rsidRPr="00B7760C">
              <w:t>6.</w:t>
            </w:r>
            <w:r w:rsidRPr="00B7760C">
              <w:tab/>
              <w:t xml:space="preserve">Države članice upravičencem nadomestijo stroške in izpad dohodka zaradi sprejetih obveznosti. </w:t>
            </w:r>
            <w:r w:rsidRPr="00B7760C">
              <w:rPr>
                <w:b/>
                <w:i/>
              </w:rPr>
              <w:t xml:space="preserve">Države članice upravičencem zagotovijo tudi finančno spodbudo, </w:t>
            </w:r>
            <w:r w:rsidRPr="00B7760C">
              <w:t>po potrebi</w:t>
            </w:r>
            <w:r w:rsidRPr="00B7760C">
              <w:rPr>
                <w:b/>
                <w:i/>
              </w:rPr>
              <w:t xml:space="preserve"> pa</w:t>
            </w:r>
            <w:r w:rsidRPr="00B7760C">
              <w:t xml:space="preserve"> lahko krijejo tudi stroške poslovanja. Države članice lahko v ustrezno utemeljenih primerih odobrijo podporo kot pavšalni znesek ali enkratno plačilo na enoto</w:t>
            </w:r>
            <w:r w:rsidRPr="00B7760C">
              <w:rPr>
                <w:b/>
                <w:i/>
              </w:rPr>
              <w:t xml:space="preserve"> na hektar površine ali drugo opredeljeno enoto, odvisno od narave obveznosti. Države članice lahko odobrijo letno podporo za programe za celotno kmetijo, ki so usmerjeni v celostno preoblikovanje sistemov kmetovanja za doseganje ciljev iz tega odstavka</w:t>
            </w:r>
            <w:r w:rsidRPr="00B7760C">
              <w:t>. Plačila se odobrijo letno.</w:t>
            </w:r>
          </w:p>
        </w:tc>
      </w:tr>
      <w:tr w:rsidR="00EE51BC" w:rsidRPr="00B7760C" w14:paraId="6FDC95C6" w14:textId="77777777" w:rsidTr="004F0B88">
        <w:tblPrEx>
          <w:tblLook w:val="04A0" w:firstRow="1" w:lastRow="0" w:firstColumn="1" w:lastColumn="0" w:noHBand="0" w:noVBand="1"/>
        </w:tblPrEx>
        <w:trPr>
          <w:jc w:val="center"/>
        </w:trPr>
        <w:tc>
          <w:tcPr>
            <w:tcW w:w="4876" w:type="dxa"/>
          </w:tcPr>
          <w:p w14:paraId="1CE39DA7" w14:textId="77777777" w:rsidR="00EE51BC" w:rsidRPr="00B7760C" w:rsidRDefault="00EE51BC" w:rsidP="004F0B88">
            <w:pPr>
              <w:pStyle w:val="Normal6"/>
            </w:pPr>
          </w:p>
        </w:tc>
        <w:tc>
          <w:tcPr>
            <w:tcW w:w="4876" w:type="dxa"/>
            <w:hideMark/>
          </w:tcPr>
          <w:p w14:paraId="6323CF82" w14:textId="081E0981" w:rsidR="00EE51BC" w:rsidRPr="00B7760C" w:rsidRDefault="00EE51BC" w:rsidP="004F0B88">
            <w:pPr>
              <w:pStyle w:val="Normal6"/>
              <w:rPr>
                <w:szCs w:val="24"/>
              </w:rPr>
            </w:pPr>
            <w:r w:rsidRPr="00B7760C">
              <w:rPr>
                <w:b/>
                <w:i/>
              </w:rPr>
              <w:t xml:space="preserve">6a. </w:t>
            </w:r>
            <w:r w:rsidR="007768A6" w:rsidRPr="00B7760C">
              <w:rPr>
                <w:b/>
                <w:i/>
              </w:rPr>
              <w:tab/>
            </w:r>
            <w:r w:rsidRPr="00B7760C">
              <w:rPr>
                <w:b/>
                <w:i/>
              </w:rPr>
              <w:t>Raven plačil se spreminja glede na to, kako ambiciozna je posamezna praksa ali sklop praks glede trajnosti, na podlagi nediskriminatornih meril, da bi se učinkovito spodbujalo sodelovanje. Države članice lahko tudi razlikujejo med plačili glede na vrsto omejitev, ki zaradi sprejetih obveznosti vplivajo na kmetijske dejavnosti, in glede na različne sisteme kmetovanja.</w:t>
            </w:r>
          </w:p>
        </w:tc>
      </w:tr>
      <w:tr w:rsidR="00EE51BC" w:rsidRPr="00B7760C" w14:paraId="1D5C60FD" w14:textId="77777777" w:rsidTr="004F0B88">
        <w:tblPrEx>
          <w:tblLook w:val="04A0" w:firstRow="1" w:lastRow="0" w:firstColumn="1" w:lastColumn="0" w:noHBand="0" w:noVBand="1"/>
        </w:tblPrEx>
        <w:trPr>
          <w:jc w:val="center"/>
        </w:trPr>
        <w:tc>
          <w:tcPr>
            <w:tcW w:w="4876" w:type="dxa"/>
            <w:hideMark/>
          </w:tcPr>
          <w:p w14:paraId="7C6ACE2D" w14:textId="77777777" w:rsidR="00EE51BC" w:rsidRPr="00B7760C" w:rsidRDefault="00EE51BC" w:rsidP="004F0B88">
            <w:pPr>
              <w:pStyle w:val="Normal6"/>
            </w:pPr>
            <w:r w:rsidRPr="00B7760C">
              <w:t>7.</w:t>
            </w:r>
            <w:r w:rsidRPr="00B7760C">
              <w:tab/>
              <w:t>Države članice lahko spodbujajo in podpirajo kolektivne sheme in sheme plačil na podlagi rezultatov, da bi kmete spodbudile k znatnemu izboljšanju kakovosti okolja v večjem obsegu in na merljiv način.</w:t>
            </w:r>
          </w:p>
        </w:tc>
        <w:tc>
          <w:tcPr>
            <w:tcW w:w="4876" w:type="dxa"/>
            <w:hideMark/>
          </w:tcPr>
          <w:p w14:paraId="2874A14A" w14:textId="77777777" w:rsidR="00EE51BC" w:rsidRPr="00B7760C" w:rsidRDefault="00EE51BC" w:rsidP="004F0B88">
            <w:pPr>
              <w:pStyle w:val="Normal6"/>
              <w:rPr>
                <w:szCs w:val="24"/>
              </w:rPr>
            </w:pPr>
            <w:r w:rsidRPr="00B7760C">
              <w:t>7.</w:t>
            </w:r>
            <w:r w:rsidRPr="00B7760C">
              <w:tab/>
              <w:t xml:space="preserve">Države članice lahko spodbujajo in podpirajo </w:t>
            </w:r>
            <w:r w:rsidRPr="00B7760C">
              <w:rPr>
                <w:b/>
                <w:i/>
              </w:rPr>
              <w:t xml:space="preserve">prostovoljne </w:t>
            </w:r>
            <w:r w:rsidRPr="00B7760C">
              <w:t>kolektivne sheme</w:t>
            </w:r>
            <w:r w:rsidRPr="00B7760C">
              <w:rPr>
                <w:b/>
                <w:i/>
              </w:rPr>
              <w:t>, kombinacijo upravljavskih obveznosti v obliki lokalno vodenih shem</w:t>
            </w:r>
            <w:r w:rsidRPr="00B7760C">
              <w:t xml:space="preserve"> in sheme plačil na podlagi rezultatov, </w:t>
            </w:r>
            <w:r w:rsidRPr="00B7760C">
              <w:rPr>
                <w:b/>
                <w:i/>
              </w:rPr>
              <w:t xml:space="preserve">tudi po teritorialnem pristopu, </w:t>
            </w:r>
            <w:r w:rsidRPr="00B7760C">
              <w:t>da bi kmete</w:t>
            </w:r>
            <w:r w:rsidRPr="00B7760C">
              <w:rPr>
                <w:b/>
                <w:i/>
              </w:rPr>
              <w:t xml:space="preserve"> in skupine kmetov</w:t>
            </w:r>
            <w:r w:rsidRPr="00B7760C">
              <w:t xml:space="preserve"> spodbudile k znatnemu izboljšanju kakovosti okolja v večjem obsegu in na merljiv način. </w:t>
            </w:r>
            <w:r w:rsidRPr="00B7760C">
              <w:rPr>
                <w:b/>
                <w:i/>
              </w:rPr>
              <w:t>Vzpostavijo vsa potrebna sredstva za svetovanje, usposabljanje in prenos znanja v pomoč kmetom, ki spremenijo svoje proizvodne sisteme.</w:t>
            </w:r>
          </w:p>
        </w:tc>
      </w:tr>
      <w:tr w:rsidR="00EE51BC" w:rsidRPr="00B7760C" w14:paraId="0981A5D2" w14:textId="77777777" w:rsidTr="004F0B88">
        <w:tblPrEx>
          <w:tblLook w:val="04A0" w:firstRow="1" w:lastRow="0" w:firstColumn="1" w:lastColumn="0" w:noHBand="0" w:noVBand="1"/>
        </w:tblPrEx>
        <w:trPr>
          <w:jc w:val="center"/>
        </w:trPr>
        <w:tc>
          <w:tcPr>
            <w:tcW w:w="4876" w:type="dxa"/>
            <w:hideMark/>
          </w:tcPr>
          <w:p w14:paraId="7C0179DC" w14:textId="77777777" w:rsidR="00EE51BC" w:rsidRPr="00B7760C" w:rsidRDefault="00EE51BC" w:rsidP="004F0B88">
            <w:pPr>
              <w:pStyle w:val="Normal6"/>
            </w:pPr>
            <w:r w:rsidRPr="00B7760C">
              <w:t>8.</w:t>
            </w:r>
            <w:r w:rsidRPr="00B7760C">
              <w:tab/>
              <w:t>Obveznosti se sprejmejo za obdobje od petih do sedmih let. Vendar lahko države članice v svojih strateških načrtih SKP za določene vrste obveznosti določijo daljše obdobje, tudi z letnim podaljševanjem obveznosti po zaključku začetnega obdobja, kadar je to potrebno za doseganje ali ohranjanje želenih okoljskih koristi. Države članice lahko v svojih strateških načrtih SKP v izjemnih in ustrezno utemeljenih primerih in za nove obveznosti, ki neposredno sledijo obveznostim, izpolnjenim v začetnem obdobju, določijo krajše obdobje.</w:t>
            </w:r>
          </w:p>
        </w:tc>
        <w:tc>
          <w:tcPr>
            <w:tcW w:w="4876" w:type="dxa"/>
            <w:hideMark/>
          </w:tcPr>
          <w:p w14:paraId="5FACF6B7" w14:textId="77777777" w:rsidR="00EE51BC" w:rsidRPr="00B7760C" w:rsidRDefault="00EE51BC" w:rsidP="004F0B88">
            <w:pPr>
              <w:pStyle w:val="Normal6"/>
              <w:rPr>
                <w:szCs w:val="24"/>
              </w:rPr>
            </w:pPr>
            <w:r w:rsidRPr="00B7760C">
              <w:t>8.</w:t>
            </w:r>
            <w:r w:rsidRPr="00B7760C">
              <w:tab/>
              <w:t xml:space="preserve">Obveznosti se </w:t>
            </w:r>
            <w:r w:rsidRPr="00B7760C">
              <w:rPr>
                <w:b/>
                <w:i/>
              </w:rPr>
              <w:t xml:space="preserve">običajno </w:t>
            </w:r>
            <w:r w:rsidRPr="00B7760C">
              <w:t>sprejmejo za obdobje od petih do sedmih let. Vendar lahko države članice v svojih strateških načrtih SKP za določene vrste obveznosti določijo daljše obdobje, tudi z letnim podaljševanjem obveznosti po zaključku začetnega obdobja, kadar je to potrebno za doseganje ali ohranjanje želenih okoljskih koristi</w:t>
            </w:r>
            <w:r w:rsidRPr="00B7760C">
              <w:rPr>
                <w:b/>
                <w:i/>
              </w:rPr>
              <w:t>, pri čemer upoštevajo tudi dolgoročnost gozdarstva</w:t>
            </w:r>
            <w:r w:rsidRPr="00B7760C">
              <w:t>. Države članice lahko v svojih strateških načrtih SKP v izjemnih in ustrezno utemeljenih primerih in za nove obveznosti, ki neposredno sledijo obveznostim, izpolnjenim v začetnem obdobju, določijo krajše obdobje.</w:t>
            </w:r>
          </w:p>
        </w:tc>
      </w:tr>
      <w:tr w:rsidR="00EE51BC" w:rsidRPr="00B7760C" w14:paraId="57A1C542" w14:textId="77777777" w:rsidTr="004F0B88">
        <w:tblPrEx>
          <w:tblLook w:val="04A0" w:firstRow="1" w:lastRow="0" w:firstColumn="1" w:lastColumn="0" w:noHBand="0" w:noVBand="1"/>
        </w:tblPrEx>
        <w:trPr>
          <w:jc w:val="center"/>
        </w:trPr>
        <w:tc>
          <w:tcPr>
            <w:tcW w:w="4876" w:type="dxa"/>
            <w:hideMark/>
          </w:tcPr>
          <w:p w14:paraId="4DC32CE0" w14:textId="77777777" w:rsidR="00EE51BC" w:rsidRPr="00B7760C" w:rsidRDefault="00EE51BC" w:rsidP="004F0B88">
            <w:pPr>
              <w:pStyle w:val="Normal6"/>
            </w:pPr>
            <w:r w:rsidRPr="00B7760C">
              <w:t>9.</w:t>
            </w:r>
            <w:r w:rsidRPr="00B7760C">
              <w:tab/>
              <w:t>Kadar se podpora v okviru te vrste intervencij odobri kmetijsko-okoljsko-podnebnim obveznostim, obveznostim za preusmeritev v prakse in metode ekološkega kmetovanja, kot so opredeljene v Uredbi (ES) št. 834/2007, ali njihovo ohranjanje ter gozdarsko-okoljskim in podnebnim storitvam, države članice določijo plačilo na hektar.</w:t>
            </w:r>
          </w:p>
        </w:tc>
        <w:tc>
          <w:tcPr>
            <w:tcW w:w="4876" w:type="dxa"/>
            <w:hideMark/>
          </w:tcPr>
          <w:p w14:paraId="539D6112" w14:textId="77777777" w:rsidR="00EE51BC" w:rsidRPr="00B7760C" w:rsidRDefault="00EE51BC" w:rsidP="004F0B88">
            <w:pPr>
              <w:pStyle w:val="Normal6"/>
              <w:rPr>
                <w:szCs w:val="24"/>
              </w:rPr>
            </w:pPr>
            <w:r w:rsidRPr="00B7760C">
              <w:t>9.</w:t>
            </w:r>
            <w:r w:rsidRPr="00B7760C">
              <w:tab/>
              <w:t xml:space="preserve">Kadar se podpora v okviru te vrste intervencij odobri kmetijsko-okoljsko-podnebnim obveznostim, </w:t>
            </w:r>
            <w:r w:rsidRPr="00B7760C">
              <w:rPr>
                <w:b/>
                <w:i/>
              </w:rPr>
              <w:t xml:space="preserve">pa tudi </w:t>
            </w:r>
            <w:r w:rsidRPr="00B7760C">
              <w:t>obveznostim za preusmeritev v prakse in metode ekološkega kmetovanja, kot so opredeljene v Uredbi (ES) št. 834/2007, ali njihovo ohranjanje</w:t>
            </w:r>
            <w:r w:rsidRPr="00B7760C">
              <w:rPr>
                <w:b/>
                <w:i/>
              </w:rPr>
              <w:t>, integriranemu zatiranju škodljivcev, varstvu kmetijsko-gozdarskih sistemov</w:t>
            </w:r>
            <w:r w:rsidRPr="00B7760C">
              <w:t xml:space="preserve"> ter gozdarsko-okoljskim in podnebnim storitvam, države članice določijo plačilo na hektar</w:t>
            </w:r>
            <w:r w:rsidRPr="00B7760C">
              <w:rPr>
                <w:b/>
                <w:i/>
              </w:rPr>
              <w:t xml:space="preserve"> površine ali na drugo opredeljeno enoto, odvisno od narave obveznosti</w:t>
            </w:r>
            <w:r w:rsidRPr="00B7760C">
              <w:t>.</w:t>
            </w:r>
          </w:p>
        </w:tc>
      </w:tr>
      <w:tr w:rsidR="00EE51BC" w:rsidRPr="00B7760C" w14:paraId="4337B77E" w14:textId="77777777" w:rsidTr="004F0B88">
        <w:tblPrEx>
          <w:tblLook w:val="04A0" w:firstRow="1" w:lastRow="0" w:firstColumn="1" w:lastColumn="0" w:noHBand="0" w:noVBand="1"/>
        </w:tblPrEx>
        <w:trPr>
          <w:jc w:val="center"/>
        </w:trPr>
        <w:tc>
          <w:tcPr>
            <w:tcW w:w="4876" w:type="dxa"/>
            <w:hideMark/>
          </w:tcPr>
          <w:p w14:paraId="74194705" w14:textId="77777777" w:rsidR="00EE51BC" w:rsidRPr="00B7760C" w:rsidRDefault="00EE51BC" w:rsidP="004F0B88">
            <w:pPr>
              <w:pStyle w:val="Normal6"/>
            </w:pPr>
            <w:r w:rsidRPr="00B7760C">
              <w:t>10.</w:t>
            </w:r>
            <w:r w:rsidRPr="00B7760C">
              <w:tab/>
              <w:t>Države članice zagotovijo, da imajo osebe, ki izvajajo operacije v okviru te vrste intervencij, dostop do znanja in informacij, ki so potrebni za izvajanje takšnih operacij.</w:t>
            </w:r>
          </w:p>
        </w:tc>
        <w:tc>
          <w:tcPr>
            <w:tcW w:w="4876" w:type="dxa"/>
            <w:hideMark/>
          </w:tcPr>
          <w:p w14:paraId="08C6870D" w14:textId="77777777" w:rsidR="00EE51BC" w:rsidRPr="00B7760C" w:rsidRDefault="00EE51BC" w:rsidP="004F0B88">
            <w:pPr>
              <w:pStyle w:val="Normal6"/>
              <w:rPr>
                <w:szCs w:val="24"/>
              </w:rPr>
            </w:pPr>
            <w:r w:rsidRPr="00B7760C">
              <w:t>10.</w:t>
            </w:r>
            <w:r w:rsidRPr="00B7760C">
              <w:tab/>
              <w:t xml:space="preserve">Države članice zagotovijo, da imajo osebe, ki izvajajo operacije v okviru te vrste intervencij, dostop do </w:t>
            </w:r>
            <w:r w:rsidRPr="00B7760C">
              <w:rPr>
                <w:b/>
                <w:i/>
              </w:rPr>
              <w:t xml:space="preserve">ustreznega </w:t>
            </w:r>
            <w:r w:rsidRPr="00B7760C">
              <w:t>znanja in informacij, ki so potrebni za izvajanje takšnih operacij</w:t>
            </w:r>
            <w:r w:rsidRPr="00B7760C">
              <w:rPr>
                <w:b/>
                <w:i/>
              </w:rPr>
              <w:t>, ter da se omogoči ustrezno usposabljanje tistim, ki ga potrebujejo, pa tudi dostop do strokovnega znanja za pomoč kmetom, ki se zavežejo, da bodo spremenili svoj proizvodni sistem</w:t>
            </w:r>
            <w:r w:rsidRPr="00B7760C">
              <w:t>.</w:t>
            </w:r>
          </w:p>
        </w:tc>
      </w:tr>
      <w:tr w:rsidR="00EE51BC" w:rsidRPr="00B7760C" w14:paraId="2EC6DAA1" w14:textId="77777777" w:rsidTr="004F0B88">
        <w:tblPrEx>
          <w:tblLook w:val="04A0" w:firstRow="1" w:lastRow="0" w:firstColumn="1" w:lastColumn="0" w:noHBand="0" w:noVBand="1"/>
        </w:tblPrEx>
        <w:trPr>
          <w:jc w:val="center"/>
        </w:trPr>
        <w:tc>
          <w:tcPr>
            <w:tcW w:w="4876" w:type="dxa"/>
            <w:hideMark/>
          </w:tcPr>
          <w:p w14:paraId="4B873856" w14:textId="77777777" w:rsidR="00EE51BC" w:rsidRPr="00B7760C" w:rsidRDefault="00EE51BC" w:rsidP="004F0B88">
            <w:pPr>
              <w:pStyle w:val="Normal6"/>
            </w:pPr>
            <w:r w:rsidRPr="00B7760C">
              <w:t>11.</w:t>
            </w:r>
            <w:r w:rsidRPr="00B7760C">
              <w:tab/>
              <w:t>Države članice zagotovijo, da so intervencije iz tega člena skladne z intervencijami, ki se odobrijo v skladu s členom 28.</w:t>
            </w:r>
          </w:p>
        </w:tc>
        <w:tc>
          <w:tcPr>
            <w:tcW w:w="4876" w:type="dxa"/>
            <w:hideMark/>
          </w:tcPr>
          <w:p w14:paraId="1D8913BC" w14:textId="77777777" w:rsidR="00EE51BC" w:rsidRPr="00B7760C" w:rsidRDefault="00EE51BC" w:rsidP="004F0B88">
            <w:pPr>
              <w:pStyle w:val="Normal6"/>
              <w:rPr>
                <w:szCs w:val="24"/>
              </w:rPr>
            </w:pPr>
            <w:r w:rsidRPr="00B7760C">
              <w:t>11.</w:t>
            </w:r>
            <w:r w:rsidRPr="00B7760C">
              <w:tab/>
              <w:t>Države članice zagotovijo, da so intervencije iz tega člena skladne z intervencijami, ki se odobrijo v skladu s členom 28.</w:t>
            </w:r>
          </w:p>
        </w:tc>
      </w:tr>
      <w:tr w:rsidR="00EE51BC" w:rsidRPr="00B7760C" w14:paraId="128AD334" w14:textId="77777777" w:rsidTr="004F0B88">
        <w:trPr>
          <w:jc w:val="center"/>
        </w:trPr>
        <w:tc>
          <w:tcPr>
            <w:tcW w:w="4876" w:type="dxa"/>
          </w:tcPr>
          <w:p w14:paraId="1DBE2955" w14:textId="77777777" w:rsidR="00EE51BC" w:rsidRPr="00B7760C" w:rsidRDefault="00EE51BC" w:rsidP="004F0B88">
            <w:pPr>
              <w:pStyle w:val="Normal6a"/>
            </w:pPr>
          </w:p>
        </w:tc>
        <w:tc>
          <w:tcPr>
            <w:tcW w:w="4876" w:type="dxa"/>
          </w:tcPr>
          <w:p w14:paraId="2344695D" w14:textId="77777777" w:rsidR="00EE51BC" w:rsidRPr="00B7760C" w:rsidRDefault="00EE51BC" w:rsidP="004F0B88">
            <w:pPr>
              <w:pStyle w:val="Normal6a"/>
            </w:pPr>
          </w:p>
        </w:tc>
      </w:tr>
    </w:tbl>
    <w:p w14:paraId="102351D7" w14:textId="77777777" w:rsidR="00EE51BC" w:rsidRPr="00B7760C" w:rsidRDefault="00EE51BC" w:rsidP="003663AF"/>
    <w:p w14:paraId="678BFFCE" w14:textId="7835B8EB" w:rsidR="003663AF" w:rsidRPr="00B7760C" w:rsidRDefault="00877691" w:rsidP="00615734">
      <w:pPr>
        <w:pStyle w:val="AMNumberTabs"/>
        <w:keepNext/>
      </w:pPr>
      <w:r w:rsidRPr="00B7760C">
        <w:t>Sprememb</w:t>
      </w:r>
      <w:r w:rsidR="00615734" w:rsidRPr="00B7760C">
        <w:t>i</w:t>
      </w:r>
      <w:r w:rsidR="003663AF" w:rsidRPr="00B7760C">
        <w:tab/>
      </w:r>
      <w:r w:rsidR="003663AF" w:rsidRPr="00B7760C">
        <w:tab/>
        <w:t>448</w:t>
      </w:r>
      <w:r w:rsidR="00615734" w:rsidRPr="00B7760C">
        <w:t xml:space="preserve"> in 1166 cp1</w:t>
      </w:r>
    </w:p>
    <w:p w14:paraId="00E175C1" w14:textId="77777777" w:rsidR="003663AF" w:rsidRPr="00B7760C" w:rsidRDefault="003663AF" w:rsidP="003663AF">
      <w:pPr>
        <w:pStyle w:val="NormalBold12b"/>
      </w:pPr>
      <w:r w:rsidRPr="00B7760C">
        <w:t>Predlog uredbe</w:t>
      </w:r>
    </w:p>
    <w:p w14:paraId="646F2083" w14:textId="77777777" w:rsidR="003663AF" w:rsidRPr="00B7760C" w:rsidRDefault="003663AF" w:rsidP="003663AF">
      <w:pPr>
        <w:pStyle w:val="NormalBold"/>
      </w:pPr>
      <w:r w:rsidRPr="00B7760C">
        <w:t>Člen 66 – 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1874002" w14:textId="77777777" w:rsidTr="00E804B7">
        <w:trPr>
          <w:jc w:val="center"/>
        </w:trPr>
        <w:tc>
          <w:tcPr>
            <w:tcW w:w="9752" w:type="dxa"/>
            <w:gridSpan w:val="2"/>
          </w:tcPr>
          <w:p w14:paraId="163F32A9" w14:textId="77777777" w:rsidR="003663AF" w:rsidRPr="00B7760C" w:rsidRDefault="003663AF" w:rsidP="00E804B7">
            <w:pPr>
              <w:keepNext/>
            </w:pPr>
          </w:p>
        </w:tc>
      </w:tr>
      <w:tr w:rsidR="003663AF" w:rsidRPr="00B7760C" w14:paraId="2203B0EB" w14:textId="77777777" w:rsidTr="00E804B7">
        <w:trPr>
          <w:jc w:val="center"/>
        </w:trPr>
        <w:tc>
          <w:tcPr>
            <w:tcW w:w="4876" w:type="dxa"/>
            <w:hideMark/>
          </w:tcPr>
          <w:p w14:paraId="0CAF5290" w14:textId="77777777" w:rsidR="003663AF" w:rsidRPr="00B7760C" w:rsidRDefault="003663AF" w:rsidP="00E804B7">
            <w:pPr>
              <w:pStyle w:val="ColumnHeading"/>
              <w:keepNext/>
            </w:pPr>
            <w:r w:rsidRPr="00B7760C">
              <w:t>Besedilo, ki ga predlaga Komisija</w:t>
            </w:r>
          </w:p>
        </w:tc>
        <w:tc>
          <w:tcPr>
            <w:tcW w:w="4876" w:type="dxa"/>
            <w:hideMark/>
          </w:tcPr>
          <w:p w14:paraId="3CFF1CE1" w14:textId="35E100E8" w:rsidR="003663AF" w:rsidRPr="00B7760C" w:rsidRDefault="00877691" w:rsidP="00E804B7">
            <w:pPr>
              <w:pStyle w:val="ColumnHeading"/>
              <w:keepNext/>
            </w:pPr>
            <w:r w:rsidRPr="00B7760C">
              <w:t>Sprememba</w:t>
            </w:r>
          </w:p>
        </w:tc>
      </w:tr>
      <w:tr w:rsidR="003663AF" w:rsidRPr="00B7760C" w14:paraId="6FF69D39" w14:textId="77777777" w:rsidTr="00E804B7">
        <w:trPr>
          <w:jc w:val="center"/>
        </w:trPr>
        <w:tc>
          <w:tcPr>
            <w:tcW w:w="4876" w:type="dxa"/>
            <w:hideMark/>
          </w:tcPr>
          <w:p w14:paraId="02A6DE4C" w14:textId="77777777" w:rsidR="003663AF" w:rsidRPr="00B7760C" w:rsidRDefault="003663AF" w:rsidP="00E804B7">
            <w:pPr>
              <w:pStyle w:val="Normal6"/>
            </w:pPr>
            <w:r w:rsidRPr="00B7760C">
              <w:t>1.</w:t>
            </w:r>
            <w:r w:rsidRPr="00B7760C">
              <w:tab/>
              <w:t>Države članice lahko odobrijo plačila za naravne ali druge omejitve, značilne za posamezno območje, v skladu s pogoji iz tega člena in kot je podrobneje opredeljeno v njihovih strateških načrtih SKP, da bi prispevale k uresničevanju specifičnih ciljev iz člena 6(1).</w:t>
            </w:r>
          </w:p>
        </w:tc>
        <w:tc>
          <w:tcPr>
            <w:tcW w:w="4876" w:type="dxa"/>
            <w:hideMark/>
          </w:tcPr>
          <w:p w14:paraId="56AAC28E" w14:textId="77777777" w:rsidR="003663AF" w:rsidRPr="00B7760C" w:rsidRDefault="003663AF" w:rsidP="00E804B7">
            <w:pPr>
              <w:pStyle w:val="Normal6"/>
              <w:rPr>
                <w:szCs w:val="24"/>
              </w:rPr>
            </w:pPr>
            <w:r w:rsidRPr="00B7760C">
              <w:t>1.</w:t>
            </w:r>
            <w:r w:rsidRPr="00B7760C">
              <w:tab/>
              <w:t xml:space="preserve">Države članice lahko odobrijo plačila za naravne ali druge omejitve, značilne za posamezno območje, </w:t>
            </w:r>
            <w:r w:rsidRPr="00B7760C">
              <w:rPr>
                <w:b/>
                <w:i/>
              </w:rPr>
              <w:t xml:space="preserve">vključno z gorskimi območji in otoškimi regijami, </w:t>
            </w:r>
            <w:r w:rsidRPr="00B7760C">
              <w:t>v skladu s pogoji iz tega člena in kot je podrobneje opredeljeno v njihovih strateških načrtih SKP, da bi prispevale k uresničevanju</w:t>
            </w:r>
            <w:r w:rsidRPr="00B7760C">
              <w:rPr>
                <w:b/>
                <w:i/>
              </w:rPr>
              <w:t xml:space="preserve"> ustreznih</w:t>
            </w:r>
            <w:r w:rsidRPr="00B7760C">
              <w:t xml:space="preserve"> specifičnih ciljev iz člena 6(1).</w:t>
            </w:r>
          </w:p>
        </w:tc>
      </w:tr>
    </w:tbl>
    <w:p w14:paraId="62FA8A2B" w14:textId="77777777" w:rsidR="003663AF" w:rsidRPr="00B7760C" w:rsidRDefault="003663AF" w:rsidP="003663AF"/>
    <w:p w14:paraId="40937434" w14:textId="40040289" w:rsidR="003663AF" w:rsidRPr="00B7760C" w:rsidRDefault="00877691" w:rsidP="00615734">
      <w:pPr>
        <w:pStyle w:val="AMNumberTabs"/>
        <w:keepNext/>
      </w:pPr>
      <w:r w:rsidRPr="00B7760C">
        <w:t>Sprememb</w:t>
      </w:r>
      <w:r w:rsidR="00615734" w:rsidRPr="00B7760C">
        <w:t>i</w:t>
      </w:r>
      <w:r w:rsidR="003663AF" w:rsidRPr="00B7760C">
        <w:tab/>
      </w:r>
      <w:r w:rsidR="003663AF" w:rsidRPr="00B7760C">
        <w:tab/>
        <w:t>449</w:t>
      </w:r>
      <w:r w:rsidR="00615734" w:rsidRPr="00B7760C">
        <w:t xml:space="preserve"> in 1166 cp2</w:t>
      </w:r>
    </w:p>
    <w:p w14:paraId="73DDCDE6" w14:textId="77777777" w:rsidR="003663AF" w:rsidRPr="00B7760C" w:rsidRDefault="003663AF" w:rsidP="003663AF">
      <w:pPr>
        <w:pStyle w:val="NormalBold12b"/>
      </w:pPr>
      <w:r w:rsidRPr="00B7760C">
        <w:t>Predlog uredbe</w:t>
      </w:r>
    </w:p>
    <w:p w14:paraId="1F30D6AF" w14:textId="77777777" w:rsidR="003663AF" w:rsidRPr="00B7760C" w:rsidRDefault="003663AF" w:rsidP="003663AF">
      <w:pPr>
        <w:pStyle w:val="NormalBold"/>
      </w:pPr>
      <w:r w:rsidRPr="00B7760C">
        <w:t>Člen 66 – odstavek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809BD1C" w14:textId="77777777" w:rsidTr="00E804B7">
        <w:trPr>
          <w:jc w:val="center"/>
        </w:trPr>
        <w:tc>
          <w:tcPr>
            <w:tcW w:w="9752" w:type="dxa"/>
            <w:gridSpan w:val="2"/>
          </w:tcPr>
          <w:p w14:paraId="2FA8C13B" w14:textId="77777777" w:rsidR="003663AF" w:rsidRPr="00B7760C" w:rsidRDefault="003663AF" w:rsidP="00E804B7">
            <w:pPr>
              <w:keepNext/>
            </w:pPr>
          </w:p>
        </w:tc>
      </w:tr>
      <w:tr w:rsidR="003663AF" w:rsidRPr="00B7760C" w14:paraId="2FF61468" w14:textId="77777777" w:rsidTr="00E804B7">
        <w:trPr>
          <w:jc w:val="center"/>
        </w:trPr>
        <w:tc>
          <w:tcPr>
            <w:tcW w:w="4876" w:type="dxa"/>
            <w:hideMark/>
          </w:tcPr>
          <w:p w14:paraId="28A8E2B8" w14:textId="77777777" w:rsidR="003663AF" w:rsidRPr="00B7760C" w:rsidRDefault="003663AF" w:rsidP="00E804B7">
            <w:pPr>
              <w:pStyle w:val="ColumnHeading"/>
              <w:keepNext/>
            </w:pPr>
            <w:r w:rsidRPr="00B7760C">
              <w:t>Besedilo, ki ga predlaga Komisija</w:t>
            </w:r>
          </w:p>
        </w:tc>
        <w:tc>
          <w:tcPr>
            <w:tcW w:w="4876" w:type="dxa"/>
            <w:hideMark/>
          </w:tcPr>
          <w:p w14:paraId="720E76F2" w14:textId="75785414" w:rsidR="003663AF" w:rsidRPr="00B7760C" w:rsidRDefault="00877691" w:rsidP="00E804B7">
            <w:pPr>
              <w:pStyle w:val="ColumnHeading"/>
              <w:keepNext/>
            </w:pPr>
            <w:r w:rsidRPr="00B7760C">
              <w:t>Sprememba</w:t>
            </w:r>
          </w:p>
        </w:tc>
      </w:tr>
      <w:tr w:rsidR="003663AF" w:rsidRPr="00B7760C" w14:paraId="3BD00115" w14:textId="77777777" w:rsidTr="00E804B7">
        <w:trPr>
          <w:jc w:val="center"/>
        </w:trPr>
        <w:tc>
          <w:tcPr>
            <w:tcW w:w="4876" w:type="dxa"/>
            <w:hideMark/>
          </w:tcPr>
          <w:p w14:paraId="0E79A23E" w14:textId="77777777" w:rsidR="003663AF" w:rsidRPr="00B7760C" w:rsidRDefault="003663AF" w:rsidP="00E804B7">
            <w:pPr>
              <w:pStyle w:val="Normal6"/>
            </w:pPr>
            <w:r w:rsidRPr="00B7760C">
              <w:t>2.</w:t>
            </w:r>
            <w:r w:rsidRPr="00B7760C">
              <w:tab/>
              <w:t xml:space="preserve">Ta plačila se odobrijo </w:t>
            </w:r>
            <w:r w:rsidRPr="00B7760C">
              <w:rPr>
                <w:b/>
                <w:i/>
              </w:rPr>
              <w:t>pravim</w:t>
            </w:r>
            <w:r w:rsidRPr="00B7760C">
              <w:t xml:space="preserve"> kmetom za območja, določena v skladu s členom 32 Uredbe (EU) št. 1305/2013.</w:t>
            </w:r>
          </w:p>
        </w:tc>
        <w:tc>
          <w:tcPr>
            <w:tcW w:w="4876" w:type="dxa"/>
            <w:hideMark/>
          </w:tcPr>
          <w:p w14:paraId="6B51CA6F" w14:textId="77777777" w:rsidR="003663AF" w:rsidRPr="00B7760C" w:rsidRDefault="003663AF" w:rsidP="00E804B7">
            <w:pPr>
              <w:pStyle w:val="Normal6"/>
              <w:rPr>
                <w:szCs w:val="24"/>
              </w:rPr>
            </w:pPr>
            <w:r w:rsidRPr="00B7760C">
              <w:t>2.</w:t>
            </w:r>
            <w:r w:rsidRPr="00B7760C">
              <w:tab/>
              <w:t xml:space="preserve">Ta plačila se odobrijo </w:t>
            </w:r>
            <w:r w:rsidRPr="00B7760C">
              <w:rPr>
                <w:b/>
                <w:i/>
              </w:rPr>
              <w:t>dejavnim</w:t>
            </w:r>
            <w:r w:rsidRPr="00B7760C">
              <w:t xml:space="preserve"> kmetom za območja, določena v skladu s členom 32 Uredbe (EU) št. 1305/2013</w:t>
            </w:r>
            <w:r w:rsidRPr="00B7760C">
              <w:rPr>
                <w:b/>
                <w:i/>
              </w:rPr>
              <w:t>, in za območja v Republiki Hrvaški, ki jih je prizadela vojna</w:t>
            </w:r>
            <w:r w:rsidRPr="00B7760C">
              <w:t>.</w:t>
            </w:r>
          </w:p>
        </w:tc>
      </w:tr>
    </w:tbl>
    <w:p w14:paraId="35C646BD" w14:textId="77777777" w:rsidR="003663AF" w:rsidRPr="00B7760C" w:rsidRDefault="003663AF" w:rsidP="003663AF"/>
    <w:p w14:paraId="12949EC6" w14:textId="74E222A6" w:rsidR="003663AF" w:rsidRPr="00B7760C" w:rsidRDefault="00877691" w:rsidP="003663AF">
      <w:pPr>
        <w:pStyle w:val="AMNumberTabs"/>
        <w:keepNext/>
      </w:pPr>
      <w:r w:rsidRPr="00B7760C">
        <w:t>Sprememb</w:t>
      </w:r>
      <w:r w:rsidR="00615734" w:rsidRPr="00B7760C">
        <w:t>i</w:t>
      </w:r>
      <w:r w:rsidR="003663AF" w:rsidRPr="00B7760C">
        <w:tab/>
      </w:r>
      <w:r w:rsidR="003663AF" w:rsidRPr="00B7760C">
        <w:tab/>
        <w:t>450</w:t>
      </w:r>
      <w:r w:rsidR="00615734" w:rsidRPr="00B7760C">
        <w:t xml:space="preserve"> in 1166 cp2</w:t>
      </w:r>
    </w:p>
    <w:p w14:paraId="6A9BCACC" w14:textId="77777777" w:rsidR="003663AF" w:rsidRPr="00B7760C" w:rsidRDefault="003663AF" w:rsidP="003663AF">
      <w:pPr>
        <w:pStyle w:val="NormalBold12b"/>
      </w:pPr>
      <w:r w:rsidRPr="00B7760C">
        <w:t>Predlog uredbe</w:t>
      </w:r>
    </w:p>
    <w:p w14:paraId="75BFEF24" w14:textId="77777777" w:rsidR="003663AF" w:rsidRPr="00B7760C" w:rsidRDefault="003663AF" w:rsidP="003663AF">
      <w:pPr>
        <w:pStyle w:val="NormalBold"/>
      </w:pPr>
      <w:r w:rsidRPr="00B7760C">
        <w:t>Člen 66 – odstavek 2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F9FE54F" w14:textId="77777777" w:rsidTr="00E804B7">
        <w:trPr>
          <w:jc w:val="center"/>
        </w:trPr>
        <w:tc>
          <w:tcPr>
            <w:tcW w:w="9752" w:type="dxa"/>
            <w:gridSpan w:val="2"/>
          </w:tcPr>
          <w:p w14:paraId="5F461BA8" w14:textId="77777777" w:rsidR="003663AF" w:rsidRPr="00B7760C" w:rsidRDefault="003663AF" w:rsidP="00E804B7">
            <w:pPr>
              <w:keepNext/>
            </w:pPr>
          </w:p>
        </w:tc>
      </w:tr>
      <w:tr w:rsidR="003663AF" w:rsidRPr="00B7760C" w14:paraId="35982ABA" w14:textId="77777777" w:rsidTr="00E804B7">
        <w:trPr>
          <w:jc w:val="center"/>
        </w:trPr>
        <w:tc>
          <w:tcPr>
            <w:tcW w:w="4876" w:type="dxa"/>
            <w:hideMark/>
          </w:tcPr>
          <w:p w14:paraId="542CC30B" w14:textId="77777777" w:rsidR="003663AF" w:rsidRPr="00B7760C" w:rsidRDefault="003663AF" w:rsidP="00E804B7">
            <w:pPr>
              <w:pStyle w:val="ColumnHeading"/>
              <w:keepNext/>
            </w:pPr>
            <w:r w:rsidRPr="00B7760C">
              <w:t>Besedilo, ki ga predlaga Komisija</w:t>
            </w:r>
          </w:p>
        </w:tc>
        <w:tc>
          <w:tcPr>
            <w:tcW w:w="4876" w:type="dxa"/>
            <w:hideMark/>
          </w:tcPr>
          <w:p w14:paraId="54435170" w14:textId="310F07B3" w:rsidR="003663AF" w:rsidRPr="00B7760C" w:rsidRDefault="00877691" w:rsidP="00E804B7">
            <w:pPr>
              <w:pStyle w:val="ColumnHeading"/>
              <w:keepNext/>
            </w:pPr>
            <w:r w:rsidRPr="00B7760C">
              <w:t>Sprememba</w:t>
            </w:r>
          </w:p>
        </w:tc>
      </w:tr>
      <w:tr w:rsidR="003663AF" w:rsidRPr="00B7760C" w14:paraId="7BC1BAD6" w14:textId="77777777" w:rsidTr="00E804B7">
        <w:trPr>
          <w:jc w:val="center"/>
        </w:trPr>
        <w:tc>
          <w:tcPr>
            <w:tcW w:w="4876" w:type="dxa"/>
          </w:tcPr>
          <w:p w14:paraId="29ABF0C5" w14:textId="77777777" w:rsidR="003663AF" w:rsidRPr="00B7760C" w:rsidRDefault="003663AF" w:rsidP="00E804B7">
            <w:pPr>
              <w:pStyle w:val="Normal6"/>
            </w:pPr>
          </w:p>
        </w:tc>
        <w:tc>
          <w:tcPr>
            <w:tcW w:w="4876" w:type="dxa"/>
            <w:hideMark/>
          </w:tcPr>
          <w:p w14:paraId="44408F2E" w14:textId="77777777" w:rsidR="003663AF" w:rsidRPr="00B7760C" w:rsidRDefault="003663AF" w:rsidP="00E804B7">
            <w:pPr>
              <w:pStyle w:val="Normal6"/>
              <w:rPr>
                <w:szCs w:val="24"/>
              </w:rPr>
            </w:pPr>
            <w:r w:rsidRPr="00B7760C">
              <w:rPr>
                <w:b/>
                <w:i/>
              </w:rPr>
              <w:t>2a.</w:t>
            </w:r>
            <w:r w:rsidRPr="00B7760C">
              <w:rPr>
                <w:b/>
                <w:i/>
              </w:rPr>
              <w:tab/>
              <w:t>V primeru pravne osebe ali skupine fizičnih ali pravnih oseb lahko države članice uporabljajo podporo na ravni članov teh pravnih oseb ali skupin, kadar nacionalno pravo določa, da posamezni člani prevzamejo pravice in obveznosti, primerljive s tistimi posameznih kmetov, ki imajo status vodje kmetijskega gospodarstva, zlasti kar zadeva njihov gospodarski, socialni in davčni status, pod pogojem, da so prispevali h krepitvi kmetijskih struktur zadevnih pravnih oseb ali skupin.</w:t>
            </w:r>
          </w:p>
        </w:tc>
      </w:tr>
    </w:tbl>
    <w:p w14:paraId="5229AFDB" w14:textId="77777777" w:rsidR="003663AF" w:rsidRPr="00B7760C" w:rsidRDefault="003663AF" w:rsidP="003663AF"/>
    <w:p w14:paraId="244C582D" w14:textId="28A7273C" w:rsidR="003663AF" w:rsidRPr="00B7760C" w:rsidRDefault="00877691" w:rsidP="003663AF">
      <w:pPr>
        <w:pStyle w:val="AMNumberTabs"/>
        <w:keepNext/>
      </w:pPr>
      <w:r w:rsidRPr="00B7760C">
        <w:t>Sprememba</w:t>
      </w:r>
      <w:r w:rsidR="003663AF" w:rsidRPr="00B7760C">
        <w:tab/>
      </w:r>
      <w:r w:rsidR="003663AF" w:rsidRPr="00B7760C">
        <w:tab/>
        <w:t>451</w:t>
      </w:r>
    </w:p>
    <w:p w14:paraId="1FDF743E" w14:textId="77777777" w:rsidR="003663AF" w:rsidRPr="00B7760C" w:rsidRDefault="003663AF" w:rsidP="003663AF">
      <w:pPr>
        <w:pStyle w:val="NormalBold12b"/>
      </w:pPr>
      <w:r w:rsidRPr="00B7760C">
        <w:t>Predlog uredbe</w:t>
      </w:r>
    </w:p>
    <w:p w14:paraId="5A7B2359" w14:textId="77777777" w:rsidR="003663AF" w:rsidRPr="00B7760C" w:rsidRDefault="003663AF" w:rsidP="003663AF">
      <w:pPr>
        <w:pStyle w:val="NormalBold"/>
      </w:pPr>
      <w:r w:rsidRPr="00B7760C">
        <w:t>Člen 66 – odstavek 3</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78FB0E7" w14:textId="77777777" w:rsidTr="00DB605E">
        <w:trPr>
          <w:jc w:val="center"/>
        </w:trPr>
        <w:tc>
          <w:tcPr>
            <w:tcW w:w="9752" w:type="dxa"/>
            <w:gridSpan w:val="2"/>
          </w:tcPr>
          <w:p w14:paraId="4107E958" w14:textId="77777777" w:rsidR="003663AF" w:rsidRPr="00B7760C" w:rsidRDefault="003663AF" w:rsidP="00E804B7">
            <w:pPr>
              <w:keepNext/>
            </w:pPr>
          </w:p>
        </w:tc>
      </w:tr>
      <w:tr w:rsidR="003663AF" w:rsidRPr="00B7760C" w14:paraId="41832352" w14:textId="77777777" w:rsidTr="00DB605E">
        <w:trPr>
          <w:jc w:val="center"/>
        </w:trPr>
        <w:tc>
          <w:tcPr>
            <w:tcW w:w="4876" w:type="dxa"/>
            <w:hideMark/>
          </w:tcPr>
          <w:p w14:paraId="0E828941" w14:textId="77777777" w:rsidR="003663AF" w:rsidRPr="00B7760C" w:rsidRDefault="003663AF" w:rsidP="00E804B7">
            <w:pPr>
              <w:pStyle w:val="ColumnHeading"/>
              <w:keepNext/>
            </w:pPr>
            <w:r w:rsidRPr="00B7760C">
              <w:t>Besedilo, ki ga predlaga Komisija</w:t>
            </w:r>
          </w:p>
        </w:tc>
        <w:tc>
          <w:tcPr>
            <w:tcW w:w="4876" w:type="dxa"/>
            <w:hideMark/>
          </w:tcPr>
          <w:p w14:paraId="40D83557" w14:textId="2F98EE08" w:rsidR="003663AF" w:rsidRPr="00B7760C" w:rsidRDefault="00877691" w:rsidP="00E804B7">
            <w:pPr>
              <w:pStyle w:val="ColumnHeading"/>
              <w:keepNext/>
            </w:pPr>
            <w:r w:rsidRPr="00B7760C">
              <w:t>Sprememba</w:t>
            </w:r>
          </w:p>
        </w:tc>
      </w:tr>
      <w:tr w:rsidR="003663AF" w:rsidRPr="00B7760C" w14:paraId="42B34EC9" w14:textId="77777777" w:rsidTr="00DB605E">
        <w:trPr>
          <w:jc w:val="center"/>
        </w:trPr>
        <w:tc>
          <w:tcPr>
            <w:tcW w:w="4876" w:type="dxa"/>
            <w:hideMark/>
          </w:tcPr>
          <w:p w14:paraId="5EEEDD06" w14:textId="77777777" w:rsidR="003663AF" w:rsidRPr="00B7760C" w:rsidRDefault="003663AF" w:rsidP="00E804B7">
            <w:pPr>
              <w:pStyle w:val="Normal6"/>
            </w:pPr>
            <w:r w:rsidRPr="00B7760C">
              <w:t>3.</w:t>
            </w:r>
            <w:r w:rsidRPr="00B7760C">
              <w:tab/>
              <w:t>Države članice lahko odobrijo plačila v okviru te vrste intervencij le, da bi upravičencem nadomestile vse ali del dodatnih stroškov in izpada dohodka, ki so na zadevnem območju vezani na naravne ali druge omejitve, značilne za posamezno območje.</w:t>
            </w:r>
          </w:p>
        </w:tc>
        <w:tc>
          <w:tcPr>
            <w:tcW w:w="4876" w:type="dxa"/>
            <w:hideMark/>
          </w:tcPr>
          <w:p w14:paraId="0CA22006" w14:textId="77777777" w:rsidR="003663AF" w:rsidRPr="00B7760C" w:rsidRDefault="003663AF" w:rsidP="00E804B7">
            <w:pPr>
              <w:pStyle w:val="Normal6"/>
              <w:rPr>
                <w:szCs w:val="24"/>
              </w:rPr>
            </w:pPr>
            <w:r w:rsidRPr="00B7760C">
              <w:t>3.</w:t>
            </w:r>
            <w:r w:rsidRPr="00B7760C">
              <w:tab/>
              <w:t xml:space="preserve">Države članice lahko odobrijo plačila v okviru te vrste intervencij le, da bi upravičencem nadomestile vse ali del dodatnih stroškov in izpada dohodka, ki so na zadevnem območju vezani na naravne ali druge omejitve, značilne za posamezno območje. </w:t>
            </w:r>
            <w:r w:rsidRPr="00B7760C">
              <w:rPr>
                <w:b/>
                <w:i/>
              </w:rPr>
              <w:t>Zagotovijo lahko tudi finančno spodbudo za upravičence, da bi še naprej kmetovali na teh območjih. Znesek podpore lahko prilagodi, da se upošteva resnost naravnih ovir, ki vplivajo na kmetijsko dejavnost in kmetijski sistem. Pri plačilih se lahko po potrebi upoštevajo tudi socialno-ekonomski in okoljski dejavniki. Države članice zagotovijo, da so izračuni ustrezni, natančni in pripravljeni vnaprej na podlagi pravične metode izračuna.</w:t>
            </w:r>
          </w:p>
        </w:tc>
      </w:tr>
    </w:tbl>
    <w:p w14:paraId="46DA67D9" w14:textId="19F39864" w:rsidR="00DB605E" w:rsidRPr="00B7760C" w:rsidRDefault="00DB605E" w:rsidP="00DB605E">
      <w:pPr>
        <w:pStyle w:val="AMNumberTabs"/>
        <w:keepNext/>
      </w:pPr>
      <w:r w:rsidRPr="00B7760C">
        <w:t>Sprememba</w:t>
      </w:r>
      <w:r w:rsidRPr="00B7760C">
        <w:tab/>
      </w:r>
      <w:r w:rsidRPr="00B7760C">
        <w:tab/>
        <w:t>1166</w:t>
      </w:r>
      <w:r w:rsidR="005847CC" w:rsidRPr="00B7760C">
        <w:t xml:space="preserve"> cp3</w:t>
      </w:r>
    </w:p>
    <w:p w14:paraId="43CEC83F" w14:textId="77777777" w:rsidR="00DB605E" w:rsidRPr="00B7760C" w:rsidRDefault="00DB605E" w:rsidP="00DB605E">
      <w:pPr>
        <w:pStyle w:val="NormalBold12b"/>
      </w:pPr>
      <w:r w:rsidRPr="00B7760C">
        <w:t>Predlog uredbe</w:t>
      </w:r>
    </w:p>
    <w:p w14:paraId="6EE4FF9C" w14:textId="7406F9C9" w:rsidR="00DB605E" w:rsidRPr="00B7760C" w:rsidRDefault="00DB605E" w:rsidP="00DB605E">
      <w:pPr>
        <w:pStyle w:val="NormalBold"/>
      </w:pPr>
      <w:r w:rsidRPr="00B7760C">
        <w:t>Člen 66 – odstavek 4</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DB605E" w:rsidRPr="00B7760C" w14:paraId="40DF9842" w14:textId="77777777" w:rsidTr="005847CC">
        <w:trPr>
          <w:jc w:val="center"/>
        </w:trPr>
        <w:tc>
          <w:tcPr>
            <w:tcW w:w="9752" w:type="dxa"/>
            <w:gridSpan w:val="2"/>
          </w:tcPr>
          <w:p w14:paraId="622F04FF" w14:textId="77777777" w:rsidR="00DB605E" w:rsidRPr="00B7760C" w:rsidRDefault="00DB605E" w:rsidP="005847CC">
            <w:pPr>
              <w:keepNext/>
            </w:pPr>
          </w:p>
        </w:tc>
      </w:tr>
      <w:tr w:rsidR="00DB605E" w:rsidRPr="00B7760C" w14:paraId="094AD784" w14:textId="77777777" w:rsidTr="005847CC">
        <w:trPr>
          <w:jc w:val="center"/>
        </w:trPr>
        <w:tc>
          <w:tcPr>
            <w:tcW w:w="4876" w:type="dxa"/>
            <w:hideMark/>
          </w:tcPr>
          <w:p w14:paraId="5CE0EBD9" w14:textId="77777777" w:rsidR="00DB605E" w:rsidRPr="00B7760C" w:rsidRDefault="00DB605E" w:rsidP="005847CC">
            <w:pPr>
              <w:pStyle w:val="ColumnHeading"/>
              <w:keepNext/>
            </w:pPr>
            <w:r w:rsidRPr="00B7760C">
              <w:t>Besedilo, ki ga predlaga Komisija</w:t>
            </w:r>
          </w:p>
        </w:tc>
        <w:tc>
          <w:tcPr>
            <w:tcW w:w="4876" w:type="dxa"/>
            <w:hideMark/>
          </w:tcPr>
          <w:p w14:paraId="3BC4D5CC" w14:textId="77777777" w:rsidR="00DB605E" w:rsidRPr="00B7760C" w:rsidRDefault="00DB605E" w:rsidP="005847CC">
            <w:pPr>
              <w:pStyle w:val="ColumnHeading"/>
              <w:keepNext/>
            </w:pPr>
            <w:r w:rsidRPr="00B7760C">
              <w:t>Sprememba</w:t>
            </w:r>
          </w:p>
        </w:tc>
      </w:tr>
      <w:tr w:rsidR="00DB605E" w:rsidRPr="00B7760C" w14:paraId="161240F0" w14:textId="77777777" w:rsidTr="00DB605E">
        <w:trPr>
          <w:jc w:val="center"/>
        </w:trPr>
        <w:tc>
          <w:tcPr>
            <w:tcW w:w="4876" w:type="dxa"/>
          </w:tcPr>
          <w:p w14:paraId="173AA5B8" w14:textId="7545C3C8" w:rsidR="00DB605E" w:rsidRPr="00B7760C" w:rsidRDefault="00DB605E" w:rsidP="005847CC">
            <w:pPr>
              <w:pStyle w:val="Normal6"/>
            </w:pPr>
            <w:r w:rsidRPr="00B7760C">
              <w:t>4.</w:t>
            </w:r>
            <w:r w:rsidRPr="00B7760C">
              <w:tab/>
              <w:t>Dodatni stroški in izpad dohodka iz odstavka 3 se izračunajo glede na naravne in druge omejitve, značilne za posamezno območje, v primerjavi z območji brez naravnih ali drugih omejitev, značilnih za posamezno območje.</w:t>
            </w:r>
          </w:p>
        </w:tc>
        <w:tc>
          <w:tcPr>
            <w:tcW w:w="4876" w:type="dxa"/>
          </w:tcPr>
          <w:p w14:paraId="3FF43140" w14:textId="2DA6D35A" w:rsidR="00DB605E" w:rsidRPr="00B7760C" w:rsidRDefault="00DB605E" w:rsidP="00DB605E">
            <w:pPr>
              <w:pStyle w:val="Normal6"/>
              <w:rPr>
                <w:szCs w:val="24"/>
              </w:rPr>
            </w:pPr>
            <w:r w:rsidRPr="00B7760C">
              <w:t>4.</w:t>
            </w:r>
            <w:r w:rsidRPr="00B7760C">
              <w:tab/>
              <w:t>Dodatni stroški in izpad dohodka iz odstavka 3 se izračunajo glede na naravne in druge omejitve, značilne za posamezno območje, v primerjavi z območji brez naravnih ali drugih omejitev, značilnih za posamezno območje.</w:t>
            </w:r>
          </w:p>
        </w:tc>
      </w:tr>
      <w:tr w:rsidR="00DB605E" w:rsidRPr="00B7760C" w14:paraId="5214F9E1" w14:textId="77777777" w:rsidTr="00DB605E">
        <w:trPr>
          <w:jc w:val="center"/>
        </w:trPr>
        <w:tc>
          <w:tcPr>
            <w:tcW w:w="4876" w:type="dxa"/>
          </w:tcPr>
          <w:p w14:paraId="5A18776A" w14:textId="77777777" w:rsidR="00DB605E" w:rsidRPr="00B7760C" w:rsidRDefault="00DB605E" w:rsidP="005847CC">
            <w:pPr>
              <w:pStyle w:val="Normal6"/>
            </w:pPr>
          </w:p>
        </w:tc>
        <w:tc>
          <w:tcPr>
            <w:tcW w:w="4876" w:type="dxa"/>
          </w:tcPr>
          <w:p w14:paraId="77AA0F2C" w14:textId="6B814DDB" w:rsidR="00DB605E" w:rsidRPr="00B7760C" w:rsidRDefault="00DB605E" w:rsidP="005847CC">
            <w:pPr>
              <w:pStyle w:val="Normal6"/>
            </w:pPr>
            <w:r w:rsidRPr="00B7760C">
              <w:rPr>
                <w:b/>
                <w:i/>
              </w:rPr>
              <w:t>Znesek plačil se lahko prilagodi, da se upošteva resnost ovir, ki vplivajo na kmetijsko dejavnost različnih proizvodnih sistemov.</w:t>
            </w:r>
          </w:p>
        </w:tc>
      </w:tr>
      <w:tr w:rsidR="00DB605E" w:rsidRPr="00B7760C" w14:paraId="160E211C" w14:textId="77777777" w:rsidTr="00DB605E">
        <w:trPr>
          <w:jc w:val="center"/>
        </w:trPr>
        <w:tc>
          <w:tcPr>
            <w:tcW w:w="4876" w:type="dxa"/>
          </w:tcPr>
          <w:p w14:paraId="0693F251" w14:textId="77777777" w:rsidR="00DB605E" w:rsidRPr="00B7760C" w:rsidRDefault="00DB605E" w:rsidP="005847CC">
            <w:pPr>
              <w:pStyle w:val="Normal6"/>
            </w:pPr>
          </w:p>
        </w:tc>
        <w:tc>
          <w:tcPr>
            <w:tcW w:w="4876" w:type="dxa"/>
          </w:tcPr>
          <w:p w14:paraId="74C3C94A" w14:textId="161AF236" w:rsidR="00DB605E" w:rsidRPr="00B7760C" w:rsidRDefault="00DB605E" w:rsidP="005847CC">
            <w:pPr>
              <w:pStyle w:val="Normal6"/>
            </w:pPr>
            <w:r w:rsidRPr="00B7760C">
              <w:rPr>
                <w:b/>
                <w:i/>
              </w:rPr>
              <w:t>Države članice lahko določijo najnižji prag za plačilo, pod katerim se plačila ne dodelijo.</w:t>
            </w:r>
          </w:p>
        </w:tc>
      </w:tr>
      <w:tr w:rsidR="00DB605E" w:rsidRPr="00B7760C" w14:paraId="4568310E" w14:textId="77777777" w:rsidTr="00DB605E">
        <w:trPr>
          <w:jc w:val="center"/>
        </w:trPr>
        <w:tc>
          <w:tcPr>
            <w:tcW w:w="4876" w:type="dxa"/>
          </w:tcPr>
          <w:p w14:paraId="600794B2" w14:textId="77777777" w:rsidR="00DB605E" w:rsidRPr="00B7760C" w:rsidRDefault="00DB605E" w:rsidP="005847CC">
            <w:pPr>
              <w:pStyle w:val="Normal6"/>
            </w:pPr>
          </w:p>
        </w:tc>
        <w:tc>
          <w:tcPr>
            <w:tcW w:w="4876" w:type="dxa"/>
          </w:tcPr>
          <w:p w14:paraId="1DE06AA6" w14:textId="3AD82D00" w:rsidR="00DB605E" w:rsidRPr="00B7760C" w:rsidRDefault="00DB605E" w:rsidP="005847CC">
            <w:pPr>
              <w:pStyle w:val="Normal6"/>
            </w:pPr>
            <w:r w:rsidRPr="00B7760C">
              <w:rPr>
                <w:b/>
                <w:i/>
              </w:rPr>
              <w:t>Pri dodeljenih plačilih je mogoče, kjer je ustrezno, tudi upoštevati socialno-ekonomska in okoljska pravila.</w:t>
            </w:r>
          </w:p>
        </w:tc>
      </w:tr>
    </w:tbl>
    <w:p w14:paraId="73E24F3B" w14:textId="77777777" w:rsidR="003663AF" w:rsidRPr="00B7760C" w:rsidRDefault="003663AF" w:rsidP="003663AF"/>
    <w:p w14:paraId="4C067EF2" w14:textId="18F07C74" w:rsidR="003663AF" w:rsidRPr="00B7760C" w:rsidRDefault="00877691" w:rsidP="003663AF">
      <w:pPr>
        <w:pStyle w:val="AMNumberTabs"/>
        <w:keepNext/>
      </w:pPr>
      <w:r w:rsidRPr="00B7760C">
        <w:t>Sprememba</w:t>
      </w:r>
      <w:r w:rsidR="003663AF" w:rsidRPr="00B7760C">
        <w:tab/>
      </w:r>
      <w:r w:rsidR="003663AF" w:rsidRPr="00B7760C">
        <w:tab/>
        <w:t>452</w:t>
      </w:r>
    </w:p>
    <w:p w14:paraId="3040F523" w14:textId="77777777" w:rsidR="003663AF" w:rsidRPr="00B7760C" w:rsidRDefault="003663AF" w:rsidP="003663AF">
      <w:pPr>
        <w:pStyle w:val="NormalBold12b"/>
      </w:pPr>
      <w:r w:rsidRPr="00B7760C">
        <w:t>Predlog uredbe</w:t>
      </w:r>
    </w:p>
    <w:p w14:paraId="470916C8" w14:textId="77777777" w:rsidR="003663AF" w:rsidRPr="00B7760C" w:rsidRDefault="003663AF" w:rsidP="003663AF">
      <w:pPr>
        <w:pStyle w:val="NormalBold"/>
      </w:pPr>
      <w:r w:rsidRPr="00B7760C">
        <w:t>Člen 66 – odstavek 5</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A9C256A" w14:textId="77777777" w:rsidTr="00E804B7">
        <w:trPr>
          <w:jc w:val="center"/>
        </w:trPr>
        <w:tc>
          <w:tcPr>
            <w:tcW w:w="9752" w:type="dxa"/>
            <w:gridSpan w:val="2"/>
          </w:tcPr>
          <w:p w14:paraId="42BBD30B" w14:textId="77777777" w:rsidR="003663AF" w:rsidRPr="00B7760C" w:rsidRDefault="003663AF" w:rsidP="00E804B7">
            <w:pPr>
              <w:keepNext/>
            </w:pPr>
          </w:p>
        </w:tc>
      </w:tr>
      <w:tr w:rsidR="003663AF" w:rsidRPr="00B7760C" w14:paraId="454939ED" w14:textId="77777777" w:rsidTr="00E804B7">
        <w:trPr>
          <w:jc w:val="center"/>
        </w:trPr>
        <w:tc>
          <w:tcPr>
            <w:tcW w:w="4876" w:type="dxa"/>
            <w:hideMark/>
          </w:tcPr>
          <w:p w14:paraId="135413E0" w14:textId="77777777" w:rsidR="003663AF" w:rsidRPr="00B7760C" w:rsidRDefault="003663AF" w:rsidP="00E804B7">
            <w:pPr>
              <w:pStyle w:val="ColumnHeading"/>
              <w:keepNext/>
            </w:pPr>
            <w:r w:rsidRPr="00B7760C">
              <w:t>Besedilo, ki ga predlaga Komisija</w:t>
            </w:r>
          </w:p>
        </w:tc>
        <w:tc>
          <w:tcPr>
            <w:tcW w:w="4876" w:type="dxa"/>
            <w:hideMark/>
          </w:tcPr>
          <w:p w14:paraId="1B8B2CFA" w14:textId="5CE335EC" w:rsidR="003663AF" w:rsidRPr="00B7760C" w:rsidRDefault="00877691" w:rsidP="00E804B7">
            <w:pPr>
              <w:pStyle w:val="ColumnHeading"/>
              <w:keepNext/>
            </w:pPr>
            <w:r w:rsidRPr="00B7760C">
              <w:t>Sprememba</w:t>
            </w:r>
          </w:p>
        </w:tc>
      </w:tr>
      <w:tr w:rsidR="003663AF" w:rsidRPr="00B7760C" w14:paraId="57447035" w14:textId="77777777" w:rsidTr="00E804B7">
        <w:trPr>
          <w:jc w:val="center"/>
        </w:trPr>
        <w:tc>
          <w:tcPr>
            <w:tcW w:w="4876" w:type="dxa"/>
            <w:hideMark/>
          </w:tcPr>
          <w:p w14:paraId="25402166" w14:textId="77777777" w:rsidR="003663AF" w:rsidRPr="00B7760C" w:rsidRDefault="003663AF" w:rsidP="00E804B7">
            <w:pPr>
              <w:pStyle w:val="Normal6"/>
            </w:pPr>
            <w:r w:rsidRPr="00B7760C">
              <w:t>5.</w:t>
            </w:r>
            <w:r w:rsidRPr="00B7760C">
              <w:tab/>
              <w:t>Plačila se odobrijo letno na hektar površine.</w:t>
            </w:r>
          </w:p>
        </w:tc>
        <w:tc>
          <w:tcPr>
            <w:tcW w:w="4876" w:type="dxa"/>
            <w:hideMark/>
          </w:tcPr>
          <w:p w14:paraId="284E19E7" w14:textId="77777777" w:rsidR="003663AF" w:rsidRPr="00B7760C" w:rsidRDefault="003663AF" w:rsidP="00E804B7">
            <w:pPr>
              <w:pStyle w:val="Normal6"/>
              <w:rPr>
                <w:szCs w:val="24"/>
              </w:rPr>
            </w:pPr>
            <w:r w:rsidRPr="00B7760C">
              <w:t>5.</w:t>
            </w:r>
            <w:r w:rsidRPr="00B7760C">
              <w:tab/>
              <w:t>Plačila se odobrijo letno na hektar površine</w:t>
            </w:r>
            <w:r w:rsidRPr="00B7760C">
              <w:rPr>
                <w:b/>
                <w:i/>
              </w:rPr>
              <w:t xml:space="preserve"> in ne presegajo najnižjih in najvišjih zneskov iz Priloge IXaa</w:t>
            </w:r>
            <w:r w:rsidRPr="00B7760C">
              <w:t>.</w:t>
            </w:r>
          </w:p>
        </w:tc>
      </w:tr>
    </w:tbl>
    <w:p w14:paraId="7791916B" w14:textId="77777777" w:rsidR="003663AF" w:rsidRPr="00B7760C" w:rsidRDefault="003663AF" w:rsidP="003663AF"/>
    <w:p w14:paraId="4991EE36" w14:textId="77777777" w:rsidR="00F624DF" w:rsidRPr="00B7760C" w:rsidRDefault="00F624DF" w:rsidP="003663AF"/>
    <w:p w14:paraId="32870159" w14:textId="7E6C7A42" w:rsidR="003663AF" w:rsidRPr="00B7760C" w:rsidRDefault="003663AF" w:rsidP="003663AF"/>
    <w:p w14:paraId="66E1CDF1" w14:textId="2971C4E5" w:rsidR="00F624DF" w:rsidRPr="00B7760C" w:rsidRDefault="00F624DF" w:rsidP="00F624DF">
      <w:pPr>
        <w:pStyle w:val="AMNumberTabs"/>
        <w:keepNext/>
      </w:pPr>
      <w:r w:rsidRPr="00B7760C">
        <w:t>Sprememba</w:t>
      </w:r>
      <w:r w:rsidRPr="00B7760C">
        <w:tab/>
      </w:r>
      <w:r w:rsidRPr="00B7760C">
        <w:tab/>
        <w:t>1124</w:t>
      </w:r>
    </w:p>
    <w:p w14:paraId="7FA6854B" w14:textId="77777777" w:rsidR="00F624DF" w:rsidRPr="00B7760C" w:rsidRDefault="00F624DF" w:rsidP="00F624DF">
      <w:pPr>
        <w:pStyle w:val="NormalBold12b"/>
      </w:pPr>
      <w:r w:rsidRPr="00B7760C">
        <w:t>Predlog uredbe</w:t>
      </w:r>
    </w:p>
    <w:p w14:paraId="325479EB" w14:textId="1179141F" w:rsidR="00F624DF" w:rsidRPr="00B7760C" w:rsidRDefault="00F624DF" w:rsidP="00F624DF">
      <w:pPr>
        <w:pStyle w:val="NormalBold"/>
      </w:pPr>
      <w:r w:rsidRPr="00B7760C">
        <w:t>Člen 67</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624DF" w:rsidRPr="00B7760C" w14:paraId="46D5D5FF" w14:textId="77777777" w:rsidTr="005847CC">
        <w:trPr>
          <w:jc w:val="center"/>
        </w:trPr>
        <w:tc>
          <w:tcPr>
            <w:tcW w:w="9752" w:type="dxa"/>
            <w:gridSpan w:val="2"/>
          </w:tcPr>
          <w:p w14:paraId="6DD606F5" w14:textId="77777777" w:rsidR="00F624DF" w:rsidRPr="00B7760C" w:rsidRDefault="00F624DF" w:rsidP="005847CC">
            <w:pPr>
              <w:keepNext/>
            </w:pPr>
          </w:p>
        </w:tc>
      </w:tr>
      <w:tr w:rsidR="00F624DF" w:rsidRPr="00B7760C" w14:paraId="1C97847A" w14:textId="77777777" w:rsidTr="005847CC">
        <w:trPr>
          <w:jc w:val="center"/>
        </w:trPr>
        <w:tc>
          <w:tcPr>
            <w:tcW w:w="4876" w:type="dxa"/>
          </w:tcPr>
          <w:p w14:paraId="147F6E2F" w14:textId="77777777" w:rsidR="00F624DF" w:rsidRPr="00B7760C" w:rsidRDefault="00F624DF" w:rsidP="005847CC">
            <w:pPr>
              <w:keepNext/>
              <w:spacing w:after="240"/>
              <w:jc w:val="center"/>
              <w:rPr>
                <w:i/>
              </w:rPr>
            </w:pPr>
            <w:r w:rsidRPr="00B7760C">
              <w:rPr>
                <w:i/>
              </w:rPr>
              <w:t>Besedilo, ki ga predlaga Komisija</w:t>
            </w:r>
          </w:p>
        </w:tc>
        <w:tc>
          <w:tcPr>
            <w:tcW w:w="4876" w:type="dxa"/>
          </w:tcPr>
          <w:p w14:paraId="77B2ACAE" w14:textId="77777777" w:rsidR="00F624DF" w:rsidRPr="00B7760C" w:rsidRDefault="00F624DF" w:rsidP="005847CC">
            <w:pPr>
              <w:keepNext/>
              <w:spacing w:after="240"/>
              <w:jc w:val="center"/>
              <w:rPr>
                <w:i/>
              </w:rPr>
            </w:pPr>
            <w:r w:rsidRPr="00B7760C">
              <w:rPr>
                <w:i/>
              </w:rPr>
              <w:t>Sprememba</w:t>
            </w:r>
          </w:p>
        </w:tc>
      </w:tr>
      <w:tr w:rsidR="00F624DF" w:rsidRPr="00B7760C" w14:paraId="4358412B" w14:textId="77777777" w:rsidTr="005847CC">
        <w:trPr>
          <w:jc w:val="center"/>
        </w:trPr>
        <w:tc>
          <w:tcPr>
            <w:tcW w:w="4876" w:type="dxa"/>
          </w:tcPr>
          <w:p w14:paraId="5BA5E4EF" w14:textId="6B9A8624" w:rsidR="00F624DF" w:rsidRPr="00B7760C" w:rsidRDefault="00F624DF" w:rsidP="00F624DF">
            <w:pPr>
              <w:spacing w:after="120"/>
              <w:jc w:val="center"/>
            </w:pPr>
            <w:r w:rsidRPr="00B7760C">
              <w:t>Člen 67</w:t>
            </w:r>
          </w:p>
        </w:tc>
        <w:tc>
          <w:tcPr>
            <w:tcW w:w="4876" w:type="dxa"/>
          </w:tcPr>
          <w:p w14:paraId="40958691" w14:textId="22190353" w:rsidR="00F624DF" w:rsidRPr="00B7760C" w:rsidRDefault="00F624DF" w:rsidP="00F624DF">
            <w:pPr>
              <w:spacing w:after="120"/>
              <w:jc w:val="center"/>
              <w:rPr>
                <w:szCs w:val="24"/>
              </w:rPr>
            </w:pPr>
            <w:r w:rsidRPr="00B7760C">
              <w:t>Člen 67</w:t>
            </w:r>
          </w:p>
        </w:tc>
      </w:tr>
      <w:tr w:rsidR="00F624DF" w:rsidRPr="00B7760C" w14:paraId="0BD7B255" w14:textId="77777777" w:rsidTr="005847CC">
        <w:trPr>
          <w:jc w:val="center"/>
        </w:trPr>
        <w:tc>
          <w:tcPr>
            <w:tcW w:w="4876" w:type="dxa"/>
          </w:tcPr>
          <w:p w14:paraId="7A20F498" w14:textId="6CE10F30" w:rsidR="00F624DF" w:rsidRPr="00B7760C" w:rsidRDefault="00F624DF" w:rsidP="00F624DF">
            <w:pPr>
              <w:spacing w:after="120"/>
              <w:jc w:val="center"/>
            </w:pPr>
            <w:r w:rsidRPr="00B7760C">
              <w:t>Slabosti, značilne za posamezno območje, ki izhajajo iz nekaterih obveznih zahtev</w:t>
            </w:r>
          </w:p>
        </w:tc>
        <w:tc>
          <w:tcPr>
            <w:tcW w:w="4876" w:type="dxa"/>
          </w:tcPr>
          <w:p w14:paraId="5D547349" w14:textId="11109A01" w:rsidR="00F624DF" w:rsidRPr="00B7760C" w:rsidRDefault="00F624DF" w:rsidP="00F624DF">
            <w:pPr>
              <w:spacing w:after="120"/>
              <w:jc w:val="center"/>
            </w:pPr>
            <w:r w:rsidRPr="00B7760C">
              <w:t>Slabosti, značilne za posamezno območje, ki izhajajo iz nekaterih obveznih zahtev</w:t>
            </w:r>
          </w:p>
        </w:tc>
      </w:tr>
      <w:tr w:rsidR="00F624DF" w:rsidRPr="00B7760C" w14:paraId="4C0C8B7D" w14:textId="77777777" w:rsidTr="005847CC">
        <w:trPr>
          <w:jc w:val="center"/>
        </w:trPr>
        <w:tc>
          <w:tcPr>
            <w:tcW w:w="4876" w:type="dxa"/>
          </w:tcPr>
          <w:p w14:paraId="293E7FE7" w14:textId="1850093D" w:rsidR="00F624DF" w:rsidRPr="00B7760C" w:rsidRDefault="00F624DF" w:rsidP="005847CC">
            <w:pPr>
              <w:spacing w:after="120"/>
            </w:pPr>
            <w:r w:rsidRPr="00B7760C">
              <w:t>1.</w:t>
            </w:r>
            <w:r w:rsidRPr="00B7760C">
              <w:tab/>
              <w:t>Države članice lahko odobrijo plačila za slabosti, značilne za posamezno območje, ki izhajajo iz zahtev na podlagi izvajanja direktiv 92/43/EGS in 2009/147/ES ali Direktive 2000/60/ES, v skladu s pogoji iz tega člena in kot je podrobneje opredeljeno v njihovih strateških načrtih SKP, da bi prispevale k uresničevanju specifičnih ciljev iz člena 6(1).</w:t>
            </w:r>
          </w:p>
        </w:tc>
        <w:tc>
          <w:tcPr>
            <w:tcW w:w="4876" w:type="dxa"/>
          </w:tcPr>
          <w:p w14:paraId="5DBD8E64" w14:textId="517F1FEF" w:rsidR="00F624DF" w:rsidRPr="00B7760C" w:rsidRDefault="00F624DF" w:rsidP="005847CC">
            <w:pPr>
              <w:spacing w:after="120"/>
            </w:pPr>
            <w:r w:rsidRPr="00B7760C">
              <w:t>1.</w:t>
            </w:r>
            <w:r w:rsidRPr="00B7760C">
              <w:tab/>
              <w:t>Države članice lahko odobrijo plačila za slabosti, značilne za posamezno območje, ki izhajajo iz zahtev na podlagi izvajanja direktiv 92/43/EGS in 2009/147/ES ali Direktive 2000/60/ES, v skladu s pogoji iz tega člena in kot je podrobneje opredeljeno v njihovih strateških načrtih SKP, da bi prispevale k uresničevanju specifičnih ciljev iz člena 6(1).</w:t>
            </w:r>
          </w:p>
        </w:tc>
      </w:tr>
      <w:tr w:rsidR="00F624DF" w:rsidRPr="00B7760C" w14:paraId="746EABCA" w14:textId="77777777" w:rsidTr="005847CC">
        <w:trPr>
          <w:jc w:val="center"/>
        </w:trPr>
        <w:tc>
          <w:tcPr>
            <w:tcW w:w="4876" w:type="dxa"/>
          </w:tcPr>
          <w:p w14:paraId="0B7EEBB6" w14:textId="54C14AF5" w:rsidR="00F624DF" w:rsidRPr="00B7760C" w:rsidRDefault="00F624DF" w:rsidP="005847CC">
            <w:pPr>
              <w:spacing w:after="120"/>
            </w:pPr>
            <w:r w:rsidRPr="00B7760C">
              <w:t>2.</w:t>
            </w:r>
            <w:r w:rsidRPr="00B7760C">
              <w:tab/>
              <w:t>Ta plačila se lahko odobrijo kmetom, gozdnim posestnikom in drugim upravljavcem zemljišč za območja s slabostmi iz odstavka 1.</w:t>
            </w:r>
          </w:p>
        </w:tc>
        <w:tc>
          <w:tcPr>
            <w:tcW w:w="4876" w:type="dxa"/>
          </w:tcPr>
          <w:p w14:paraId="1F254903" w14:textId="16658C79" w:rsidR="00F624DF" w:rsidRPr="00B7760C" w:rsidRDefault="00F624DF" w:rsidP="005847CC">
            <w:pPr>
              <w:spacing w:after="120"/>
            </w:pPr>
            <w:r w:rsidRPr="00B7760C">
              <w:t>2.</w:t>
            </w:r>
            <w:r w:rsidRPr="00B7760C">
              <w:tab/>
              <w:t>Ta plačila se lahko odobrijo kmetom, skupinam kmetov, gozdnim posestnikom in skupinam gozdnih posestnikov, lastnikom gozdov in skupinam lastnikov gozdov.</w:t>
            </w:r>
            <w:r w:rsidRPr="00B7760C">
              <w:rPr>
                <w:b/>
                <w:i/>
              </w:rPr>
              <w:t xml:space="preserve"> </w:t>
            </w:r>
            <w:r w:rsidRPr="00B7760C">
              <w:t>V ustrezno utemeljenih primerih se lahko odobrijo tudi drugim upravljavcem zemljišč.</w:t>
            </w:r>
          </w:p>
        </w:tc>
      </w:tr>
      <w:tr w:rsidR="00F624DF" w:rsidRPr="00B7760C" w14:paraId="390B48FA" w14:textId="77777777" w:rsidTr="005847CC">
        <w:trPr>
          <w:jc w:val="center"/>
        </w:trPr>
        <w:tc>
          <w:tcPr>
            <w:tcW w:w="4876" w:type="dxa"/>
          </w:tcPr>
          <w:p w14:paraId="37DC5F2A" w14:textId="77777777" w:rsidR="00F624DF" w:rsidRPr="00B7760C" w:rsidRDefault="00F624DF" w:rsidP="005847CC">
            <w:pPr>
              <w:spacing w:after="120"/>
            </w:pPr>
          </w:p>
        </w:tc>
        <w:tc>
          <w:tcPr>
            <w:tcW w:w="4876" w:type="dxa"/>
          </w:tcPr>
          <w:p w14:paraId="1C3BB13E" w14:textId="00FB742B" w:rsidR="00F624DF" w:rsidRPr="00B7760C" w:rsidRDefault="00F624DF" w:rsidP="005847CC">
            <w:pPr>
              <w:spacing w:after="120"/>
            </w:pPr>
            <w:r w:rsidRPr="00B7760C">
              <w:rPr>
                <w:b/>
                <w:i/>
              </w:rPr>
              <w:t>2a.</w:t>
            </w:r>
            <w:r w:rsidRPr="00B7760C">
              <w:rPr>
                <w:b/>
                <w:i/>
              </w:rPr>
              <w:tab/>
              <w:t>V primeru pravne osebe ali skupine fizičnih ali pravnih oseb lahko države članice uporabijo podporo na ravni članov teh pravnih oseb ali skupin, če nacionalno pravo določa, da posamezni člani prevzamejo pravice in obveznosti, primerljive s pravicami in obveznostmi posameznih kmetov, ki imajo status nosilca kmetijskega gospodarstva, zlasti kar zadeva njihov gospodarski, socialni in davčni status, pod pogojem, da pomagajo okrepiti kmetijske strukture teh pravnih oseb ali skupin.</w:t>
            </w:r>
          </w:p>
        </w:tc>
      </w:tr>
      <w:tr w:rsidR="00F624DF" w:rsidRPr="00B7760C" w14:paraId="4EC26059" w14:textId="77777777" w:rsidTr="005847CC">
        <w:trPr>
          <w:jc w:val="center"/>
        </w:trPr>
        <w:tc>
          <w:tcPr>
            <w:tcW w:w="4876" w:type="dxa"/>
          </w:tcPr>
          <w:p w14:paraId="6AC2DE32" w14:textId="11F70682" w:rsidR="00F624DF" w:rsidRPr="00B7760C" w:rsidRDefault="00F624DF" w:rsidP="005847CC">
            <w:pPr>
              <w:spacing w:after="120"/>
            </w:pPr>
            <w:r w:rsidRPr="00B7760C">
              <w:t>3.</w:t>
            </w:r>
            <w:r w:rsidRPr="00B7760C">
              <w:tab/>
              <w:t>Države članice lahko pri opredelitvi območij s slabostmi vključijo naslednja območja:</w:t>
            </w:r>
          </w:p>
        </w:tc>
        <w:tc>
          <w:tcPr>
            <w:tcW w:w="4876" w:type="dxa"/>
          </w:tcPr>
          <w:p w14:paraId="50D321BE" w14:textId="4CC16A57" w:rsidR="00F624DF" w:rsidRPr="00B7760C" w:rsidRDefault="00F624DF" w:rsidP="005847CC">
            <w:pPr>
              <w:spacing w:after="120"/>
              <w:rPr>
                <w:b/>
                <w:i/>
              </w:rPr>
            </w:pPr>
            <w:r w:rsidRPr="00B7760C">
              <w:t>3.</w:t>
            </w:r>
            <w:r w:rsidRPr="00B7760C">
              <w:tab/>
              <w:t>Države članice lahko pri opredelitvi območij s slabostmi vključijo naslednja območja:</w:t>
            </w:r>
          </w:p>
        </w:tc>
      </w:tr>
      <w:tr w:rsidR="00F624DF" w:rsidRPr="00B7760C" w14:paraId="1B84485D" w14:textId="77777777" w:rsidTr="005847CC">
        <w:trPr>
          <w:jc w:val="center"/>
        </w:trPr>
        <w:tc>
          <w:tcPr>
            <w:tcW w:w="4876" w:type="dxa"/>
          </w:tcPr>
          <w:p w14:paraId="16FDB006" w14:textId="3CD8C5B7" w:rsidR="00F624DF" w:rsidRPr="00B7760C" w:rsidRDefault="00F624DF" w:rsidP="005847CC">
            <w:pPr>
              <w:spacing w:after="120"/>
            </w:pPr>
            <w:r w:rsidRPr="00B7760C">
              <w:t>(a)</w:t>
            </w:r>
            <w:r w:rsidRPr="00B7760C">
              <w:tab/>
              <w:t>kmetijska in gozdna območja Natura 2000, določena na podlagi direktiv 92/43/EGS in 2009/147/ES;</w:t>
            </w:r>
          </w:p>
        </w:tc>
        <w:tc>
          <w:tcPr>
            <w:tcW w:w="4876" w:type="dxa"/>
          </w:tcPr>
          <w:p w14:paraId="1D5686F6" w14:textId="6325E494" w:rsidR="00F624DF" w:rsidRPr="00B7760C" w:rsidRDefault="00F624DF" w:rsidP="005847CC">
            <w:pPr>
              <w:spacing w:after="120"/>
            </w:pPr>
            <w:r w:rsidRPr="00B7760C">
              <w:t>(a)</w:t>
            </w:r>
            <w:r w:rsidRPr="00B7760C">
              <w:tab/>
              <w:t>kmetijska in gozdna območja Natura 2000, določena na podlagi direktiv 92/43/EGS in 2009/147/ES;</w:t>
            </w:r>
          </w:p>
        </w:tc>
      </w:tr>
      <w:tr w:rsidR="00F624DF" w:rsidRPr="00B7760C" w14:paraId="2BF4C65C" w14:textId="77777777" w:rsidTr="005847CC">
        <w:trPr>
          <w:jc w:val="center"/>
        </w:trPr>
        <w:tc>
          <w:tcPr>
            <w:tcW w:w="4876" w:type="dxa"/>
          </w:tcPr>
          <w:p w14:paraId="6E7BF417" w14:textId="686A8A97" w:rsidR="00F624DF" w:rsidRPr="00B7760C" w:rsidRDefault="00F624DF" w:rsidP="005847CC">
            <w:pPr>
              <w:spacing w:after="120"/>
            </w:pPr>
            <w:r w:rsidRPr="00B7760C">
              <w:t>(b)</w:t>
            </w:r>
            <w:r w:rsidRPr="00B7760C">
              <w:tab/>
              <w:t>druga razmejena naravovarstvena območja z okoljskimi omejitvami v zvezi s kmetovanjem ali gozdovi, ki prispevajo k izvajanju člena 10 Direktive 92/43/EGS, pod pogojem, da ta območja ne presegajo 5 % določenih območij Natura 2000, zajetih v ozemlju uporabe posameznega strateškega načrta SKP;</w:t>
            </w:r>
          </w:p>
        </w:tc>
        <w:tc>
          <w:tcPr>
            <w:tcW w:w="4876" w:type="dxa"/>
          </w:tcPr>
          <w:p w14:paraId="244FFEF5" w14:textId="5A53B485" w:rsidR="00F624DF" w:rsidRPr="00B7760C" w:rsidRDefault="00F624DF" w:rsidP="005847CC">
            <w:pPr>
              <w:spacing w:after="120"/>
            </w:pPr>
            <w:r w:rsidRPr="00B7760C">
              <w:t>(b)</w:t>
            </w:r>
            <w:r w:rsidRPr="00B7760C">
              <w:tab/>
              <w:t>druga razmejena naravovarstvena območja z okoljskimi omejitvami v zvezi s kmetovanjem ali gozdovi, ki prispevajo k izvajanju člena 10 Direktive 92/43/EGS, pod pogojem, da ta območja ne presegajo 5 % določenih območij Natura 2000, zajetih v ozemlju uporabe posameznega strateškega načrta SKP;</w:t>
            </w:r>
          </w:p>
        </w:tc>
      </w:tr>
      <w:tr w:rsidR="00F624DF" w:rsidRPr="00B7760C" w14:paraId="05D9DA0C" w14:textId="77777777" w:rsidTr="005847CC">
        <w:trPr>
          <w:jc w:val="center"/>
        </w:trPr>
        <w:tc>
          <w:tcPr>
            <w:tcW w:w="4876" w:type="dxa"/>
          </w:tcPr>
          <w:p w14:paraId="03BBFB8F" w14:textId="118EA6C0" w:rsidR="00F624DF" w:rsidRPr="00B7760C" w:rsidRDefault="00F624DF" w:rsidP="005847CC">
            <w:pPr>
              <w:spacing w:after="120"/>
            </w:pPr>
            <w:r w:rsidRPr="00B7760C">
              <w:t>(c)</w:t>
            </w:r>
            <w:r w:rsidRPr="00B7760C">
              <w:tab/>
              <w:t>kmetijske površine, vključene v načrte upravljanja povodij v skladu z Direktivo 2000/60/ES.</w:t>
            </w:r>
          </w:p>
        </w:tc>
        <w:tc>
          <w:tcPr>
            <w:tcW w:w="4876" w:type="dxa"/>
          </w:tcPr>
          <w:p w14:paraId="5DAE615B" w14:textId="289FC38E" w:rsidR="00F624DF" w:rsidRPr="00B7760C" w:rsidRDefault="00F624DF" w:rsidP="005847CC">
            <w:pPr>
              <w:spacing w:after="120"/>
            </w:pPr>
            <w:r w:rsidRPr="00B7760C">
              <w:t>(c)</w:t>
            </w:r>
            <w:r w:rsidRPr="00B7760C">
              <w:tab/>
              <w:t>kmetijske površine, vključene v načrte upravljanja povodij v skladu z Direktivo 2000/60/ES.</w:t>
            </w:r>
          </w:p>
        </w:tc>
      </w:tr>
      <w:tr w:rsidR="00F624DF" w:rsidRPr="00B7760C" w14:paraId="176F2F4A" w14:textId="77777777" w:rsidTr="005847CC">
        <w:trPr>
          <w:jc w:val="center"/>
        </w:trPr>
        <w:tc>
          <w:tcPr>
            <w:tcW w:w="4876" w:type="dxa"/>
          </w:tcPr>
          <w:p w14:paraId="402415CC" w14:textId="1F75D558" w:rsidR="00F624DF" w:rsidRPr="00B7760C" w:rsidRDefault="00F624DF" w:rsidP="005847CC">
            <w:pPr>
              <w:spacing w:after="120"/>
            </w:pPr>
            <w:r w:rsidRPr="00B7760C">
              <w:t>4.</w:t>
            </w:r>
            <w:r w:rsidRPr="00B7760C">
              <w:tab/>
              <w:t>Države članice lahko odobrijo plačila v okviru te vrste intervencij le, da bi upravičencem nadomestile vse ali del dodatnih stroškov in izpada dohodka, ki so na zadevnem območju vezani na slabosti, značilne za posamezno območje.</w:t>
            </w:r>
          </w:p>
        </w:tc>
        <w:tc>
          <w:tcPr>
            <w:tcW w:w="4876" w:type="dxa"/>
          </w:tcPr>
          <w:p w14:paraId="436511F8" w14:textId="068651EF" w:rsidR="00F624DF" w:rsidRPr="00B7760C" w:rsidRDefault="00F624DF" w:rsidP="005847CC">
            <w:pPr>
              <w:spacing w:after="120"/>
            </w:pPr>
            <w:r w:rsidRPr="00B7760C">
              <w:t>4.</w:t>
            </w:r>
            <w:r w:rsidRPr="00B7760C">
              <w:tab/>
              <w:t>Države članice lahko odobrijo plačila v okviru te vrste intervencij le, da bi upravičencem nadomestile vse ali del dodatnih stroškov in izpada dohodka, ki so na zadevnem območju vezani na slabosti, značilne za posamezno območje.</w:t>
            </w:r>
          </w:p>
        </w:tc>
      </w:tr>
      <w:tr w:rsidR="00F624DF" w:rsidRPr="00B7760C" w14:paraId="615015C7" w14:textId="77777777" w:rsidTr="005847CC">
        <w:trPr>
          <w:jc w:val="center"/>
        </w:trPr>
        <w:tc>
          <w:tcPr>
            <w:tcW w:w="4876" w:type="dxa"/>
          </w:tcPr>
          <w:p w14:paraId="6FE40652" w14:textId="5860530D" w:rsidR="00F624DF" w:rsidRPr="00B7760C" w:rsidRDefault="00F624DF" w:rsidP="005847CC">
            <w:pPr>
              <w:spacing w:after="120"/>
            </w:pPr>
            <w:r w:rsidRPr="00B7760C">
              <w:t>5.</w:t>
            </w:r>
            <w:r w:rsidRPr="00B7760C">
              <w:tab/>
              <w:t>Dodatni stroški in izpad dohodka iz odstavka 4 se izračunajo:</w:t>
            </w:r>
          </w:p>
        </w:tc>
        <w:tc>
          <w:tcPr>
            <w:tcW w:w="4876" w:type="dxa"/>
          </w:tcPr>
          <w:p w14:paraId="19D37C31" w14:textId="025EF8D0" w:rsidR="00F624DF" w:rsidRPr="00B7760C" w:rsidRDefault="00F624DF" w:rsidP="005847CC">
            <w:pPr>
              <w:spacing w:after="120"/>
            </w:pPr>
            <w:r w:rsidRPr="00B7760C">
              <w:t>5.</w:t>
            </w:r>
            <w:r w:rsidRPr="00B7760C">
              <w:tab/>
              <w:t>Dodatni stroški in izpad dohodka iz odstavka 4 se izračunajo:</w:t>
            </w:r>
          </w:p>
        </w:tc>
      </w:tr>
      <w:tr w:rsidR="00F624DF" w:rsidRPr="00B7760C" w14:paraId="706B5925" w14:textId="77777777" w:rsidTr="005847CC">
        <w:trPr>
          <w:jc w:val="center"/>
        </w:trPr>
        <w:tc>
          <w:tcPr>
            <w:tcW w:w="4876" w:type="dxa"/>
          </w:tcPr>
          <w:p w14:paraId="76DE829B" w14:textId="6147D421" w:rsidR="00F624DF" w:rsidRPr="00B7760C" w:rsidRDefault="00F624DF" w:rsidP="005847CC">
            <w:pPr>
              <w:spacing w:after="120"/>
            </w:pPr>
            <w:r w:rsidRPr="00B7760C">
              <w:t>(a)</w:t>
            </w:r>
            <w:r w:rsidRPr="00B7760C">
              <w:tab/>
              <w:t>glede na omejitve, ki izhajajo iz direktiv 92/43/EGS in 2009/147/ES, v povezavi s slabostmi zaradi zahtev, ki presegajo ustrezne standarde za dobre kmetijske in okoljske pogoje iz oddelka 2 poglavja 1 tega naslova te uredbe ter pogoje za ohranjanje kmetijskih površin v skladu s točko (a) člena 4(1) te uredbe;</w:t>
            </w:r>
          </w:p>
        </w:tc>
        <w:tc>
          <w:tcPr>
            <w:tcW w:w="4876" w:type="dxa"/>
          </w:tcPr>
          <w:p w14:paraId="51457376" w14:textId="1BA1E137" w:rsidR="00F624DF" w:rsidRPr="00B7760C" w:rsidRDefault="00F624DF" w:rsidP="005847CC">
            <w:pPr>
              <w:spacing w:after="120"/>
            </w:pPr>
            <w:r w:rsidRPr="00B7760C">
              <w:t>(a)</w:t>
            </w:r>
            <w:r w:rsidRPr="00B7760C">
              <w:tab/>
              <w:t>glede na omejitve, ki izhajajo iz direktiv 92/43/EGS in 2009/147/ES, v povezavi s slabostmi zaradi zahtev, ki presegajo ustrezne standarde za dobre kmetijske in okoljske pogoje iz oddelka 2 poglavja 1 tega naslova te uredbe ter pogoje za ohranjanje kmetijskih površin v skladu s točko (a) člena 4(1) te uredbe;</w:t>
            </w:r>
          </w:p>
        </w:tc>
      </w:tr>
      <w:tr w:rsidR="00F624DF" w:rsidRPr="00B7760C" w14:paraId="798DAE90" w14:textId="77777777" w:rsidTr="005847CC">
        <w:trPr>
          <w:jc w:val="center"/>
        </w:trPr>
        <w:tc>
          <w:tcPr>
            <w:tcW w:w="4876" w:type="dxa"/>
          </w:tcPr>
          <w:p w14:paraId="039899C9" w14:textId="4B6EB7C8" w:rsidR="00F624DF" w:rsidRPr="00B7760C" w:rsidRDefault="00F624DF" w:rsidP="005847CC">
            <w:pPr>
              <w:spacing w:after="120"/>
            </w:pPr>
            <w:r w:rsidRPr="00B7760C">
              <w:t>(b)</w:t>
            </w:r>
            <w:r w:rsidRPr="00B7760C">
              <w:tab/>
              <w:t>glede na omejitve, ki izhajajo iz Direktive 2000/60/ES, v povezavi s slabostmi zaradi zahtev, ki presegajo ustrezne predpisane zahteve ravnanja, razen predpisanih zahtev ravnanja 2 iz Priloge III, ter standarde dobrih kmetijskih in okoljskih pogojev iz oddelka 2 poglavja I tega naslova ter pogoje za ohranjanje kmetijskih površin v skladu s točko (a) člena 4(1) te uredbe.</w:t>
            </w:r>
          </w:p>
        </w:tc>
        <w:tc>
          <w:tcPr>
            <w:tcW w:w="4876" w:type="dxa"/>
          </w:tcPr>
          <w:p w14:paraId="10507463" w14:textId="718D5C07" w:rsidR="00F624DF" w:rsidRPr="00B7760C" w:rsidRDefault="00F624DF" w:rsidP="005847CC">
            <w:pPr>
              <w:spacing w:after="120"/>
            </w:pPr>
            <w:r w:rsidRPr="00B7760C">
              <w:t>(b)</w:t>
            </w:r>
            <w:r w:rsidRPr="00B7760C">
              <w:tab/>
              <w:t>glede na omejitve, ki izhajajo iz Direktive 2000/60/ES, v povezavi s slabostmi zaradi zahtev, ki presegajo ustrezne predpisane zahteve ravnanja, razen predpisanih zahtev ravnanja 1 iz Priloge III, ter standarde dobrih kmetijskih in okoljskih pogojev iz oddelka 2 poglavja I tega naslova ter pogoje za ohranjanje kmetijskih površin v skladu s točko (a) člena 4(1) te uredbe.</w:t>
            </w:r>
          </w:p>
        </w:tc>
      </w:tr>
      <w:tr w:rsidR="00F624DF" w:rsidRPr="00B7760C" w14:paraId="0AE6AB6F" w14:textId="77777777" w:rsidTr="005847CC">
        <w:trPr>
          <w:jc w:val="center"/>
        </w:trPr>
        <w:tc>
          <w:tcPr>
            <w:tcW w:w="4876" w:type="dxa"/>
          </w:tcPr>
          <w:p w14:paraId="45FCBE6B" w14:textId="4E4B679D" w:rsidR="00F624DF" w:rsidRPr="00B7760C" w:rsidRDefault="00F624DF" w:rsidP="005847CC">
            <w:pPr>
              <w:spacing w:after="120"/>
            </w:pPr>
            <w:r w:rsidRPr="00B7760C">
              <w:t>6.</w:t>
            </w:r>
            <w:r w:rsidRPr="00B7760C">
              <w:tab/>
              <w:t>Plačila se odobrijo letno na hektar površine.</w:t>
            </w:r>
          </w:p>
        </w:tc>
        <w:tc>
          <w:tcPr>
            <w:tcW w:w="4876" w:type="dxa"/>
          </w:tcPr>
          <w:p w14:paraId="0C21E1F8" w14:textId="3DD2C4E8" w:rsidR="00F624DF" w:rsidRPr="00B7760C" w:rsidRDefault="00F624DF" w:rsidP="005847CC">
            <w:pPr>
              <w:spacing w:after="120"/>
            </w:pPr>
            <w:r w:rsidRPr="00B7760C">
              <w:t>6.</w:t>
            </w:r>
            <w:r w:rsidRPr="00B7760C">
              <w:tab/>
              <w:t>Plačila se odobrijo letno na hektar površine in ne presegajo najvišjih zneskov iz Priloge IXaa.</w:t>
            </w:r>
          </w:p>
        </w:tc>
      </w:tr>
    </w:tbl>
    <w:p w14:paraId="229B44B8" w14:textId="77777777" w:rsidR="00F624DF" w:rsidRPr="00B7760C" w:rsidRDefault="00F624DF" w:rsidP="003663AF"/>
    <w:p w14:paraId="2238167A" w14:textId="5748F2AC" w:rsidR="00EE51BC" w:rsidRPr="00B7760C" w:rsidRDefault="00EE51BC" w:rsidP="00EE51BC">
      <w:pPr>
        <w:pStyle w:val="AMNumberTabs"/>
        <w:keepNext/>
      </w:pPr>
      <w:r w:rsidRPr="00B7760C">
        <w:t>Sprememba</w:t>
      </w:r>
      <w:r w:rsidRPr="00B7760C">
        <w:tab/>
      </w:r>
      <w:r w:rsidRPr="00B7760C">
        <w:tab/>
        <w:t>1139</w:t>
      </w:r>
    </w:p>
    <w:p w14:paraId="5CC31B83" w14:textId="77777777" w:rsidR="00EE51BC" w:rsidRPr="00B7760C" w:rsidRDefault="00EE51BC" w:rsidP="00EE51BC">
      <w:pPr>
        <w:pStyle w:val="NormalBold12b"/>
      </w:pPr>
      <w:r w:rsidRPr="00B7760C">
        <w:t>Predlog uredbe</w:t>
      </w:r>
    </w:p>
    <w:p w14:paraId="44035E96" w14:textId="62047BE1" w:rsidR="00EE51BC" w:rsidRPr="00B7760C" w:rsidRDefault="00EE51BC" w:rsidP="00EE51BC">
      <w:pPr>
        <w:pStyle w:val="NormalBold"/>
      </w:pPr>
      <w:r w:rsidRPr="00B7760C">
        <w:t>Člen 68</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EE51BC" w:rsidRPr="00B7760C" w14:paraId="44C681B4" w14:textId="77777777" w:rsidTr="005847CC">
        <w:trPr>
          <w:jc w:val="center"/>
        </w:trPr>
        <w:tc>
          <w:tcPr>
            <w:tcW w:w="9752" w:type="dxa"/>
            <w:gridSpan w:val="2"/>
          </w:tcPr>
          <w:p w14:paraId="33790521" w14:textId="77777777" w:rsidR="00EE51BC" w:rsidRPr="00B7760C" w:rsidRDefault="00EE51BC" w:rsidP="00EE51BC">
            <w:pPr>
              <w:keepNext/>
            </w:pPr>
          </w:p>
        </w:tc>
      </w:tr>
      <w:tr w:rsidR="00EE51BC" w:rsidRPr="00B7760C" w14:paraId="61668256" w14:textId="77777777" w:rsidTr="005847CC">
        <w:trPr>
          <w:jc w:val="center"/>
        </w:trPr>
        <w:tc>
          <w:tcPr>
            <w:tcW w:w="4876" w:type="dxa"/>
          </w:tcPr>
          <w:p w14:paraId="0E6AB182" w14:textId="77777777" w:rsidR="00EE51BC" w:rsidRPr="00B7760C" w:rsidRDefault="00EE51BC" w:rsidP="00EE51BC">
            <w:pPr>
              <w:keepNext/>
              <w:spacing w:after="240"/>
              <w:jc w:val="center"/>
              <w:rPr>
                <w:i/>
              </w:rPr>
            </w:pPr>
            <w:r w:rsidRPr="00B7760C">
              <w:rPr>
                <w:i/>
              </w:rPr>
              <w:t>Besedilo, ki ga predlaga Komisija</w:t>
            </w:r>
          </w:p>
        </w:tc>
        <w:tc>
          <w:tcPr>
            <w:tcW w:w="4876" w:type="dxa"/>
          </w:tcPr>
          <w:p w14:paraId="2E2876E9" w14:textId="5628346F" w:rsidR="00EE51BC" w:rsidRPr="00B7760C" w:rsidRDefault="00EE51BC" w:rsidP="00EE51BC">
            <w:pPr>
              <w:keepNext/>
              <w:spacing w:after="240"/>
              <w:jc w:val="center"/>
              <w:rPr>
                <w:i/>
              </w:rPr>
            </w:pPr>
            <w:r w:rsidRPr="00B7760C">
              <w:rPr>
                <w:i/>
              </w:rPr>
              <w:t>Sprememba</w:t>
            </w:r>
          </w:p>
        </w:tc>
      </w:tr>
      <w:tr w:rsidR="00EE51BC" w:rsidRPr="00B7760C" w14:paraId="01A032D0" w14:textId="77777777" w:rsidTr="005847CC">
        <w:trPr>
          <w:jc w:val="center"/>
        </w:trPr>
        <w:tc>
          <w:tcPr>
            <w:tcW w:w="4876" w:type="dxa"/>
          </w:tcPr>
          <w:p w14:paraId="34A31833" w14:textId="77777777" w:rsidR="00EE51BC" w:rsidRPr="00B7760C" w:rsidRDefault="00EE51BC" w:rsidP="00EE51BC">
            <w:pPr>
              <w:spacing w:after="120"/>
              <w:jc w:val="center"/>
            </w:pPr>
            <w:r w:rsidRPr="00B7760C">
              <w:t>Člen 68</w:t>
            </w:r>
          </w:p>
          <w:p w14:paraId="6FE43923" w14:textId="77777777" w:rsidR="00EE51BC" w:rsidRPr="00B7760C" w:rsidRDefault="00EE51BC" w:rsidP="00EE51BC">
            <w:pPr>
              <w:spacing w:after="120"/>
              <w:jc w:val="center"/>
            </w:pPr>
            <w:r w:rsidRPr="00B7760C">
              <w:t>Naložbe</w:t>
            </w:r>
          </w:p>
        </w:tc>
        <w:tc>
          <w:tcPr>
            <w:tcW w:w="4876" w:type="dxa"/>
          </w:tcPr>
          <w:p w14:paraId="2170E10A" w14:textId="2CFE3400" w:rsidR="00EE51BC" w:rsidRPr="00B7760C" w:rsidRDefault="00EE51BC" w:rsidP="00EE51BC">
            <w:pPr>
              <w:spacing w:after="120"/>
              <w:jc w:val="center"/>
            </w:pPr>
            <w:r w:rsidRPr="00B7760C">
              <w:t>Člen 68</w:t>
            </w:r>
          </w:p>
          <w:p w14:paraId="0275F0B6" w14:textId="77777777" w:rsidR="00EE51BC" w:rsidRPr="00B7760C" w:rsidRDefault="00EE51BC" w:rsidP="00EE51BC">
            <w:pPr>
              <w:spacing w:after="120"/>
              <w:jc w:val="center"/>
              <w:rPr>
                <w:szCs w:val="24"/>
              </w:rPr>
            </w:pPr>
            <w:r w:rsidRPr="00B7760C">
              <w:t>Naložbe</w:t>
            </w:r>
          </w:p>
        </w:tc>
      </w:tr>
      <w:tr w:rsidR="00EE51BC" w:rsidRPr="00B7760C" w14:paraId="00319357" w14:textId="77777777" w:rsidTr="005847CC">
        <w:trPr>
          <w:jc w:val="center"/>
        </w:trPr>
        <w:tc>
          <w:tcPr>
            <w:tcW w:w="4876" w:type="dxa"/>
          </w:tcPr>
          <w:p w14:paraId="79CA0DFC" w14:textId="77777777" w:rsidR="00EE51BC" w:rsidRPr="00B7760C" w:rsidRDefault="00EE51BC" w:rsidP="00EE51BC">
            <w:pPr>
              <w:spacing w:after="120"/>
            </w:pPr>
            <w:r w:rsidRPr="00B7760C">
              <w:t>1.</w:t>
            </w:r>
            <w:r w:rsidRPr="00B7760C">
              <w:tab/>
              <w:t>Države članice lahko odobrijo podporo za naložbe v skladu s pogoji iz tega člena in kot je podrobneje opredeljeno v njihovih strateških načrtih SKP.</w:t>
            </w:r>
          </w:p>
        </w:tc>
        <w:tc>
          <w:tcPr>
            <w:tcW w:w="4876" w:type="dxa"/>
          </w:tcPr>
          <w:p w14:paraId="578764C4" w14:textId="77777777" w:rsidR="00EE51BC" w:rsidRPr="00B7760C" w:rsidRDefault="00EE51BC" w:rsidP="00EE51BC">
            <w:pPr>
              <w:spacing w:after="120"/>
              <w:rPr>
                <w:szCs w:val="24"/>
              </w:rPr>
            </w:pPr>
            <w:r w:rsidRPr="00B7760C">
              <w:t>1.</w:t>
            </w:r>
            <w:r w:rsidRPr="00B7760C">
              <w:tab/>
              <w:t>Države članice lahko odobrijo podporo za naložbe v skladu s pogoji iz tega člena in kot je podrobneje opredeljeno v njihovih strateških načrtih SKP.</w:t>
            </w:r>
          </w:p>
        </w:tc>
      </w:tr>
      <w:tr w:rsidR="00EE51BC" w:rsidRPr="00B7760C" w14:paraId="6670F439" w14:textId="77777777" w:rsidTr="005847CC">
        <w:trPr>
          <w:jc w:val="center"/>
        </w:trPr>
        <w:tc>
          <w:tcPr>
            <w:tcW w:w="4876" w:type="dxa"/>
          </w:tcPr>
          <w:p w14:paraId="08EE25CF" w14:textId="77777777" w:rsidR="00EE51BC" w:rsidRPr="00B7760C" w:rsidRDefault="00EE51BC" w:rsidP="00EE51BC">
            <w:pPr>
              <w:spacing w:after="120"/>
            </w:pPr>
          </w:p>
        </w:tc>
        <w:tc>
          <w:tcPr>
            <w:tcW w:w="4876" w:type="dxa"/>
          </w:tcPr>
          <w:p w14:paraId="332D2854" w14:textId="6D05A354" w:rsidR="00EE51BC" w:rsidRPr="00B7760C" w:rsidRDefault="00EE51BC" w:rsidP="00EE51BC">
            <w:pPr>
              <w:spacing w:after="120"/>
              <w:rPr>
                <w:szCs w:val="24"/>
              </w:rPr>
            </w:pPr>
            <w:r w:rsidRPr="00B7760C">
              <w:rPr>
                <w:b/>
                <w:i/>
              </w:rPr>
              <w:t xml:space="preserve">1a. </w:t>
            </w:r>
            <w:r w:rsidR="00F624DF" w:rsidRPr="00B7760C">
              <w:rPr>
                <w:b/>
                <w:i/>
              </w:rPr>
              <w:tab/>
            </w:r>
            <w:r w:rsidRPr="00B7760C">
              <w:rPr>
                <w:b/>
                <w:i/>
              </w:rPr>
              <w:t>Naložbene operacije so upravičene do podpore EKSRP, če je v skladu s pravom, ki velja za takšne naložbe, predhodno ocenjen pričakovani okoljski učinek, kadar je verjetno, da bo naložba imela negativne vplive na okolje.</w:t>
            </w:r>
          </w:p>
        </w:tc>
      </w:tr>
      <w:tr w:rsidR="00EE51BC" w:rsidRPr="00B7760C" w14:paraId="1762C581" w14:textId="77777777" w:rsidTr="005847CC">
        <w:trPr>
          <w:jc w:val="center"/>
        </w:trPr>
        <w:tc>
          <w:tcPr>
            <w:tcW w:w="4876" w:type="dxa"/>
          </w:tcPr>
          <w:p w14:paraId="165617DF" w14:textId="77777777" w:rsidR="00EE51BC" w:rsidRPr="00B7760C" w:rsidRDefault="00EE51BC" w:rsidP="00EE51BC">
            <w:pPr>
              <w:spacing w:after="120"/>
            </w:pPr>
            <w:r w:rsidRPr="00B7760C">
              <w:t>2.</w:t>
            </w:r>
            <w:r w:rsidRPr="00B7760C">
              <w:tab/>
              <w:t>Države članice lahko odobrijo podporo v okviru te vrste intervencij le za materialne in/ali nematerialne naložbe, ki prispevajo k uresničevanju specifičnih ciljev iz člena 6. Podpora za gozdarski sektor temelji na načrtu za gospodarjenje z gozdovi ali enakovrednem instrumentu.</w:t>
            </w:r>
          </w:p>
        </w:tc>
        <w:tc>
          <w:tcPr>
            <w:tcW w:w="4876" w:type="dxa"/>
          </w:tcPr>
          <w:p w14:paraId="7FDE8A0B" w14:textId="77777777" w:rsidR="00EE51BC" w:rsidRPr="00B7760C" w:rsidRDefault="00EE51BC" w:rsidP="00EE51BC">
            <w:pPr>
              <w:spacing w:after="120"/>
              <w:rPr>
                <w:szCs w:val="24"/>
              </w:rPr>
            </w:pPr>
            <w:r w:rsidRPr="00B7760C">
              <w:t>2.</w:t>
            </w:r>
            <w:r w:rsidRPr="00B7760C">
              <w:tab/>
              <w:t>Države članice lahko odobrijo podporo v okviru te vrste intervencij le za materialne in/ali nematerialne naložbe</w:t>
            </w:r>
            <w:r w:rsidRPr="00B7760C">
              <w:rPr>
                <w:b/>
                <w:i/>
              </w:rPr>
              <w:t>, tudi v kolektivni obliki</w:t>
            </w:r>
            <w:r w:rsidRPr="00B7760C">
              <w:t xml:space="preserve">, ki prispevajo k uresničevanju </w:t>
            </w:r>
            <w:r w:rsidRPr="00B7760C">
              <w:rPr>
                <w:b/>
                <w:i/>
              </w:rPr>
              <w:t>ustreznih</w:t>
            </w:r>
            <w:r w:rsidRPr="00B7760C">
              <w:t xml:space="preserve"> specifičnih ciljev iz člena 6. Podpora za gozdarski sektor temelji na načrtu za gospodarjenje z gozdovi, </w:t>
            </w:r>
            <w:r w:rsidRPr="00B7760C">
              <w:rPr>
                <w:b/>
                <w:i/>
              </w:rPr>
              <w:t>ki vključuje zahtevo glede zasaditve vrst, prilagojenih lokalnim ekosistemom,</w:t>
            </w:r>
            <w:r w:rsidRPr="00B7760C">
              <w:t xml:space="preserve"> ali enakovrednem instrumentu </w:t>
            </w:r>
            <w:r w:rsidRPr="00B7760C">
              <w:rPr>
                <w:b/>
                <w:i/>
              </w:rPr>
              <w:t>v primeru kmetijskih gospodarstev nad določeno velikostjo, ki jo določi država članica.</w:t>
            </w:r>
          </w:p>
        </w:tc>
      </w:tr>
      <w:tr w:rsidR="00EE51BC" w:rsidRPr="00B7760C" w14:paraId="55171F30" w14:textId="77777777" w:rsidTr="005847CC">
        <w:trPr>
          <w:jc w:val="center"/>
        </w:trPr>
        <w:tc>
          <w:tcPr>
            <w:tcW w:w="4876" w:type="dxa"/>
          </w:tcPr>
          <w:p w14:paraId="433FA2EE" w14:textId="77777777" w:rsidR="00EE51BC" w:rsidRPr="00B7760C" w:rsidRDefault="00EE51BC" w:rsidP="00EE51BC">
            <w:pPr>
              <w:spacing w:after="120"/>
            </w:pPr>
          </w:p>
        </w:tc>
        <w:tc>
          <w:tcPr>
            <w:tcW w:w="4876" w:type="dxa"/>
          </w:tcPr>
          <w:p w14:paraId="7B5A5FB8" w14:textId="0C57C4F4" w:rsidR="00EE51BC" w:rsidRPr="00B7760C" w:rsidRDefault="00EE51BC" w:rsidP="00EE51BC">
            <w:pPr>
              <w:spacing w:after="120"/>
              <w:rPr>
                <w:szCs w:val="24"/>
              </w:rPr>
            </w:pPr>
            <w:r w:rsidRPr="00B7760C">
              <w:rPr>
                <w:b/>
                <w:i/>
              </w:rPr>
              <w:t xml:space="preserve">2a. </w:t>
            </w:r>
            <w:r w:rsidR="00F624DF" w:rsidRPr="00B7760C">
              <w:rPr>
                <w:b/>
                <w:i/>
              </w:rPr>
              <w:tab/>
            </w:r>
            <w:r w:rsidRPr="00B7760C">
              <w:rPr>
                <w:b/>
                <w:i/>
              </w:rPr>
              <w:t>Države članice dodelijo vsaj 30 % podpore iz tega člena za naložbe za namene, povezane z okoljem in podnebjem, ki prispevajo k ciljem iz točk (d), (e) in (f) člena 6(1).Države članice določijo prednostne naloge za te naložbe z višjo podporo, višjo oceno in drugimi objektivnimi merili s podobnim učinkom.</w:t>
            </w:r>
          </w:p>
        </w:tc>
      </w:tr>
      <w:tr w:rsidR="00EE51BC" w:rsidRPr="00B7760C" w14:paraId="4562AC76" w14:textId="77777777" w:rsidTr="005847CC">
        <w:trPr>
          <w:jc w:val="center"/>
        </w:trPr>
        <w:tc>
          <w:tcPr>
            <w:tcW w:w="4876" w:type="dxa"/>
          </w:tcPr>
          <w:p w14:paraId="73144C53" w14:textId="77777777" w:rsidR="00EE51BC" w:rsidRPr="00B7760C" w:rsidRDefault="00EE51BC" w:rsidP="00EE51BC">
            <w:pPr>
              <w:spacing w:after="120"/>
            </w:pPr>
          </w:p>
        </w:tc>
        <w:tc>
          <w:tcPr>
            <w:tcW w:w="4876" w:type="dxa"/>
          </w:tcPr>
          <w:p w14:paraId="6CC10ED3" w14:textId="77777777" w:rsidR="00EE51BC" w:rsidRPr="00B7760C" w:rsidRDefault="00EE51BC" w:rsidP="00EE51BC">
            <w:pPr>
              <w:spacing w:after="120"/>
              <w:rPr>
                <w:szCs w:val="24"/>
              </w:rPr>
            </w:pPr>
            <w:r w:rsidRPr="00B7760C">
              <w:rPr>
                <w:b/>
                <w:i/>
              </w:rPr>
              <w:t xml:space="preserve">Države članice lahko tudi določijo prednostne naložbe za mlade kmete v skladu s tem členom. </w:t>
            </w:r>
          </w:p>
        </w:tc>
      </w:tr>
      <w:tr w:rsidR="00EE51BC" w:rsidRPr="00B7760C" w14:paraId="1FCA2F36" w14:textId="77777777" w:rsidTr="005847CC">
        <w:trPr>
          <w:jc w:val="center"/>
        </w:trPr>
        <w:tc>
          <w:tcPr>
            <w:tcW w:w="4876" w:type="dxa"/>
          </w:tcPr>
          <w:p w14:paraId="757F15C9" w14:textId="3A48B56F" w:rsidR="00EE51BC" w:rsidRPr="00B7760C" w:rsidRDefault="00EE51BC" w:rsidP="00EE51BC">
            <w:pPr>
              <w:spacing w:after="120"/>
            </w:pPr>
            <w:r w:rsidRPr="00B7760C">
              <w:t>3.</w:t>
            </w:r>
            <w:r w:rsidRPr="00B7760C">
              <w:tab/>
            </w:r>
            <w:r w:rsidR="00311854" w:rsidRPr="00B7760C">
              <w:t>Države članice pripravijo seznam neupravičenih naložb in vrste odhodkov, ki vključuje vsaj:</w:t>
            </w:r>
          </w:p>
        </w:tc>
        <w:tc>
          <w:tcPr>
            <w:tcW w:w="4876" w:type="dxa"/>
          </w:tcPr>
          <w:p w14:paraId="2773C7F1" w14:textId="73CD81C5" w:rsidR="00EE51BC" w:rsidRPr="00B7760C" w:rsidRDefault="00EE51BC" w:rsidP="00EE51BC">
            <w:pPr>
              <w:spacing w:after="120"/>
              <w:rPr>
                <w:szCs w:val="24"/>
              </w:rPr>
            </w:pPr>
            <w:r w:rsidRPr="00B7760C">
              <w:t>3.</w:t>
            </w:r>
            <w:r w:rsidRPr="00B7760C">
              <w:tab/>
            </w:r>
            <w:r w:rsidR="00311854" w:rsidRPr="00B7760C">
              <w:t>Države članice pripravijo seznam neupravičenih naložb in vrste odhodkov, ki vključuje vsaj:</w:t>
            </w:r>
          </w:p>
        </w:tc>
      </w:tr>
      <w:tr w:rsidR="00EE51BC" w:rsidRPr="00B7760C" w14:paraId="35B89C79" w14:textId="77777777" w:rsidTr="005847CC">
        <w:trPr>
          <w:jc w:val="center"/>
        </w:trPr>
        <w:tc>
          <w:tcPr>
            <w:tcW w:w="4876" w:type="dxa"/>
          </w:tcPr>
          <w:p w14:paraId="32D35FE0" w14:textId="77777777" w:rsidR="00EE51BC" w:rsidRPr="00B7760C" w:rsidRDefault="00EE51BC" w:rsidP="00EE51BC">
            <w:pPr>
              <w:spacing w:after="120"/>
            </w:pPr>
            <w:r w:rsidRPr="00B7760C">
              <w:t>(a)</w:t>
            </w:r>
            <w:r w:rsidRPr="00B7760C">
              <w:tab/>
              <w:t>nakup pravic kmetijske proizvodnje;</w:t>
            </w:r>
          </w:p>
        </w:tc>
        <w:tc>
          <w:tcPr>
            <w:tcW w:w="4876" w:type="dxa"/>
          </w:tcPr>
          <w:p w14:paraId="7211F388" w14:textId="77777777" w:rsidR="00EE51BC" w:rsidRPr="00B7760C" w:rsidRDefault="00EE51BC" w:rsidP="00EE51BC">
            <w:pPr>
              <w:spacing w:after="120"/>
              <w:rPr>
                <w:szCs w:val="24"/>
              </w:rPr>
            </w:pPr>
            <w:r w:rsidRPr="00B7760C">
              <w:t>(a)</w:t>
            </w:r>
            <w:r w:rsidRPr="00B7760C">
              <w:tab/>
              <w:t>nakup pravic kmetijske proizvodnje;</w:t>
            </w:r>
          </w:p>
        </w:tc>
      </w:tr>
      <w:tr w:rsidR="00EE51BC" w:rsidRPr="00B7760C" w14:paraId="47120FB0" w14:textId="77777777" w:rsidTr="005847CC">
        <w:trPr>
          <w:jc w:val="center"/>
        </w:trPr>
        <w:tc>
          <w:tcPr>
            <w:tcW w:w="4876" w:type="dxa"/>
          </w:tcPr>
          <w:p w14:paraId="06578F60" w14:textId="77777777" w:rsidR="00EE51BC" w:rsidRPr="00B7760C" w:rsidRDefault="00EE51BC" w:rsidP="00EE51BC">
            <w:pPr>
              <w:spacing w:after="120"/>
            </w:pPr>
            <w:r w:rsidRPr="00B7760C">
              <w:t>(b)</w:t>
            </w:r>
            <w:r w:rsidRPr="00B7760C">
              <w:tab/>
              <w:t>nakup plačilnih pravic;</w:t>
            </w:r>
          </w:p>
        </w:tc>
        <w:tc>
          <w:tcPr>
            <w:tcW w:w="4876" w:type="dxa"/>
          </w:tcPr>
          <w:p w14:paraId="6823F8F0" w14:textId="77777777" w:rsidR="00EE51BC" w:rsidRPr="00B7760C" w:rsidRDefault="00EE51BC" w:rsidP="00EE51BC">
            <w:pPr>
              <w:spacing w:after="120"/>
              <w:rPr>
                <w:szCs w:val="24"/>
              </w:rPr>
            </w:pPr>
            <w:r w:rsidRPr="00B7760C">
              <w:t>(b)</w:t>
            </w:r>
            <w:r w:rsidRPr="00B7760C">
              <w:tab/>
              <w:t>nakup plačilnih pravic;</w:t>
            </w:r>
          </w:p>
        </w:tc>
      </w:tr>
      <w:tr w:rsidR="00EE51BC" w:rsidRPr="00B7760C" w14:paraId="422AE95D" w14:textId="77777777" w:rsidTr="005847CC">
        <w:trPr>
          <w:jc w:val="center"/>
        </w:trPr>
        <w:tc>
          <w:tcPr>
            <w:tcW w:w="4876" w:type="dxa"/>
          </w:tcPr>
          <w:p w14:paraId="1AF0C07C" w14:textId="77777777" w:rsidR="00EE51BC" w:rsidRPr="00B7760C" w:rsidRDefault="00EE51BC" w:rsidP="00EE51BC">
            <w:pPr>
              <w:spacing w:after="120"/>
            </w:pPr>
            <w:r w:rsidRPr="00B7760C">
              <w:t>(c)</w:t>
            </w:r>
            <w:r w:rsidRPr="00B7760C">
              <w:tab/>
              <w:t>nakup zemljišča, razen nakupa zemljišča za ohranjanje okolja ali nakupa zemljišča s strani mladih kmetov z uporabo finančnih instrumentov;</w:t>
            </w:r>
          </w:p>
        </w:tc>
        <w:tc>
          <w:tcPr>
            <w:tcW w:w="4876" w:type="dxa"/>
          </w:tcPr>
          <w:p w14:paraId="21151DF4" w14:textId="77777777" w:rsidR="00EE51BC" w:rsidRPr="00B7760C" w:rsidRDefault="00EE51BC" w:rsidP="00EE51BC">
            <w:pPr>
              <w:spacing w:after="120"/>
              <w:rPr>
                <w:szCs w:val="24"/>
              </w:rPr>
            </w:pPr>
            <w:r w:rsidRPr="00B7760C">
              <w:t>(c)</w:t>
            </w:r>
            <w:r w:rsidRPr="00B7760C">
              <w:tab/>
              <w:t>nakup zemljišča, razen nakupa zemljišča za ohranjanje okolja ali nakupa zemljišča s strani mladih kmetov z uporabo finančnih instrumentov;</w:t>
            </w:r>
          </w:p>
        </w:tc>
      </w:tr>
      <w:tr w:rsidR="00EE51BC" w:rsidRPr="00B7760C" w14:paraId="645EC9A1" w14:textId="77777777" w:rsidTr="005847CC">
        <w:trPr>
          <w:jc w:val="center"/>
        </w:trPr>
        <w:tc>
          <w:tcPr>
            <w:tcW w:w="4876" w:type="dxa"/>
          </w:tcPr>
          <w:p w14:paraId="034778D2" w14:textId="77777777" w:rsidR="00EE51BC" w:rsidRPr="00B7760C" w:rsidRDefault="00EE51BC" w:rsidP="00EE51BC">
            <w:pPr>
              <w:spacing w:after="120"/>
            </w:pPr>
            <w:r w:rsidRPr="00B7760C">
              <w:t>(d)</w:t>
            </w:r>
            <w:r w:rsidRPr="00B7760C">
              <w:tab/>
              <w:t xml:space="preserve">nakup živali, </w:t>
            </w:r>
            <w:r w:rsidRPr="00B7760C">
              <w:rPr>
                <w:b/>
                <w:i/>
              </w:rPr>
              <w:t>enoletnih rastlin in njihovo sajenje, razen za namen obnovitve kmetijskega ali gozdarskega potenciala po naravnih nesrečah in katastrofičnih dogodkih;</w:t>
            </w:r>
          </w:p>
        </w:tc>
        <w:tc>
          <w:tcPr>
            <w:tcW w:w="4876" w:type="dxa"/>
          </w:tcPr>
          <w:p w14:paraId="67F2B035" w14:textId="77777777" w:rsidR="00EE51BC" w:rsidRPr="00B7760C" w:rsidRDefault="00EE51BC" w:rsidP="00EE51BC">
            <w:pPr>
              <w:spacing w:after="120"/>
              <w:rPr>
                <w:szCs w:val="24"/>
              </w:rPr>
            </w:pPr>
            <w:r w:rsidRPr="00B7760C">
              <w:t>(d)</w:t>
            </w:r>
            <w:r w:rsidRPr="00B7760C">
              <w:tab/>
              <w:t xml:space="preserve">nakup živali, </w:t>
            </w:r>
            <w:r w:rsidRPr="00B7760C">
              <w:rPr>
                <w:b/>
                <w:i/>
              </w:rPr>
              <w:t>razen tistih, ki se uporabljajo namesto strojev za ohranjanje krajine in zaščito pred velikimi plenilci</w:t>
            </w:r>
            <w:r w:rsidRPr="00B7760C">
              <w:t>;</w:t>
            </w:r>
          </w:p>
        </w:tc>
      </w:tr>
      <w:tr w:rsidR="00EE51BC" w:rsidRPr="00B7760C" w14:paraId="613F66D6" w14:textId="77777777" w:rsidTr="005847CC">
        <w:trPr>
          <w:jc w:val="center"/>
        </w:trPr>
        <w:tc>
          <w:tcPr>
            <w:tcW w:w="4876" w:type="dxa"/>
          </w:tcPr>
          <w:p w14:paraId="236A174E" w14:textId="77777777" w:rsidR="00EE51BC" w:rsidRPr="00B7760C" w:rsidRDefault="00EE51BC" w:rsidP="00EE51BC">
            <w:pPr>
              <w:spacing w:after="120"/>
            </w:pPr>
          </w:p>
        </w:tc>
        <w:tc>
          <w:tcPr>
            <w:tcW w:w="4876" w:type="dxa"/>
          </w:tcPr>
          <w:p w14:paraId="380CE1CE" w14:textId="5F706B7A" w:rsidR="00EE51BC" w:rsidRPr="00B7760C" w:rsidRDefault="00EE51BC" w:rsidP="00EE51BC">
            <w:pPr>
              <w:spacing w:after="120"/>
              <w:rPr>
                <w:szCs w:val="24"/>
              </w:rPr>
            </w:pPr>
            <w:r w:rsidRPr="00B7760C">
              <w:rPr>
                <w:b/>
                <w:i/>
              </w:rPr>
              <w:t xml:space="preserve">(da) </w:t>
            </w:r>
            <w:r w:rsidRPr="00B7760C">
              <w:rPr>
                <w:b/>
                <w:i/>
              </w:rPr>
              <w:tab/>
              <w:t>nakup enoletnih rastlin in njihovo sajenje, razen za namen obnovitve kmetijskega ali gozdarskega potenciala po naravnih nesrečah in katastrofičnih dogodkih;</w:t>
            </w:r>
          </w:p>
        </w:tc>
      </w:tr>
      <w:tr w:rsidR="00EE51BC" w:rsidRPr="00B7760C" w14:paraId="5CEAA7D4" w14:textId="77777777" w:rsidTr="005847CC">
        <w:trPr>
          <w:jc w:val="center"/>
        </w:trPr>
        <w:tc>
          <w:tcPr>
            <w:tcW w:w="4876" w:type="dxa"/>
          </w:tcPr>
          <w:p w14:paraId="58591920" w14:textId="77777777" w:rsidR="00EE51BC" w:rsidRPr="00B7760C" w:rsidRDefault="00EE51BC" w:rsidP="00EE51BC">
            <w:pPr>
              <w:spacing w:after="120"/>
            </w:pPr>
            <w:r w:rsidRPr="00B7760C">
              <w:t>(e)</w:t>
            </w:r>
            <w:r w:rsidRPr="00B7760C">
              <w:tab/>
              <w:t>obrestno mero na dolgove, razen v zvezi z nepovratnimi sredstvi, ki se dajo v obliki subvencioniranih obrestnih mer ali subvencioniranih provizij za jamstvo;</w:t>
            </w:r>
          </w:p>
        </w:tc>
        <w:tc>
          <w:tcPr>
            <w:tcW w:w="4876" w:type="dxa"/>
          </w:tcPr>
          <w:p w14:paraId="6D25C45A" w14:textId="77777777" w:rsidR="00EE51BC" w:rsidRPr="00B7760C" w:rsidRDefault="00EE51BC" w:rsidP="00EE51BC">
            <w:pPr>
              <w:spacing w:after="120"/>
              <w:rPr>
                <w:szCs w:val="24"/>
              </w:rPr>
            </w:pPr>
            <w:r w:rsidRPr="00B7760C">
              <w:t>(e)</w:t>
            </w:r>
            <w:r w:rsidRPr="00B7760C">
              <w:tab/>
              <w:t>obrestno mero na dolgove, razen v zvezi z nepovratnimi sredstvi, ki se dajo v obliki subvencioniranih obrestnih mer ali subvencioniranih provizij za jamstvo;</w:t>
            </w:r>
          </w:p>
        </w:tc>
      </w:tr>
      <w:tr w:rsidR="00EE51BC" w:rsidRPr="00B7760C" w14:paraId="64034B56" w14:textId="77777777" w:rsidTr="005847CC">
        <w:trPr>
          <w:jc w:val="center"/>
        </w:trPr>
        <w:tc>
          <w:tcPr>
            <w:tcW w:w="4876" w:type="dxa"/>
          </w:tcPr>
          <w:p w14:paraId="31356907" w14:textId="210F0E56" w:rsidR="00EE51BC" w:rsidRPr="00B7760C" w:rsidRDefault="00EE51BC" w:rsidP="00EE51BC">
            <w:pPr>
              <w:spacing w:after="120"/>
            </w:pPr>
            <w:r w:rsidRPr="00B7760C">
              <w:rPr>
                <w:b/>
                <w:i/>
              </w:rPr>
              <w:t>(f)</w:t>
            </w:r>
            <w:r w:rsidRPr="00B7760C">
              <w:t xml:space="preserve"> </w:t>
            </w:r>
            <w:r w:rsidR="00311854" w:rsidRPr="00B7760C">
              <w:tab/>
            </w:r>
            <w:r w:rsidRPr="00B7760C">
              <w:rPr>
                <w:b/>
                <w:i/>
              </w:rPr>
              <w:t>naložbe v namakanje, ki niso skladne z doseganjem dobrega stanja vodnih teles, kot je določeno v členu 4(1) Direktive 2000/60/ES, vključno z razširitvijo vodnih teles, ki vplivajo na namakanje in katerih stanje je bilo v ustreznem načrtu upravljanja povodij opredeljeno kot manj kot dobro;</w:t>
            </w:r>
          </w:p>
        </w:tc>
        <w:tc>
          <w:tcPr>
            <w:tcW w:w="4876" w:type="dxa"/>
          </w:tcPr>
          <w:p w14:paraId="690AF26E" w14:textId="77777777" w:rsidR="00EE51BC" w:rsidRPr="00B7760C" w:rsidRDefault="00EE51BC" w:rsidP="00EE51BC">
            <w:pPr>
              <w:spacing w:after="120"/>
              <w:rPr>
                <w:szCs w:val="24"/>
              </w:rPr>
            </w:pPr>
          </w:p>
        </w:tc>
      </w:tr>
      <w:tr w:rsidR="00EE51BC" w:rsidRPr="00B7760C" w14:paraId="01F4E1E9" w14:textId="77777777" w:rsidTr="005847CC">
        <w:trPr>
          <w:jc w:val="center"/>
        </w:trPr>
        <w:tc>
          <w:tcPr>
            <w:tcW w:w="4876" w:type="dxa"/>
          </w:tcPr>
          <w:p w14:paraId="6D6E193A" w14:textId="77777777" w:rsidR="00EE51BC" w:rsidRPr="00B7760C" w:rsidRDefault="00EE51BC" w:rsidP="00EE51BC">
            <w:pPr>
              <w:spacing w:after="120"/>
            </w:pPr>
            <w:r w:rsidRPr="00B7760C">
              <w:t>(g)</w:t>
            </w:r>
            <w:r w:rsidRPr="00B7760C">
              <w:tab/>
              <w:t>naložbe v obsežno infrastrukturo, ki ni del strategij lokalnega razvoja;</w:t>
            </w:r>
          </w:p>
        </w:tc>
        <w:tc>
          <w:tcPr>
            <w:tcW w:w="4876" w:type="dxa"/>
          </w:tcPr>
          <w:p w14:paraId="33CAB0FE" w14:textId="77777777" w:rsidR="00EE51BC" w:rsidRPr="00B7760C" w:rsidRDefault="00EE51BC" w:rsidP="00EE51BC">
            <w:pPr>
              <w:spacing w:after="120"/>
              <w:rPr>
                <w:szCs w:val="24"/>
              </w:rPr>
            </w:pPr>
            <w:r w:rsidRPr="00B7760C">
              <w:t>(g)</w:t>
            </w:r>
            <w:r w:rsidRPr="00B7760C">
              <w:tab/>
              <w:t xml:space="preserve">naložbe v obsežno infrastrukturo, ki ni del strategij lokalnega razvoja; </w:t>
            </w:r>
            <w:r w:rsidRPr="00B7760C">
              <w:rPr>
                <w:b/>
                <w:i/>
              </w:rPr>
              <w:t>države članice lahko določijo posebna odstopanja za naložbe v širokopasovne povezave, kadar se določijo jasna merila, ki zagotavljajo dopolnjevanje s podporo iz drugih instrumentov Unije;</w:t>
            </w:r>
          </w:p>
        </w:tc>
      </w:tr>
      <w:tr w:rsidR="00EE51BC" w:rsidRPr="00B7760C" w14:paraId="2343D242" w14:textId="77777777" w:rsidTr="005847CC">
        <w:trPr>
          <w:jc w:val="center"/>
        </w:trPr>
        <w:tc>
          <w:tcPr>
            <w:tcW w:w="4876" w:type="dxa"/>
          </w:tcPr>
          <w:p w14:paraId="2A8B4EC2" w14:textId="77777777" w:rsidR="00EE51BC" w:rsidRPr="00B7760C" w:rsidRDefault="00EE51BC" w:rsidP="00EE51BC">
            <w:pPr>
              <w:spacing w:after="120"/>
            </w:pPr>
            <w:r w:rsidRPr="00B7760C">
              <w:t>(h)</w:t>
            </w:r>
            <w:r w:rsidRPr="00B7760C">
              <w:tab/>
              <w:t>naložbe v pogozdovanje, ki niso skladne s podnebnimi in okoljskimi cilji v skladu z načeli trajnostnega gospodarjenja z gozdovi, kot so bila razvita v vseevropskih smernicah za pogozdovanje in ponovno pogozdovanje.</w:t>
            </w:r>
          </w:p>
        </w:tc>
        <w:tc>
          <w:tcPr>
            <w:tcW w:w="4876" w:type="dxa"/>
          </w:tcPr>
          <w:p w14:paraId="3D593B46" w14:textId="77777777" w:rsidR="00EE51BC" w:rsidRPr="00B7760C" w:rsidRDefault="00EE51BC" w:rsidP="00EE51BC">
            <w:pPr>
              <w:spacing w:after="120"/>
              <w:rPr>
                <w:szCs w:val="24"/>
              </w:rPr>
            </w:pPr>
            <w:r w:rsidRPr="00B7760C">
              <w:t>(h)</w:t>
            </w:r>
            <w:r w:rsidRPr="00B7760C">
              <w:tab/>
              <w:t>naložbe v pogozdovanje, ki niso skladne s podnebnimi in okoljskimi cilji v skladu z načeli trajnostnega gospodarjenja z gozdovi, kot so bila razvita v vseevropskih smernicah za pogozdovanje in ponovno pogozdovanje.</w:t>
            </w:r>
          </w:p>
        </w:tc>
      </w:tr>
      <w:tr w:rsidR="00EE51BC" w:rsidRPr="00B7760C" w14:paraId="2FF72377" w14:textId="77777777" w:rsidTr="005847CC">
        <w:trPr>
          <w:jc w:val="center"/>
        </w:trPr>
        <w:tc>
          <w:tcPr>
            <w:tcW w:w="4876" w:type="dxa"/>
          </w:tcPr>
          <w:p w14:paraId="7BE6020B" w14:textId="77777777" w:rsidR="00EE51BC" w:rsidRPr="00B7760C" w:rsidRDefault="00EE51BC" w:rsidP="00EE51BC">
            <w:pPr>
              <w:spacing w:after="120"/>
            </w:pPr>
          </w:p>
        </w:tc>
        <w:tc>
          <w:tcPr>
            <w:tcW w:w="4876" w:type="dxa"/>
          </w:tcPr>
          <w:p w14:paraId="41E9588E" w14:textId="58ED8557" w:rsidR="00EE51BC" w:rsidRPr="00B7760C" w:rsidRDefault="00EE51BC" w:rsidP="00EE51BC">
            <w:pPr>
              <w:spacing w:after="120"/>
              <w:rPr>
                <w:szCs w:val="24"/>
              </w:rPr>
            </w:pPr>
            <w:r w:rsidRPr="00B7760C">
              <w:rPr>
                <w:b/>
                <w:i/>
              </w:rPr>
              <w:t xml:space="preserve">(ha) </w:t>
            </w:r>
            <w:r w:rsidRPr="00B7760C">
              <w:rPr>
                <w:b/>
                <w:i/>
              </w:rPr>
              <w:tab/>
              <w:t xml:space="preserve">naložbe, ki niso v skladu z zakonodajo o zdravju in dobrobiti živali ali Direktivo 91/676/EGS. </w:t>
            </w:r>
          </w:p>
        </w:tc>
      </w:tr>
      <w:tr w:rsidR="00EE51BC" w:rsidRPr="00B7760C" w14:paraId="1CA6DDE7" w14:textId="77777777" w:rsidTr="005847CC">
        <w:trPr>
          <w:jc w:val="center"/>
        </w:trPr>
        <w:tc>
          <w:tcPr>
            <w:tcW w:w="4876" w:type="dxa"/>
          </w:tcPr>
          <w:p w14:paraId="37186AF1" w14:textId="77777777" w:rsidR="00EE51BC" w:rsidRPr="00B7760C" w:rsidRDefault="00EE51BC" w:rsidP="00EE51BC">
            <w:pPr>
              <w:spacing w:after="120"/>
            </w:pPr>
          </w:p>
        </w:tc>
        <w:tc>
          <w:tcPr>
            <w:tcW w:w="4876" w:type="dxa"/>
          </w:tcPr>
          <w:p w14:paraId="3ECB69CE" w14:textId="76D80966" w:rsidR="00EE51BC" w:rsidRPr="00B7760C" w:rsidRDefault="00EE51BC" w:rsidP="00EE51BC">
            <w:pPr>
              <w:spacing w:after="120"/>
              <w:rPr>
                <w:szCs w:val="24"/>
              </w:rPr>
            </w:pPr>
            <w:r w:rsidRPr="00B7760C">
              <w:rPr>
                <w:b/>
                <w:i/>
              </w:rPr>
              <w:t xml:space="preserve">(hb) </w:t>
            </w:r>
            <w:r w:rsidRPr="00B7760C">
              <w:rPr>
                <w:b/>
                <w:i/>
              </w:rPr>
              <w:tab/>
              <w:t>naložbe v proizvodnjo bioenergije, ki niso skladne s trajnostnimi merili iz direktive o energiji iz obnovljivih virov.</w:t>
            </w:r>
          </w:p>
        </w:tc>
      </w:tr>
      <w:tr w:rsidR="00EE51BC" w:rsidRPr="00B7760C" w14:paraId="1E1AA897" w14:textId="77777777" w:rsidTr="005847CC">
        <w:trPr>
          <w:jc w:val="center"/>
        </w:trPr>
        <w:tc>
          <w:tcPr>
            <w:tcW w:w="4876" w:type="dxa"/>
          </w:tcPr>
          <w:p w14:paraId="489BA722" w14:textId="77777777" w:rsidR="00EE51BC" w:rsidRPr="00B7760C" w:rsidRDefault="00EE51BC" w:rsidP="00EE51BC">
            <w:pPr>
              <w:spacing w:after="120"/>
            </w:pPr>
            <w:r w:rsidRPr="00B7760C">
              <w:t>Točke (a), (b), (d) in (g) prvega pododstavka se ne uporabljajo, kadar se podpora zagotavlja prek finančnih instrumentov.</w:t>
            </w:r>
          </w:p>
        </w:tc>
        <w:tc>
          <w:tcPr>
            <w:tcW w:w="4876" w:type="dxa"/>
          </w:tcPr>
          <w:p w14:paraId="16679061" w14:textId="77777777" w:rsidR="00EE51BC" w:rsidRPr="00B7760C" w:rsidRDefault="00EE51BC" w:rsidP="00EE51BC">
            <w:pPr>
              <w:spacing w:after="120"/>
              <w:rPr>
                <w:szCs w:val="24"/>
              </w:rPr>
            </w:pPr>
            <w:r w:rsidRPr="00B7760C">
              <w:t>Točke (a), (b), (d) in (g) prvega pododstavka se ne uporabljajo, kadar se podpora zagotavlja prek finančnih instrumentov.</w:t>
            </w:r>
          </w:p>
        </w:tc>
      </w:tr>
      <w:tr w:rsidR="00EE51BC" w:rsidRPr="00B7760C" w14:paraId="045A7EAF" w14:textId="77777777" w:rsidTr="005847CC">
        <w:trPr>
          <w:jc w:val="center"/>
        </w:trPr>
        <w:tc>
          <w:tcPr>
            <w:tcW w:w="4876" w:type="dxa"/>
          </w:tcPr>
          <w:p w14:paraId="7FC26A0A" w14:textId="77777777" w:rsidR="00EE51BC" w:rsidRPr="00B7760C" w:rsidRDefault="00EE51BC" w:rsidP="00EE51BC">
            <w:pPr>
              <w:spacing w:after="120"/>
            </w:pPr>
          </w:p>
        </w:tc>
        <w:tc>
          <w:tcPr>
            <w:tcW w:w="4876" w:type="dxa"/>
          </w:tcPr>
          <w:p w14:paraId="606B02E2" w14:textId="77777777" w:rsidR="00EE51BC" w:rsidRPr="00B7760C" w:rsidRDefault="00EE51BC" w:rsidP="00EE51BC">
            <w:pPr>
              <w:spacing w:after="120"/>
              <w:rPr>
                <w:szCs w:val="24"/>
              </w:rPr>
            </w:pPr>
            <w:r w:rsidRPr="00B7760C">
              <w:rPr>
                <w:b/>
                <w:i/>
              </w:rPr>
              <w:t>Države članice lahko z odstopanjem od točk od (a) do (h) prvega pododstavka določijo odstopanja v otoških regijah, vključno z najbolj oddaljenimi regijami, da bi se odpravile pomanjkljivosti, povezane z otoško lego in oddaljenostjo.</w:t>
            </w:r>
          </w:p>
        </w:tc>
      </w:tr>
      <w:tr w:rsidR="00EE51BC" w:rsidRPr="00B7760C" w14:paraId="7B45FFC6" w14:textId="77777777" w:rsidTr="005847CC">
        <w:trPr>
          <w:jc w:val="center"/>
        </w:trPr>
        <w:tc>
          <w:tcPr>
            <w:tcW w:w="4876" w:type="dxa"/>
          </w:tcPr>
          <w:p w14:paraId="1EBAA63D" w14:textId="0C29A5FE" w:rsidR="00EE51BC" w:rsidRPr="00B7760C" w:rsidRDefault="00EE51BC" w:rsidP="00EE51BC">
            <w:pPr>
              <w:spacing w:after="120"/>
            </w:pPr>
            <w:r w:rsidRPr="00B7760C">
              <w:t>4.</w:t>
            </w:r>
            <w:r w:rsidRPr="00B7760C">
              <w:tab/>
            </w:r>
            <w:r w:rsidR="00311854" w:rsidRPr="00B7760C">
              <w:t xml:space="preserve">Države članice podporo omejijo na </w:t>
            </w:r>
            <w:r w:rsidR="00311854" w:rsidRPr="00B7760C">
              <w:rPr>
                <w:b/>
                <w:i/>
              </w:rPr>
              <w:t>največ 75 %</w:t>
            </w:r>
            <w:r w:rsidR="00311854" w:rsidRPr="00B7760C">
              <w:t xml:space="preserve"> upravičenih stroškov.</w:t>
            </w:r>
          </w:p>
        </w:tc>
        <w:tc>
          <w:tcPr>
            <w:tcW w:w="4876" w:type="dxa"/>
          </w:tcPr>
          <w:p w14:paraId="79884182" w14:textId="0AB18BA6" w:rsidR="00EE51BC" w:rsidRPr="00B7760C" w:rsidRDefault="00EE51BC" w:rsidP="00EE51BC">
            <w:pPr>
              <w:spacing w:after="120"/>
              <w:rPr>
                <w:szCs w:val="24"/>
              </w:rPr>
            </w:pPr>
            <w:r w:rsidRPr="00B7760C">
              <w:t>4.</w:t>
            </w:r>
            <w:r w:rsidRPr="00B7760C">
              <w:tab/>
            </w:r>
            <w:r w:rsidR="00311854" w:rsidRPr="00B7760C">
              <w:t xml:space="preserve">Države članice podporo omejijo na </w:t>
            </w:r>
            <w:r w:rsidR="00311854" w:rsidRPr="00B7760C">
              <w:rPr>
                <w:b/>
                <w:i/>
              </w:rPr>
              <w:t>najvišjo stopnjo</w:t>
            </w:r>
            <w:r w:rsidR="00311854" w:rsidRPr="00B7760C">
              <w:t xml:space="preserve"> upravičenih stroškov, </w:t>
            </w:r>
            <w:r w:rsidR="00311854" w:rsidRPr="00B7760C">
              <w:rPr>
                <w:b/>
                <w:i/>
              </w:rPr>
              <w:t>določeno v Prilogi IXaa</w:t>
            </w:r>
            <w:r w:rsidR="00311854" w:rsidRPr="00B7760C">
              <w:t>.</w:t>
            </w:r>
          </w:p>
        </w:tc>
      </w:tr>
      <w:tr w:rsidR="00EE51BC" w:rsidRPr="00B7760C" w14:paraId="6C70154C" w14:textId="77777777" w:rsidTr="005847CC">
        <w:trPr>
          <w:jc w:val="center"/>
        </w:trPr>
        <w:tc>
          <w:tcPr>
            <w:tcW w:w="4876" w:type="dxa"/>
          </w:tcPr>
          <w:p w14:paraId="7D4CC465" w14:textId="77777777" w:rsidR="00EE51BC" w:rsidRPr="00B7760C" w:rsidRDefault="00EE51BC" w:rsidP="00EE51BC">
            <w:pPr>
              <w:spacing w:after="120"/>
            </w:pPr>
            <w:r w:rsidRPr="00B7760C">
              <w:t>Najvišja stopnja podpore se lahko poveča za naslednje naložbe:</w:t>
            </w:r>
          </w:p>
        </w:tc>
        <w:tc>
          <w:tcPr>
            <w:tcW w:w="4876" w:type="dxa"/>
          </w:tcPr>
          <w:p w14:paraId="05175DA4" w14:textId="77777777" w:rsidR="00EE51BC" w:rsidRPr="00B7760C" w:rsidRDefault="00EE51BC" w:rsidP="00EE51BC">
            <w:pPr>
              <w:spacing w:after="120"/>
              <w:rPr>
                <w:szCs w:val="24"/>
              </w:rPr>
            </w:pPr>
            <w:r w:rsidRPr="00B7760C">
              <w:t>Najvišja stopnja podpore se lahko poveča za naslednje naložbe:</w:t>
            </w:r>
          </w:p>
        </w:tc>
      </w:tr>
      <w:tr w:rsidR="00EE51BC" w:rsidRPr="00B7760C" w14:paraId="4B506A11" w14:textId="77777777" w:rsidTr="005847CC">
        <w:trPr>
          <w:jc w:val="center"/>
        </w:trPr>
        <w:tc>
          <w:tcPr>
            <w:tcW w:w="4876" w:type="dxa"/>
          </w:tcPr>
          <w:p w14:paraId="22EDF1B5" w14:textId="77777777" w:rsidR="00EE51BC" w:rsidRPr="00B7760C" w:rsidRDefault="00EE51BC" w:rsidP="00EE51BC">
            <w:pPr>
              <w:spacing w:after="120"/>
            </w:pPr>
            <w:r w:rsidRPr="00B7760C">
              <w:t>(a)</w:t>
            </w:r>
            <w:r w:rsidRPr="00B7760C">
              <w:tab/>
              <w:t>naložbe za pogozdovanje in neproduktivne naložbe, povezane s posebnimi okoljskimi in podnebnimi cilji iz točk (d), (e) in (f) člena 6(1);</w:t>
            </w:r>
          </w:p>
        </w:tc>
        <w:tc>
          <w:tcPr>
            <w:tcW w:w="4876" w:type="dxa"/>
          </w:tcPr>
          <w:p w14:paraId="1D5E7237" w14:textId="77777777" w:rsidR="00EE51BC" w:rsidRPr="00B7760C" w:rsidRDefault="00EE51BC" w:rsidP="00EE51BC">
            <w:pPr>
              <w:spacing w:after="120"/>
              <w:rPr>
                <w:szCs w:val="24"/>
              </w:rPr>
            </w:pPr>
            <w:r w:rsidRPr="00B7760C">
              <w:t>(a)</w:t>
            </w:r>
            <w:r w:rsidRPr="00B7760C">
              <w:tab/>
              <w:t xml:space="preserve">naložbe za pogozdovanje in </w:t>
            </w:r>
            <w:r w:rsidRPr="00B7760C">
              <w:rPr>
                <w:b/>
                <w:i/>
              </w:rPr>
              <w:t>vzpostavitev kmetijsko-gozdarskih sistemov ter</w:t>
            </w:r>
            <w:r w:rsidRPr="00B7760C">
              <w:t xml:space="preserve"> neproduktivne naložbe</w:t>
            </w:r>
            <w:r w:rsidRPr="00B7760C">
              <w:rPr>
                <w:b/>
                <w:i/>
              </w:rPr>
              <w:t>, vključno s komasacijo,</w:t>
            </w:r>
            <w:r w:rsidRPr="00B7760C">
              <w:t xml:space="preserve"> povezane s posebnimi okoljskimi in podnebnimi cilji iz točk (d), (e) in (f) člena 6(1);</w:t>
            </w:r>
          </w:p>
        </w:tc>
      </w:tr>
      <w:tr w:rsidR="00EE51BC" w:rsidRPr="00B7760C" w14:paraId="76C2846C" w14:textId="77777777" w:rsidTr="005847CC">
        <w:trPr>
          <w:jc w:val="center"/>
        </w:trPr>
        <w:tc>
          <w:tcPr>
            <w:tcW w:w="4876" w:type="dxa"/>
          </w:tcPr>
          <w:p w14:paraId="6701EFF5" w14:textId="77777777" w:rsidR="00EE51BC" w:rsidRPr="00B7760C" w:rsidRDefault="00EE51BC" w:rsidP="00EE51BC">
            <w:pPr>
              <w:spacing w:after="120"/>
            </w:pPr>
            <w:r w:rsidRPr="00B7760C">
              <w:t>(b)</w:t>
            </w:r>
            <w:r w:rsidRPr="00B7760C">
              <w:tab/>
              <w:t>naložbe v osnovne storitve na podeželskih območjih;</w:t>
            </w:r>
          </w:p>
        </w:tc>
        <w:tc>
          <w:tcPr>
            <w:tcW w:w="4876" w:type="dxa"/>
          </w:tcPr>
          <w:p w14:paraId="505F656A" w14:textId="77777777" w:rsidR="00EE51BC" w:rsidRPr="00B7760C" w:rsidRDefault="00EE51BC" w:rsidP="00EE51BC">
            <w:pPr>
              <w:spacing w:after="120"/>
              <w:rPr>
                <w:szCs w:val="24"/>
              </w:rPr>
            </w:pPr>
            <w:r w:rsidRPr="00B7760C">
              <w:t>(b)</w:t>
            </w:r>
            <w:r w:rsidRPr="00B7760C">
              <w:tab/>
              <w:t>naložbe v osnovne storitve na podeželskih območjih;</w:t>
            </w:r>
          </w:p>
        </w:tc>
      </w:tr>
      <w:tr w:rsidR="00EE51BC" w:rsidRPr="00B7760C" w14:paraId="51982488" w14:textId="77777777" w:rsidTr="005847CC">
        <w:trPr>
          <w:jc w:val="center"/>
        </w:trPr>
        <w:tc>
          <w:tcPr>
            <w:tcW w:w="4876" w:type="dxa"/>
          </w:tcPr>
          <w:p w14:paraId="1F5F192D" w14:textId="77777777" w:rsidR="00EE51BC" w:rsidRPr="00B7760C" w:rsidRDefault="00EE51BC" w:rsidP="00EE51BC">
            <w:pPr>
              <w:spacing w:after="120"/>
            </w:pPr>
            <w:r w:rsidRPr="00B7760C">
              <w:t>(c)</w:t>
            </w:r>
            <w:r w:rsidRPr="00B7760C">
              <w:tab/>
              <w:t xml:space="preserve">naložbe za obnovitev kmetijskega ali gozdarskega potenciala po naravnih nesrečah in katastrofičnih dogodkih </w:t>
            </w:r>
            <w:r w:rsidRPr="00B7760C">
              <w:rPr>
                <w:b/>
                <w:i/>
              </w:rPr>
              <w:t>ter</w:t>
            </w:r>
            <w:r w:rsidRPr="00B7760C">
              <w:t xml:space="preserve"> naložbe v ustrezne preventivne ukrepe v gozdovih in na podeželju.</w:t>
            </w:r>
          </w:p>
        </w:tc>
        <w:tc>
          <w:tcPr>
            <w:tcW w:w="4876" w:type="dxa"/>
          </w:tcPr>
          <w:p w14:paraId="1E55833B" w14:textId="77777777" w:rsidR="00EE51BC" w:rsidRPr="00B7760C" w:rsidRDefault="00EE51BC" w:rsidP="00EE51BC">
            <w:pPr>
              <w:spacing w:after="120"/>
              <w:rPr>
                <w:szCs w:val="24"/>
              </w:rPr>
            </w:pPr>
            <w:r w:rsidRPr="00B7760C">
              <w:t>(c)</w:t>
            </w:r>
            <w:r w:rsidRPr="00B7760C">
              <w:tab/>
              <w:t xml:space="preserve">naložbe za obnovitev kmetijskega ali gozdarskega potenciala, </w:t>
            </w:r>
            <w:r w:rsidRPr="00B7760C">
              <w:rPr>
                <w:b/>
                <w:i/>
              </w:rPr>
              <w:t>poškodovanega</w:t>
            </w:r>
            <w:r w:rsidRPr="00B7760C">
              <w:t xml:space="preserve"> po </w:t>
            </w:r>
            <w:r w:rsidRPr="00B7760C">
              <w:rPr>
                <w:b/>
                <w:i/>
              </w:rPr>
              <w:t>požarih in drugih</w:t>
            </w:r>
            <w:r w:rsidRPr="00B7760C">
              <w:t xml:space="preserve"> naravnih nesrečah in katastrofičnih dogodkih, </w:t>
            </w:r>
            <w:r w:rsidRPr="00B7760C">
              <w:rPr>
                <w:b/>
                <w:i/>
              </w:rPr>
              <w:t>tudi nevihtah, poplavah, škodljivcih in boleznih, pa tudi za obnovo gozdov z odstranjevanjem min,</w:t>
            </w:r>
            <w:r w:rsidRPr="00B7760C">
              <w:t xml:space="preserve"> naložbe v ustrezne preventivne ukrepe v gozdovih in na podeželju </w:t>
            </w:r>
            <w:r w:rsidRPr="00B7760C">
              <w:rPr>
                <w:b/>
                <w:i/>
              </w:rPr>
              <w:t>ter naložbe v ohranjanje zdravih gozdov</w:t>
            </w:r>
            <w:r w:rsidRPr="00B7760C">
              <w:t>;</w:t>
            </w:r>
          </w:p>
        </w:tc>
      </w:tr>
      <w:tr w:rsidR="00EE51BC" w:rsidRPr="00B7760C" w14:paraId="1B1DE440" w14:textId="77777777" w:rsidTr="005847CC">
        <w:trPr>
          <w:jc w:val="center"/>
        </w:trPr>
        <w:tc>
          <w:tcPr>
            <w:tcW w:w="4876" w:type="dxa"/>
          </w:tcPr>
          <w:p w14:paraId="54BE54CA" w14:textId="77777777" w:rsidR="00EE51BC" w:rsidRPr="00B7760C" w:rsidRDefault="00EE51BC" w:rsidP="00EE51BC">
            <w:pPr>
              <w:spacing w:after="120"/>
            </w:pPr>
          </w:p>
        </w:tc>
        <w:tc>
          <w:tcPr>
            <w:tcW w:w="4876" w:type="dxa"/>
          </w:tcPr>
          <w:p w14:paraId="24C7ABFE" w14:textId="35C00C50" w:rsidR="00EE51BC" w:rsidRPr="00B7760C" w:rsidRDefault="00EE51BC" w:rsidP="00EE51BC">
            <w:pPr>
              <w:spacing w:after="120"/>
              <w:rPr>
                <w:szCs w:val="24"/>
              </w:rPr>
            </w:pPr>
            <w:r w:rsidRPr="00B7760C">
              <w:rPr>
                <w:b/>
                <w:i/>
              </w:rPr>
              <w:t xml:space="preserve">(ca) </w:t>
            </w:r>
            <w:r w:rsidR="00311854" w:rsidRPr="00B7760C">
              <w:rPr>
                <w:b/>
                <w:i/>
              </w:rPr>
              <w:tab/>
            </w:r>
            <w:r w:rsidRPr="00B7760C">
              <w:rPr>
                <w:b/>
                <w:i/>
              </w:rPr>
              <w:t>naložbe v inovativne pridelovalne tehnike in sisteme, s katerimi se hkrati uresničujejo cilji iz točk (a), (b), (d), (e) in (f) člena 6(1);</w:t>
            </w:r>
          </w:p>
        </w:tc>
      </w:tr>
      <w:tr w:rsidR="00EE51BC" w:rsidRPr="00B7760C" w14:paraId="5D1EED67" w14:textId="77777777" w:rsidTr="005847CC">
        <w:trPr>
          <w:jc w:val="center"/>
        </w:trPr>
        <w:tc>
          <w:tcPr>
            <w:tcW w:w="4876" w:type="dxa"/>
          </w:tcPr>
          <w:p w14:paraId="64CA2ED5" w14:textId="77777777" w:rsidR="00EE51BC" w:rsidRPr="00B7760C" w:rsidRDefault="00EE51BC" w:rsidP="00EE51BC">
            <w:pPr>
              <w:spacing w:after="120"/>
            </w:pPr>
          </w:p>
        </w:tc>
        <w:tc>
          <w:tcPr>
            <w:tcW w:w="4876" w:type="dxa"/>
          </w:tcPr>
          <w:p w14:paraId="3B739B70" w14:textId="23A51741" w:rsidR="00EE51BC" w:rsidRPr="00B7760C" w:rsidRDefault="00EE51BC" w:rsidP="00EE51BC">
            <w:pPr>
              <w:spacing w:after="120"/>
              <w:rPr>
                <w:szCs w:val="24"/>
              </w:rPr>
            </w:pPr>
            <w:r w:rsidRPr="00B7760C">
              <w:rPr>
                <w:b/>
                <w:i/>
              </w:rPr>
              <w:t xml:space="preserve">(cb) </w:t>
            </w:r>
            <w:r w:rsidR="00311854" w:rsidRPr="00B7760C">
              <w:rPr>
                <w:b/>
                <w:i/>
              </w:rPr>
              <w:tab/>
            </w:r>
            <w:r w:rsidRPr="00B7760C">
              <w:rPr>
                <w:b/>
                <w:i/>
              </w:rPr>
              <w:t>naložbe za zaščito čred pred plenilci;</w:t>
            </w:r>
          </w:p>
        </w:tc>
      </w:tr>
      <w:tr w:rsidR="00EE51BC" w:rsidRPr="00B7760C" w14:paraId="05593017" w14:textId="77777777" w:rsidTr="005847CC">
        <w:trPr>
          <w:jc w:val="center"/>
        </w:trPr>
        <w:tc>
          <w:tcPr>
            <w:tcW w:w="4876" w:type="dxa"/>
          </w:tcPr>
          <w:p w14:paraId="068680D5" w14:textId="77777777" w:rsidR="00EE51BC" w:rsidRPr="00B7760C" w:rsidRDefault="00EE51BC" w:rsidP="00EE51BC">
            <w:pPr>
              <w:spacing w:after="120"/>
            </w:pPr>
          </w:p>
        </w:tc>
        <w:tc>
          <w:tcPr>
            <w:tcW w:w="4876" w:type="dxa"/>
          </w:tcPr>
          <w:p w14:paraId="71091AE1" w14:textId="0F79E950" w:rsidR="00EE51BC" w:rsidRPr="00B7760C" w:rsidRDefault="00EE51BC" w:rsidP="00EE51BC">
            <w:pPr>
              <w:spacing w:after="120"/>
              <w:rPr>
                <w:szCs w:val="24"/>
              </w:rPr>
            </w:pPr>
            <w:r w:rsidRPr="00B7760C">
              <w:rPr>
                <w:b/>
                <w:i/>
              </w:rPr>
              <w:t xml:space="preserve">(cc) </w:t>
            </w:r>
            <w:r w:rsidR="00311854" w:rsidRPr="00B7760C">
              <w:rPr>
                <w:b/>
                <w:i/>
              </w:rPr>
              <w:tab/>
            </w:r>
            <w:r w:rsidRPr="00B7760C">
              <w:rPr>
                <w:b/>
                <w:i/>
              </w:rPr>
              <w:t>naložbe v najbolj oddaljene regije in območja z naravnimi omejitvami, vključno z gorskimi in otoškimi regijami;</w:t>
            </w:r>
          </w:p>
        </w:tc>
      </w:tr>
      <w:tr w:rsidR="00EE51BC" w:rsidRPr="00B7760C" w14:paraId="740A6FD2" w14:textId="77777777" w:rsidTr="005847CC">
        <w:trPr>
          <w:jc w:val="center"/>
        </w:trPr>
        <w:tc>
          <w:tcPr>
            <w:tcW w:w="4876" w:type="dxa"/>
          </w:tcPr>
          <w:p w14:paraId="499689B1" w14:textId="77777777" w:rsidR="00EE51BC" w:rsidRPr="00B7760C" w:rsidRDefault="00EE51BC" w:rsidP="00EE51BC">
            <w:pPr>
              <w:spacing w:after="120"/>
            </w:pPr>
          </w:p>
        </w:tc>
        <w:tc>
          <w:tcPr>
            <w:tcW w:w="4876" w:type="dxa"/>
          </w:tcPr>
          <w:p w14:paraId="2F2D3301" w14:textId="52F86D97" w:rsidR="00EE51BC" w:rsidRPr="00B7760C" w:rsidRDefault="00EE51BC" w:rsidP="00EE51BC">
            <w:pPr>
              <w:spacing w:after="120"/>
              <w:rPr>
                <w:szCs w:val="24"/>
              </w:rPr>
            </w:pPr>
            <w:r w:rsidRPr="00B7760C">
              <w:rPr>
                <w:b/>
                <w:i/>
              </w:rPr>
              <w:t xml:space="preserve">(cd) </w:t>
            </w:r>
            <w:r w:rsidR="00311854" w:rsidRPr="00B7760C">
              <w:rPr>
                <w:b/>
                <w:i/>
              </w:rPr>
              <w:tab/>
            </w:r>
            <w:r w:rsidRPr="00B7760C">
              <w:rPr>
                <w:b/>
                <w:i/>
              </w:rPr>
              <w:t>naložbe, povezane z dobrobitjo živali.</w:t>
            </w:r>
          </w:p>
        </w:tc>
      </w:tr>
    </w:tbl>
    <w:p w14:paraId="2D0D61C0" w14:textId="24636CB9" w:rsidR="00EE51BC" w:rsidRPr="00B7760C" w:rsidRDefault="00EE51BC" w:rsidP="003663AF"/>
    <w:p w14:paraId="095BC8B4" w14:textId="77777777" w:rsidR="006833F2" w:rsidRPr="00B7760C" w:rsidRDefault="006833F2" w:rsidP="006833F2">
      <w:pPr>
        <w:pStyle w:val="AMNumberTabs"/>
        <w:keepNext/>
      </w:pPr>
      <w:r w:rsidRPr="00B7760C">
        <w:t>Sprememba</w:t>
      </w:r>
      <w:r w:rsidRPr="00B7760C">
        <w:tab/>
      </w:r>
      <w:r w:rsidRPr="00B7760C">
        <w:tab/>
        <w:t>475</w:t>
      </w:r>
    </w:p>
    <w:p w14:paraId="212F474E" w14:textId="77777777" w:rsidR="006833F2" w:rsidRPr="00B7760C" w:rsidRDefault="006833F2" w:rsidP="006833F2">
      <w:pPr>
        <w:pStyle w:val="NormalBold12b"/>
      </w:pPr>
      <w:r w:rsidRPr="00B7760C">
        <w:t>Predlog uredbe</w:t>
      </w:r>
    </w:p>
    <w:p w14:paraId="2DCF51BB" w14:textId="77777777" w:rsidR="006833F2" w:rsidRPr="00B7760C" w:rsidRDefault="006833F2" w:rsidP="006833F2">
      <w:pPr>
        <w:pStyle w:val="NormalBold"/>
      </w:pPr>
      <w:r w:rsidRPr="00B7760C">
        <w:t>Člen 68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833F2" w:rsidRPr="00B7760C" w14:paraId="7C6C9F3B" w14:textId="77777777" w:rsidTr="001E1226">
        <w:trPr>
          <w:jc w:val="center"/>
        </w:trPr>
        <w:tc>
          <w:tcPr>
            <w:tcW w:w="9752" w:type="dxa"/>
            <w:gridSpan w:val="2"/>
          </w:tcPr>
          <w:p w14:paraId="057F36F9" w14:textId="77777777" w:rsidR="006833F2" w:rsidRPr="00B7760C" w:rsidRDefault="006833F2" w:rsidP="001E1226">
            <w:pPr>
              <w:keepNext/>
            </w:pPr>
          </w:p>
        </w:tc>
      </w:tr>
      <w:tr w:rsidR="006833F2" w:rsidRPr="00B7760C" w14:paraId="581695C9" w14:textId="77777777" w:rsidTr="001E1226">
        <w:trPr>
          <w:jc w:val="center"/>
        </w:trPr>
        <w:tc>
          <w:tcPr>
            <w:tcW w:w="4876" w:type="dxa"/>
            <w:hideMark/>
          </w:tcPr>
          <w:p w14:paraId="6E25A426" w14:textId="77777777" w:rsidR="006833F2" w:rsidRPr="00B7760C" w:rsidRDefault="006833F2" w:rsidP="001E1226">
            <w:pPr>
              <w:pStyle w:val="ColumnHeading"/>
              <w:keepNext/>
            </w:pPr>
            <w:r w:rsidRPr="00B7760C">
              <w:t>Besedilo, ki ga predlaga Komisija</w:t>
            </w:r>
          </w:p>
        </w:tc>
        <w:tc>
          <w:tcPr>
            <w:tcW w:w="4876" w:type="dxa"/>
            <w:hideMark/>
          </w:tcPr>
          <w:p w14:paraId="3517409D" w14:textId="77777777" w:rsidR="006833F2" w:rsidRPr="00B7760C" w:rsidRDefault="006833F2" w:rsidP="001E1226">
            <w:pPr>
              <w:pStyle w:val="ColumnHeading"/>
              <w:keepNext/>
            </w:pPr>
            <w:r w:rsidRPr="00B7760C">
              <w:t>Sprememba</w:t>
            </w:r>
          </w:p>
        </w:tc>
      </w:tr>
      <w:tr w:rsidR="006833F2" w:rsidRPr="00B7760C" w14:paraId="6CCF020A" w14:textId="77777777" w:rsidTr="001E1226">
        <w:trPr>
          <w:jc w:val="center"/>
        </w:trPr>
        <w:tc>
          <w:tcPr>
            <w:tcW w:w="4876" w:type="dxa"/>
          </w:tcPr>
          <w:p w14:paraId="757D162F" w14:textId="77777777" w:rsidR="006833F2" w:rsidRPr="00B7760C" w:rsidRDefault="006833F2" w:rsidP="001E1226">
            <w:pPr>
              <w:pStyle w:val="Normal6"/>
            </w:pPr>
          </w:p>
        </w:tc>
        <w:tc>
          <w:tcPr>
            <w:tcW w:w="4876" w:type="dxa"/>
            <w:hideMark/>
          </w:tcPr>
          <w:p w14:paraId="5AC904EE" w14:textId="77777777" w:rsidR="006833F2" w:rsidRPr="00B7760C" w:rsidRDefault="006833F2" w:rsidP="001E1226">
            <w:pPr>
              <w:pStyle w:val="Normal6"/>
              <w:jc w:val="center"/>
              <w:rPr>
                <w:szCs w:val="24"/>
              </w:rPr>
            </w:pPr>
            <w:r w:rsidRPr="00B7760C">
              <w:rPr>
                <w:b/>
                <w:i/>
              </w:rPr>
              <w:t>Člen 68a</w:t>
            </w:r>
          </w:p>
        </w:tc>
      </w:tr>
      <w:tr w:rsidR="006833F2" w:rsidRPr="00B7760C" w14:paraId="186BF777" w14:textId="77777777" w:rsidTr="001E1226">
        <w:trPr>
          <w:jc w:val="center"/>
        </w:trPr>
        <w:tc>
          <w:tcPr>
            <w:tcW w:w="4876" w:type="dxa"/>
          </w:tcPr>
          <w:p w14:paraId="5C8E22D5" w14:textId="77777777" w:rsidR="006833F2" w:rsidRPr="00B7760C" w:rsidRDefault="006833F2" w:rsidP="001E1226">
            <w:pPr>
              <w:pStyle w:val="Normal6"/>
            </w:pPr>
          </w:p>
        </w:tc>
        <w:tc>
          <w:tcPr>
            <w:tcW w:w="4876" w:type="dxa"/>
            <w:hideMark/>
          </w:tcPr>
          <w:p w14:paraId="53DB201E" w14:textId="77777777" w:rsidR="006833F2" w:rsidRPr="00B7760C" w:rsidRDefault="006833F2" w:rsidP="001E1226">
            <w:pPr>
              <w:pStyle w:val="Normal6"/>
              <w:jc w:val="center"/>
              <w:rPr>
                <w:szCs w:val="24"/>
              </w:rPr>
            </w:pPr>
            <w:r w:rsidRPr="00B7760C">
              <w:rPr>
                <w:b/>
                <w:i/>
              </w:rPr>
              <w:t>Naložbe v namakanje</w:t>
            </w:r>
          </w:p>
        </w:tc>
      </w:tr>
      <w:tr w:rsidR="006833F2" w:rsidRPr="00B7760C" w14:paraId="52526BD8" w14:textId="77777777" w:rsidTr="001E1226">
        <w:trPr>
          <w:jc w:val="center"/>
        </w:trPr>
        <w:tc>
          <w:tcPr>
            <w:tcW w:w="4876" w:type="dxa"/>
          </w:tcPr>
          <w:p w14:paraId="01015E89" w14:textId="77777777" w:rsidR="006833F2" w:rsidRPr="00B7760C" w:rsidRDefault="006833F2" w:rsidP="001E1226">
            <w:pPr>
              <w:pStyle w:val="Normal6"/>
            </w:pPr>
          </w:p>
        </w:tc>
        <w:tc>
          <w:tcPr>
            <w:tcW w:w="4876" w:type="dxa"/>
            <w:hideMark/>
          </w:tcPr>
          <w:p w14:paraId="2C945A21" w14:textId="77777777" w:rsidR="006833F2" w:rsidRPr="00B7760C" w:rsidRDefault="006833F2" w:rsidP="001E1226">
            <w:pPr>
              <w:pStyle w:val="Normal6"/>
              <w:rPr>
                <w:szCs w:val="24"/>
              </w:rPr>
            </w:pPr>
            <w:r w:rsidRPr="00B7760C">
              <w:rPr>
                <w:b/>
                <w:i/>
              </w:rPr>
              <w:t xml:space="preserve">1. </w:t>
            </w:r>
            <w:r w:rsidRPr="00B7760C">
              <w:rPr>
                <w:b/>
                <w:i/>
              </w:rPr>
              <w:tab/>
              <w:t>Brez poseganja v člen 68 te uredbe se za upravičene izdatke v primeru namakanja novih in obstoječih namakalnih in izsušenih območij štejejo le naložbe, ki izpolnjujejo pogoje iz tega člena.</w:t>
            </w:r>
          </w:p>
        </w:tc>
      </w:tr>
      <w:tr w:rsidR="006833F2" w:rsidRPr="00B7760C" w14:paraId="117F2E5D" w14:textId="77777777" w:rsidTr="001E1226">
        <w:trPr>
          <w:jc w:val="center"/>
        </w:trPr>
        <w:tc>
          <w:tcPr>
            <w:tcW w:w="4876" w:type="dxa"/>
          </w:tcPr>
          <w:p w14:paraId="3F002A3A" w14:textId="77777777" w:rsidR="006833F2" w:rsidRPr="00B7760C" w:rsidRDefault="006833F2" w:rsidP="001E1226">
            <w:pPr>
              <w:pStyle w:val="Normal6"/>
            </w:pPr>
          </w:p>
        </w:tc>
        <w:tc>
          <w:tcPr>
            <w:tcW w:w="4876" w:type="dxa"/>
            <w:hideMark/>
          </w:tcPr>
          <w:p w14:paraId="0460D2AF" w14:textId="77777777" w:rsidR="006833F2" w:rsidRPr="00B7760C" w:rsidRDefault="006833F2" w:rsidP="001E1226">
            <w:pPr>
              <w:pStyle w:val="Normal6"/>
              <w:rPr>
                <w:szCs w:val="24"/>
              </w:rPr>
            </w:pPr>
            <w:r w:rsidRPr="00B7760C">
              <w:rPr>
                <w:b/>
                <w:i/>
              </w:rPr>
              <w:t xml:space="preserve">2. </w:t>
            </w:r>
            <w:r w:rsidRPr="00B7760C">
              <w:rPr>
                <w:b/>
                <w:i/>
              </w:rPr>
              <w:tab/>
              <w:t>Komisija se obvesti o načrtu upravljanja povodja, pripravljenem v skladu s pogoji iz Direktive 2000/60/ES, za celotno območje, na katerem se bo izvedla naložba, pa tudi za katero koli drugo območje, na katerem lahko naložba vpliva na okolje. Ukrepi, ki se izvajajo v okviru načrta upravljanja povodja v skladu s členom 11 navedene direktive in ki so pomembni za kmetijski sektor, so opredeljeni v ustreznem programu ukrepov.</w:t>
            </w:r>
          </w:p>
        </w:tc>
      </w:tr>
      <w:tr w:rsidR="006833F2" w:rsidRPr="00B7760C" w14:paraId="0DCE1F56" w14:textId="77777777" w:rsidTr="001E1226">
        <w:trPr>
          <w:jc w:val="center"/>
        </w:trPr>
        <w:tc>
          <w:tcPr>
            <w:tcW w:w="4876" w:type="dxa"/>
          </w:tcPr>
          <w:p w14:paraId="57224E65" w14:textId="77777777" w:rsidR="006833F2" w:rsidRPr="00B7760C" w:rsidRDefault="006833F2" w:rsidP="001E1226">
            <w:pPr>
              <w:pStyle w:val="Normal6"/>
            </w:pPr>
          </w:p>
        </w:tc>
        <w:tc>
          <w:tcPr>
            <w:tcW w:w="4876" w:type="dxa"/>
            <w:hideMark/>
          </w:tcPr>
          <w:p w14:paraId="5A2663C3" w14:textId="77777777" w:rsidR="006833F2" w:rsidRPr="00B7760C" w:rsidRDefault="006833F2" w:rsidP="001E1226">
            <w:pPr>
              <w:pStyle w:val="Normal6"/>
              <w:rPr>
                <w:szCs w:val="24"/>
              </w:rPr>
            </w:pPr>
            <w:r w:rsidRPr="00B7760C">
              <w:rPr>
                <w:b/>
                <w:i/>
              </w:rPr>
              <w:t xml:space="preserve">3. </w:t>
            </w:r>
            <w:r w:rsidRPr="00B7760C">
              <w:rPr>
                <w:b/>
                <w:i/>
              </w:rPr>
              <w:tab/>
              <w:t>Vodni števci, ki omogočajo merjenje porabe vode na ravni podprte naložbe, so nameščeni ali pa se namestijo v sklopu naložbe.</w:t>
            </w:r>
          </w:p>
        </w:tc>
      </w:tr>
      <w:tr w:rsidR="006833F2" w:rsidRPr="00B7760C" w14:paraId="6E53E698" w14:textId="77777777" w:rsidTr="001E1226">
        <w:trPr>
          <w:jc w:val="center"/>
        </w:trPr>
        <w:tc>
          <w:tcPr>
            <w:tcW w:w="4876" w:type="dxa"/>
          </w:tcPr>
          <w:p w14:paraId="3794E482" w14:textId="77777777" w:rsidR="006833F2" w:rsidRPr="00B7760C" w:rsidRDefault="006833F2" w:rsidP="001E1226">
            <w:pPr>
              <w:pStyle w:val="Normal6"/>
            </w:pPr>
          </w:p>
        </w:tc>
        <w:tc>
          <w:tcPr>
            <w:tcW w:w="4876" w:type="dxa"/>
            <w:hideMark/>
          </w:tcPr>
          <w:p w14:paraId="660F26E4" w14:textId="77777777" w:rsidR="006833F2" w:rsidRPr="00B7760C" w:rsidRDefault="006833F2" w:rsidP="001E1226">
            <w:pPr>
              <w:pStyle w:val="Normal6"/>
              <w:rPr>
                <w:szCs w:val="24"/>
              </w:rPr>
            </w:pPr>
            <w:r w:rsidRPr="00B7760C">
              <w:rPr>
                <w:b/>
                <w:i/>
              </w:rPr>
              <w:t xml:space="preserve">4. </w:t>
            </w:r>
            <w:r w:rsidRPr="00B7760C">
              <w:rPr>
                <w:b/>
                <w:i/>
              </w:rPr>
              <w:tab/>
              <w:t>Naložba za izboljšanje obstoječega namakalnega objekta ali elementa namakalne infrastrukture je upravičena le, če po predhodni oceni omogoča najmanj 5- do 25-odstotni potencialni prihranek vode glede na tehnične parametre obstoječega objekta ali infrastrukture.</w:t>
            </w:r>
            <w:r w:rsidRPr="00B7760C">
              <w:t xml:space="preserve"> </w:t>
            </w:r>
          </w:p>
        </w:tc>
      </w:tr>
      <w:tr w:rsidR="006833F2" w:rsidRPr="00B7760C" w14:paraId="0EA246E1" w14:textId="77777777" w:rsidTr="001E1226">
        <w:trPr>
          <w:jc w:val="center"/>
        </w:trPr>
        <w:tc>
          <w:tcPr>
            <w:tcW w:w="4876" w:type="dxa"/>
          </w:tcPr>
          <w:p w14:paraId="23C25965" w14:textId="77777777" w:rsidR="006833F2" w:rsidRPr="00B7760C" w:rsidRDefault="006833F2" w:rsidP="001E1226">
            <w:pPr>
              <w:pStyle w:val="Normal6"/>
            </w:pPr>
          </w:p>
        </w:tc>
        <w:tc>
          <w:tcPr>
            <w:tcW w:w="4876" w:type="dxa"/>
            <w:hideMark/>
          </w:tcPr>
          <w:p w14:paraId="71EC3B0D" w14:textId="77777777" w:rsidR="006833F2" w:rsidRPr="00B7760C" w:rsidRDefault="006833F2" w:rsidP="001E1226">
            <w:pPr>
              <w:pStyle w:val="Normal6"/>
              <w:rPr>
                <w:szCs w:val="24"/>
              </w:rPr>
            </w:pPr>
            <w:r w:rsidRPr="00B7760C">
              <w:rPr>
                <w:b/>
                <w:i/>
              </w:rPr>
              <w:t>Če naložba vpliva na telesa podzemnih ali površinskih voda, katerih stanje je bilo v zadevnem načrtu upravljanja povodja ocenjeno z manj kot dobro zgolj zaradi količine vode:</w:t>
            </w:r>
          </w:p>
        </w:tc>
      </w:tr>
      <w:tr w:rsidR="006833F2" w:rsidRPr="00B7760C" w14:paraId="042107D1" w14:textId="77777777" w:rsidTr="001E1226">
        <w:trPr>
          <w:jc w:val="center"/>
        </w:trPr>
        <w:tc>
          <w:tcPr>
            <w:tcW w:w="4876" w:type="dxa"/>
          </w:tcPr>
          <w:p w14:paraId="0285E19C" w14:textId="77777777" w:rsidR="006833F2" w:rsidRPr="00B7760C" w:rsidRDefault="006833F2" w:rsidP="001E1226">
            <w:pPr>
              <w:pStyle w:val="Normal6"/>
            </w:pPr>
          </w:p>
        </w:tc>
        <w:tc>
          <w:tcPr>
            <w:tcW w:w="4876" w:type="dxa"/>
            <w:hideMark/>
          </w:tcPr>
          <w:p w14:paraId="652CD62A" w14:textId="77777777" w:rsidR="006833F2" w:rsidRPr="00B7760C" w:rsidRDefault="006833F2" w:rsidP="001E1226">
            <w:pPr>
              <w:pStyle w:val="Normal6"/>
              <w:rPr>
                <w:szCs w:val="24"/>
              </w:rPr>
            </w:pPr>
            <w:r w:rsidRPr="00B7760C">
              <w:rPr>
                <w:b/>
                <w:i/>
              </w:rPr>
              <w:t xml:space="preserve">(a) </w:t>
            </w:r>
            <w:r w:rsidRPr="00B7760C">
              <w:rPr>
                <w:b/>
                <w:i/>
              </w:rPr>
              <w:tab/>
              <w:t xml:space="preserve">se z naložbo zagotovi učinkovito zmanjšanje porabe vode na ravni naložbe za vsaj 50 % potencialnega prihranka vode, ki ga omogoča naložba; </w:t>
            </w:r>
          </w:p>
        </w:tc>
      </w:tr>
      <w:tr w:rsidR="006833F2" w:rsidRPr="00B7760C" w14:paraId="045AB2E2" w14:textId="77777777" w:rsidTr="001E1226">
        <w:trPr>
          <w:jc w:val="center"/>
        </w:trPr>
        <w:tc>
          <w:tcPr>
            <w:tcW w:w="4876" w:type="dxa"/>
          </w:tcPr>
          <w:p w14:paraId="02359F64" w14:textId="77777777" w:rsidR="006833F2" w:rsidRPr="00B7760C" w:rsidRDefault="006833F2" w:rsidP="001E1226">
            <w:pPr>
              <w:pStyle w:val="Normal6"/>
            </w:pPr>
          </w:p>
        </w:tc>
        <w:tc>
          <w:tcPr>
            <w:tcW w:w="4876" w:type="dxa"/>
            <w:hideMark/>
          </w:tcPr>
          <w:p w14:paraId="5E307739" w14:textId="77777777" w:rsidR="006833F2" w:rsidRPr="00B7760C" w:rsidRDefault="006833F2" w:rsidP="001E1226">
            <w:pPr>
              <w:pStyle w:val="Normal6"/>
              <w:rPr>
                <w:szCs w:val="24"/>
              </w:rPr>
            </w:pPr>
            <w:r w:rsidRPr="00B7760C">
              <w:rPr>
                <w:b/>
                <w:i/>
              </w:rPr>
              <w:t xml:space="preserve">(b) </w:t>
            </w:r>
            <w:r w:rsidRPr="00B7760C">
              <w:rPr>
                <w:b/>
                <w:i/>
              </w:rPr>
              <w:tab/>
              <w:t xml:space="preserve">se pri naložbi na posameznem kmetijskem gospodarstvu zagotovi zmanjšanje skupne porabe vode kmetijskega gospodarstva za vsaj 50 % potencialnega prihranka vode, ki je omogočen na ravni naložbe. Skupna poraba vode kmetijskega gospodarstva vključuje vodo, ki jo gospodarstvo proda. </w:t>
            </w:r>
          </w:p>
        </w:tc>
      </w:tr>
      <w:tr w:rsidR="006833F2" w:rsidRPr="00B7760C" w14:paraId="5A558A15" w14:textId="77777777" w:rsidTr="001E1226">
        <w:trPr>
          <w:jc w:val="center"/>
        </w:trPr>
        <w:tc>
          <w:tcPr>
            <w:tcW w:w="4876" w:type="dxa"/>
          </w:tcPr>
          <w:p w14:paraId="268D452C" w14:textId="77777777" w:rsidR="006833F2" w:rsidRPr="00B7760C" w:rsidRDefault="006833F2" w:rsidP="001E1226">
            <w:pPr>
              <w:pStyle w:val="Normal6"/>
            </w:pPr>
          </w:p>
        </w:tc>
        <w:tc>
          <w:tcPr>
            <w:tcW w:w="4876" w:type="dxa"/>
            <w:hideMark/>
          </w:tcPr>
          <w:p w14:paraId="14A35DE3" w14:textId="77777777" w:rsidR="006833F2" w:rsidRPr="00B7760C" w:rsidRDefault="006833F2" w:rsidP="001E1226">
            <w:pPr>
              <w:pStyle w:val="Normal6"/>
              <w:rPr>
                <w:szCs w:val="24"/>
              </w:rPr>
            </w:pPr>
            <w:r w:rsidRPr="00B7760C">
              <w:rPr>
                <w:b/>
                <w:i/>
              </w:rPr>
              <w:t>Nobeden od pogojev iz odstavka 4 se ne uporablja za naložbe v obstoječe objekte, ki vplivajo le na energetsko učinkovitost, naložbe v izgradnjo vodnih zbiralnikov ali naložbe v uporabo reciklirane vode, ki ne vplivajo na telo podzemnih ali površinskih voda.</w:t>
            </w:r>
          </w:p>
        </w:tc>
      </w:tr>
      <w:tr w:rsidR="006833F2" w:rsidRPr="00B7760C" w14:paraId="0B96410C" w14:textId="77777777" w:rsidTr="001E1226">
        <w:trPr>
          <w:jc w:val="center"/>
        </w:trPr>
        <w:tc>
          <w:tcPr>
            <w:tcW w:w="4876" w:type="dxa"/>
          </w:tcPr>
          <w:p w14:paraId="1E9F1F72" w14:textId="77777777" w:rsidR="006833F2" w:rsidRPr="00B7760C" w:rsidRDefault="006833F2" w:rsidP="001E1226">
            <w:pPr>
              <w:pStyle w:val="Normal6"/>
            </w:pPr>
          </w:p>
        </w:tc>
        <w:tc>
          <w:tcPr>
            <w:tcW w:w="4876" w:type="dxa"/>
            <w:hideMark/>
          </w:tcPr>
          <w:p w14:paraId="59862DC2" w14:textId="77777777" w:rsidR="006833F2" w:rsidRPr="00B7760C" w:rsidRDefault="006833F2" w:rsidP="001E1226">
            <w:pPr>
              <w:pStyle w:val="Normal6"/>
              <w:rPr>
                <w:szCs w:val="24"/>
              </w:rPr>
            </w:pPr>
            <w:r w:rsidRPr="00B7760C">
              <w:rPr>
                <w:b/>
                <w:i/>
              </w:rPr>
              <w:t xml:space="preserve">5. </w:t>
            </w:r>
            <w:r w:rsidRPr="00B7760C">
              <w:rPr>
                <w:b/>
                <w:i/>
              </w:rPr>
              <w:tab/>
              <w:t>Naložba, katere rezultat je neto povečanje namakalnega območja, ki vpliva na določeno telo podzemnih ali površinskih voda, je upravičena le, če:</w:t>
            </w:r>
          </w:p>
        </w:tc>
      </w:tr>
      <w:tr w:rsidR="006833F2" w:rsidRPr="00B7760C" w14:paraId="280902A0" w14:textId="77777777" w:rsidTr="001E1226">
        <w:trPr>
          <w:jc w:val="center"/>
        </w:trPr>
        <w:tc>
          <w:tcPr>
            <w:tcW w:w="4876" w:type="dxa"/>
          </w:tcPr>
          <w:p w14:paraId="1E4A2D79" w14:textId="77777777" w:rsidR="006833F2" w:rsidRPr="00B7760C" w:rsidRDefault="006833F2" w:rsidP="001E1226">
            <w:pPr>
              <w:pStyle w:val="Normal6"/>
            </w:pPr>
          </w:p>
        </w:tc>
        <w:tc>
          <w:tcPr>
            <w:tcW w:w="4876" w:type="dxa"/>
            <w:hideMark/>
          </w:tcPr>
          <w:p w14:paraId="1EBF32B5" w14:textId="77777777" w:rsidR="006833F2" w:rsidRPr="00B7760C" w:rsidRDefault="006833F2" w:rsidP="001E1226">
            <w:pPr>
              <w:pStyle w:val="Normal6"/>
              <w:rPr>
                <w:szCs w:val="24"/>
              </w:rPr>
            </w:pPr>
            <w:r w:rsidRPr="00B7760C">
              <w:rPr>
                <w:b/>
                <w:i/>
              </w:rPr>
              <w:t>(a)</w:t>
            </w:r>
            <w:r w:rsidRPr="00B7760C">
              <w:rPr>
                <w:b/>
                <w:i/>
              </w:rPr>
              <w:tab/>
              <w:t xml:space="preserve">stanje vodnega telesa v zadevnem načrtu upravljanja vodnega območja ni ocenjeno z manj kot dobro zgolj zaradi količine vode ter </w:t>
            </w:r>
          </w:p>
        </w:tc>
      </w:tr>
      <w:tr w:rsidR="006833F2" w:rsidRPr="00B7760C" w14:paraId="0D47D46E" w14:textId="77777777" w:rsidTr="001E1226">
        <w:trPr>
          <w:jc w:val="center"/>
        </w:trPr>
        <w:tc>
          <w:tcPr>
            <w:tcW w:w="4876" w:type="dxa"/>
          </w:tcPr>
          <w:p w14:paraId="7CB688CA" w14:textId="77777777" w:rsidR="006833F2" w:rsidRPr="00B7760C" w:rsidRDefault="006833F2" w:rsidP="001E1226">
            <w:pPr>
              <w:pStyle w:val="Normal6"/>
            </w:pPr>
          </w:p>
        </w:tc>
        <w:tc>
          <w:tcPr>
            <w:tcW w:w="4876" w:type="dxa"/>
            <w:hideMark/>
          </w:tcPr>
          <w:p w14:paraId="01AAB754" w14:textId="77777777" w:rsidR="006833F2" w:rsidRPr="00B7760C" w:rsidRDefault="006833F2" w:rsidP="001E1226">
            <w:pPr>
              <w:pStyle w:val="Normal6"/>
              <w:rPr>
                <w:szCs w:val="24"/>
              </w:rPr>
            </w:pPr>
            <w:r w:rsidRPr="00B7760C">
              <w:rPr>
                <w:b/>
                <w:i/>
              </w:rPr>
              <w:t xml:space="preserve">(b) </w:t>
            </w:r>
            <w:r w:rsidRPr="00B7760C">
              <w:rPr>
                <w:b/>
                <w:i/>
              </w:rPr>
              <w:tab/>
              <w:t xml:space="preserve">je iz predhodne okoljske analize razvidno, da naložba ne bo znatno negativno vplivala na okolje; to analizo vplivov na okolje pristojni organ bodisi opravi bodisi odobri, nanaša pa se lahko tudi na skupine kmetijskih gospodarstev. </w:t>
            </w:r>
          </w:p>
        </w:tc>
      </w:tr>
      <w:tr w:rsidR="006833F2" w:rsidRPr="00B7760C" w14:paraId="1AAF2AA8" w14:textId="77777777" w:rsidTr="001E1226">
        <w:trPr>
          <w:jc w:val="center"/>
        </w:trPr>
        <w:tc>
          <w:tcPr>
            <w:tcW w:w="4876" w:type="dxa"/>
          </w:tcPr>
          <w:p w14:paraId="17AD3B4F" w14:textId="77777777" w:rsidR="006833F2" w:rsidRPr="00B7760C" w:rsidRDefault="006833F2" w:rsidP="001E1226">
            <w:pPr>
              <w:pStyle w:val="Normal6"/>
            </w:pPr>
          </w:p>
        </w:tc>
        <w:tc>
          <w:tcPr>
            <w:tcW w:w="4876" w:type="dxa"/>
            <w:hideMark/>
          </w:tcPr>
          <w:p w14:paraId="6BC90AC5" w14:textId="77777777" w:rsidR="006833F2" w:rsidRPr="00B7760C" w:rsidRDefault="006833F2" w:rsidP="001E1226">
            <w:pPr>
              <w:pStyle w:val="Normal6"/>
              <w:rPr>
                <w:szCs w:val="24"/>
              </w:rPr>
            </w:pPr>
            <w:r w:rsidRPr="00B7760C">
              <w:rPr>
                <w:b/>
                <w:i/>
              </w:rPr>
              <w:t>Območja, ki niso namakana, vendar je na njih v preteklosti že deloval namakalni objekt, kar se ugotovi in utemelji v programu, se lahko štejejo za namakalna območja za namene ugotavljanja neto povečanja namakalnega območja.</w:t>
            </w:r>
          </w:p>
        </w:tc>
      </w:tr>
      <w:tr w:rsidR="006833F2" w:rsidRPr="00B7760C" w14:paraId="2C272F33" w14:textId="77777777" w:rsidTr="001E1226">
        <w:trPr>
          <w:jc w:val="center"/>
        </w:trPr>
        <w:tc>
          <w:tcPr>
            <w:tcW w:w="4876" w:type="dxa"/>
          </w:tcPr>
          <w:p w14:paraId="4D042D4C" w14:textId="77777777" w:rsidR="006833F2" w:rsidRPr="00B7760C" w:rsidRDefault="006833F2" w:rsidP="001E1226">
            <w:pPr>
              <w:pStyle w:val="Normal6"/>
            </w:pPr>
          </w:p>
        </w:tc>
        <w:tc>
          <w:tcPr>
            <w:tcW w:w="4876" w:type="dxa"/>
            <w:hideMark/>
          </w:tcPr>
          <w:p w14:paraId="344A9447" w14:textId="77777777" w:rsidR="006833F2" w:rsidRPr="00B7760C" w:rsidRDefault="006833F2" w:rsidP="001E1226">
            <w:pPr>
              <w:pStyle w:val="Normal6"/>
              <w:rPr>
                <w:szCs w:val="24"/>
              </w:rPr>
            </w:pPr>
            <w:r w:rsidRPr="00B7760C">
              <w:rPr>
                <w:b/>
                <w:i/>
              </w:rPr>
              <w:t xml:space="preserve">6. </w:t>
            </w:r>
            <w:r w:rsidRPr="00B7760C">
              <w:rPr>
                <w:b/>
                <w:i/>
              </w:rPr>
              <w:tab/>
              <w:t>Z odstopanjem od točke (a) odstavka 5 je lahko naložba, ki vodi do neto povečanja namakalnega območja, vseeno upravičena:</w:t>
            </w:r>
          </w:p>
        </w:tc>
      </w:tr>
      <w:tr w:rsidR="006833F2" w:rsidRPr="00B7760C" w14:paraId="636901F5" w14:textId="77777777" w:rsidTr="001E1226">
        <w:trPr>
          <w:jc w:val="center"/>
        </w:trPr>
        <w:tc>
          <w:tcPr>
            <w:tcW w:w="4876" w:type="dxa"/>
          </w:tcPr>
          <w:p w14:paraId="764A9556" w14:textId="77777777" w:rsidR="006833F2" w:rsidRPr="00B7760C" w:rsidRDefault="006833F2" w:rsidP="001E1226">
            <w:pPr>
              <w:pStyle w:val="Normal6"/>
            </w:pPr>
          </w:p>
        </w:tc>
        <w:tc>
          <w:tcPr>
            <w:tcW w:w="4876" w:type="dxa"/>
            <w:hideMark/>
          </w:tcPr>
          <w:p w14:paraId="264FEDF8" w14:textId="77777777" w:rsidR="006833F2" w:rsidRPr="00B7760C" w:rsidRDefault="006833F2" w:rsidP="001E1226">
            <w:pPr>
              <w:pStyle w:val="Normal6"/>
              <w:rPr>
                <w:szCs w:val="24"/>
              </w:rPr>
            </w:pPr>
            <w:r w:rsidRPr="00B7760C">
              <w:rPr>
                <w:b/>
                <w:i/>
              </w:rPr>
              <w:t xml:space="preserve">(a) </w:t>
            </w:r>
            <w:r w:rsidRPr="00B7760C">
              <w:rPr>
                <w:b/>
                <w:i/>
              </w:rPr>
              <w:tab/>
              <w:t xml:space="preserve">če se izvede v povezavi z naložbo v obstoječi namakalni objekt ali element namakalne infrastrukture, za katerega je iz predhodne ocene razvidno, da omogoča vsaj 5- do 25-odstotni potencialni prihranek vode glede na tehnične parametre obstoječega objekta ali infrastrukture, in </w:t>
            </w:r>
          </w:p>
        </w:tc>
      </w:tr>
      <w:tr w:rsidR="006833F2" w:rsidRPr="00B7760C" w14:paraId="4F81BB46" w14:textId="77777777" w:rsidTr="001E1226">
        <w:trPr>
          <w:jc w:val="center"/>
        </w:trPr>
        <w:tc>
          <w:tcPr>
            <w:tcW w:w="4876" w:type="dxa"/>
          </w:tcPr>
          <w:p w14:paraId="4E7CFD0E" w14:textId="77777777" w:rsidR="006833F2" w:rsidRPr="00B7760C" w:rsidRDefault="006833F2" w:rsidP="001E1226">
            <w:pPr>
              <w:pStyle w:val="Normal6"/>
            </w:pPr>
          </w:p>
        </w:tc>
        <w:tc>
          <w:tcPr>
            <w:tcW w:w="4876" w:type="dxa"/>
            <w:hideMark/>
          </w:tcPr>
          <w:p w14:paraId="2C04CEE4" w14:textId="77777777" w:rsidR="006833F2" w:rsidRPr="00B7760C" w:rsidRDefault="006833F2" w:rsidP="001E1226">
            <w:pPr>
              <w:pStyle w:val="Normal6"/>
              <w:rPr>
                <w:szCs w:val="24"/>
              </w:rPr>
            </w:pPr>
            <w:r w:rsidRPr="00B7760C">
              <w:rPr>
                <w:b/>
                <w:i/>
              </w:rPr>
              <w:t xml:space="preserve">(b) </w:t>
            </w:r>
            <w:r w:rsidRPr="00B7760C">
              <w:rPr>
                <w:b/>
                <w:i/>
              </w:rPr>
              <w:tab/>
              <w:t xml:space="preserve">če se z naložbo zagotovi učinkovito zmanjšanje porabe vode na ravni naložbe kot celote za vsaj 50 % potencialnega prihranka vode, ki ga omogoča naložba v obstoječi namakalni objekt ali element namakalne infrastrukture. </w:t>
            </w:r>
          </w:p>
        </w:tc>
      </w:tr>
      <w:tr w:rsidR="006833F2" w:rsidRPr="00B7760C" w14:paraId="2F95D3FB" w14:textId="77777777" w:rsidTr="001E1226">
        <w:trPr>
          <w:jc w:val="center"/>
        </w:trPr>
        <w:tc>
          <w:tcPr>
            <w:tcW w:w="4876" w:type="dxa"/>
          </w:tcPr>
          <w:p w14:paraId="3EFA39FB" w14:textId="77777777" w:rsidR="006833F2" w:rsidRPr="00B7760C" w:rsidRDefault="006833F2" w:rsidP="001E1226">
            <w:pPr>
              <w:pStyle w:val="Normal6"/>
            </w:pPr>
          </w:p>
        </w:tc>
        <w:tc>
          <w:tcPr>
            <w:tcW w:w="4876" w:type="dxa"/>
            <w:hideMark/>
          </w:tcPr>
          <w:p w14:paraId="208F2BF3" w14:textId="77777777" w:rsidR="006833F2" w:rsidRPr="00B7760C" w:rsidRDefault="006833F2" w:rsidP="001E1226">
            <w:pPr>
              <w:pStyle w:val="Normal6"/>
              <w:rPr>
                <w:szCs w:val="24"/>
              </w:rPr>
            </w:pPr>
            <w:r w:rsidRPr="00B7760C">
              <w:rPr>
                <w:b/>
                <w:i/>
              </w:rPr>
              <w:t xml:space="preserve">7. </w:t>
            </w:r>
            <w:r w:rsidRPr="00B7760C">
              <w:rPr>
                <w:b/>
                <w:i/>
              </w:rPr>
              <w:tab/>
              <w:t>Države članice podporo omejijo na največ 75 % upravičenih stroškov. Najvišja stopnja podpore se lahko poveča za naložbe v najbolj oddaljene regije in območja z naravnimi omejitvami, vključno z gorskimi in otoškimi regijami.</w:t>
            </w:r>
          </w:p>
        </w:tc>
      </w:tr>
    </w:tbl>
    <w:p w14:paraId="21F221B2" w14:textId="77777777" w:rsidR="006833F2" w:rsidRPr="00B7760C" w:rsidRDefault="006833F2" w:rsidP="006833F2"/>
    <w:p w14:paraId="6CDF8988" w14:textId="5A899984" w:rsidR="009E085B" w:rsidRPr="00B7760C" w:rsidRDefault="009E085B" w:rsidP="009E085B">
      <w:pPr>
        <w:pStyle w:val="AMNumberTabs"/>
        <w:keepNext/>
      </w:pPr>
      <w:r w:rsidRPr="00B7760C">
        <w:t>Sprememba</w:t>
      </w:r>
      <w:r w:rsidRPr="00B7760C">
        <w:tab/>
      </w:r>
      <w:r w:rsidRPr="00B7760C">
        <w:tab/>
        <w:t>1168</w:t>
      </w:r>
    </w:p>
    <w:p w14:paraId="56AC0723" w14:textId="77777777" w:rsidR="009E085B" w:rsidRPr="00B7760C" w:rsidRDefault="009E085B" w:rsidP="009E085B">
      <w:pPr>
        <w:pStyle w:val="NormalBold12b"/>
      </w:pPr>
      <w:r w:rsidRPr="00B7760C">
        <w:t>Predlog uredbe</w:t>
      </w:r>
    </w:p>
    <w:p w14:paraId="209AB6BD" w14:textId="3801A5A1" w:rsidR="009E085B" w:rsidRPr="00B7760C" w:rsidRDefault="009E085B" w:rsidP="009E085B">
      <w:pPr>
        <w:pStyle w:val="NormalBold"/>
      </w:pPr>
      <w:r w:rsidRPr="00B7760C">
        <w:t>Člen 68 b (novo)</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9E085B" w:rsidRPr="00B7760C" w14:paraId="2D5AB161" w14:textId="77777777" w:rsidTr="009E085B">
        <w:trPr>
          <w:jc w:val="center"/>
        </w:trPr>
        <w:tc>
          <w:tcPr>
            <w:tcW w:w="9752" w:type="dxa"/>
            <w:gridSpan w:val="2"/>
          </w:tcPr>
          <w:p w14:paraId="6A612F26" w14:textId="77777777" w:rsidR="009E085B" w:rsidRPr="00B7760C" w:rsidRDefault="009E085B" w:rsidP="005847CC">
            <w:pPr>
              <w:keepNext/>
            </w:pPr>
          </w:p>
        </w:tc>
      </w:tr>
      <w:tr w:rsidR="009E085B" w:rsidRPr="00B7760C" w14:paraId="3B688F84" w14:textId="77777777" w:rsidTr="009E085B">
        <w:trPr>
          <w:jc w:val="center"/>
        </w:trPr>
        <w:tc>
          <w:tcPr>
            <w:tcW w:w="4876" w:type="dxa"/>
            <w:hideMark/>
          </w:tcPr>
          <w:p w14:paraId="0B539149" w14:textId="77777777" w:rsidR="009E085B" w:rsidRPr="00B7760C" w:rsidRDefault="009E085B" w:rsidP="005847CC">
            <w:pPr>
              <w:pStyle w:val="ColumnHeading"/>
              <w:keepNext/>
            </w:pPr>
            <w:r w:rsidRPr="00B7760C">
              <w:t>Besedilo, ki ga predlaga Komisija</w:t>
            </w:r>
          </w:p>
        </w:tc>
        <w:tc>
          <w:tcPr>
            <w:tcW w:w="4876" w:type="dxa"/>
            <w:hideMark/>
          </w:tcPr>
          <w:p w14:paraId="1FF95618" w14:textId="77777777" w:rsidR="009E085B" w:rsidRPr="00B7760C" w:rsidRDefault="009E085B" w:rsidP="005847CC">
            <w:pPr>
              <w:pStyle w:val="ColumnHeading"/>
              <w:keepNext/>
            </w:pPr>
            <w:r w:rsidRPr="00B7760C">
              <w:t>Sprememba</w:t>
            </w:r>
          </w:p>
        </w:tc>
      </w:tr>
      <w:tr w:rsidR="009E085B" w:rsidRPr="00B7760C" w14:paraId="548F3CF9" w14:textId="77777777" w:rsidTr="005847CC">
        <w:trPr>
          <w:jc w:val="center"/>
        </w:trPr>
        <w:tc>
          <w:tcPr>
            <w:tcW w:w="4876" w:type="dxa"/>
          </w:tcPr>
          <w:p w14:paraId="355688A8" w14:textId="06800C17" w:rsidR="009E085B" w:rsidRPr="00B7760C" w:rsidRDefault="009E085B" w:rsidP="009E085B">
            <w:pPr>
              <w:pStyle w:val="Normal6"/>
            </w:pPr>
          </w:p>
        </w:tc>
        <w:tc>
          <w:tcPr>
            <w:tcW w:w="4876" w:type="dxa"/>
          </w:tcPr>
          <w:p w14:paraId="53C5565E" w14:textId="29518581" w:rsidR="009E085B" w:rsidRPr="00B7760C" w:rsidRDefault="009E085B" w:rsidP="005847CC">
            <w:pPr>
              <w:pStyle w:val="Normal6"/>
              <w:jc w:val="center"/>
              <w:rPr>
                <w:b/>
                <w:bCs/>
                <w:i/>
                <w:iCs/>
                <w:szCs w:val="24"/>
              </w:rPr>
            </w:pPr>
            <w:r w:rsidRPr="00B7760C">
              <w:rPr>
                <w:b/>
                <w:bCs/>
                <w:i/>
                <w:iCs/>
              </w:rPr>
              <w:t>Člen 68b</w:t>
            </w:r>
          </w:p>
        </w:tc>
      </w:tr>
      <w:tr w:rsidR="009E085B" w:rsidRPr="00B7760C" w14:paraId="57D50AE3" w14:textId="77777777" w:rsidTr="009E085B">
        <w:trPr>
          <w:jc w:val="center"/>
        </w:trPr>
        <w:tc>
          <w:tcPr>
            <w:tcW w:w="4876" w:type="dxa"/>
          </w:tcPr>
          <w:p w14:paraId="20C24BAD" w14:textId="209B378E" w:rsidR="009E085B" w:rsidRPr="00B7760C" w:rsidRDefault="009E085B" w:rsidP="009E085B">
            <w:pPr>
              <w:pStyle w:val="Normal6"/>
            </w:pPr>
          </w:p>
        </w:tc>
        <w:tc>
          <w:tcPr>
            <w:tcW w:w="4876" w:type="dxa"/>
          </w:tcPr>
          <w:p w14:paraId="58DE00E4" w14:textId="7DAEFF59" w:rsidR="009E085B" w:rsidRPr="00B7760C" w:rsidRDefault="009E085B" w:rsidP="005847CC">
            <w:pPr>
              <w:pStyle w:val="Normal6"/>
              <w:jc w:val="center"/>
              <w:rPr>
                <w:b/>
                <w:bCs/>
                <w:i/>
                <w:iCs/>
                <w:szCs w:val="24"/>
              </w:rPr>
            </w:pPr>
            <w:r w:rsidRPr="00B7760C">
              <w:rPr>
                <w:b/>
                <w:bCs/>
                <w:i/>
                <w:iCs/>
              </w:rPr>
              <w:t>Namestitev digitalnih tehnologij</w:t>
            </w:r>
          </w:p>
        </w:tc>
      </w:tr>
      <w:tr w:rsidR="009E085B" w:rsidRPr="00B7760C" w14:paraId="6BFCB9C3" w14:textId="77777777" w:rsidTr="009E085B">
        <w:trPr>
          <w:jc w:val="center"/>
        </w:trPr>
        <w:tc>
          <w:tcPr>
            <w:tcW w:w="4876" w:type="dxa"/>
          </w:tcPr>
          <w:p w14:paraId="2323BEEF" w14:textId="7B496302" w:rsidR="009E085B" w:rsidRPr="00B7760C" w:rsidRDefault="009E085B" w:rsidP="009E085B">
            <w:pPr>
              <w:pStyle w:val="Normal6"/>
            </w:pPr>
          </w:p>
        </w:tc>
        <w:tc>
          <w:tcPr>
            <w:tcW w:w="4876" w:type="dxa"/>
          </w:tcPr>
          <w:p w14:paraId="2D608C8D" w14:textId="3D870573" w:rsidR="009E085B" w:rsidRPr="00B7760C" w:rsidRDefault="009E085B" w:rsidP="009E085B">
            <w:pPr>
              <w:pStyle w:val="Normal6"/>
              <w:rPr>
                <w:szCs w:val="24"/>
              </w:rPr>
            </w:pPr>
            <w:r w:rsidRPr="00B7760C">
              <w:rPr>
                <w:b/>
                <w:i/>
              </w:rPr>
              <w:t xml:space="preserve">1. </w:t>
            </w:r>
            <w:r w:rsidRPr="00B7760C">
              <w:rPr>
                <w:b/>
                <w:i/>
              </w:rPr>
              <w:tab/>
              <w:t>Države članice lahko brez poseganja v člen 68 te uredbe odobrijo podporo za namestitev digitalnih tehnologij na podeželskih območjih pod pogoji iz tega člena in kot je podrobneje opredeljeno v njihovih strateških načrtih SKP, da bi prispevale k uresničevanju horizontalnih ciljev iz člena 5 in specifičnih ciljev iz člena 6.</w:t>
            </w:r>
          </w:p>
        </w:tc>
      </w:tr>
      <w:tr w:rsidR="009E085B" w:rsidRPr="00B7760C" w14:paraId="2B8343A8" w14:textId="77777777" w:rsidTr="009E085B">
        <w:trPr>
          <w:jc w:val="center"/>
        </w:trPr>
        <w:tc>
          <w:tcPr>
            <w:tcW w:w="4876" w:type="dxa"/>
          </w:tcPr>
          <w:p w14:paraId="3CE4CB60" w14:textId="7C3F5A4D" w:rsidR="009E085B" w:rsidRPr="00B7760C" w:rsidRDefault="009E085B" w:rsidP="009E085B">
            <w:pPr>
              <w:pStyle w:val="Normal6"/>
              <w:rPr>
                <w:b/>
                <w:i/>
              </w:rPr>
            </w:pPr>
          </w:p>
        </w:tc>
        <w:tc>
          <w:tcPr>
            <w:tcW w:w="4876" w:type="dxa"/>
          </w:tcPr>
          <w:p w14:paraId="305AEEAE" w14:textId="7FE8DA06" w:rsidR="009E085B" w:rsidRPr="00B7760C" w:rsidRDefault="009E085B" w:rsidP="009E085B">
            <w:pPr>
              <w:pStyle w:val="Normal6"/>
              <w:rPr>
                <w:szCs w:val="24"/>
              </w:rPr>
            </w:pPr>
            <w:r w:rsidRPr="00B7760C">
              <w:rPr>
                <w:b/>
                <w:i/>
              </w:rPr>
              <w:t xml:space="preserve">2. </w:t>
            </w:r>
            <w:r w:rsidRPr="00B7760C">
              <w:rPr>
                <w:b/>
                <w:i/>
              </w:rPr>
              <w:tab/>
              <w:t>Države članice lahko dodelijo podporo v okviru tovrstnih intervencij za pomoč pri namestitvi digitalnih tehnologij, da bi se med drugim podprli precizno kmetovanje, strategija za pametne vasi, podeželska podjetja ter razvoj infrastrukture informacijske in komunikacijske tehnologije na ravni kmetij.</w:t>
            </w:r>
          </w:p>
        </w:tc>
      </w:tr>
      <w:tr w:rsidR="009E085B" w:rsidRPr="00B7760C" w14:paraId="0AECC3CD" w14:textId="77777777" w:rsidTr="009E085B">
        <w:trPr>
          <w:jc w:val="center"/>
        </w:trPr>
        <w:tc>
          <w:tcPr>
            <w:tcW w:w="4876" w:type="dxa"/>
          </w:tcPr>
          <w:p w14:paraId="4A51E7B4" w14:textId="017E8873" w:rsidR="009E085B" w:rsidRPr="00B7760C" w:rsidRDefault="009E085B" w:rsidP="009E085B">
            <w:pPr>
              <w:pStyle w:val="Normal6"/>
              <w:rPr>
                <w:b/>
                <w:i/>
              </w:rPr>
            </w:pPr>
          </w:p>
        </w:tc>
        <w:tc>
          <w:tcPr>
            <w:tcW w:w="4876" w:type="dxa"/>
          </w:tcPr>
          <w:p w14:paraId="4332B23E" w14:textId="230122CD" w:rsidR="009E085B" w:rsidRPr="00B7760C" w:rsidRDefault="009E085B" w:rsidP="009E085B">
            <w:pPr>
              <w:pStyle w:val="Normal6"/>
              <w:rPr>
                <w:szCs w:val="24"/>
              </w:rPr>
            </w:pPr>
            <w:r w:rsidRPr="00B7760C">
              <w:rPr>
                <w:b/>
                <w:i/>
              </w:rPr>
              <w:t xml:space="preserve">3. </w:t>
            </w:r>
            <w:r w:rsidRPr="00B7760C">
              <w:rPr>
                <w:b/>
                <w:i/>
              </w:rPr>
              <w:tab/>
              <w:t>Države članice podporo za namestitev digitalnih tehnologij omejijo na največ 30 % upravičenih stroškov.</w:t>
            </w:r>
          </w:p>
        </w:tc>
      </w:tr>
    </w:tbl>
    <w:p w14:paraId="154EC156" w14:textId="77777777" w:rsidR="006833F2" w:rsidRPr="00B7760C" w:rsidRDefault="006833F2" w:rsidP="003663AF"/>
    <w:p w14:paraId="04A7B233" w14:textId="021A62BC" w:rsidR="003663AF" w:rsidRPr="00B7760C" w:rsidRDefault="00877691" w:rsidP="003663AF">
      <w:pPr>
        <w:pStyle w:val="AMNumberTabs"/>
        <w:keepNext/>
      </w:pPr>
      <w:r w:rsidRPr="00B7760C">
        <w:t>Sprememba</w:t>
      </w:r>
      <w:r w:rsidR="003663AF" w:rsidRPr="00B7760C">
        <w:tab/>
      </w:r>
      <w:r w:rsidR="003663AF" w:rsidRPr="00B7760C">
        <w:tab/>
        <w:t>477</w:t>
      </w:r>
    </w:p>
    <w:p w14:paraId="306C0261" w14:textId="77777777" w:rsidR="003663AF" w:rsidRPr="00B7760C" w:rsidRDefault="003663AF" w:rsidP="003663AF">
      <w:pPr>
        <w:pStyle w:val="NormalBold12b"/>
      </w:pPr>
      <w:r w:rsidRPr="00B7760C">
        <w:t>Predlog uredbe</w:t>
      </w:r>
    </w:p>
    <w:p w14:paraId="3AA41164" w14:textId="77777777" w:rsidR="003663AF" w:rsidRPr="00B7760C" w:rsidRDefault="003663AF" w:rsidP="003663AF">
      <w:pPr>
        <w:pStyle w:val="NormalBold"/>
      </w:pPr>
      <w:r w:rsidRPr="00B7760C">
        <w:t>Člen 69 – naslov</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D2A9EA2" w14:textId="77777777" w:rsidTr="00E804B7">
        <w:trPr>
          <w:jc w:val="center"/>
        </w:trPr>
        <w:tc>
          <w:tcPr>
            <w:tcW w:w="9752" w:type="dxa"/>
            <w:gridSpan w:val="2"/>
          </w:tcPr>
          <w:p w14:paraId="433BEE1D" w14:textId="77777777" w:rsidR="003663AF" w:rsidRPr="00B7760C" w:rsidRDefault="003663AF" w:rsidP="00E804B7">
            <w:pPr>
              <w:keepNext/>
            </w:pPr>
          </w:p>
        </w:tc>
      </w:tr>
      <w:tr w:rsidR="003663AF" w:rsidRPr="00B7760C" w14:paraId="65ECCB1D" w14:textId="77777777" w:rsidTr="00E804B7">
        <w:trPr>
          <w:jc w:val="center"/>
        </w:trPr>
        <w:tc>
          <w:tcPr>
            <w:tcW w:w="4876" w:type="dxa"/>
            <w:hideMark/>
          </w:tcPr>
          <w:p w14:paraId="17148D5D" w14:textId="77777777" w:rsidR="003663AF" w:rsidRPr="00B7760C" w:rsidRDefault="003663AF" w:rsidP="00E804B7">
            <w:pPr>
              <w:pStyle w:val="ColumnHeading"/>
              <w:keepNext/>
            </w:pPr>
            <w:r w:rsidRPr="00B7760C">
              <w:t>Besedilo, ki ga predlaga Komisija</w:t>
            </w:r>
          </w:p>
        </w:tc>
        <w:tc>
          <w:tcPr>
            <w:tcW w:w="4876" w:type="dxa"/>
            <w:hideMark/>
          </w:tcPr>
          <w:p w14:paraId="0A7FDA77" w14:textId="494A7461" w:rsidR="003663AF" w:rsidRPr="00B7760C" w:rsidRDefault="00877691" w:rsidP="00E804B7">
            <w:pPr>
              <w:pStyle w:val="ColumnHeading"/>
              <w:keepNext/>
            </w:pPr>
            <w:r w:rsidRPr="00B7760C">
              <w:t>Sprememba</w:t>
            </w:r>
          </w:p>
        </w:tc>
      </w:tr>
      <w:tr w:rsidR="003663AF" w:rsidRPr="00B7760C" w14:paraId="7721E58A" w14:textId="77777777" w:rsidTr="00E804B7">
        <w:trPr>
          <w:jc w:val="center"/>
        </w:trPr>
        <w:tc>
          <w:tcPr>
            <w:tcW w:w="4876" w:type="dxa"/>
            <w:hideMark/>
          </w:tcPr>
          <w:p w14:paraId="4839071A" w14:textId="77777777" w:rsidR="003663AF" w:rsidRPr="00B7760C" w:rsidRDefault="003663AF" w:rsidP="00E804B7">
            <w:pPr>
              <w:pStyle w:val="Normal6"/>
            </w:pPr>
            <w:r w:rsidRPr="00B7760C">
              <w:t xml:space="preserve">Vzpostavitev gospodarstev mladih kmetov </w:t>
            </w:r>
            <w:r w:rsidRPr="00B7760C">
              <w:rPr>
                <w:b/>
                <w:i/>
              </w:rPr>
              <w:t>in</w:t>
            </w:r>
            <w:r w:rsidRPr="00B7760C">
              <w:t xml:space="preserve"> zagon podeželskih podjetij</w:t>
            </w:r>
          </w:p>
        </w:tc>
        <w:tc>
          <w:tcPr>
            <w:tcW w:w="4876" w:type="dxa"/>
            <w:hideMark/>
          </w:tcPr>
          <w:p w14:paraId="4ED25C0B" w14:textId="77777777" w:rsidR="003663AF" w:rsidRPr="00B7760C" w:rsidRDefault="003663AF" w:rsidP="00E804B7">
            <w:pPr>
              <w:pStyle w:val="Normal6"/>
              <w:rPr>
                <w:szCs w:val="24"/>
              </w:rPr>
            </w:pPr>
            <w:r w:rsidRPr="00B7760C">
              <w:t xml:space="preserve">Vzpostavitev gospodarstev mladih </w:t>
            </w:r>
            <w:r w:rsidRPr="00B7760C">
              <w:rPr>
                <w:b/>
                <w:i/>
              </w:rPr>
              <w:t xml:space="preserve">in novih </w:t>
            </w:r>
            <w:r w:rsidRPr="00B7760C">
              <w:t xml:space="preserve">kmetov </w:t>
            </w:r>
            <w:r w:rsidRPr="00B7760C">
              <w:rPr>
                <w:b/>
                <w:i/>
              </w:rPr>
              <w:t>ter</w:t>
            </w:r>
            <w:r w:rsidRPr="00B7760C">
              <w:t xml:space="preserve"> zagon</w:t>
            </w:r>
            <w:r w:rsidRPr="00B7760C">
              <w:rPr>
                <w:b/>
                <w:i/>
              </w:rPr>
              <w:t xml:space="preserve"> in razvoj trajnostnih</w:t>
            </w:r>
            <w:r w:rsidRPr="00B7760C">
              <w:t xml:space="preserve"> podeželskih podjetij</w:t>
            </w:r>
          </w:p>
        </w:tc>
      </w:tr>
    </w:tbl>
    <w:p w14:paraId="6A6FCD46" w14:textId="77777777" w:rsidR="003663AF" w:rsidRPr="00B7760C" w:rsidRDefault="003663AF" w:rsidP="003663AF"/>
    <w:p w14:paraId="5E22F73B" w14:textId="485F7BEA" w:rsidR="003663AF" w:rsidRPr="00B7760C" w:rsidRDefault="00877691" w:rsidP="003663AF">
      <w:pPr>
        <w:pStyle w:val="AMNumberTabs"/>
        <w:keepNext/>
      </w:pPr>
      <w:r w:rsidRPr="00B7760C">
        <w:t>Sprememba</w:t>
      </w:r>
      <w:r w:rsidR="003663AF" w:rsidRPr="00B7760C">
        <w:tab/>
      </w:r>
      <w:r w:rsidR="003663AF" w:rsidRPr="00B7760C">
        <w:tab/>
        <w:t>478</w:t>
      </w:r>
    </w:p>
    <w:p w14:paraId="7E73757C" w14:textId="77777777" w:rsidR="003663AF" w:rsidRPr="00B7760C" w:rsidRDefault="003663AF" w:rsidP="003663AF">
      <w:pPr>
        <w:pStyle w:val="NormalBold12b"/>
      </w:pPr>
      <w:r w:rsidRPr="00B7760C">
        <w:t>Predlog uredbe</w:t>
      </w:r>
    </w:p>
    <w:p w14:paraId="2E6F1B32" w14:textId="77777777" w:rsidR="003663AF" w:rsidRPr="00B7760C" w:rsidRDefault="003663AF" w:rsidP="003663AF">
      <w:pPr>
        <w:pStyle w:val="NormalBold"/>
      </w:pPr>
      <w:r w:rsidRPr="00B7760C">
        <w:t>Člen 69 – 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66471C8" w14:textId="77777777" w:rsidTr="00E804B7">
        <w:trPr>
          <w:jc w:val="center"/>
        </w:trPr>
        <w:tc>
          <w:tcPr>
            <w:tcW w:w="9752" w:type="dxa"/>
            <w:gridSpan w:val="2"/>
          </w:tcPr>
          <w:p w14:paraId="77731E75" w14:textId="77777777" w:rsidR="003663AF" w:rsidRPr="00B7760C" w:rsidRDefault="003663AF" w:rsidP="00E804B7">
            <w:pPr>
              <w:keepNext/>
            </w:pPr>
          </w:p>
        </w:tc>
      </w:tr>
      <w:tr w:rsidR="003663AF" w:rsidRPr="00B7760C" w14:paraId="7F08A572" w14:textId="77777777" w:rsidTr="00E804B7">
        <w:trPr>
          <w:jc w:val="center"/>
        </w:trPr>
        <w:tc>
          <w:tcPr>
            <w:tcW w:w="4876" w:type="dxa"/>
            <w:hideMark/>
          </w:tcPr>
          <w:p w14:paraId="266DC220" w14:textId="77777777" w:rsidR="003663AF" w:rsidRPr="00B7760C" w:rsidRDefault="003663AF" w:rsidP="00E804B7">
            <w:pPr>
              <w:pStyle w:val="ColumnHeading"/>
              <w:keepNext/>
            </w:pPr>
            <w:r w:rsidRPr="00B7760C">
              <w:t>Besedilo, ki ga predlaga Komisija</w:t>
            </w:r>
          </w:p>
        </w:tc>
        <w:tc>
          <w:tcPr>
            <w:tcW w:w="4876" w:type="dxa"/>
            <w:hideMark/>
          </w:tcPr>
          <w:p w14:paraId="5BBD0F81" w14:textId="1221A637" w:rsidR="003663AF" w:rsidRPr="00B7760C" w:rsidRDefault="00877691" w:rsidP="00E804B7">
            <w:pPr>
              <w:pStyle w:val="ColumnHeading"/>
              <w:keepNext/>
            </w:pPr>
            <w:r w:rsidRPr="00B7760C">
              <w:t>Sprememba</w:t>
            </w:r>
          </w:p>
        </w:tc>
      </w:tr>
      <w:tr w:rsidR="003663AF" w:rsidRPr="00B7760C" w14:paraId="6BF0AE40" w14:textId="77777777" w:rsidTr="00E804B7">
        <w:trPr>
          <w:jc w:val="center"/>
        </w:trPr>
        <w:tc>
          <w:tcPr>
            <w:tcW w:w="4876" w:type="dxa"/>
            <w:hideMark/>
          </w:tcPr>
          <w:p w14:paraId="09C0019A" w14:textId="77777777" w:rsidR="003663AF" w:rsidRPr="00B7760C" w:rsidRDefault="003663AF" w:rsidP="00E804B7">
            <w:pPr>
              <w:pStyle w:val="Normal6"/>
            </w:pPr>
            <w:r w:rsidRPr="00B7760C">
              <w:t>1.</w:t>
            </w:r>
            <w:r w:rsidRPr="00B7760C">
              <w:tab/>
              <w:t xml:space="preserve">Države članice lahko odobrijo podporo za vzpostavitev gospodarstev mladih kmetov </w:t>
            </w:r>
            <w:r w:rsidRPr="00B7760C">
              <w:rPr>
                <w:b/>
                <w:i/>
              </w:rPr>
              <w:t>in</w:t>
            </w:r>
            <w:r w:rsidRPr="00B7760C">
              <w:t xml:space="preserve"> zagon podeželskih podjetij v skladu s pogoji iz tega člena in kot je podrobneje opredeljeno v njihovih strateških načrtih SKP, da bi prispevale k uresničevanju specifičnih ciljev iz člena 6.</w:t>
            </w:r>
          </w:p>
        </w:tc>
        <w:tc>
          <w:tcPr>
            <w:tcW w:w="4876" w:type="dxa"/>
            <w:hideMark/>
          </w:tcPr>
          <w:p w14:paraId="260A15BD" w14:textId="77777777" w:rsidR="003663AF" w:rsidRPr="00B7760C" w:rsidRDefault="003663AF" w:rsidP="00E804B7">
            <w:pPr>
              <w:pStyle w:val="Normal6"/>
              <w:rPr>
                <w:szCs w:val="24"/>
              </w:rPr>
            </w:pPr>
            <w:r w:rsidRPr="00B7760C">
              <w:t>1.</w:t>
            </w:r>
            <w:r w:rsidRPr="00B7760C">
              <w:tab/>
              <w:t xml:space="preserve">Države članice lahko odobrijo podporo za vzpostavitev gospodarstev mladih kmetov </w:t>
            </w:r>
            <w:r w:rsidRPr="00B7760C">
              <w:rPr>
                <w:b/>
                <w:i/>
              </w:rPr>
              <w:t>ali njihovo vključitev v obstoječa kmetijska gospodarstva, mlade kmete,</w:t>
            </w:r>
            <w:r w:rsidRPr="00B7760C">
              <w:t xml:space="preserve"> zagon </w:t>
            </w:r>
            <w:r w:rsidRPr="00B7760C">
              <w:rPr>
                <w:b/>
                <w:i/>
              </w:rPr>
              <w:t xml:space="preserve">in razvoj </w:t>
            </w:r>
            <w:r w:rsidRPr="00B7760C">
              <w:t>podeželskih podjetij</w:t>
            </w:r>
            <w:r w:rsidRPr="00B7760C">
              <w:rPr>
                <w:b/>
                <w:i/>
              </w:rPr>
              <w:t>, tudi za diverzifikacijo kmetijskih dejavnosti,</w:t>
            </w:r>
            <w:r w:rsidRPr="00B7760C">
              <w:t xml:space="preserve"> v skladu s pogoji iz tega člena in kot je podrobneje opredeljeno v njihovih strateških načrtih SKP, da bi prispevale k uresničevanju specifičnih ciljev iz člena 6.</w:t>
            </w:r>
            <w:r w:rsidRPr="00B7760C">
              <w:rPr>
                <w:b/>
                <w:i/>
              </w:rPr>
              <w:t xml:space="preserve"> Podpora iz tega člena je pogojena s predložitvijo poslovnega načrta.</w:t>
            </w:r>
          </w:p>
        </w:tc>
      </w:tr>
    </w:tbl>
    <w:p w14:paraId="0B59CF1B" w14:textId="77777777" w:rsidR="003663AF" w:rsidRPr="00B7760C" w:rsidRDefault="003663AF" w:rsidP="003663AF"/>
    <w:p w14:paraId="0F6AEA0C" w14:textId="2FF2362B" w:rsidR="003663AF" w:rsidRPr="00B7760C" w:rsidRDefault="00877691" w:rsidP="003663AF">
      <w:pPr>
        <w:pStyle w:val="AMNumberTabs"/>
        <w:keepNext/>
      </w:pPr>
      <w:r w:rsidRPr="00B7760C">
        <w:t>Sprememba</w:t>
      </w:r>
      <w:r w:rsidR="003663AF" w:rsidRPr="00B7760C">
        <w:tab/>
      </w:r>
      <w:r w:rsidR="003663AF" w:rsidRPr="00B7760C">
        <w:tab/>
        <w:t>479</w:t>
      </w:r>
    </w:p>
    <w:p w14:paraId="13A17A6C" w14:textId="77777777" w:rsidR="003663AF" w:rsidRPr="00B7760C" w:rsidRDefault="003663AF" w:rsidP="003663AF">
      <w:pPr>
        <w:pStyle w:val="NormalBold12b"/>
      </w:pPr>
      <w:r w:rsidRPr="00B7760C">
        <w:t>Predlog uredbe</w:t>
      </w:r>
    </w:p>
    <w:p w14:paraId="34E22D38" w14:textId="77777777" w:rsidR="003663AF" w:rsidRPr="00B7760C" w:rsidRDefault="003663AF" w:rsidP="003663AF">
      <w:pPr>
        <w:pStyle w:val="NormalBold"/>
      </w:pPr>
      <w:r w:rsidRPr="00B7760C">
        <w:t>Člen 69 – odstavek 2 – uvodni del</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AA2F0B5" w14:textId="77777777" w:rsidTr="00E804B7">
        <w:trPr>
          <w:jc w:val="center"/>
        </w:trPr>
        <w:tc>
          <w:tcPr>
            <w:tcW w:w="9752" w:type="dxa"/>
            <w:gridSpan w:val="2"/>
          </w:tcPr>
          <w:p w14:paraId="63ED88B8" w14:textId="77777777" w:rsidR="003663AF" w:rsidRPr="00B7760C" w:rsidRDefault="003663AF" w:rsidP="00E804B7">
            <w:pPr>
              <w:keepNext/>
            </w:pPr>
          </w:p>
        </w:tc>
      </w:tr>
      <w:tr w:rsidR="003663AF" w:rsidRPr="00B7760C" w14:paraId="333E46DB" w14:textId="77777777" w:rsidTr="00E804B7">
        <w:trPr>
          <w:jc w:val="center"/>
        </w:trPr>
        <w:tc>
          <w:tcPr>
            <w:tcW w:w="4876" w:type="dxa"/>
            <w:hideMark/>
          </w:tcPr>
          <w:p w14:paraId="47F91EE1" w14:textId="77777777" w:rsidR="003663AF" w:rsidRPr="00B7760C" w:rsidRDefault="003663AF" w:rsidP="00E804B7">
            <w:pPr>
              <w:pStyle w:val="ColumnHeading"/>
              <w:keepNext/>
            </w:pPr>
            <w:r w:rsidRPr="00B7760C">
              <w:t>Besedilo, ki ga predlaga Komisija</w:t>
            </w:r>
          </w:p>
        </w:tc>
        <w:tc>
          <w:tcPr>
            <w:tcW w:w="4876" w:type="dxa"/>
            <w:hideMark/>
          </w:tcPr>
          <w:p w14:paraId="3B227063" w14:textId="7A14CD35" w:rsidR="003663AF" w:rsidRPr="00B7760C" w:rsidRDefault="00877691" w:rsidP="00E804B7">
            <w:pPr>
              <w:pStyle w:val="ColumnHeading"/>
              <w:keepNext/>
            </w:pPr>
            <w:r w:rsidRPr="00B7760C">
              <w:t>Sprememba</w:t>
            </w:r>
          </w:p>
        </w:tc>
      </w:tr>
      <w:tr w:rsidR="003663AF" w:rsidRPr="00B7760C" w14:paraId="65C3B71A" w14:textId="77777777" w:rsidTr="00E804B7">
        <w:trPr>
          <w:jc w:val="center"/>
        </w:trPr>
        <w:tc>
          <w:tcPr>
            <w:tcW w:w="4876" w:type="dxa"/>
            <w:hideMark/>
          </w:tcPr>
          <w:p w14:paraId="7730FE92" w14:textId="77777777" w:rsidR="003663AF" w:rsidRPr="00B7760C" w:rsidRDefault="003663AF" w:rsidP="00E804B7">
            <w:pPr>
              <w:pStyle w:val="Normal6"/>
            </w:pPr>
            <w:r w:rsidRPr="00B7760C">
              <w:t>2.</w:t>
            </w:r>
            <w:r w:rsidRPr="00B7760C">
              <w:tab/>
              <w:t xml:space="preserve">Države članice lahko odobrijo podporo v okviru </w:t>
            </w:r>
            <w:r w:rsidRPr="00B7760C">
              <w:rPr>
                <w:b/>
                <w:i/>
              </w:rPr>
              <w:t>te vrste intervencij</w:t>
            </w:r>
            <w:r w:rsidRPr="00B7760C">
              <w:t xml:space="preserve"> le za pomoč:</w:t>
            </w:r>
          </w:p>
        </w:tc>
        <w:tc>
          <w:tcPr>
            <w:tcW w:w="4876" w:type="dxa"/>
            <w:hideMark/>
          </w:tcPr>
          <w:p w14:paraId="2DA31E07" w14:textId="77777777" w:rsidR="003663AF" w:rsidRPr="00B7760C" w:rsidRDefault="003663AF" w:rsidP="00E804B7">
            <w:pPr>
              <w:pStyle w:val="Normal6"/>
              <w:rPr>
                <w:szCs w:val="24"/>
              </w:rPr>
            </w:pPr>
            <w:r w:rsidRPr="00B7760C">
              <w:t>2.</w:t>
            </w:r>
            <w:r w:rsidRPr="00B7760C">
              <w:tab/>
              <w:t xml:space="preserve">Države članice lahko odobrijo podporo v okviru </w:t>
            </w:r>
            <w:r w:rsidRPr="00B7760C">
              <w:rPr>
                <w:b/>
                <w:i/>
              </w:rPr>
              <w:t>tega člena</w:t>
            </w:r>
            <w:r w:rsidRPr="00B7760C">
              <w:t xml:space="preserve"> le za pomoč:</w:t>
            </w:r>
          </w:p>
        </w:tc>
      </w:tr>
    </w:tbl>
    <w:p w14:paraId="20544201" w14:textId="77777777" w:rsidR="003663AF" w:rsidRPr="00B7760C" w:rsidRDefault="003663AF" w:rsidP="003663AF"/>
    <w:p w14:paraId="5B74E6DF" w14:textId="0B11764C" w:rsidR="003663AF" w:rsidRPr="00B7760C" w:rsidRDefault="00877691" w:rsidP="003663AF">
      <w:pPr>
        <w:pStyle w:val="AMNumberTabs"/>
        <w:keepNext/>
      </w:pPr>
      <w:r w:rsidRPr="00B7760C">
        <w:t>Sprememba</w:t>
      </w:r>
      <w:r w:rsidR="003663AF" w:rsidRPr="00B7760C">
        <w:tab/>
      </w:r>
      <w:r w:rsidR="003663AF" w:rsidRPr="00B7760C">
        <w:tab/>
        <w:t>480</w:t>
      </w:r>
    </w:p>
    <w:p w14:paraId="2EC9CFEE" w14:textId="77777777" w:rsidR="003663AF" w:rsidRPr="00B7760C" w:rsidRDefault="003663AF" w:rsidP="003663AF">
      <w:pPr>
        <w:pStyle w:val="NormalBold12b"/>
      </w:pPr>
      <w:r w:rsidRPr="00B7760C">
        <w:t>Predlog uredbe</w:t>
      </w:r>
    </w:p>
    <w:p w14:paraId="0F3AABEA" w14:textId="77777777" w:rsidR="003663AF" w:rsidRPr="00B7760C" w:rsidRDefault="003663AF" w:rsidP="003663AF">
      <w:pPr>
        <w:pStyle w:val="NormalBold"/>
      </w:pPr>
      <w:r w:rsidRPr="00B7760C">
        <w:t>Člen 69 – odstavek 2 – točka a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DE671F3" w14:textId="77777777" w:rsidTr="00E804B7">
        <w:trPr>
          <w:jc w:val="center"/>
        </w:trPr>
        <w:tc>
          <w:tcPr>
            <w:tcW w:w="9752" w:type="dxa"/>
            <w:gridSpan w:val="2"/>
          </w:tcPr>
          <w:p w14:paraId="58E1EA4D" w14:textId="77777777" w:rsidR="003663AF" w:rsidRPr="00B7760C" w:rsidRDefault="003663AF" w:rsidP="00E804B7">
            <w:pPr>
              <w:keepNext/>
            </w:pPr>
          </w:p>
        </w:tc>
      </w:tr>
      <w:tr w:rsidR="003663AF" w:rsidRPr="00B7760C" w14:paraId="3BF27983" w14:textId="77777777" w:rsidTr="00E804B7">
        <w:trPr>
          <w:jc w:val="center"/>
        </w:trPr>
        <w:tc>
          <w:tcPr>
            <w:tcW w:w="4876" w:type="dxa"/>
            <w:hideMark/>
          </w:tcPr>
          <w:p w14:paraId="3CAE5949" w14:textId="77777777" w:rsidR="003663AF" w:rsidRPr="00B7760C" w:rsidRDefault="003663AF" w:rsidP="00E804B7">
            <w:pPr>
              <w:pStyle w:val="ColumnHeading"/>
              <w:keepNext/>
            </w:pPr>
            <w:r w:rsidRPr="00B7760C">
              <w:t>Besedilo, ki ga predlaga Komisija</w:t>
            </w:r>
          </w:p>
        </w:tc>
        <w:tc>
          <w:tcPr>
            <w:tcW w:w="4876" w:type="dxa"/>
            <w:hideMark/>
          </w:tcPr>
          <w:p w14:paraId="07A40F7A" w14:textId="37F407D1" w:rsidR="003663AF" w:rsidRPr="00B7760C" w:rsidRDefault="00877691" w:rsidP="00E804B7">
            <w:pPr>
              <w:pStyle w:val="ColumnHeading"/>
              <w:keepNext/>
            </w:pPr>
            <w:r w:rsidRPr="00B7760C">
              <w:t>Sprememba</w:t>
            </w:r>
          </w:p>
        </w:tc>
      </w:tr>
      <w:tr w:rsidR="003663AF" w:rsidRPr="00B7760C" w14:paraId="223D9295" w14:textId="77777777" w:rsidTr="00E804B7">
        <w:trPr>
          <w:jc w:val="center"/>
        </w:trPr>
        <w:tc>
          <w:tcPr>
            <w:tcW w:w="4876" w:type="dxa"/>
          </w:tcPr>
          <w:p w14:paraId="602C6749" w14:textId="77777777" w:rsidR="003663AF" w:rsidRPr="00B7760C" w:rsidRDefault="003663AF" w:rsidP="00E804B7">
            <w:pPr>
              <w:pStyle w:val="Normal6"/>
            </w:pPr>
          </w:p>
        </w:tc>
        <w:tc>
          <w:tcPr>
            <w:tcW w:w="4876" w:type="dxa"/>
            <w:hideMark/>
          </w:tcPr>
          <w:p w14:paraId="22834D6A" w14:textId="77777777" w:rsidR="003663AF" w:rsidRPr="00B7760C" w:rsidRDefault="003663AF" w:rsidP="00E804B7">
            <w:pPr>
              <w:pStyle w:val="Normal6"/>
              <w:rPr>
                <w:szCs w:val="24"/>
              </w:rPr>
            </w:pPr>
            <w:r w:rsidRPr="00B7760C">
              <w:rPr>
                <w:b/>
                <w:i/>
              </w:rPr>
              <w:t>(aa)</w:t>
            </w:r>
            <w:r w:rsidRPr="00B7760C">
              <w:rPr>
                <w:b/>
                <w:i/>
              </w:rPr>
              <w:tab/>
              <w:t>vzpostavitvi gospodarstev novih kmetov;</w:t>
            </w:r>
          </w:p>
        </w:tc>
      </w:tr>
    </w:tbl>
    <w:p w14:paraId="2F2D2503" w14:textId="77777777" w:rsidR="003663AF" w:rsidRPr="00B7760C" w:rsidRDefault="003663AF" w:rsidP="003663AF"/>
    <w:p w14:paraId="71F1B77B" w14:textId="27DCBE56" w:rsidR="003663AF" w:rsidRPr="00B7760C" w:rsidRDefault="00877691" w:rsidP="003663AF">
      <w:pPr>
        <w:pStyle w:val="AMNumberTabs"/>
        <w:keepNext/>
      </w:pPr>
      <w:r w:rsidRPr="00B7760C">
        <w:t>Sprememba</w:t>
      </w:r>
      <w:r w:rsidR="003663AF" w:rsidRPr="00B7760C">
        <w:tab/>
      </w:r>
      <w:r w:rsidR="003663AF" w:rsidRPr="00B7760C">
        <w:tab/>
        <w:t>481</w:t>
      </w:r>
    </w:p>
    <w:p w14:paraId="6118F041" w14:textId="77777777" w:rsidR="003663AF" w:rsidRPr="00B7760C" w:rsidRDefault="003663AF" w:rsidP="003663AF">
      <w:pPr>
        <w:pStyle w:val="NormalBold12b"/>
      </w:pPr>
      <w:r w:rsidRPr="00B7760C">
        <w:t>Predlog uredbe</w:t>
      </w:r>
    </w:p>
    <w:p w14:paraId="14C5D026" w14:textId="77777777" w:rsidR="003663AF" w:rsidRPr="00B7760C" w:rsidRDefault="003663AF" w:rsidP="003663AF">
      <w:pPr>
        <w:pStyle w:val="NormalBold"/>
      </w:pPr>
      <w:r w:rsidRPr="00B7760C">
        <w:t>Člen 69 – odstavek 2 – točka b</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4D2C645" w14:textId="77777777" w:rsidTr="00E804B7">
        <w:trPr>
          <w:jc w:val="center"/>
        </w:trPr>
        <w:tc>
          <w:tcPr>
            <w:tcW w:w="9752" w:type="dxa"/>
            <w:gridSpan w:val="2"/>
          </w:tcPr>
          <w:p w14:paraId="03CEEFD1" w14:textId="77777777" w:rsidR="003663AF" w:rsidRPr="00B7760C" w:rsidRDefault="003663AF" w:rsidP="00E804B7">
            <w:pPr>
              <w:keepNext/>
            </w:pPr>
          </w:p>
        </w:tc>
      </w:tr>
      <w:tr w:rsidR="003663AF" w:rsidRPr="00B7760C" w14:paraId="2A1D1C8B" w14:textId="77777777" w:rsidTr="00E804B7">
        <w:trPr>
          <w:jc w:val="center"/>
        </w:trPr>
        <w:tc>
          <w:tcPr>
            <w:tcW w:w="4876" w:type="dxa"/>
            <w:hideMark/>
          </w:tcPr>
          <w:p w14:paraId="150D1864" w14:textId="77777777" w:rsidR="003663AF" w:rsidRPr="00B7760C" w:rsidRDefault="003663AF" w:rsidP="00E804B7">
            <w:pPr>
              <w:pStyle w:val="ColumnHeading"/>
              <w:keepNext/>
            </w:pPr>
            <w:r w:rsidRPr="00B7760C">
              <w:t>Besedilo, ki ga predlaga Komisija</w:t>
            </w:r>
          </w:p>
        </w:tc>
        <w:tc>
          <w:tcPr>
            <w:tcW w:w="4876" w:type="dxa"/>
            <w:hideMark/>
          </w:tcPr>
          <w:p w14:paraId="326D6735" w14:textId="5A7EA1D0" w:rsidR="003663AF" w:rsidRPr="00B7760C" w:rsidRDefault="00877691" w:rsidP="00E804B7">
            <w:pPr>
              <w:pStyle w:val="ColumnHeading"/>
              <w:keepNext/>
            </w:pPr>
            <w:r w:rsidRPr="00B7760C">
              <w:t>Sprememba</w:t>
            </w:r>
          </w:p>
        </w:tc>
      </w:tr>
      <w:tr w:rsidR="003663AF" w:rsidRPr="00B7760C" w14:paraId="4C2334ED" w14:textId="77777777" w:rsidTr="00E804B7">
        <w:trPr>
          <w:jc w:val="center"/>
        </w:trPr>
        <w:tc>
          <w:tcPr>
            <w:tcW w:w="4876" w:type="dxa"/>
            <w:hideMark/>
          </w:tcPr>
          <w:p w14:paraId="39DCD47E" w14:textId="77777777" w:rsidR="003663AF" w:rsidRPr="00B7760C" w:rsidRDefault="003663AF" w:rsidP="00E804B7">
            <w:pPr>
              <w:pStyle w:val="Normal6"/>
            </w:pPr>
            <w:r w:rsidRPr="00B7760C">
              <w:t>(b)</w:t>
            </w:r>
            <w:r w:rsidRPr="00B7760C">
              <w:tab/>
              <w:t xml:space="preserve">zagonu podeželskih podjetij, povezanih s kmetijstvom </w:t>
            </w:r>
            <w:r w:rsidRPr="00B7760C">
              <w:rPr>
                <w:b/>
                <w:i/>
              </w:rPr>
              <w:t xml:space="preserve">in </w:t>
            </w:r>
            <w:r w:rsidRPr="00B7760C">
              <w:t>gozdarstvom ali diverzifikacijo dohodkov</w:t>
            </w:r>
            <w:r w:rsidRPr="00B7760C">
              <w:rPr>
                <w:b/>
                <w:i/>
              </w:rPr>
              <w:t xml:space="preserve"> kmečkih gospodinjstev</w:t>
            </w:r>
            <w:r w:rsidRPr="00B7760C">
              <w:t>;</w:t>
            </w:r>
          </w:p>
        </w:tc>
        <w:tc>
          <w:tcPr>
            <w:tcW w:w="4876" w:type="dxa"/>
            <w:hideMark/>
          </w:tcPr>
          <w:p w14:paraId="67D0B100" w14:textId="77777777" w:rsidR="003663AF" w:rsidRPr="00B7760C" w:rsidRDefault="003663AF" w:rsidP="00E804B7">
            <w:pPr>
              <w:pStyle w:val="Normal6"/>
              <w:rPr>
                <w:szCs w:val="24"/>
              </w:rPr>
            </w:pPr>
            <w:r w:rsidRPr="00B7760C">
              <w:t>(b)</w:t>
            </w:r>
            <w:r w:rsidRPr="00B7760C">
              <w:tab/>
              <w:t xml:space="preserve">zagonu </w:t>
            </w:r>
            <w:r w:rsidRPr="00B7760C">
              <w:rPr>
                <w:b/>
                <w:i/>
              </w:rPr>
              <w:t xml:space="preserve">in razvoju dejavnosti </w:t>
            </w:r>
            <w:r w:rsidRPr="00B7760C">
              <w:t>podeželskih podjetij, povezanih s kmetijstvom</w:t>
            </w:r>
            <w:r w:rsidRPr="00B7760C">
              <w:rPr>
                <w:b/>
                <w:i/>
              </w:rPr>
              <w:t xml:space="preserve">, </w:t>
            </w:r>
            <w:r w:rsidRPr="00B7760C">
              <w:t>gozdarstvom</w:t>
            </w:r>
            <w:r w:rsidRPr="00B7760C">
              <w:rPr>
                <w:b/>
                <w:i/>
              </w:rPr>
              <w:t>, biogospodarstvom, krožnim gospodarstvom in kmečkim turizmom</w:t>
            </w:r>
            <w:r w:rsidRPr="00B7760C">
              <w:t xml:space="preserve"> ali diverzifikacijo dohodkov;</w:t>
            </w:r>
          </w:p>
        </w:tc>
      </w:tr>
    </w:tbl>
    <w:p w14:paraId="7DB23F76" w14:textId="77777777" w:rsidR="003663AF" w:rsidRPr="00B7760C" w:rsidRDefault="003663AF" w:rsidP="003663AF"/>
    <w:p w14:paraId="3A398A21" w14:textId="471287B9" w:rsidR="003663AF" w:rsidRPr="00B7760C" w:rsidRDefault="00877691" w:rsidP="003663AF">
      <w:pPr>
        <w:pStyle w:val="AMNumberTabs"/>
        <w:keepNext/>
      </w:pPr>
      <w:r w:rsidRPr="00B7760C">
        <w:t>Sprememba</w:t>
      </w:r>
      <w:r w:rsidR="003663AF" w:rsidRPr="00B7760C">
        <w:tab/>
      </w:r>
      <w:r w:rsidR="003663AF" w:rsidRPr="00B7760C">
        <w:tab/>
        <w:t>482</w:t>
      </w:r>
    </w:p>
    <w:p w14:paraId="4C74DBFE" w14:textId="77777777" w:rsidR="003663AF" w:rsidRPr="00B7760C" w:rsidRDefault="003663AF" w:rsidP="003663AF">
      <w:pPr>
        <w:pStyle w:val="NormalBold12b"/>
      </w:pPr>
      <w:r w:rsidRPr="00B7760C">
        <w:t>Predlog uredbe</w:t>
      </w:r>
    </w:p>
    <w:p w14:paraId="3A288E78" w14:textId="77777777" w:rsidR="003663AF" w:rsidRPr="00B7760C" w:rsidRDefault="003663AF" w:rsidP="003663AF">
      <w:pPr>
        <w:pStyle w:val="NormalBold"/>
      </w:pPr>
      <w:r w:rsidRPr="00B7760C">
        <w:t>Člen 69 – odstavek 2 – točka c</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30CF07C" w14:textId="77777777" w:rsidTr="00E804B7">
        <w:trPr>
          <w:jc w:val="center"/>
        </w:trPr>
        <w:tc>
          <w:tcPr>
            <w:tcW w:w="9752" w:type="dxa"/>
            <w:gridSpan w:val="2"/>
          </w:tcPr>
          <w:p w14:paraId="40EE5A59" w14:textId="77777777" w:rsidR="003663AF" w:rsidRPr="00B7760C" w:rsidRDefault="003663AF" w:rsidP="00E804B7">
            <w:pPr>
              <w:keepNext/>
            </w:pPr>
          </w:p>
        </w:tc>
      </w:tr>
      <w:tr w:rsidR="003663AF" w:rsidRPr="00B7760C" w14:paraId="3653DD30" w14:textId="77777777" w:rsidTr="00E804B7">
        <w:trPr>
          <w:jc w:val="center"/>
        </w:trPr>
        <w:tc>
          <w:tcPr>
            <w:tcW w:w="4876" w:type="dxa"/>
            <w:hideMark/>
          </w:tcPr>
          <w:p w14:paraId="72728AF4" w14:textId="77777777" w:rsidR="003663AF" w:rsidRPr="00B7760C" w:rsidRDefault="003663AF" w:rsidP="00E804B7">
            <w:pPr>
              <w:pStyle w:val="ColumnHeading"/>
              <w:keepNext/>
            </w:pPr>
            <w:r w:rsidRPr="00B7760C">
              <w:t>Besedilo, ki ga predlaga Komisija</w:t>
            </w:r>
          </w:p>
        </w:tc>
        <w:tc>
          <w:tcPr>
            <w:tcW w:w="4876" w:type="dxa"/>
            <w:hideMark/>
          </w:tcPr>
          <w:p w14:paraId="2F499E8A" w14:textId="2CED91E9" w:rsidR="003663AF" w:rsidRPr="00B7760C" w:rsidRDefault="00877691" w:rsidP="00E804B7">
            <w:pPr>
              <w:pStyle w:val="ColumnHeading"/>
              <w:keepNext/>
            </w:pPr>
            <w:r w:rsidRPr="00B7760C">
              <w:t>Sprememba</w:t>
            </w:r>
          </w:p>
        </w:tc>
      </w:tr>
      <w:tr w:rsidR="003663AF" w:rsidRPr="00B7760C" w14:paraId="65303C0B" w14:textId="77777777" w:rsidTr="00E804B7">
        <w:trPr>
          <w:jc w:val="center"/>
        </w:trPr>
        <w:tc>
          <w:tcPr>
            <w:tcW w:w="4876" w:type="dxa"/>
            <w:hideMark/>
          </w:tcPr>
          <w:p w14:paraId="4A595819" w14:textId="77777777" w:rsidR="003663AF" w:rsidRPr="00B7760C" w:rsidRDefault="003663AF" w:rsidP="00E804B7">
            <w:pPr>
              <w:pStyle w:val="Normal6"/>
            </w:pPr>
            <w:r w:rsidRPr="00B7760C">
              <w:t>(c)</w:t>
            </w:r>
            <w:r w:rsidRPr="00B7760C">
              <w:tab/>
              <w:t>zagonu podjetij za nekmetijske dejavnosti na podeželskih območjih v okviru strategij lokalnega razvoja.</w:t>
            </w:r>
          </w:p>
        </w:tc>
        <w:tc>
          <w:tcPr>
            <w:tcW w:w="4876" w:type="dxa"/>
            <w:hideMark/>
          </w:tcPr>
          <w:p w14:paraId="609592DE" w14:textId="77777777" w:rsidR="003663AF" w:rsidRPr="00B7760C" w:rsidRDefault="003663AF" w:rsidP="00E804B7">
            <w:pPr>
              <w:pStyle w:val="Normal6"/>
              <w:rPr>
                <w:szCs w:val="24"/>
              </w:rPr>
            </w:pPr>
            <w:r w:rsidRPr="00B7760C">
              <w:t>(c)</w:t>
            </w:r>
            <w:r w:rsidRPr="00B7760C">
              <w:tab/>
              <w:t>zagonu podjetij za nekmetijske dejavnosti na podeželskih območjih v okviru strategij lokalnega razvoja</w:t>
            </w:r>
            <w:r w:rsidRPr="00B7760C">
              <w:rPr>
                <w:b/>
                <w:i/>
              </w:rPr>
              <w:t xml:space="preserve"> s strani kmetov za diverzifikacijo dejavnosti ter mikropodjetij in fizičnih oseb na podeželskih območjih</w:t>
            </w:r>
            <w:r w:rsidRPr="00B7760C">
              <w:t>.</w:t>
            </w:r>
          </w:p>
        </w:tc>
      </w:tr>
    </w:tbl>
    <w:p w14:paraId="067C5355" w14:textId="77777777" w:rsidR="003663AF" w:rsidRPr="00B7760C" w:rsidRDefault="003663AF" w:rsidP="003663AF"/>
    <w:p w14:paraId="6A95957B" w14:textId="68797E02" w:rsidR="003663AF" w:rsidRPr="00B7760C" w:rsidRDefault="00877691" w:rsidP="003663AF">
      <w:pPr>
        <w:pStyle w:val="AMNumberTabs"/>
        <w:keepNext/>
      </w:pPr>
      <w:r w:rsidRPr="00B7760C">
        <w:t>Sprememba</w:t>
      </w:r>
      <w:r w:rsidR="003663AF" w:rsidRPr="00B7760C">
        <w:tab/>
      </w:r>
      <w:r w:rsidR="003663AF" w:rsidRPr="00B7760C">
        <w:tab/>
        <w:t>483</w:t>
      </w:r>
    </w:p>
    <w:p w14:paraId="079472F8" w14:textId="77777777" w:rsidR="003663AF" w:rsidRPr="00B7760C" w:rsidRDefault="003663AF" w:rsidP="003663AF">
      <w:pPr>
        <w:pStyle w:val="NormalBold12b"/>
      </w:pPr>
      <w:r w:rsidRPr="00B7760C">
        <w:t>Predlog uredbe</w:t>
      </w:r>
    </w:p>
    <w:p w14:paraId="650B3B0E" w14:textId="77777777" w:rsidR="003663AF" w:rsidRPr="00B7760C" w:rsidRDefault="003663AF" w:rsidP="003663AF">
      <w:pPr>
        <w:pStyle w:val="NormalBold"/>
      </w:pPr>
      <w:r w:rsidRPr="00B7760C">
        <w:t>Člen 69 – odstavek 2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F8574C4" w14:textId="77777777" w:rsidTr="00E804B7">
        <w:trPr>
          <w:jc w:val="center"/>
        </w:trPr>
        <w:tc>
          <w:tcPr>
            <w:tcW w:w="9752" w:type="dxa"/>
            <w:gridSpan w:val="2"/>
          </w:tcPr>
          <w:p w14:paraId="7AE5734E" w14:textId="77777777" w:rsidR="003663AF" w:rsidRPr="00B7760C" w:rsidRDefault="003663AF" w:rsidP="00E804B7">
            <w:pPr>
              <w:keepNext/>
            </w:pPr>
          </w:p>
        </w:tc>
      </w:tr>
      <w:tr w:rsidR="003663AF" w:rsidRPr="00B7760C" w14:paraId="0A6F9D94" w14:textId="77777777" w:rsidTr="00E804B7">
        <w:trPr>
          <w:jc w:val="center"/>
        </w:trPr>
        <w:tc>
          <w:tcPr>
            <w:tcW w:w="4876" w:type="dxa"/>
            <w:hideMark/>
          </w:tcPr>
          <w:p w14:paraId="4DDD5FBD" w14:textId="77777777" w:rsidR="003663AF" w:rsidRPr="00B7760C" w:rsidRDefault="003663AF" w:rsidP="00E804B7">
            <w:pPr>
              <w:pStyle w:val="ColumnHeading"/>
              <w:keepNext/>
            </w:pPr>
            <w:r w:rsidRPr="00B7760C">
              <w:t>Besedilo, ki ga predlaga Komisija</w:t>
            </w:r>
          </w:p>
        </w:tc>
        <w:tc>
          <w:tcPr>
            <w:tcW w:w="4876" w:type="dxa"/>
            <w:hideMark/>
          </w:tcPr>
          <w:p w14:paraId="40AEBC03" w14:textId="17E3F0FD" w:rsidR="003663AF" w:rsidRPr="00B7760C" w:rsidRDefault="00877691" w:rsidP="00E804B7">
            <w:pPr>
              <w:pStyle w:val="ColumnHeading"/>
              <w:keepNext/>
            </w:pPr>
            <w:r w:rsidRPr="00B7760C">
              <w:t>Sprememba</w:t>
            </w:r>
          </w:p>
        </w:tc>
      </w:tr>
      <w:tr w:rsidR="003663AF" w:rsidRPr="00B7760C" w14:paraId="3A7A94E5" w14:textId="77777777" w:rsidTr="00E804B7">
        <w:trPr>
          <w:jc w:val="center"/>
        </w:trPr>
        <w:tc>
          <w:tcPr>
            <w:tcW w:w="4876" w:type="dxa"/>
          </w:tcPr>
          <w:p w14:paraId="76FCEC1D" w14:textId="77777777" w:rsidR="003663AF" w:rsidRPr="00B7760C" w:rsidRDefault="003663AF" w:rsidP="00E804B7">
            <w:pPr>
              <w:pStyle w:val="Normal6"/>
            </w:pPr>
          </w:p>
        </w:tc>
        <w:tc>
          <w:tcPr>
            <w:tcW w:w="4876" w:type="dxa"/>
            <w:hideMark/>
          </w:tcPr>
          <w:p w14:paraId="5FFAFAF6" w14:textId="77777777" w:rsidR="003663AF" w:rsidRPr="00B7760C" w:rsidRDefault="003663AF" w:rsidP="00E804B7">
            <w:pPr>
              <w:pStyle w:val="Normal6"/>
              <w:rPr>
                <w:szCs w:val="24"/>
              </w:rPr>
            </w:pPr>
            <w:r w:rsidRPr="00B7760C">
              <w:rPr>
                <w:b/>
                <w:i/>
              </w:rPr>
              <w:t>2a.</w:t>
            </w:r>
            <w:r w:rsidRPr="00B7760C">
              <w:rPr>
                <w:b/>
                <w:i/>
              </w:rPr>
              <w:tab/>
              <w:t>Države članice lahko sprejmejo posebne določbe, da bi zagotovile, da mladi in novi kmetje, ki se včlanijo v skupine kmetov, organizacije proizvajalcev ali zadružne strukture, ne izgubijo pomoči za vzpostavitev gospodarstva. Te določbe morajo biti skladne z načelom sorazmernosti ter opredeliti udeležbo mladih in novih kmetov v tej strukturi.</w:t>
            </w:r>
          </w:p>
        </w:tc>
      </w:tr>
    </w:tbl>
    <w:p w14:paraId="0BAEF3C1" w14:textId="77777777" w:rsidR="003663AF" w:rsidRPr="00B7760C" w:rsidRDefault="003663AF" w:rsidP="003663AF"/>
    <w:p w14:paraId="51C9EF6E" w14:textId="1EA0E0B8" w:rsidR="003663AF" w:rsidRPr="00B7760C" w:rsidRDefault="00877691" w:rsidP="003663AF">
      <w:pPr>
        <w:pStyle w:val="AMNumberTabs"/>
        <w:keepNext/>
      </w:pPr>
      <w:r w:rsidRPr="00B7760C">
        <w:t>Sprememba</w:t>
      </w:r>
      <w:r w:rsidR="003663AF" w:rsidRPr="00B7760C">
        <w:tab/>
      </w:r>
      <w:r w:rsidR="003663AF" w:rsidRPr="00B7760C">
        <w:tab/>
        <w:t>484</w:t>
      </w:r>
    </w:p>
    <w:p w14:paraId="4AF33144" w14:textId="77777777" w:rsidR="003663AF" w:rsidRPr="00B7760C" w:rsidRDefault="003663AF" w:rsidP="003663AF">
      <w:pPr>
        <w:pStyle w:val="NormalBold12b"/>
      </w:pPr>
      <w:r w:rsidRPr="00B7760C">
        <w:t>Predlog uredbe</w:t>
      </w:r>
    </w:p>
    <w:p w14:paraId="6EB5E387" w14:textId="77777777" w:rsidR="003663AF" w:rsidRPr="00B7760C" w:rsidRDefault="003663AF" w:rsidP="003663AF">
      <w:pPr>
        <w:pStyle w:val="NormalBold"/>
      </w:pPr>
      <w:r w:rsidRPr="00B7760C">
        <w:t>Člen 69 – odstavek 4</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67396AA" w14:textId="77777777" w:rsidTr="00E804B7">
        <w:trPr>
          <w:jc w:val="center"/>
        </w:trPr>
        <w:tc>
          <w:tcPr>
            <w:tcW w:w="9752" w:type="dxa"/>
            <w:gridSpan w:val="2"/>
          </w:tcPr>
          <w:p w14:paraId="52E6AC7A" w14:textId="77777777" w:rsidR="003663AF" w:rsidRPr="00B7760C" w:rsidRDefault="003663AF" w:rsidP="00E804B7">
            <w:pPr>
              <w:keepNext/>
            </w:pPr>
          </w:p>
        </w:tc>
      </w:tr>
      <w:tr w:rsidR="003663AF" w:rsidRPr="00B7760C" w14:paraId="7800C5DD" w14:textId="77777777" w:rsidTr="00E804B7">
        <w:trPr>
          <w:jc w:val="center"/>
        </w:trPr>
        <w:tc>
          <w:tcPr>
            <w:tcW w:w="4876" w:type="dxa"/>
            <w:hideMark/>
          </w:tcPr>
          <w:p w14:paraId="4B67E980" w14:textId="77777777" w:rsidR="003663AF" w:rsidRPr="00B7760C" w:rsidRDefault="003663AF" w:rsidP="00E804B7">
            <w:pPr>
              <w:pStyle w:val="ColumnHeading"/>
              <w:keepNext/>
            </w:pPr>
            <w:r w:rsidRPr="00B7760C">
              <w:t>Besedilo, ki ga predlaga Komisija</w:t>
            </w:r>
          </w:p>
        </w:tc>
        <w:tc>
          <w:tcPr>
            <w:tcW w:w="4876" w:type="dxa"/>
            <w:hideMark/>
          </w:tcPr>
          <w:p w14:paraId="6C75A325" w14:textId="1CD9BF46" w:rsidR="003663AF" w:rsidRPr="00B7760C" w:rsidRDefault="00877691" w:rsidP="00E804B7">
            <w:pPr>
              <w:pStyle w:val="ColumnHeading"/>
              <w:keepNext/>
            </w:pPr>
            <w:r w:rsidRPr="00B7760C">
              <w:t>Sprememba</w:t>
            </w:r>
          </w:p>
        </w:tc>
      </w:tr>
      <w:tr w:rsidR="003663AF" w:rsidRPr="00B7760C" w14:paraId="5AA21D31" w14:textId="77777777" w:rsidTr="00E804B7">
        <w:trPr>
          <w:jc w:val="center"/>
        </w:trPr>
        <w:tc>
          <w:tcPr>
            <w:tcW w:w="4876" w:type="dxa"/>
            <w:hideMark/>
          </w:tcPr>
          <w:p w14:paraId="50B3A034" w14:textId="77777777" w:rsidR="003663AF" w:rsidRPr="00B7760C" w:rsidRDefault="003663AF" w:rsidP="00E804B7">
            <w:pPr>
              <w:pStyle w:val="Normal6"/>
            </w:pPr>
            <w:r w:rsidRPr="00B7760C">
              <w:t>4.</w:t>
            </w:r>
            <w:r w:rsidRPr="00B7760C">
              <w:tab/>
              <w:t>Države članice podporo odobrijo v obliki pavšalnih zneskov. Podpora je omejena na najvišji znesek</w:t>
            </w:r>
            <w:r w:rsidRPr="00B7760C">
              <w:rPr>
                <w:b/>
                <w:i/>
              </w:rPr>
              <w:t xml:space="preserve"> 100 000</w:t>
            </w:r>
            <w:r w:rsidRPr="00B7760C">
              <w:t> </w:t>
            </w:r>
            <w:r w:rsidRPr="00B7760C">
              <w:rPr>
                <w:b/>
                <w:i/>
              </w:rPr>
              <w:t>EUR</w:t>
            </w:r>
            <w:r w:rsidRPr="00B7760C">
              <w:t xml:space="preserve"> in se lahko kombinira s finančnimi instrumenti.</w:t>
            </w:r>
          </w:p>
        </w:tc>
        <w:tc>
          <w:tcPr>
            <w:tcW w:w="4876" w:type="dxa"/>
            <w:hideMark/>
          </w:tcPr>
          <w:p w14:paraId="1615BA8B" w14:textId="77777777" w:rsidR="003663AF" w:rsidRPr="00B7760C" w:rsidRDefault="003663AF" w:rsidP="00E804B7">
            <w:pPr>
              <w:pStyle w:val="Normal6"/>
              <w:rPr>
                <w:szCs w:val="24"/>
              </w:rPr>
            </w:pPr>
            <w:r w:rsidRPr="00B7760C">
              <w:t>4.</w:t>
            </w:r>
            <w:r w:rsidRPr="00B7760C">
              <w:tab/>
              <w:t>Države članice podporo odobrijo v obliki pavšalnih zneskov</w:t>
            </w:r>
            <w:r w:rsidRPr="00B7760C">
              <w:rPr>
                <w:b/>
                <w:i/>
              </w:rPr>
              <w:t>, ki se lahko razlikujejo glede na objektivna merila</w:t>
            </w:r>
            <w:r w:rsidRPr="00B7760C">
              <w:t>. Podpora je omejena na najvišji znesek</w:t>
            </w:r>
            <w:r w:rsidRPr="00B7760C">
              <w:rPr>
                <w:b/>
                <w:i/>
              </w:rPr>
              <w:t>, določen v Prilogi</w:t>
            </w:r>
            <w:r w:rsidRPr="00B7760C">
              <w:t> </w:t>
            </w:r>
            <w:r w:rsidRPr="00B7760C">
              <w:rPr>
                <w:b/>
                <w:i/>
              </w:rPr>
              <w:t>IXaa,</w:t>
            </w:r>
            <w:r w:rsidRPr="00B7760C">
              <w:t xml:space="preserve"> in se lahko kombinira s finančnimi instrumenti.</w:t>
            </w:r>
          </w:p>
        </w:tc>
      </w:tr>
    </w:tbl>
    <w:p w14:paraId="1846D192" w14:textId="77777777" w:rsidR="003663AF" w:rsidRPr="00B7760C" w:rsidRDefault="003663AF" w:rsidP="003663AF"/>
    <w:p w14:paraId="6FE28FAC" w14:textId="688B9E65" w:rsidR="003663AF" w:rsidRPr="00B7760C" w:rsidRDefault="00877691" w:rsidP="003663AF">
      <w:pPr>
        <w:pStyle w:val="AMNumberTabs"/>
        <w:keepNext/>
      </w:pPr>
      <w:r w:rsidRPr="00B7760C">
        <w:t>Sprememba</w:t>
      </w:r>
      <w:r w:rsidR="003663AF" w:rsidRPr="00B7760C">
        <w:tab/>
      </w:r>
      <w:r w:rsidR="003663AF" w:rsidRPr="00B7760C">
        <w:tab/>
        <w:t>485</w:t>
      </w:r>
    </w:p>
    <w:p w14:paraId="61AEBE2E" w14:textId="77777777" w:rsidR="003663AF" w:rsidRPr="00B7760C" w:rsidRDefault="003663AF" w:rsidP="003663AF">
      <w:pPr>
        <w:pStyle w:val="NormalBold12b"/>
      </w:pPr>
      <w:r w:rsidRPr="00B7760C">
        <w:t>Predlog uredbe</w:t>
      </w:r>
    </w:p>
    <w:p w14:paraId="07C2DEEE" w14:textId="77777777" w:rsidR="003663AF" w:rsidRPr="00B7760C" w:rsidRDefault="003663AF" w:rsidP="003663AF">
      <w:pPr>
        <w:pStyle w:val="NormalBold"/>
      </w:pPr>
      <w:r w:rsidRPr="00B7760C">
        <w:t>Člen 69 – odstavek 4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FE19218" w14:textId="77777777" w:rsidTr="00E804B7">
        <w:trPr>
          <w:jc w:val="center"/>
        </w:trPr>
        <w:tc>
          <w:tcPr>
            <w:tcW w:w="9752" w:type="dxa"/>
            <w:gridSpan w:val="2"/>
          </w:tcPr>
          <w:p w14:paraId="59EEF95F" w14:textId="77777777" w:rsidR="003663AF" w:rsidRPr="00B7760C" w:rsidRDefault="003663AF" w:rsidP="00E804B7">
            <w:pPr>
              <w:keepNext/>
            </w:pPr>
          </w:p>
        </w:tc>
      </w:tr>
      <w:tr w:rsidR="003663AF" w:rsidRPr="00B7760C" w14:paraId="0675769C" w14:textId="77777777" w:rsidTr="00E804B7">
        <w:trPr>
          <w:jc w:val="center"/>
        </w:trPr>
        <w:tc>
          <w:tcPr>
            <w:tcW w:w="4876" w:type="dxa"/>
            <w:hideMark/>
          </w:tcPr>
          <w:p w14:paraId="4BAE81BA" w14:textId="77777777" w:rsidR="003663AF" w:rsidRPr="00B7760C" w:rsidRDefault="003663AF" w:rsidP="00E804B7">
            <w:pPr>
              <w:pStyle w:val="ColumnHeading"/>
              <w:keepNext/>
            </w:pPr>
            <w:r w:rsidRPr="00B7760C">
              <w:t>Besedilo, ki ga predlaga Komisija</w:t>
            </w:r>
          </w:p>
        </w:tc>
        <w:tc>
          <w:tcPr>
            <w:tcW w:w="4876" w:type="dxa"/>
            <w:hideMark/>
          </w:tcPr>
          <w:p w14:paraId="00B3A2B4" w14:textId="4F486AD9" w:rsidR="003663AF" w:rsidRPr="00B7760C" w:rsidRDefault="00877691" w:rsidP="00E804B7">
            <w:pPr>
              <w:pStyle w:val="ColumnHeading"/>
              <w:keepNext/>
            </w:pPr>
            <w:r w:rsidRPr="00B7760C">
              <w:t>Sprememba</w:t>
            </w:r>
          </w:p>
        </w:tc>
      </w:tr>
      <w:tr w:rsidR="003663AF" w:rsidRPr="00B7760C" w14:paraId="0ED9601E" w14:textId="77777777" w:rsidTr="00E804B7">
        <w:trPr>
          <w:jc w:val="center"/>
        </w:trPr>
        <w:tc>
          <w:tcPr>
            <w:tcW w:w="4876" w:type="dxa"/>
          </w:tcPr>
          <w:p w14:paraId="63540062" w14:textId="77777777" w:rsidR="003663AF" w:rsidRPr="00B7760C" w:rsidRDefault="003663AF" w:rsidP="00E804B7">
            <w:pPr>
              <w:pStyle w:val="Normal6"/>
            </w:pPr>
          </w:p>
        </w:tc>
        <w:tc>
          <w:tcPr>
            <w:tcW w:w="4876" w:type="dxa"/>
            <w:hideMark/>
          </w:tcPr>
          <w:p w14:paraId="289FA067" w14:textId="77777777" w:rsidR="003663AF" w:rsidRPr="00B7760C" w:rsidRDefault="003663AF" w:rsidP="00E804B7">
            <w:pPr>
              <w:pStyle w:val="Normal6"/>
              <w:rPr>
                <w:szCs w:val="24"/>
              </w:rPr>
            </w:pPr>
            <w:r w:rsidRPr="00B7760C">
              <w:rPr>
                <w:b/>
                <w:i/>
              </w:rPr>
              <w:t>4a.</w:t>
            </w:r>
            <w:r w:rsidRPr="00B7760C">
              <w:rPr>
                <w:b/>
                <w:i/>
              </w:rPr>
              <w:tab/>
              <w:t>Pomoč iz tega člena se lahko izplača v več obrokih.</w:t>
            </w:r>
          </w:p>
        </w:tc>
      </w:tr>
    </w:tbl>
    <w:p w14:paraId="44492A6D" w14:textId="77777777" w:rsidR="003663AF" w:rsidRPr="00B7760C" w:rsidRDefault="003663AF" w:rsidP="003663AF"/>
    <w:p w14:paraId="45ED7508" w14:textId="54153C70" w:rsidR="003663AF" w:rsidRPr="00B7760C" w:rsidRDefault="00877691" w:rsidP="003663AF">
      <w:pPr>
        <w:pStyle w:val="AMNumberTabs"/>
        <w:keepNext/>
      </w:pPr>
      <w:r w:rsidRPr="00B7760C">
        <w:t>Sprememb</w:t>
      </w:r>
      <w:r w:rsidR="009E085B" w:rsidRPr="00B7760C">
        <w:t>i</w:t>
      </w:r>
      <w:r w:rsidR="003663AF" w:rsidRPr="00B7760C">
        <w:tab/>
      </w:r>
      <w:r w:rsidR="003663AF" w:rsidRPr="00B7760C">
        <w:tab/>
        <w:t>486</w:t>
      </w:r>
      <w:r w:rsidR="009E085B" w:rsidRPr="00B7760C">
        <w:t>, 1152 cp1 in 1063</w:t>
      </w:r>
    </w:p>
    <w:p w14:paraId="41AFA127" w14:textId="77777777" w:rsidR="003663AF" w:rsidRPr="00B7760C" w:rsidRDefault="003663AF" w:rsidP="003663AF">
      <w:pPr>
        <w:pStyle w:val="NormalBold12b"/>
      </w:pPr>
      <w:r w:rsidRPr="00B7760C">
        <w:t>Predlog uredbe</w:t>
      </w:r>
    </w:p>
    <w:p w14:paraId="09C62891" w14:textId="77777777" w:rsidR="003663AF" w:rsidRPr="00B7760C" w:rsidRDefault="003663AF" w:rsidP="003663AF">
      <w:pPr>
        <w:pStyle w:val="NormalBold"/>
      </w:pPr>
      <w:r w:rsidRPr="00B7760C">
        <w:t>Člen 70 – 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3FA5CD8" w14:textId="77777777" w:rsidTr="00E804B7">
        <w:trPr>
          <w:jc w:val="center"/>
        </w:trPr>
        <w:tc>
          <w:tcPr>
            <w:tcW w:w="9752" w:type="dxa"/>
            <w:gridSpan w:val="2"/>
          </w:tcPr>
          <w:p w14:paraId="120EFC86" w14:textId="77777777" w:rsidR="003663AF" w:rsidRPr="00B7760C" w:rsidRDefault="003663AF" w:rsidP="00E804B7">
            <w:pPr>
              <w:keepNext/>
            </w:pPr>
          </w:p>
        </w:tc>
      </w:tr>
      <w:tr w:rsidR="003663AF" w:rsidRPr="00B7760C" w14:paraId="175C77E8" w14:textId="77777777" w:rsidTr="00E804B7">
        <w:trPr>
          <w:jc w:val="center"/>
        </w:trPr>
        <w:tc>
          <w:tcPr>
            <w:tcW w:w="4876" w:type="dxa"/>
            <w:hideMark/>
          </w:tcPr>
          <w:p w14:paraId="16C8C534" w14:textId="77777777" w:rsidR="003663AF" w:rsidRPr="00B7760C" w:rsidRDefault="003663AF" w:rsidP="00E804B7">
            <w:pPr>
              <w:pStyle w:val="ColumnHeading"/>
              <w:keepNext/>
            </w:pPr>
            <w:r w:rsidRPr="00B7760C">
              <w:t>Besedilo, ki ga predlaga Komisija</w:t>
            </w:r>
          </w:p>
        </w:tc>
        <w:tc>
          <w:tcPr>
            <w:tcW w:w="4876" w:type="dxa"/>
            <w:hideMark/>
          </w:tcPr>
          <w:p w14:paraId="2F422399" w14:textId="02683B86" w:rsidR="003663AF" w:rsidRPr="00B7760C" w:rsidRDefault="00877691" w:rsidP="00E804B7">
            <w:pPr>
              <w:pStyle w:val="ColumnHeading"/>
              <w:keepNext/>
            </w:pPr>
            <w:r w:rsidRPr="00B7760C">
              <w:t>Sprememba</w:t>
            </w:r>
          </w:p>
        </w:tc>
      </w:tr>
      <w:tr w:rsidR="003663AF" w:rsidRPr="00B7760C" w14:paraId="31D4D212" w14:textId="77777777" w:rsidTr="00E804B7">
        <w:trPr>
          <w:jc w:val="center"/>
        </w:trPr>
        <w:tc>
          <w:tcPr>
            <w:tcW w:w="4876" w:type="dxa"/>
            <w:hideMark/>
          </w:tcPr>
          <w:p w14:paraId="5170B228" w14:textId="77777777" w:rsidR="003663AF" w:rsidRPr="00B7760C" w:rsidRDefault="003663AF" w:rsidP="00E804B7">
            <w:pPr>
              <w:pStyle w:val="Normal6"/>
            </w:pPr>
            <w:r w:rsidRPr="00B7760C">
              <w:t>1.</w:t>
            </w:r>
            <w:r w:rsidRPr="00B7760C">
              <w:tab/>
              <w:t>Države članice odobrijo podporo za instrumente za obvladovanje tveganj v skladu s pogoji iz tega člena in kot je podrobneje opredeljeno v njihovih strateških načrtih SKP.</w:t>
            </w:r>
          </w:p>
        </w:tc>
        <w:tc>
          <w:tcPr>
            <w:tcW w:w="4876" w:type="dxa"/>
            <w:hideMark/>
          </w:tcPr>
          <w:p w14:paraId="6B6F8F2E" w14:textId="77777777" w:rsidR="003663AF" w:rsidRPr="00B7760C" w:rsidRDefault="003663AF" w:rsidP="00E804B7">
            <w:pPr>
              <w:pStyle w:val="Normal6"/>
              <w:rPr>
                <w:szCs w:val="24"/>
              </w:rPr>
            </w:pPr>
            <w:r w:rsidRPr="00B7760C">
              <w:t>1.</w:t>
            </w:r>
            <w:r w:rsidRPr="00B7760C">
              <w:tab/>
              <w:t xml:space="preserve">Države članice </w:t>
            </w:r>
            <w:r w:rsidRPr="00B7760C">
              <w:rPr>
                <w:b/>
                <w:i/>
              </w:rPr>
              <w:t xml:space="preserve">lahko </w:t>
            </w:r>
            <w:r w:rsidRPr="00B7760C">
              <w:t xml:space="preserve">odobrijo podporo za instrumente za obvladovanje tveganj </w:t>
            </w:r>
            <w:r w:rsidRPr="00B7760C">
              <w:rPr>
                <w:b/>
                <w:i/>
              </w:rPr>
              <w:t xml:space="preserve">ob upoštevanju svojih potreb in analiz SWOT </w:t>
            </w:r>
            <w:r w:rsidRPr="00B7760C">
              <w:t xml:space="preserve">v skladu s pogoji iz tega člena in kot je podrobneje opredeljeno v njihovih strateških načrtih SKP. </w:t>
            </w:r>
            <w:r w:rsidRPr="00B7760C">
              <w:rPr>
                <w:b/>
                <w:i/>
              </w:rPr>
              <w:t>Države članice zagotovijo, da ta določba ne vpliva negativno na zasebne ali javne nacionalne instrumente za obvladovanje tveganja.</w:t>
            </w:r>
          </w:p>
        </w:tc>
      </w:tr>
    </w:tbl>
    <w:p w14:paraId="4C8BC7D7" w14:textId="77777777" w:rsidR="003663AF" w:rsidRPr="00B7760C" w:rsidRDefault="003663AF" w:rsidP="003663AF"/>
    <w:p w14:paraId="297E7200" w14:textId="73C02EC3" w:rsidR="003663AF" w:rsidRPr="00B7760C" w:rsidRDefault="00877691" w:rsidP="003663AF">
      <w:pPr>
        <w:pStyle w:val="AMNumberTabs"/>
        <w:keepNext/>
      </w:pPr>
      <w:r w:rsidRPr="00B7760C">
        <w:t>Sprememba</w:t>
      </w:r>
      <w:r w:rsidR="003663AF" w:rsidRPr="00B7760C">
        <w:tab/>
      </w:r>
      <w:r w:rsidR="003663AF" w:rsidRPr="00B7760C">
        <w:tab/>
        <w:t>487</w:t>
      </w:r>
    </w:p>
    <w:p w14:paraId="72E83D3E" w14:textId="77777777" w:rsidR="003663AF" w:rsidRPr="00B7760C" w:rsidRDefault="003663AF" w:rsidP="003663AF">
      <w:pPr>
        <w:pStyle w:val="NormalBold12b"/>
      </w:pPr>
      <w:r w:rsidRPr="00B7760C">
        <w:t>Predlog uredbe</w:t>
      </w:r>
    </w:p>
    <w:p w14:paraId="52826C28" w14:textId="77777777" w:rsidR="003663AF" w:rsidRPr="00B7760C" w:rsidRDefault="003663AF" w:rsidP="003663AF">
      <w:pPr>
        <w:pStyle w:val="NormalBold"/>
      </w:pPr>
      <w:r w:rsidRPr="00B7760C">
        <w:t>Člen 70 – odstavek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5B5B4B2" w14:textId="77777777" w:rsidTr="00E804B7">
        <w:trPr>
          <w:jc w:val="center"/>
        </w:trPr>
        <w:tc>
          <w:tcPr>
            <w:tcW w:w="9752" w:type="dxa"/>
            <w:gridSpan w:val="2"/>
          </w:tcPr>
          <w:p w14:paraId="707C2574" w14:textId="77777777" w:rsidR="003663AF" w:rsidRPr="00B7760C" w:rsidRDefault="003663AF" w:rsidP="00E804B7">
            <w:pPr>
              <w:keepNext/>
            </w:pPr>
          </w:p>
        </w:tc>
      </w:tr>
      <w:tr w:rsidR="003663AF" w:rsidRPr="00B7760C" w14:paraId="48FFCD2B" w14:textId="77777777" w:rsidTr="00E804B7">
        <w:trPr>
          <w:jc w:val="center"/>
        </w:trPr>
        <w:tc>
          <w:tcPr>
            <w:tcW w:w="4876" w:type="dxa"/>
            <w:hideMark/>
          </w:tcPr>
          <w:p w14:paraId="06E1FDB0" w14:textId="77777777" w:rsidR="003663AF" w:rsidRPr="00B7760C" w:rsidRDefault="003663AF" w:rsidP="00E804B7">
            <w:pPr>
              <w:pStyle w:val="ColumnHeading"/>
              <w:keepNext/>
            </w:pPr>
            <w:r w:rsidRPr="00B7760C">
              <w:t>Besedilo, ki ga predlaga Komisija</w:t>
            </w:r>
          </w:p>
        </w:tc>
        <w:tc>
          <w:tcPr>
            <w:tcW w:w="4876" w:type="dxa"/>
            <w:hideMark/>
          </w:tcPr>
          <w:p w14:paraId="26CE076E" w14:textId="2ECED9B1" w:rsidR="003663AF" w:rsidRPr="00B7760C" w:rsidRDefault="00877691" w:rsidP="00E804B7">
            <w:pPr>
              <w:pStyle w:val="ColumnHeading"/>
              <w:keepNext/>
            </w:pPr>
            <w:r w:rsidRPr="00B7760C">
              <w:t>Sprememba</w:t>
            </w:r>
          </w:p>
        </w:tc>
      </w:tr>
      <w:tr w:rsidR="003663AF" w:rsidRPr="00B7760C" w14:paraId="2FA9B27B" w14:textId="77777777" w:rsidTr="00E804B7">
        <w:trPr>
          <w:jc w:val="center"/>
        </w:trPr>
        <w:tc>
          <w:tcPr>
            <w:tcW w:w="4876" w:type="dxa"/>
            <w:hideMark/>
          </w:tcPr>
          <w:p w14:paraId="186ECC08" w14:textId="77777777" w:rsidR="003663AF" w:rsidRPr="00B7760C" w:rsidRDefault="003663AF" w:rsidP="00E804B7">
            <w:pPr>
              <w:pStyle w:val="Normal6"/>
            </w:pPr>
            <w:r w:rsidRPr="00B7760C">
              <w:t>2.</w:t>
            </w:r>
            <w:r w:rsidRPr="00B7760C">
              <w:tab/>
            </w:r>
            <w:r w:rsidRPr="00B7760C">
              <w:rPr>
                <w:b/>
                <w:i/>
              </w:rPr>
              <w:t>Države članice odobrijo podporo</w:t>
            </w:r>
            <w:r w:rsidRPr="00B7760C">
              <w:t xml:space="preserve"> v okviru te vrste intervencij, da bi </w:t>
            </w:r>
            <w:r w:rsidRPr="00B7760C">
              <w:rPr>
                <w:b/>
                <w:i/>
              </w:rPr>
              <w:t>spodbujale instrumente</w:t>
            </w:r>
            <w:r w:rsidRPr="00B7760C">
              <w:t xml:space="preserve"> za obvladovanje tveganj, ki </w:t>
            </w:r>
            <w:r w:rsidRPr="00B7760C">
              <w:rPr>
                <w:b/>
                <w:i/>
              </w:rPr>
              <w:t>pravim</w:t>
            </w:r>
            <w:r w:rsidRPr="00B7760C">
              <w:t xml:space="preserve"> kmetom pomagajo upravljati proizvodnjo in obvladovati dohodkovna tveganja, povezana z njihovo kmetijsko dejavnostjo in zunaj njihovega nadzora, in ki prispevajo k uresničevanju specifičnih ciljev iz člena 6.</w:t>
            </w:r>
          </w:p>
        </w:tc>
        <w:tc>
          <w:tcPr>
            <w:tcW w:w="4876" w:type="dxa"/>
            <w:hideMark/>
          </w:tcPr>
          <w:p w14:paraId="6D96077A" w14:textId="77777777" w:rsidR="003663AF" w:rsidRPr="00B7760C" w:rsidRDefault="003663AF" w:rsidP="00E804B7">
            <w:pPr>
              <w:pStyle w:val="Normal6"/>
              <w:rPr>
                <w:szCs w:val="24"/>
              </w:rPr>
            </w:pPr>
            <w:r w:rsidRPr="00B7760C">
              <w:t>2.</w:t>
            </w:r>
            <w:r w:rsidRPr="00B7760C">
              <w:tab/>
            </w:r>
            <w:r w:rsidRPr="00B7760C">
              <w:rPr>
                <w:b/>
                <w:i/>
              </w:rPr>
              <w:t>Podpora</w:t>
            </w:r>
            <w:r w:rsidRPr="00B7760C">
              <w:t xml:space="preserve"> v okviru te vrste intervencij</w:t>
            </w:r>
            <w:r w:rsidRPr="00B7760C">
              <w:rPr>
                <w:b/>
                <w:i/>
              </w:rPr>
              <w:t xml:space="preserve"> se lahko odobri</w:t>
            </w:r>
            <w:r w:rsidRPr="00B7760C">
              <w:t xml:space="preserve">, da bi </w:t>
            </w:r>
            <w:r w:rsidRPr="00B7760C">
              <w:rPr>
                <w:b/>
                <w:i/>
              </w:rPr>
              <w:t>se spodbujali instrumenti</w:t>
            </w:r>
            <w:r w:rsidRPr="00B7760C">
              <w:t xml:space="preserve"> za obvladovanje tveganj, ki </w:t>
            </w:r>
            <w:r w:rsidRPr="00B7760C">
              <w:rPr>
                <w:b/>
                <w:i/>
              </w:rPr>
              <w:t>dejavnim</w:t>
            </w:r>
            <w:r w:rsidRPr="00B7760C">
              <w:t xml:space="preserve"> kmetom pomagajo upravljati proizvodnjo in obvladovati dohodkovna tveganja, povezana z njihovo kmetijsko dejavnostjo in zunaj njihovega nadzora, in ki prispevajo k uresničevanju </w:t>
            </w:r>
            <w:r w:rsidRPr="00B7760C">
              <w:rPr>
                <w:b/>
                <w:i/>
              </w:rPr>
              <w:t xml:space="preserve">ustreznih </w:t>
            </w:r>
            <w:r w:rsidRPr="00B7760C">
              <w:t xml:space="preserve">specifičnih ciljev iz člena 6. </w:t>
            </w:r>
            <w:r w:rsidRPr="00B7760C">
              <w:rPr>
                <w:b/>
                <w:i/>
              </w:rPr>
              <w:t>Ti instrumenti lahko obsegajo sisteme za obvladovanje več vrst tveganj.</w:t>
            </w:r>
            <w:r w:rsidRPr="00B7760C">
              <w:t xml:space="preserve"> </w:t>
            </w:r>
          </w:p>
        </w:tc>
      </w:tr>
      <w:tr w:rsidR="003663AF" w:rsidRPr="00B7760C" w14:paraId="3F47B794" w14:textId="77777777" w:rsidTr="00E804B7">
        <w:trPr>
          <w:jc w:val="center"/>
        </w:trPr>
        <w:tc>
          <w:tcPr>
            <w:tcW w:w="4876" w:type="dxa"/>
          </w:tcPr>
          <w:p w14:paraId="1C30E689" w14:textId="77777777" w:rsidR="003663AF" w:rsidRPr="00B7760C" w:rsidRDefault="003663AF" w:rsidP="00E804B7">
            <w:pPr>
              <w:pStyle w:val="Normal6"/>
            </w:pPr>
          </w:p>
        </w:tc>
        <w:tc>
          <w:tcPr>
            <w:tcW w:w="4876" w:type="dxa"/>
            <w:hideMark/>
          </w:tcPr>
          <w:p w14:paraId="1B08E50C" w14:textId="77777777" w:rsidR="003663AF" w:rsidRPr="00B7760C" w:rsidRDefault="003663AF" w:rsidP="00E804B7">
            <w:pPr>
              <w:pStyle w:val="Normal6"/>
              <w:rPr>
                <w:szCs w:val="24"/>
              </w:rPr>
            </w:pPr>
            <w:r w:rsidRPr="00B7760C">
              <w:rPr>
                <w:b/>
                <w:i/>
              </w:rPr>
              <w:t>Poleg tega se spodbujajo strategije za zmanjševanje tveganj, da bi se povečala odpornost kmetij pred naravnimi in podnebnimi tveganji ter zmanjšala izpostavljenost nestabilnosti prihodkov.</w:t>
            </w:r>
          </w:p>
        </w:tc>
      </w:tr>
    </w:tbl>
    <w:p w14:paraId="3D5A87C6" w14:textId="77777777" w:rsidR="003663AF" w:rsidRPr="00B7760C" w:rsidRDefault="003663AF" w:rsidP="003663AF"/>
    <w:p w14:paraId="55179D0E" w14:textId="4DBC7EB6" w:rsidR="003663AF" w:rsidRPr="00B7760C" w:rsidRDefault="00877691" w:rsidP="003663AF">
      <w:pPr>
        <w:pStyle w:val="AMNumberTabs"/>
        <w:keepNext/>
      </w:pPr>
      <w:r w:rsidRPr="00B7760C">
        <w:t>Sprememb</w:t>
      </w:r>
      <w:r w:rsidR="009E085B" w:rsidRPr="00B7760C">
        <w:t>e</w:t>
      </w:r>
      <w:r w:rsidR="003663AF" w:rsidRPr="00B7760C">
        <w:tab/>
      </w:r>
      <w:r w:rsidR="003663AF" w:rsidRPr="00B7760C">
        <w:tab/>
        <w:t>488</w:t>
      </w:r>
      <w:r w:rsidR="009E085B" w:rsidRPr="00B7760C">
        <w:t>, 1065 in 1152</w:t>
      </w:r>
      <w:r w:rsidR="005847CC" w:rsidRPr="00B7760C">
        <w:t xml:space="preserve"> </w:t>
      </w:r>
      <w:r w:rsidR="009E085B" w:rsidRPr="00B7760C">
        <w:t>cp3</w:t>
      </w:r>
    </w:p>
    <w:p w14:paraId="05F11208" w14:textId="77777777" w:rsidR="003663AF" w:rsidRPr="00B7760C" w:rsidRDefault="003663AF" w:rsidP="003663AF">
      <w:pPr>
        <w:pStyle w:val="NormalBold12b"/>
      </w:pPr>
      <w:r w:rsidRPr="00B7760C">
        <w:t>Predlog uredbe</w:t>
      </w:r>
    </w:p>
    <w:p w14:paraId="0C4D7E9F" w14:textId="77777777" w:rsidR="003663AF" w:rsidRPr="00B7760C" w:rsidRDefault="003663AF" w:rsidP="003663AF">
      <w:pPr>
        <w:pStyle w:val="NormalBold"/>
      </w:pPr>
      <w:r w:rsidRPr="00B7760C">
        <w:t>Člen 70 – odstavek 3 – točka 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5FABB0C" w14:textId="77777777" w:rsidTr="00E804B7">
        <w:trPr>
          <w:jc w:val="center"/>
        </w:trPr>
        <w:tc>
          <w:tcPr>
            <w:tcW w:w="9752" w:type="dxa"/>
            <w:gridSpan w:val="2"/>
          </w:tcPr>
          <w:p w14:paraId="13FF58B4" w14:textId="77777777" w:rsidR="003663AF" w:rsidRPr="00B7760C" w:rsidRDefault="003663AF" w:rsidP="00E804B7">
            <w:pPr>
              <w:keepNext/>
            </w:pPr>
          </w:p>
        </w:tc>
      </w:tr>
      <w:tr w:rsidR="003663AF" w:rsidRPr="00B7760C" w14:paraId="20169FF5" w14:textId="77777777" w:rsidTr="00E804B7">
        <w:trPr>
          <w:jc w:val="center"/>
        </w:trPr>
        <w:tc>
          <w:tcPr>
            <w:tcW w:w="4876" w:type="dxa"/>
            <w:hideMark/>
          </w:tcPr>
          <w:p w14:paraId="3EE6840A" w14:textId="77777777" w:rsidR="003663AF" w:rsidRPr="00B7760C" w:rsidRDefault="003663AF" w:rsidP="00E804B7">
            <w:pPr>
              <w:pStyle w:val="ColumnHeading"/>
              <w:keepNext/>
            </w:pPr>
            <w:r w:rsidRPr="00B7760C">
              <w:t>Besedilo, ki ga predlaga Komisija</w:t>
            </w:r>
          </w:p>
        </w:tc>
        <w:tc>
          <w:tcPr>
            <w:tcW w:w="4876" w:type="dxa"/>
            <w:hideMark/>
          </w:tcPr>
          <w:p w14:paraId="2C6454D1" w14:textId="2C0FD0D7" w:rsidR="003663AF" w:rsidRPr="00B7760C" w:rsidRDefault="00877691" w:rsidP="00E804B7">
            <w:pPr>
              <w:pStyle w:val="ColumnHeading"/>
              <w:keepNext/>
            </w:pPr>
            <w:r w:rsidRPr="00B7760C">
              <w:t>Sprememba</w:t>
            </w:r>
          </w:p>
        </w:tc>
      </w:tr>
      <w:tr w:rsidR="003663AF" w:rsidRPr="00B7760C" w14:paraId="0695AFA6" w14:textId="77777777" w:rsidTr="00E804B7">
        <w:trPr>
          <w:jc w:val="center"/>
        </w:trPr>
        <w:tc>
          <w:tcPr>
            <w:tcW w:w="4876" w:type="dxa"/>
            <w:hideMark/>
          </w:tcPr>
          <w:p w14:paraId="1F033F2A" w14:textId="77777777" w:rsidR="003663AF" w:rsidRPr="00B7760C" w:rsidRDefault="003663AF" w:rsidP="00E804B7">
            <w:pPr>
              <w:pStyle w:val="Normal6"/>
            </w:pPr>
            <w:r w:rsidRPr="00B7760C">
              <w:t>(a)</w:t>
            </w:r>
            <w:r w:rsidRPr="00B7760C">
              <w:tab/>
              <w:t>finančne prispevke za premije za zavarovalne sheme;</w:t>
            </w:r>
          </w:p>
        </w:tc>
        <w:tc>
          <w:tcPr>
            <w:tcW w:w="4876" w:type="dxa"/>
            <w:hideMark/>
          </w:tcPr>
          <w:p w14:paraId="5A9AFAD5" w14:textId="77777777" w:rsidR="003663AF" w:rsidRPr="00B7760C" w:rsidRDefault="003663AF" w:rsidP="00E804B7">
            <w:pPr>
              <w:pStyle w:val="Normal6"/>
              <w:rPr>
                <w:szCs w:val="24"/>
              </w:rPr>
            </w:pPr>
            <w:r w:rsidRPr="00B7760C">
              <w:t>(a)</w:t>
            </w:r>
            <w:r w:rsidRPr="00B7760C">
              <w:tab/>
              <w:t>finančne prispevke za premije za zavarovalne sheme</w:t>
            </w:r>
            <w:r w:rsidRPr="00B7760C">
              <w:rPr>
                <w:b/>
                <w:i/>
              </w:rPr>
              <w:t xml:space="preserve"> za kritje izgub, ki jih povzročijo slabe vremenske razmere, naravne nesreče ali katastrofični dogodki, izbruhi bolezni živali ali rastlin, okoljska nesreča, okužba ekoloških pridelkov ali ukrep, sprejet v skladu z Direktivo 2000/29/ES za odpravo ali zajezitev širjenja bolezni rastlin ali škodljivcev</w:t>
            </w:r>
            <w:r w:rsidRPr="00B7760C">
              <w:t>;</w:t>
            </w:r>
          </w:p>
        </w:tc>
      </w:tr>
    </w:tbl>
    <w:p w14:paraId="378026DB" w14:textId="77777777" w:rsidR="003663AF" w:rsidRPr="00B7760C" w:rsidRDefault="003663AF" w:rsidP="003663AF"/>
    <w:p w14:paraId="4A5F7833" w14:textId="5355E6C8" w:rsidR="003663AF" w:rsidRPr="00B7760C" w:rsidRDefault="00877691" w:rsidP="009E085B">
      <w:pPr>
        <w:pStyle w:val="AMNumberTabs"/>
        <w:keepNext/>
      </w:pPr>
      <w:r w:rsidRPr="00B7760C">
        <w:t>Sprememb</w:t>
      </w:r>
      <w:r w:rsidR="009E085B" w:rsidRPr="00B7760C">
        <w:t>e</w:t>
      </w:r>
      <w:r w:rsidR="003663AF" w:rsidRPr="00B7760C">
        <w:tab/>
      </w:r>
      <w:r w:rsidR="003663AF" w:rsidRPr="00B7760C">
        <w:tab/>
        <w:t>489</w:t>
      </w:r>
      <w:r w:rsidR="009E085B" w:rsidRPr="00B7760C">
        <w:t>, 1067 in 1152 cp4</w:t>
      </w:r>
    </w:p>
    <w:p w14:paraId="4B9311CC" w14:textId="77777777" w:rsidR="003663AF" w:rsidRPr="00B7760C" w:rsidRDefault="003663AF" w:rsidP="003663AF">
      <w:pPr>
        <w:pStyle w:val="NormalBold12b"/>
      </w:pPr>
      <w:r w:rsidRPr="00B7760C">
        <w:t>Predlog uredbe</w:t>
      </w:r>
    </w:p>
    <w:p w14:paraId="641E8DB5" w14:textId="77777777" w:rsidR="003663AF" w:rsidRPr="00B7760C" w:rsidRDefault="003663AF" w:rsidP="003663AF">
      <w:pPr>
        <w:pStyle w:val="NormalBold"/>
      </w:pPr>
      <w:r w:rsidRPr="00B7760C">
        <w:t>Člen 70 – odstavek 3 – točka b</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7D0FF11" w14:textId="77777777" w:rsidTr="00E804B7">
        <w:trPr>
          <w:jc w:val="center"/>
        </w:trPr>
        <w:tc>
          <w:tcPr>
            <w:tcW w:w="9752" w:type="dxa"/>
            <w:gridSpan w:val="2"/>
          </w:tcPr>
          <w:p w14:paraId="032F475A" w14:textId="77777777" w:rsidR="003663AF" w:rsidRPr="00B7760C" w:rsidRDefault="003663AF" w:rsidP="00E804B7">
            <w:pPr>
              <w:keepNext/>
            </w:pPr>
          </w:p>
        </w:tc>
      </w:tr>
      <w:tr w:rsidR="003663AF" w:rsidRPr="00B7760C" w14:paraId="45B3464D" w14:textId="77777777" w:rsidTr="00E804B7">
        <w:trPr>
          <w:jc w:val="center"/>
        </w:trPr>
        <w:tc>
          <w:tcPr>
            <w:tcW w:w="4876" w:type="dxa"/>
            <w:hideMark/>
          </w:tcPr>
          <w:p w14:paraId="37D611EF" w14:textId="77777777" w:rsidR="003663AF" w:rsidRPr="00B7760C" w:rsidRDefault="003663AF" w:rsidP="00E804B7">
            <w:pPr>
              <w:pStyle w:val="ColumnHeading"/>
              <w:keepNext/>
            </w:pPr>
            <w:r w:rsidRPr="00B7760C">
              <w:t>Besedilo, ki ga predlaga Komisija</w:t>
            </w:r>
          </w:p>
        </w:tc>
        <w:tc>
          <w:tcPr>
            <w:tcW w:w="4876" w:type="dxa"/>
            <w:hideMark/>
          </w:tcPr>
          <w:p w14:paraId="2A7AD7BD" w14:textId="1F139DF8" w:rsidR="003663AF" w:rsidRPr="00B7760C" w:rsidRDefault="00877691" w:rsidP="00E804B7">
            <w:pPr>
              <w:pStyle w:val="ColumnHeading"/>
              <w:keepNext/>
            </w:pPr>
            <w:r w:rsidRPr="00B7760C">
              <w:t>Sprememba</w:t>
            </w:r>
          </w:p>
        </w:tc>
      </w:tr>
      <w:tr w:rsidR="003663AF" w:rsidRPr="00B7760C" w14:paraId="7C449DDA" w14:textId="77777777" w:rsidTr="00E804B7">
        <w:trPr>
          <w:jc w:val="center"/>
        </w:trPr>
        <w:tc>
          <w:tcPr>
            <w:tcW w:w="4876" w:type="dxa"/>
            <w:hideMark/>
          </w:tcPr>
          <w:p w14:paraId="099CCD3F" w14:textId="77777777" w:rsidR="003663AF" w:rsidRPr="00B7760C" w:rsidRDefault="003663AF" w:rsidP="00E804B7">
            <w:pPr>
              <w:pStyle w:val="Normal6"/>
            </w:pPr>
            <w:r w:rsidRPr="00B7760C">
              <w:t>(b)</w:t>
            </w:r>
            <w:r w:rsidRPr="00B7760C">
              <w:tab/>
              <w:t>finančne prispevke za vzajemne sklade, vključno z upravnimi stroški vzpostavitve</w:t>
            </w:r>
            <w:r w:rsidRPr="00B7760C">
              <w:rPr>
                <w:b/>
                <w:i/>
              </w:rPr>
              <w:t>.</w:t>
            </w:r>
          </w:p>
        </w:tc>
        <w:tc>
          <w:tcPr>
            <w:tcW w:w="4876" w:type="dxa"/>
            <w:hideMark/>
          </w:tcPr>
          <w:p w14:paraId="5F7A921F" w14:textId="77777777" w:rsidR="003663AF" w:rsidRPr="00B7760C" w:rsidRDefault="003663AF" w:rsidP="00E804B7">
            <w:pPr>
              <w:pStyle w:val="Normal6"/>
              <w:rPr>
                <w:szCs w:val="24"/>
              </w:rPr>
            </w:pPr>
            <w:r w:rsidRPr="00B7760C">
              <w:t>(b)</w:t>
            </w:r>
            <w:r w:rsidRPr="00B7760C">
              <w:tab/>
              <w:t>finančne prispevke za vzajemne sklade, vključno z upravnimi stroški vzpostavitve</w:t>
            </w:r>
            <w:r w:rsidRPr="00B7760C">
              <w:rPr>
                <w:b/>
                <w:i/>
              </w:rPr>
              <w:t>, da bi se kmetom izplačalo finančno nadomestilo za izgube, ki jih povzročijo slabe vremenske razmere, naravne nesreče ali katastrofični dogodki, izbruhi bolezni živali ali rastlin, okoljska nesreča, okužba ekoloških pridelkov ali ukrep, sprejet v skladu z Direktivo 2000/29/ES za odpravo ali zajezitev širjenja bolezni rastlin ali škodljivcev;</w:t>
            </w:r>
          </w:p>
        </w:tc>
      </w:tr>
    </w:tbl>
    <w:p w14:paraId="6F68B84B" w14:textId="77777777" w:rsidR="003663AF" w:rsidRPr="00B7760C" w:rsidRDefault="003663AF" w:rsidP="003663AF"/>
    <w:p w14:paraId="1F72F814" w14:textId="21835841" w:rsidR="003663AF" w:rsidRPr="00B7760C" w:rsidRDefault="00877691" w:rsidP="009E085B">
      <w:pPr>
        <w:pStyle w:val="AMNumberTabs"/>
        <w:keepNext/>
      </w:pPr>
      <w:r w:rsidRPr="00B7760C">
        <w:t>Sprememb</w:t>
      </w:r>
      <w:r w:rsidR="009E085B" w:rsidRPr="00B7760C">
        <w:t>e</w:t>
      </w:r>
      <w:r w:rsidR="003663AF" w:rsidRPr="00B7760C">
        <w:tab/>
      </w:r>
      <w:r w:rsidR="003663AF" w:rsidRPr="00B7760C">
        <w:tab/>
        <w:t>490</w:t>
      </w:r>
      <w:r w:rsidR="009E085B" w:rsidRPr="00B7760C">
        <w:t>, 1068 in 1152 cp5</w:t>
      </w:r>
    </w:p>
    <w:p w14:paraId="18A3E139" w14:textId="77777777" w:rsidR="003663AF" w:rsidRPr="00B7760C" w:rsidRDefault="003663AF" w:rsidP="003663AF">
      <w:pPr>
        <w:pStyle w:val="NormalBold12b"/>
      </w:pPr>
      <w:r w:rsidRPr="00B7760C">
        <w:t>Predlog uredbe</w:t>
      </w:r>
    </w:p>
    <w:p w14:paraId="620405E5" w14:textId="77777777" w:rsidR="003663AF" w:rsidRPr="00B7760C" w:rsidRDefault="003663AF" w:rsidP="003663AF">
      <w:pPr>
        <w:pStyle w:val="NormalBold"/>
      </w:pPr>
      <w:r w:rsidRPr="00B7760C">
        <w:t>Člen 70 – odstavek 3 – točka b a (novo)</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7CC9E25" w14:textId="77777777" w:rsidTr="006174EB">
        <w:trPr>
          <w:jc w:val="center"/>
        </w:trPr>
        <w:tc>
          <w:tcPr>
            <w:tcW w:w="9752" w:type="dxa"/>
            <w:gridSpan w:val="2"/>
          </w:tcPr>
          <w:p w14:paraId="4F631940" w14:textId="77777777" w:rsidR="003663AF" w:rsidRPr="00B7760C" w:rsidRDefault="003663AF" w:rsidP="00E804B7">
            <w:pPr>
              <w:keepNext/>
            </w:pPr>
          </w:p>
        </w:tc>
      </w:tr>
      <w:tr w:rsidR="003663AF" w:rsidRPr="00B7760C" w14:paraId="2193634A" w14:textId="77777777" w:rsidTr="006174EB">
        <w:trPr>
          <w:jc w:val="center"/>
        </w:trPr>
        <w:tc>
          <w:tcPr>
            <w:tcW w:w="4876" w:type="dxa"/>
            <w:hideMark/>
          </w:tcPr>
          <w:p w14:paraId="6FDBA883" w14:textId="77777777" w:rsidR="003663AF" w:rsidRPr="00B7760C" w:rsidRDefault="003663AF" w:rsidP="00E804B7">
            <w:pPr>
              <w:pStyle w:val="ColumnHeading"/>
              <w:keepNext/>
            </w:pPr>
            <w:r w:rsidRPr="00B7760C">
              <w:t>Besedilo, ki ga predlaga Komisija</w:t>
            </w:r>
          </w:p>
        </w:tc>
        <w:tc>
          <w:tcPr>
            <w:tcW w:w="4876" w:type="dxa"/>
            <w:hideMark/>
          </w:tcPr>
          <w:p w14:paraId="58DC96D6" w14:textId="69ECA339" w:rsidR="003663AF" w:rsidRPr="00B7760C" w:rsidRDefault="00877691" w:rsidP="00E804B7">
            <w:pPr>
              <w:pStyle w:val="ColumnHeading"/>
              <w:keepNext/>
            </w:pPr>
            <w:r w:rsidRPr="00B7760C">
              <w:t>Sprememba</w:t>
            </w:r>
          </w:p>
        </w:tc>
      </w:tr>
      <w:tr w:rsidR="003663AF" w:rsidRPr="00B7760C" w14:paraId="154F627B" w14:textId="77777777" w:rsidTr="006174EB">
        <w:trPr>
          <w:jc w:val="center"/>
        </w:trPr>
        <w:tc>
          <w:tcPr>
            <w:tcW w:w="4876" w:type="dxa"/>
          </w:tcPr>
          <w:p w14:paraId="2E54D5AA" w14:textId="77777777" w:rsidR="003663AF" w:rsidRPr="00B7760C" w:rsidRDefault="003663AF" w:rsidP="00E804B7">
            <w:pPr>
              <w:pStyle w:val="Normal6"/>
            </w:pPr>
          </w:p>
        </w:tc>
        <w:tc>
          <w:tcPr>
            <w:tcW w:w="4876" w:type="dxa"/>
            <w:hideMark/>
          </w:tcPr>
          <w:p w14:paraId="0795B50D" w14:textId="77777777" w:rsidR="003663AF" w:rsidRPr="00B7760C" w:rsidRDefault="003663AF" w:rsidP="00E804B7">
            <w:pPr>
              <w:pStyle w:val="Normal6"/>
              <w:rPr>
                <w:szCs w:val="24"/>
              </w:rPr>
            </w:pPr>
            <w:r w:rsidRPr="00B7760C">
              <w:rPr>
                <w:b/>
                <w:i/>
              </w:rPr>
              <w:t>(ba)</w:t>
            </w:r>
            <w:r w:rsidRPr="00B7760C">
              <w:rPr>
                <w:b/>
                <w:i/>
              </w:rPr>
              <w:tab/>
              <w:t>finančne prispevke za instrument za stabilizacijo dohodka v obliki vzajemnega sklada za:</w:t>
            </w:r>
          </w:p>
        </w:tc>
      </w:tr>
      <w:tr w:rsidR="003663AF" w:rsidRPr="00B7760C" w14:paraId="6C9B5AD2" w14:textId="77777777" w:rsidTr="006174EB">
        <w:trPr>
          <w:jc w:val="center"/>
        </w:trPr>
        <w:tc>
          <w:tcPr>
            <w:tcW w:w="4876" w:type="dxa"/>
          </w:tcPr>
          <w:p w14:paraId="2181C959" w14:textId="77777777" w:rsidR="003663AF" w:rsidRPr="00B7760C" w:rsidRDefault="003663AF" w:rsidP="00E804B7">
            <w:pPr>
              <w:pStyle w:val="Normal6"/>
            </w:pPr>
          </w:p>
        </w:tc>
        <w:tc>
          <w:tcPr>
            <w:tcW w:w="4876" w:type="dxa"/>
            <w:hideMark/>
          </w:tcPr>
          <w:p w14:paraId="0B162BCF" w14:textId="013A19B9" w:rsidR="003663AF" w:rsidRPr="00B7760C" w:rsidRDefault="003663AF" w:rsidP="00E804B7">
            <w:pPr>
              <w:pStyle w:val="Normal6"/>
              <w:rPr>
                <w:szCs w:val="24"/>
              </w:rPr>
            </w:pPr>
            <w:r w:rsidRPr="00B7760C">
              <w:rPr>
                <w:b/>
                <w:i/>
              </w:rPr>
              <w:t xml:space="preserve">(i) </w:t>
            </w:r>
            <w:r w:rsidR="00E804B7" w:rsidRPr="00B7760C">
              <w:rPr>
                <w:b/>
                <w:i/>
              </w:rPr>
              <w:tab/>
            </w:r>
            <w:r w:rsidRPr="00B7760C">
              <w:rPr>
                <w:b/>
                <w:i/>
              </w:rPr>
              <w:t>nadomestila kmetom iz vseh sektorjev v primeru izrednega zmanjšanja dohodka;</w:t>
            </w:r>
          </w:p>
        </w:tc>
      </w:tr>
      <w:tr w:rsidR="003663AF" w:rsidRPr="00B7760C" w14:paraId="3BD1427F" w14:textId="77777777" w:rsidTr="006174EB">
        <w:trPr>
          <w:jc w:val="center"/>
        </w:trPr>
        <w:tc>
          <w:tcPr>
            <w:tcW w:w="4876" w:type="dxa"/>
          </w:tcPr>
          <w:p w14:paraId="1EF81417" w14:textId="77777777" w:rsidR="003663AF" w:rsidRPr="00B7760C" w:rsidRDefault="003663AF" w:rsidP="00E804B7">
            <w:pPr>
              <w:pStyle w:val="Normal6"/>
            </w:pPr>
          </w:p>
        </w:tc>
        <w:tc>
          <w:tcPr>
            <w:tcW w:w="4876" w:type="dxa"/>
            <w:hideMark/>
          </w:tcPr>
          <w:p w14:paraId="2E277C1D" w14:textId="5C637FB6" w:rsidR="003663AF" w:rsidRPr="00B7760C" w:rsidRDefault="003663AF" w:rsidP="00E804B7">
            <w:pPr>
              <w:pStyle w:val="Normal6"/>
              <w:rPr>
                <w:szCs w:val="24"/>
              </w:rPr>
            </w:pPr>
            <w:r w:rsidRPr="00B7760C">
              <w:rPr>
                <w:b/>
                <w:i/>
              </w:rPr>
              <w:t xml:space="preserve">(ii) </w:t>
            </w:r>
            <w:r w:rsidR="00E804B7" w:rsidRPr="00B7760C">
              <w:rPr>
                <w:b/>
                <w:i/>
              </w:rPr>
              <w:tab/>
            </w:r>
            <w:r w:rsidRPr="00B7760C">
              <w:rPr>
                <w:b/>
                <w:i/>
              </w:rPr>
              <w:t>nadomestila kmetom iz določenega sektorja zaradi izrednega zmanjšanja dohodka.</w:t>
            </w:r>
          </w:p>
        </w:tc>
      </w:tr>
    </w:tbl>
    <w:p w14:paraId="13618C42" w14:textId="00135520" w:rsidR="006174EB" w:rsidRPr="00B7760C" w:rsidRDefault="006174EB" w:rsidP="006174EB">
      <w:pPr>
        <w:pStyle w:val="AMNumberTabs"/>
        <w:keepNext/>
      </w:pPr>
      <w:r w:rsidRPr="00B7760C">
        <w:t>Sprememb</w:t>
      </w:r>
      <w:r w:rsidR="00060A4C" w:rsidRPr="00B7760C">
        <w:t>i</w:t>
      </w:r>
      <w:r w:rsidRPr="00B7760C">
        <w:tab/>
      </w:r>
      <w:r w:rsidRPr="00B7760C">
        <w:tab/>
        <w:t>948</w:t>
      </w:r>
      <w:r w:rsidR="00060A4C" w:rsidRPr="00B7760C">
        <w:t xml:space="preserve"> in 1270</w:t>
      </w:r>
    </w:p>
    <w:p w14:paraId="204E79E6" w14:textId="77777777" w:rsidR="006174EB" w:rsidRPr="00B7760C" w:rsidRDefault="006174EB" w:rsidP="006174EB">
      <w:pPr>
        <w:pStyle w:val="NormalBold12b"/>
      </w:pPr>
      <w:r w:rsidRPr="00B7760C">
        <w:t>Predlog uredbe</w:t>
      </w:r>
    </w:p>
    <w:p w14:paraId="7DA72FB0" w14:textId="1CF1687B" w:rsidR="006174EB" w:rsidRPr="00B7760C" w:rsidRDefault="00060A4C" w:rsidP="006174EB">
      <w:pPr>
        <w:pStyle w:val="NormalBold"/>
      </w:pPr>
      <w:r w:rsidRPr="00B7760C">
        <w:t>Člen 70 – odstavek 3 – točka b b</w:t>
      </w:r>
      <w:r w:rsidR="006174EB" w:rsidRPr="00B7760C">
        <w:t xml:space="preserve">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174EB" w:rsidRPr="00B7760C" w14:paraId="76270E60" w14:textId="77777777" w:rsidTr="005847CC">
        <w:trPr>
          <w:jc w:val="center"/>
        </w:trPr>
        <w:tc>
          <w:tcPr>
            <w:tcW w:w="9752" w:type="dxa"/>
            <w:gridSpan w:val="2"/>
          </w:tcPr>
          <w:p w14:paraId="11DD698D" w14:textId="77777777" w:rsidR="006174EB" w:rsidRPr="00B7760C" w:rsidRDefault="006174EB" w:rsidP="005847CC">
            <w:pPr>
              <w:keepNext/>
            </w:pPr>
          </w:p>
        </w:tc>
      </w:tr>
      <w:tr w:rsidR="006174EB" w:rsidRPr="00B7760C" w14:paraId="58D92BCD" w14:textId="77777777" w:rsidTr="005847CC">
        <w:trPr>
          <w:jc w:val="center"/>
        </w:trPr>
        <w:tc>
          <w:tcPr>
            <w:tcW w:w="4876" w:type="dxa"/>
            <w:hideMark/>
          </w:tcPr>
          <w:p w14:paraId="535F7601" w14:textId="77777777" w:rsidR="006174EB" w:rsidRPr="00B7760C" w:rsidRDefault="006174EB" w:rsidP="005847CC">
            <w:pPr>
              <w:pStyle w:val="ColumnHeading"/>
              <w:keepNext/>
            </w:pPr>
            <w:r w:rsidRPr="00B7760C">
              <w:t>Besedilo, ki ga predlaga Komisija</w:t>
            </w:r>
          </w:p>
        </w:tc>
        <w:tc>
          <w:tcPr>
            <w:tcW w:w="4876" w:type="dxa"/>
            <w:hideMark/>
          </w:tcPr>
          <w:p w14:paraId="103EEB65" w14:textId="77777777" w:rsidR="006174EB" w:rsidRPr="00B7760C" w:rsidRDefault="006174EB" w:rsidP="005847CC">
            <w:pPr>
              <w:pStyle w:val="ColumnHeading"/>
              <w:keepNext/>
            </w:pPr>
            <w:r w:rsidRPr="00B7760C">
              <w:t>Sprememba</w:t>
            </w:r>
          </w:p>
        </w:tc>
      </w:tr>
      <w:tr w:rsidR="00060A4C" w:rsidRPr="00B7760C" w14:paraId="6A3AA4CB" w14:textId="77777777" w:rsidTr="005847CC">
        <w:trPr>
          <w:jc w:val="center"/>
        </w:trPr>
        <w:tc>
          <w:tcPr>
            <w:tcW w:w="4876" w:type="dxa"/>
          </w:tcPr>
          <w:p w14:paraId="24C6AEA5" w14:textId="77777777" w:rsidR="00060A4C" w:rsidRPr="00B7760C" w:rsidRDefault="00060A4C" w:rsidP="005847CC">
            <w:pPr>
              <w:pStyle w:val="ColumnHeading"/>
              <w:keepNext/>
              <w:jc w:val="left"/>
            </w:pPr>
          </w:p>
        </w:tc>
        <w:tc>
          <w:tcPr>
            <w:tcW w:w="4876" w:type="dxa"/>
          </w:tcPr>
          <w:p w14:paraId="7526BD57" w14:textId="01A9DF5B" w:rsidR="00060A4C" w:rsidRPr="00B7760C" w:rsidRDefault="00060A4C" w:rsidP="005847CC">
            <w:pPr>
              <w:pStyle w:val="ColumnHeading"/>
              <w:keepNext/>
              <w:jc w:val="left"/>
            </w:pPr>
            <w:r w:rsidRPr="00B7760C">
              <w:rPr>
                <w:b/>
              </w:rPr>
              <w:t>(bb)</w:t>
            </w:r>
            <w:r w:rsidRPr="00B7760C">
              <w:tab/>
            </w:r>
            <w:r w:rsidRPr="00B7760C">
              <w:rPr>
                <w:b/>
              </w:rPr>
              <w:t>finančni prispevek za ukrepe za zmanjševanje tveganj, kot je varstvo krajinskih značilnosti in tal, ki pomagajo zmanjševati na primer tveganja zaradi suše, poplav in požarov.</w:t>
            </w:r>
          </w:p>
        </w:tc>
      </w:tr>
    </w:tbl>
    <w:p w14:paraId="65F0D36F" w14:textId="77777777" w:rsidR="003663AF" w:rsidRPr="00B7760C" w:rsidRDefault="003663AF" w:rsidP="003663AF"/>
    <w:p w14:paraId="62EC263C" w14:textId="46DD8809" w:rsidR="003663AF" w:rsidRPr="00B7760C" w:rsidRDefault="00877691" w:rsidP="00060A4C">
      <w:pPr>
        <w:pStyle w:val="AMNumberTabs"/>
        <w:keepNext/>
      </w:pPr>
      <w:r w:rsidRPr="00B7760C">
        <w:t>Sprememb</w:t>
      </w:r>
      <w:r w:rsidR="00060A4C" w:rsidRPr="00B7760C">
        <w:t>i</w:t>
      </w:r>
      <w:r w:rsidR="003663AF" w:rsidRPr="00B7760C">
        <w:tab/>
      </w:r>
      <w:r w:rsidR="003663AF" w:rsidRPr="00B7760C">
        <w:tab/>
        <w:t>491</w:t>
      </w:r>
      <w:r w:rsidR="00060A4C" w:rsidRPr="00B7760C">
        <w:t xml:space="preserve"> in 1152</w:t>
      </w:r>
      <w:r w:rsidR="005847CC" w:rsidRPr="00B7760C">
        <w:t xml:space="preserve"> </w:t>
      </w:r>
      <w:r w:rsidR="00060A4C" w:rsidRPr="00B7760C">
        <w:t>cp6</w:t>
      </w:r>
    </w:p>
    <w:p w14:paraId="1883AEA1" w14:textId="77777777" w:rsidR="003663AF" w:rsidRPr="00B7760C" w:rsidRDefault="003663AF" w:rsidP="003663AF">
      <w:pPr>
        <w:pStyle w:val="NormalBold12b"/>
      </w:pPr>
      <w:r w:rsidRPr="00B7760C">
        <w:t>Predlog uredbe</w:t>
      </w:r>
    </w:p>
    <w:p w14:paraId="0ECF205F" w14:textId="77777777" w:rsidR="003663AF" w:rsidRPr="00B7760C" w:rsidRDefault="003663AF" w:rsidP="003663AF">
      <w:pPr>
        <w:pStyle w:val="NormalBold"/>
      </w:pPr>
      <w:r w:rsidRPr="00B7760C">
        <w:t>Člen 70 – odstavek 3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F45681D" w14:textId="77777777" w:rsidTr="00E804B7">
        <w:trPr>
          <w:jc w:val="center"/>
        </w:trPr>
        <w:tc>
          <w:tcPr>
            <w:tcW w:w="9752" w:type="dxa"/>
            <w:gridSpan w:val="2"/>
          </w:tcPr>
          <w:p w14:paraId="3B1993BC" w14:textId="77777777" w:rsidR="003663AF" w:rsidRPr="00B7760C" w:rsidRDefault="003663AF" w:rsidP="00E804B7">
            <w:pPr>
              <w:keepNext/>
            </w:pPr>
          </w:p>
        </w:tc>
      </w:tr>
      <w:tr w:rsidR="003663AF" w:rsidRPr="00B7760C" w14:paraId="2AABB7B3" w14:textId="77777777" w:rsidTr="00E804B7">
        <w:trPr>
          <w:jc w:val="center"/>
        </w:trPr>
        <w:tc>
          <w:tcPr>
            <w:tcW w:w="4876" w:type="dxa"/>
            <w:hideMark/>
          </w:tcPr>
          <w:p w14:paraId="04B8120E" w14:textId="77777777" w:rsidR="003663AF" w:rsidRPr="00B7760C" w:rsidRDefault="003663AF" w:rsidP="00E804B7">
            <w:pPr>
              <w:pStyle w:val="ColumnHeading"/>
              <w:keepNext/>
            </w:pPr>
            <w:r w:rsidRPr="00B7760C">
              <w:t>Besedilo, ki ga predlaga Komisija</w:t>
            </w:r>
          </w:p>
        </w:tc>
        <w:tc>
          <w:tcPr>
            <w:tcW w:w="4876" w:type="dxa"/>
            <w:hideMark/>
          </w:tcPr>
          <w:p w14:paraId="24995DAF" w14:textId="1DBC3AAF" w:rsidR="003663AF" w:rsidRPr="00B7760C" w:rsidRDefault="00877691" w:rsidP="00E804B7">
            <w:pPr>
              <w:pStyle w:val="ColumnHeading"/>
              <w:keepNext/>
            </w:pPr>
            <w:r w:rsidRPr="00B7760C">
              <w:t>Sprememba</w:t>
            </w:r>
          </w:p>
        </w:tc>
      </w:tr>
      <w:tr w:rsidR="003663AF" w:rsidRPr="00B7760C" w14:paraId="4307D651" w14:textId="77777777" w:rsidTr="00E804B7">
        <w:trPr>
          <w:jc w:val="center"/>
        </w:trPr>
        <w:tc>
          <w:tcPr>
            <w:tcW w:w="4876" w:type="dxa"/>
          </w:tcPr>
          <w:p w14:paraId="18B31F8D" w14:textId="77777777" w:rsidR="003663AF" w:rsidRPr="00B7760C" w:rsidRDefault="003663AF" w:rsidP="00E804B7">
            <w:pPr>
              <w:pStyle w:val="Normal6"/>
            </w:pPr>
          </w:p>
        </w:tc>
        <w:tc>
          <w:tcPr>
            <w:tcW w:w="4876" w:type="dxa"/>
            <w:hideMark/>
          </w:tcPr>
          <w:p w14:paraId="2ACE2FAD" w14:textId="3BB8939E" w:rsidR="003663AF" w:rsidRPr="00B7760C" w:rsidRDefault="003663AF" w:rsidP="00E804B7">
            <w:pPr>
              <w:pStyle w:val="Normal6"/>
              <w:rPr>
                <w:szCs w:val="24"/>
              </w:rPr>
            </w:pPr>
            <w:r w:rsidRPr="00B7760C">
              <w:rPr>
                <w:b/>
                <w:i/>
              </w:rPr>
              <w:t>3a.</w:t>
            </w:r>
            <w:r w:rsidRPr="00B7760C">
              <w:rPr>
                <w:b/>
                <w:i/>
              </w:rPr>
              <w:tab/>
              <w:t>Države članice finančne prispevke za vzajemne sklade iz točk (b) in (</w:t>
            </w:r>
            <w:r w:rsidR="00060A4C" w:rsidRPr="00B7760C">
              <w:rPr>
                <w:b/>
                <w:i/>
              </w:rPr>
              <w:t>ba</w:t>
            </w:r>
            <w:r w:rsidRPr="00B7760C">
              <w:rPr>
                <w:b/>
                <w:i/>
              </w:rPr>
              <w:t>) odstavka 3 omejijo na:</w:t>
            </w:r>
          </w:p>
        </w:tc>
      </w:tr>
      <w:tr w:rsidR="003663AF" w:rsidRPr="00B7760C" w14:paraId="5F0BE2E9" w14:textId="77777777" w:rsidTr="00E804B7">
        <w:trPr>
          <w:jc w:val="center"/>
        </w:trPr>
        <w:tc>
          <w:tcPr>
            <w:tcW w:w="4876" w:type="dxa"/>
          </w:tcPr>
          <w:p w14:paraId="1EB5AC6E" w14:textId="77777777" w:rsidR="003663AF" w:rsidRPr="00B7760C" w:rsidRDefault="003663AF" w:rsidP="00E804B7">
            <w:pPr>
              <w:pStyle w:val="Normal6"/>
            </w:pPr>
          </w:p>
        </w:tc>
        <w:tc>
          <w:tcPr>
            <w:tcW w:w="4876" w:type="dxa"/>
            <w:hideMark/>
          </w:tcPr>
          <w:p w14:paraId="3AA4CAFB" w14:textId="7143C1D2" w:rsidR="003663AF" w:rsidRPr="00B7760C" w:rsidRDefault="003663AF" w:rsidP="00E804B7">
            <w:pPr>
              <w:pStyle w:val="Normal6"/>
              <w:rPr>
                <w:szCs w:val="24"/>
              </w:rPr>
            </w:pPr>
            <w:r w:rsidRPr="00B7760C">
              <w:rPr>
                <w:b/>
                <w:i/>
              </w:rPr>
              <w:t xml:space="preserve">(a) </w:t>
            </w:r>
            <w:r w:rsidR="00E804B7" w:rsidRPr="00B7760C">
              <w:rPr>
                <w:b/>
                <w:i/>
              </w:rPr>
              <w:tab/>
            </w:r>
            <w:r w:rsidRPr="00B7760C">
              <w:rPr>
                <w:b/>
                <w:i/>
              </w:rPr>
              <w:t>upravne stroške ustanovitve vzajemnega sklada, porazdeljene na največ tri leta na podlagi postopnega zniževanja;</w:t>
            </w:r>
          </w:p>
        </w:tc>
      </w:tr>
      <w:tr w:rsidR="003663AF" w:rsidRPr="00B7760C" w14:paraId="4E40837B" w14:textId="77777777" w:rsidTr="00E804B7">
        <w:trPr>
          <w:jc w:val="center"/>
        </w:trPr>
        <w:tc>
          <w:tcPr>
            <w:tcW w:w="4876" w:type="dxa"/>
          </w:tcPr>
          <w:p w14:paraId="660CFBC7" w14:textId="77777777" w:rsidR="003663AF" w:rsidRPr="00B7760C" w:rsidRDefault="003663AF" w:rsidP="00E804B7">
            <w:pPr>
              <w:pStyle w:val="Normal6"/>
            </w:pPr>
          </w:p>
        </w:tc>
        <w:tc>
          <w:tcPr>
            <w:tcW w:w="4876" w:type="dxa"/>
            <w:hideMark/>
          </w:tcPr>
          <w:p w14:paraId="1B23FA28" w14:textId="2BA1E690" w:rsidR="003663AF" w:rsidRPr="00B7760C" w:rsidRDefault="003663AF" w:rsidP="00E804B7">
            <w:pPr>
              <w:pStyle w:val="Normal6"/>
              <w:rPr>
                <w:szCs w:val="24"/>
              </w:rPr>
            </w:pPr>
            <w:r w:rsidRPr="00B7760C">
              <w:rPr>
                <w:b/>
                <w:i/>
              </w:rPr>
              <w:t xml:space="preserve">(b) </w:t>
            </w:r>
            <w:r w:rsidR="00E804B7" w:rsidRPr="00B7760C">
              <w:rPr>
                <w:b/>
                <w:i/>
              </w:rPr>
              <w:tab/>
            </w:r>
            <w:r w:rsidRPr="00B7760C">
              <w:rPr>
                <w:b/>
                <w:i/>
              </w:rPr>
              <w:t>zneske, ki jih vzajemni sklad izplača kmetom kot finančno nadomestilo. Poleg tega se lahko finančni prispevki nanašajo na obresti za komercialna posojila, ki jih vzajemni sklad najame za izplačilo finančnega nadomestila kmetom v primeru krize;</w:t>
            </w:r>
          </w:p>
        </w:tc>
      </w:tr>
      <w:tr w:rsidR="003663AF" w:rsidRPr="00B7760C" w14:paraId="13212E39" w14:textId="77777777" w:rsidTr="00E804B7">
        <w:trPr>
          <w:jc w:val="center"/>
        </w:trPr>
        <w:tc>
          <w:tcPr>
            <w:tcW w:w="4876" w:type="dxa"/>
          </w:tcPr>
          <w:p w14:paraId="1C00F34E" w14:textId="77777777" w:rsidR="003663AF" w:rsidRPr="00B7760C" w:rsidRDefault="003663AF" w:rsidP="00E804B7">
            <w:pPr>
              <w:pStyle w:val="Normal6"/>
            </w:pPr>
          </w:p>
        </w:tc>
        <w:tc>
          <w:tcPr>
            <w:tcW w:w="4876" w:type="dxa"/>
            <w:hideMark/>
          </w:tcPr>
          <w:p w14:paraId="6B82C735" w14:textId="130D3DDD" w:rsidR="003663AF" w:rsidRPr="00B7760C" w:rsidRDefault="003663AF" w:rsidP="00E804B7">
            <w:pPr>
              <w:pStyle w:val="Normal6"/>
              <w:rPr>
                <w:szCs w:val="24"/>
              </w:rPr>
            </w:pPr>
            <w:r w:rsidRPr="00B7760C">
              <w:rPr>
                <w:b/>
                <w:i/>
              </w:rPr>
              <w:t xml:space="preserve">(c) </w:t>
            </w:r>
            <w:r w:rsidR="00E804B7" w:rsidRPr="00B7760C">
              <w:rPr>
                <w:b/>
                <w:i/>
              </w:rPr>
              <w:tab/>
            </w:r>
            <w:r w:rsidRPr="00B7760C">
              <w:rPr>
                <w:b/>
                <w:i/>
              </w:rPr>
              <w:t>dopolnjevanje letnih plačil v sklad;</w:t>
            </w:r>
          </w:p>
        </w:tc>
      </w:tr>
      <w:tr w:rsidR="003663AF" w:rsidRPr="00B7760C" w14:paraId="7920B53F" w14:textId="77777777" w:rsidTr="00E804B7">
        <w:trPr>
          <w:jc w:val="center"/>
        </w:trPr>
        <w:tc>
          <w:tcPr>
            <w:tcW w:w="4876" w:type="dxa"/>
          </w:tcPr>
          <w:p w14:paraId="7AF6FED2" w14:textId="77777777" w:rsidR="003663AF" w:rsidRPr="00B7760C" w:rsidRDefault="003663AF" w:rsidP="00E804B7">
            <w:pPr>
              <w:pStyle w:val="Normal6"/>
            </w:pPr>
          </w:p>
        </w:tc>
        <w:tc>
          <w:tcPr>
            <w:tcW w:w="4876" w:type="dxa"/>
            <w:hideMark/>
          </w:tcPr>
          <w:p w14:paraId="709AAE61" w14:textId="3A7CD3E2" w:rsidR="003663AF" w:rsidRPr="00B7760C" w:rsidRDefault="003663AF" w:rsidP="00E804B7">
            <w:pPr>
              <w:pStyle w:val="Normal6"/>
              <w:rPr>
                <w:szCs w:val="24"/>
              </w:rPr>
            </w:pPr>
            <w:r w:rsidRPr="00B7760C">
              <w:rPr>
                <w:b/>
                <w:i/>
              </w:rPr>
              <w:t xml:space="preserve">(d) </w:t>
            </w:r>
            <w:r w:rsidR="00E804B7" w:rsidRPr="00B7760C">
              <w:rPr>
                <w:b/>
                <w:i/>
              </w:rPr>
              <w:tab/>
            </w:r>
            <w:r w:rsidRPr="00B7760C">
              <w:rPr>
                <w:b/>
                <w:i/>
              </w:rPr>
              <w:t>začetni kapital vzajemnega sklada.</w:t>
            </w:r>
          </w:p>
        </w:tc>
      </w:tr>
    </w:tbl>
    <w:p w14:paraId="76D63562" w14:textId="77777777" w:rsidR="003663AF" w:rsidRPr="00B7760C" w:rsidRDefault="003663AF" w:rsidP="003663AF"/>
    <w:p w14:paraId="12CAE86A" w14:textId="3303DFC7" w:rsidR="003663AF" w:rsidRPr="00B7760C" w:rsidRDefault="00877691" w:rsidP="00060A4C">
      <w:pPr>
        <w:pStyle w:val="AMNumberTabs"/>
        <w:keepNext/>
      </w:pPr>
      <w:r w:rsidRPr="00B7760C">
        <w:t>Sprememb</w:t>
      </w:r>
      <w:r w:rsidR="00060A4C" w:rsidRPr="00B7760C">
        <w:t>i</w:t>
      </w:r>
      <w:r w:rsidR="003663AF" w:rsidRPr="00B7760C">
        <w:tab/>
      </w:r>
      <w:r w:rsidR="003663AF" w:rsidRPr="00B7760C">
        <w:tab/>
        <w:t>492</w:t>
      </w:r>
      <w:r w:rsidR="00060A4C" w:rsidRPr="00B7760C">
        <w:t xml:space="preserve"> in 1152</w:t>
      </w:r>
      <w:r w:rsidR="005847CC" w:rsidRPr="00B7760C">
        <w:t xml:space="preserve"> </w:t>
      </w:r>
      <w:r w:rsidR="00060A4C" w:rsidRPr="00B7760C">
        <w:t>cp7</w:t>
      </w:r>
    </w:p>
    <w:p w14:paraId="0D42EF12" w14:textId="77777777" w:rsidR="003663AF" w:rsidRPr="00B7760C" w:rsidRDefault="003663AF" w:rsidP="003663AF">
      <w:pPr>
        <w:pStyle w:val="NormalBold12b"/>
      </w:pPr>
      <w:r w:rsidRPr="00B7760C">
        <w:t>Predlog uredbe</w:t>
      </w:r>
    </w:p>
    <w:p w14:paraId="5BDA40BB" w14:textId="77777777" w:rsidR="003663AF" w:rsidRPr="00B7760C" w:rsidRDefault="003663AF" w:rsidP="003663AF">
      <w:pPr>
        <w:pStyle w:val="NormalBold"/>
      </w:pPr>
      <w:r w:rsidRPr="00B7760C">
        <w:t>Člen 70 – odstavek 4 – točka 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C93DFC2" w14:textId="77777777" w:rsidTr="00E804B7">
        <w:trPr>
          <w:jc w:val="center"/>
        </w:trPr>
        <w:tc>
          <w:tcPr>
            <w:tcW w:w="9752" w:type="dxa"/>
            <w:gridSpan w:val="2"/>
          </w:tcPr>
          <w:p w14:paraId="5EF232CE" w14:textId="77777777" w:rsidR="003663AF" w:rsidRPr="00B7760C" w:rsidRDefault="003663AF" w:rsidP="00E804B7">
            <w:pPr>
              <w:keepNext/>
            </w:pPr>
          </w:p>
        </w:tc>
      </w:tr>
      <w:tr w:rsidR="003663AF" w:rsidRPr="00B7760C" w14:paraId="0E1E9913" w14:textId="77777777" w:rsidTr="00E804B7">
        <w:trPr>
          <w:jc w:val="center"/>
        </w:trPr>
        <w:tc>
          <w:tcPr>
            <w:tcW w:w="4876" w:type="dxa"/>
            <w:hideMark/>
          </w:tcPr>
          <w:p w14:paraId="1FFBBD91" w14:textId="77777777" w:rsidR="003663AF" w:rsidRPr="00B7760C" w:rsidRDefault="003663AF" w:rsidP="00E804B7">
            <w:pPr>
              <w:pStyle w:val="ColumnHeading"/>
              <w:keepNext/>
            </w:pPr>
            <w:r w:rsidRPr="00B7760C">
              <w:t>Besedilo, ki ga predlaga Komisija</w:t>
            </w:r>
          </w:p>
        </w:tc>
        <w:tc>
          <w:tcPr>
            <w:tcW w:w="4876" w:type="dxa"/>
            <w:hideMark/>
          </w:tcPr>
          <w:p w14:paraId="17A41DF9" w14:textId="590738D6" w:rsidR="003663AF" w:rsidRPr="00B7760C" w:rsidRDefault="00877691" w:rsidP="00E804B7">
            <w:pPr>
              <w:pStyle w:val="ColumnHeading"/>
              <w:keepNext/>
            </w:pPr>
            <w:r w:rsidRPr="00B7760C">
              <w:t>Sprememba</w:t>
            </w:r>
          </w:p>
        </w:tc>
      </w:tr>
      <w:tr w:rsidR="003663AF" w:rsidRPr="00B7760C" w14:paraId="6E28751D" w14:textId="77777777" w:rsidTr="00E804B7">
        <w:trPr>
          <w:jc w:val="center"/>
        </w:trPr>
        <w:tc>
          <w:tcPr>
            <w:tcW w:w="4876" w:type="dxa"/>
            <w:hideMark/>
          </w:tcPr>
          <w:p w14:paraId="46E3298C" w14:textId="77777777" w:rsidR="003663AF" w:rsidRPr="00B7760C" w:rsidRDefault="003663AF" w:rsidP="00E804B7">
            <w:pPr>
              <w:pStyle w:val="Normal6"/>
            </w:pPr>
            <w:r w:rsidRPr="00B7760C">
              <w:t>(a)</w:t>
            </w:r>
            <w:r w:rsidRPr="00B7760C">
              <w:tab/>
              <w:t xml:space="preserve">vrste in kritje upravičenih zavarovalnih shem </w:t>
            </w:r>
            <w:r w:rsidRPr="00B7760C">
              <w:rPr>
                <w:b/>
                <w:i/>
              </w:rPr>
              <w:t xml:space="preserve">in </w:t>
            </w:r>
            <w:r w:rsidRPr="00B7760C">
              <w:t>vzajemnih skladov;</w:t>
            </w:r>
          </w:p>
        </w:tc>
        <w:tc>
          <w:tcPr>
            <w:tcW w:w="4876" w:type="dxa"/>
            <w:hideMark/>
          </w:tcPr>
          <w:p w14:paraId="13BDA9D1" w14:textId="77777777" w:rsidR="003663AF" w:rsidRPr="00B7760C" w:rsidRDefault="003663AF" w:rsidP="00E804B7">
            <w:pPr>
              <w:pStyle w:val="Normal6"/>
              <w:rPr>
                <w:szCs w:val="24"/>
              </w:rPr>
            </w:pPr>
            <w:r w:rsidRPr="00B7760C">
              <w:t>(a)</w:t>
            </w:r>
            <w:r w:rsidRPr="00B7760C">
              <w:tab/>
              <w:t>vrste in kritje upravičenih zavarovalnih shem</w:t>
            </w:r>
            <w:r w:rsidRPr="00B7760C">
              <w:rPr>
                <w:b/>
                <w:i/>
              </w:rPr>
              <w:t xml:space="preserve">, </w:t>
            </w:r>
            <w:r w:rsidRPr="00B7760C">
              <w:t xml:space="preserve">vzajemnih skladov </w:t>
            </w:r>
            <w:r w:rsidRPr="00B7760C">
              <w:rPr>
                <w:b/>
                <w:i/>
              </w:rPr>
              <w:t>in instrumentov za stabilizacijo dohodka</w:t>
            </w:r>
            <w:r w:rsidRPr="00B7760C">
              <w:t>;</w:t>
            </w:r>
          </w:p>
        </w:tc>
      </w:tr>
    </w:tbl>
    <w:p w14:paraId="2121D099" w14:textId="77777777" w:rsidR="003663AF" w:rsidRPr="00B7760C" w:rsidRDefault="003663AF" w:rsidP="003663AF"/>
    <w:p w14:paraId="294C4930" w14:textId="183ACEE0" w:rsidR="003663AF" w:rsidRPr="00B7760C" w:rsidRDefault="00877691" w:rsidP="00060A4C">
      <w:pPr>
        <w:pStyle w:val="AMNumberTabs"/>
        <w:keepNext/>
      </w:pPr>
      <w:r w:rsidRPr="00B7760C">
        <w:t>Sprememb</w:t>
      </w:r>
      <w:r w:rsidR="00060A4C" w:rsidRPr="00B7760C">
        <w:t>e</w:t>
      </w:r>
      <w:r w:rsidR="003663AF" w:rsidRPr="00B7760C">
        <w:tab/>
        <w:t>493</w:t>
      </w:r>
      <w:r w:rsidR="00060A4C" w:rsidRPr="00B7760C">
        <w:t>, 1071, 1152 cp8 in 1272</w:t>
      </w:r>
    </w:p>
    <w:p w14:paraId="6EA0747A" w14:textId="77777777" w:rsidR="003663AF" w:rsidRPr="00B7760C" w:rsidRDefault="003663AF" w:rsidP="003663AF">
      <w:pPr>
        <w:pStyle w:val="NormalBold12b"/>
      </w:pPr>
      <w:r w:rsidRPr="00B7760C">
        <w:t>Predlog uredbe</w:t>
      </w:r>
    </w:p>
    <w:p w14:paraId="1CA15572" w14:textId="77777777" w:rsidR="003663AF" w:rsidRPr="00B7760C" w:rsidRDefault="003663AF" w:rsidP="003663AF">
      <w:pPr>
        <w:pStyle w:val="NormalBold"/>
      </w:pPr>
      <w:r w:rsidRPr="00B7760C">
        <w:t>Člen 70 – odstavek 4 – točka b</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6F729A1" w14:textId="77777777" w:rsidTr="00060A4C">
        <w:trPr>
          <w:jc w:val="center"/>
        </w:trPr>
        <w:tc>
          <w:tcPr>
            <w:tcW w:w="9752" w:type="dxa"/>
            <w:gridSpan w:val="2"/>
          </w:tcPr>
          <w:p w14:paraId="7457CA42" w14:textId="77777777" w:rsidR="003663AF" w:rsidRPr="00B7760C" w:rsidRDefault="003663AF" w:rsidP="00E804B7">
            <w:pPr>
              <w:keepNext/>
            </w:pPr>
          </w:p>
        </w:tc>
      </w:tr>
      <w:tr w:rsidR="003663AF" w:rsidRPr="00B7760C" w14:paraId="7BB90106" w14:textId="77777777" w:rsidTr="00060A4C">
        <w:trPr>
          <w:jc w:val="center"/>
        </w:trPr>
        <w:tc>
          <w:tcPr>
            <w:tcW w:w="4876" w:type="dxa"/>
            <w:hideMark/>
          </w:tcPr>
          <w:p w14:paraId="3304F5CF" w14:textId="77777777" w:rsidR="003663AF" w:rsidRPr="00B7760C" w:rsidRDefault="003663AF" w:rsidP="00E804B7">
            <w:pPr>
              <w:pStyle w:val="ColumnHeading"/>
              <w:keepNext/>
            </w:pPr>
            <w:r w:rsidRPr="00B7760C">
              <w:t>Besedilo, ki ga predlaga Komisija</w:t>
            </w:r>
          </w:p>
        </w:tc>
        <w:tc>
          <w:tcPr>
            <w:tcW w:w="4876" w:type="dxa"/>
            <w:hideMark/>
          </w:tcPr>
          <w:p w14:paraId="6056C463" w14:textId="2A2B27DA" w:rsidR="003663AF" w:rsidRPr="00B7760C" w:rsidRDefault="00877691" w:rsidP="00E804B7">
            <w:pPr>
              <w:pStyle w:val="ColumnHeading"/>
              <w:keepNext/>
            </w:pPr>
            <w:r w:rsidRPr="00B7760C">
              <w:t>Sprememba</w:t>
            </w:r>
          </w:p>
        </w:tc>
      </w:tr>
      <w:tr w:rsidR="003663AF" w:rsidRPr="00B7760C" w14:paraId="23CECDB4" w14:textId="77777777" w:rsidTr="00060A4C">
        <w:trPr>
          <w:jc w:val="center"/>
        </w:trPr>
        <w:tc>
          <w:tcPr>
            <w:tcW w:w="4876" w:type="dxa"/>
            <w:hideMark/>
          </w:tcPr>
          <w:p w14:paraId="03693513" w14:textId="77777777" w:rsidR="003663AF" w:rsidRPr="00B7760C" w:rsidRDefault="003663AF" w:rsidP="00E804B7">
            <w:pPr>
              <w:pStyle w:val="Normal6"/>
            </w:pPr>
            <w:r w:rsidRPr="00B7760C">
              <w:t>(b)</w:t>
            </w:r>
            <w:r w:rsidRPr="00B7760C">
              <w:tab/>
              <w:t>metodologijo za izračun izgub in sprožilne dejavnike za nadomestilo;</w:t>
            </w:r>
          </w:p>
        </w:tc>
        <w:tc>
          <w:tcPr>
            <w:tcW w:w="4876" w:type="dxa"/>
            <w:hideMark/>
          </w:tcPr>
          <w:p w14:paraId="7625D0F9" w14:textId="77777777" w:rsidR="003663AF" w:rsidRPr="00B7760C" w:rsidRDefault="003663AF" w:rsidP="00E804B7">
            <w:pPr>
              <w:pStyle w:val="Normal6"/>
              <w:rPr>
                <w:szCs w:val="24"/>
              </w:rPr>
            </w:pPr>
            <w:r w:rsidRPr="00B7760C">
              <w:t>(b)</w:t>
            </w:r>
            <w:r w:rsidRPr="00B7760C">
              <w:tab/>
              <w:t>metodologijo za izračun izgub in sprožilne dejavnike za nadomestilo</w:t>
            </w:r>
            <w:r w:rsidRPr="00B7760C">
              <w:rPr>
                <w:b/>
                <w:i/>
              </w:rPr>
              <w:t>, tudi z uporabo bioloških, podnebnih ali gospodarskih indeksov, ki se uporabijo na ravni kmetijskega gospodarstva ali na lokalni, regionalni in nacionalni ravni</w:t>
            </w:r>
            <w:r w:rsidRPr="00B7760C">
              <w:t>;</w:t>
            </w:r>
          </w:p>
        </w:tc>
      </w:tr>
    </w:tbl>
    <w:p w14:paraId="5FA73A77" w14:textId="623F0593" w:rsidR="00060A4C" w:rsidRPr="00B7760C" w:rsidRDefault="00060A4C" w:rsidP="00060A4C">
      <w:pPr>
        <w:pStyle w:val="AMNumberTabs"/>
        <w:keepNext/>
      </w:pPr>
      <w:r w:rsidRPr="00B7760C">
        <w:t>Sprememba</w:t>
      </w:r>
      <w:r w:rsidRPr="00B7760C">
        <w:tab/>
      </w:r>
      <w:r w:rsidRPr="00B7760C">
        <w:tab/>
        <w:t>1152 cp9</w:t>
      </w:r>
    </w:p>
    <w:p w14:paraId="2D7AD0A8" w14:textId="77777777" w:rsidR="00060A4C" w:rsidRPr="00B7760C" w:rsidRDefault="00060A4C" w:rsidP="00060A4C">
      <w:pPr>
        <w:pStyle w:val="NormalBold12b"/>
      </w:pPr>
      <w:r w:rsidRPr="00B7760C">
        <w:t>Predlog uredbe</w:t>
      </w:r>
    </w:p>
    <w:p w14:paraId="5BA3864F" w14:textId="132238BB" w:rsidR="00060A4C" w:rsidRPr="00B7760C" w:rsidRDefault="00060A4C" w:rsidP="00060A4C">
      <w:pPr>
        <w:pStyle w:val="NormalBold"/>
      </w:pPr>
      <w:r w:rsidRPr="00B7760C">
        <w:t>Člen 70 – odstavek 5</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60A4C" w:rsidRPr="00B7760C" w14:paraId="48403B20" w14:textId="77777777" w:rsidTr="005847CC">
        <w:trPr>
          <w:jc w:val="center"/>
        </w:trPr>
        <w:tc>
          <w:tcPr>
            <w:tcW w:w="9752" w:type="dxa"/>
            <w:gridSpan w:val="2"/>
          </w:tcPr>
          <w:p w14:paraId="2B647744" w14:textId="77777777" w:rsidR="00060A4C" w:rsidRPr="00B7760C" w:rsidRDefault="00060A4C" w:rsidP="005847CC">
            <w:pPr>
              <w:keepNext/>
            </w:pPr>
          </w:p>
        </w:tc>
      </w:tr>
      <w:tr w:rsidR="00060A4C" w:rsidRPr="00B7760C" w14:paraId="00E4A322" w14:textId="77777777" w:rsidTr="005847CC">
        <w:trPr>
          <w:jc w:val="center"/>
        </w:trPr>
        <w:tc>
          <w:tcPr>
            <w:tcW w:w="4876" w:type="dxa"/>
            <w:hideMark/>
          </w:tcPr>
          <w:p w14:paraId="63292924" w14:textId="77777777" w:rsidR="00060A4C" w:rsidRPr="00B7760C" w:rsidRDefault="00060A4C" w:rsidP="005847CC">
            <w:pPr>
              <w:pStyle w:val="ColumnHeading"/>
              <w:keepNext/>
            </w:pPr>
            <w:r w:rsidRPr="00B7760C">
              <w:t>Besedilo, ki ga predlaga Komisija</w:t>
            </w:r>
          </w:p>
        </w:tc>
        <w:tc>
          <w:tcPr>
            <w:tcW w:w="4876" w:type="dxa"/>
            <w:hideMark/>
          </w:tcPr>
          <w:p w14:paraId="3D1C4735" w14:textId="77777777" w:rsidR="00060A4C" w:rsidRPr="00B7760C" w:rsidRDefault="00060A4C" w:rsidP="005847CC">
            <w:pPr>
              <w:pStyle w:val="ColumnHeading"/>
              <w:keepNext/>
            </w:pPr>
            <w:r w:rsidRPr="00B7760C">
              <w:t>Sprememba</w:t>
            </w:r>
          </w:p>
        </w:tc>
      </w:tr>
      <w:tr w:rsidR="00060A4C" w:rsidRPr="00B7760C" w14:paraId="038D78D1" w14:textId="77777777" w:rsidTr="005847CC">
        <w:trPr>
          <w:jc w:val="center"/>
        </w:trPr>
        <w:tc>
          <w:tcPr>
            <w:tcW w:w="4876" w:type="dxa"/>
          </w:tcPr>
          <w:p w14:paraId="5E5311E3" w14:textId="7120D0E5" w:rsidR="00060A4C" w:rsidRPr="00B7760C" w:rsidRDefault="00060A4C" w:rsidP="005847CC">
            <w:pPr>
              <w:pStyle w:val="Normal6"/>
            </w:pPr>
            <w:r w:rsidRPr="00B7760C">
              <w:t>5.</w:t>
            </w:r>
            <w:r w:rsidRPr="00B7760C">
              <w:tab/>
              <w:t>Države članice zagotovijo, da se podpora odobri le za kritje izgub v višini najmanj 20 % povprečne letne proizvodnje ali dohodkov kmeta v predhodnem triletnem obdobju ali triletnega povprečja na podlagi predhodnega petletnega obdobja, pri čemer sta izključeni najvišja in najnižja vrednost.</w:t>
            </w:r>
          </w:p>
        </w:tc>
        <w:tc>
          <w:tcPr>
            <w:tcW w:w="4876" w:type="dxa"/>
          </w:tcPr>
          <w:p w14:paraId="33E216B2" w14:textId="1B1A4B84" w:rsidR="00060A4C" w:rsidRPr="00B7760C" w:rsidRDefault="00060A4C" w:rsidP="005847CC">
            <w:pPr>
              <w:pStyle w:val="Normal6"/>
              <w:rPr>
                <w:szCs w:val="24"/>
              </w:rPr>
            </w:pPr>
            <w:r w:rsidRPr="00B7760C">
              <w:t>5.</w:t>
            </w:r>
            <w:r w:rsidRPr="00B7760C">
              <w:tab/>
              <w:t xml:space="preserve">Države članice zagotovijo, da se podpora odobri le za </w:t>
            </w:r>
            <w:r w:rsidRPr="00B7760C">
              <w:rPr>
                <w:b/>
                <w:i/>
              </w:rPr>
              <w:t>kritje</w:t>
            </w:r>
            <w:r w:rsidRPr="00B7760C">
              <w:t xml:space="preserve"> izgub v višini najmanj 20 % povprečne letne proizvodnje</w:t>
            </w:r>
            <w:r w:rsidRPr="00B7760C">
              <w:rPr>
                <w:b/>
                <w:i/>
              </w:rPr>
              <w:t xml:space="preserve"> zadevnega proizvoda</w:t>
            </w:r>
            <w:r w:rsidRPr="00B7760C">
              <w:t xml:space="preserve"> ali dohodkov kmeta v predhodnem triletnem obdobju ali triletnega povprečja na podlagi predhodnega petletnega obdobja, pri čemer sta izključeni najvišja in najnižja vrednost. </w:t>
            </w:r>
            <w:r w:rsidRPr="00B7760C">
              <w:rPr>
                <w:b/>
                <w:i/>
              </w:rPr>
              <w:t>Za izgube pri proizvodnji se to obdobje lahko podaljša na štiriletno obdobje ali povprečje na podlagi predhodnega osemletnega obdobja, pri čemer sta izključeni najvišja in najnižja vrednost.</w:t>
            </w:r>
          </w:p>
        </w:tc>
      </w:tr>
    </w:tbl>
    <w:p w14:paraId="4FB645EF" w14:textId="77777777" w:rsidR="003663AF" w:rsidRPr="00B7760C" w:rsidRDefault="003663AF" w:rsidP="003663AF"/>
    <w:p w14:paraId="1EA5CFF9" w14:textId="231F13A9" w:rsidR="003663AF" w:rsidRPr="00B7760C" w:rsidRDefault="00877691" w:rsidP="00060A4C">
      <w:pPr>
        <w:pStyle w:val="AMNumberTabs"/>
        <w:keepNext/>
      </w:pPr>
      <w:r w:rsidRPr="00B7760C">
        <w:t>Sprememb</w:t>
      </w:r>
      <w:r w:rsidR="00060A4C" w:rsidRPr="00B7760C">
        <w:t>i</w:t>
      </w:r>
      <w:r w:rsidR="003663AF" w:rsidRPr="00B7760C">
        <w:tab/>
      </w:r>
      <w:r w:rsidR="003663AF" w:rsidRPr="00B7760C">
        <w:tab/>
        <w:t>494</w:t>
      </w:r>
      <w:r w:rsidR="00060A4C" w:rsidRPr="00B7760C">
        <w:t>, 1074 in 1152 cp10</w:t>
      </w:r>
    </w:p>
    <w:p w14:paraId="5A283762" w14:textId="77777777" w:rsidR="003663AF" w:rsidRPr="00B7760C" w:rsidRDefault="003663AF" w:rsidP="003663AF">
      <w:pPr>
        <w:pStyle w:val="NormalBold12b"/>
      </w:pPr>
      <w:r w:rsidRPr="00B7760C">
        <w:t>Predlog uredbe</w:t>
      </w:r>
    </w:p>
    <w:p w14:paraId="53E17FB8" w14:textId="77777777" w:rsidR="003663AF" w:rsidRPr="00B7760C" w:rsidRDefault="003663AF" w:rsidP="003663AF">
      <w:pPr>
        <w:pStyle w:val="NormalBold"/>
      </w:pPr>
      <w:r w:rsidRPr="00B7760C">
        <w:t>Člen 70 – odstavek 6</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2A7E77D" w14:textId="77777777" w:rsidTr="00060A4C">
        <w:trPr>
          <w:jc w:val="center"/>
        </w:trPr>
        <w:tc>
          <w:tcPr>
            <w:tcW w:w="9752" w:type="dxa"/>
            <w:gridSpan w:val="2"/>
          </w:tcPr>
          <w:p w14:paraId="0CED9CE0" w14:textId="77777777" w:rsidR="003663AF" w:rsidRPr="00B7760C" w:rsidRDefault="003663AF" w:rsidP="00E804B7">
            <w:pPr>
              <w:keepNext/>
            </w:pPr>
          </w:p>
        </w:tc>
      </w:tr>
      <w:tr w:rsidR="003663AF" w:rsidRPr="00B7760C" w14:paraId="070A1684" w14:textId="77777777" w:rsidTr="00060A4C">
        <w:trPr>
          <w:jc w:val="center"/>
        </w:trPr>
        <w:tc>
          <w:tcPr>
            <w:tcW w:w="4876" w:type="dxa"/>
            <w:hideMark/>
          </w:tcPr>
          <w:p w14:paraId="4E685D08" w14:textId="77777777" w:rsidR="003663AF" w:rsidRPr="00B7760C" w:rsidRDefault="003663AF" w:rsidP="00E804B7">
            <w:pPr>
              <w:pStyle w:val="ColumnHeading"/>
              <w:keepNext/>
            </w:pPr>
            <w:r w:rsidRPr="00B7760C">
              <w:t>Besedilo, ki ga predlaga Komisija</w:t>
            </w:r>
          </w:p>
        </w:tc>
        <w:tc>
          <w:tcPr>
            <w:tcW w:w="4876" w:type="dxa"/>
            <w:hideMark/>
          </w:tcPr>
          <w:p w14:paraId="14C5E5B5" w14:textId="4AA0B65C" w:rsidR="003663AF" w:rsidRPr="00B7760C" w:rsidRDefault="00877691" w:rsidP="00E804B7">
            <w:pPr>
              <w:pStyle w:val="ColumnHeading"/>
              <w:keepNext/>
            </w:pPr>
            <w:r w:rsidRPr="00B7760C">
              <w:t>Sprememba</w:t>
            </w:r>
          </w:p>
        </w:tc>
      </w:tr>
      <w:tr w:rsidR="003663AF" w:rsidRPr="00B7760C" w14:paraId="320ADA3B" w14:textId="77777777" w:rsidTr="00060A4C">
        <w:trPr>
          <w:jc w:val="center"/>
        </w:trPr>
        <w:tc>
          <w:tcPr>
            <w:tcW w:w="4876" w:type="dxa"/>
            <w:hideMark/>
          </w:tcPr>
          <w:p w14:paraId="290E7D8D" w14:textId="77777777" w:rsidR="003663AF" w:rsidRPr="00B7760C" w:rsidRDefault="003663AF" w:rsidP="00E804B7">
            <w:pPr>
              <w:pStyle w:val="Normal6"/>
            </w:pPr>
            <w:r w:rsidRPr="00B7760C">
              <w:t>6.</w:t>
            </w:r>
            <w:r w:rsidRPr="00B7760C">
              <w:tab/>
              <w:t xml:space="preserve">Države članice podporo omejijo na najvišjo stopnjo </w:t>
            </w:r>
            <w:r w:rsidRPr="00B7760C">
              <w:rPr>
                <w:b/>
                <w:i/>
              </w:rPr>
              <w:t xml:space="preserve">70 % </w:t>
            </w:r>
            <w:r w:rsidRPr="00B7760C">
              <w:t>upravičenih stroškov.</w:t>
            </w:r>
          </w:p>
        </w:tc>
        <w:tc>
          <w:tcPr>
            <w:tcW w:w="4876" w:type="dxa"/>
            <w:hideMark/>
          </w:tcPr>
          <w:p w14:paraId="2BF35B85" w14:textId="77777777" w:rsidR="003663AF" w:rsidRPr="00B7760C" w:rsidRDefault="003663AF" w:rsidP="00E804B7">
            <w:pPr>
              <w:pStyle w:val="Normal6"/>
              <w:rPr>
                <w:szCs w:val="24"/>
              </w:rPr>
            </w:pPr>
            <w:r w:rsidRPr="00B7760C">
              <w:t>6.</w:t>
            </w:r>
            <w:r w:rsidRPr="00B7760C">
              <w:tab/>
              <w:t>Države članice podporo omejijo na najvišjo stopnjo upravičenih stroškov</w:t>
            </w:r>
            <w:r w:rsidRPr="00B7760C">
              <w:rPr>
                <w:b/>
                <w:i/>
              </w:rPr>
              <w:t>, določeno v Prilogi IXaa</w:t>
            </w:r>
            <w:r w:rsidRPr="00B7760C">
              <w:t>.</w:t>
            </w:r>
          </w:p>
        </w:tc>
      </w:tr>
    </w:tbl>
    <w:p w14:paraId="6F287C52" w14:textId="640EE8BC" w:rsidR="00060A4C" w:rsidRPr="00B7760C" w:rsidRDefault="00060A4C" w:rsidP="00060A4C">
      <w:pPr>
        <w:pStyle w:val="AMNumberTabs"/>
        <w:keepNext/>
      </w:pPr>
      <w:r w:rsidRPr="00B7760C">
        <w:t>Spremembi</w:t>
      </w:r>
      <w:r w:rsidRPr="00B7760C">
        <w:tab/>
      </w:r>
      <w:r w:rsidRPr="00B7760C">
        <w:tab/>
        <w:t>1152 cp11 in 1276</w:t>
      </w:r>
    </w:p>
    <w:p w14:paraId="7F36577D" w14:textId="77777777" w:rsidR="00060A4C" w:rsidRPr="00B7760C" w:rsidRDefault="00060A4C" w:rsidP="00060A4C">
      <w:pPr>
        <w:pStyle w:val="NormalBold12b"/>
      </w:pPr>
      <w:r w:rsidRPr="00B7760C">
        <w:t>Predlog uredbe</w:t>
      </w:r>
    </w:p>
    <w:p w14:paraId="62C7406F" w14:textId="557D6BD5" w:rsidR="00060A4C" w:rsidRPr="00B7760C" w:rsidRDefault="00060A4C" w:rsidP="00060A4C">
      <w:pPr>
        <w:pStyle w:val="NormalBold"/>
      </w:pPr>
      <w:r w:rsidRPr="00B7760C">
        <w:t>Člen 70 – odstavek 7</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060A4C" w:rsidRPr="00B7760C" w14:paraId="3E04E761" w14:textId="77777777" w:rsidTr="005847CC">
        <w:trPr>
          <w:jc w:val="center"/>
        </w:trPr>
        <w:tc>
          <w:tcPr>
            <w:tcW w:w="9752" w:type="dxa"/>
            <w:gridSpan w:val="2"/>
          </w:tcPr>
          <w:p w14:paraId="10FFBD11" w14:textId="77777777" w:rsidR="00060A4C" w:rsidRPr="00B7760C" w:rsidRDefault="00060A4C" w:rsidP="005847CC">
            <w:pPr>
              <w:keepNext/>
            </w:pPr>
          </w:p>
        </w:tc>
      </w:tr>
      <w:tr w:rsidR="00060A4C" w:rsidRPr="00B7760C" w14:paraId="3F9BEB6A" w14:textId="77777777" w:rsidTr="005847CC">
        <w:trPr>
          <w:jc w:val="center"/>
        </w:trPr>
        <w:tc>
          <w:tcPr>
            <w:tcW w:w="4876" w:type="dxa"/>
            <w:hideMark/>
          </w:tcPr>
          <w:p w14:paraId="5D2D4289" w14:textId="77777777" w:rsidR="00060A4C" w:rsidRPr="00B7760C" w:rsidRDefault="00060A4C" w:rsidP="005847CC">
            <w:pPr>
              <w:pStyle w:val="ColumnHeading"/>
              <w:keepNext/>
            </w:pPr>
            <w:r w:rsidRPr="00B7760C">
              <w:t>Besedilo, ki ga predlaga Komisija</w:t>
            </w:r>
          </w:p>
        </w:tc>
        <w:tc>
          <w:tcPr>
            <w:tcW w:w="4876" w:type="dxa"/>
            <w:hideMark/>
          </w:tcPr>
          <w:p w14:paraId="2C5E7ADB" w14:textId="77777777" w:rsidR="00060A4C" w:rsidRPr="00B7760C" w:rsidRDefault="00060A4C" w:rsidP="005847CC">
            <w:pPr>
              <w:pStyle w:val="ColumnHeading"/>
              <w:keepNext/>
            </w:pPr>
            <w:r w:rsidRPr="00B7760C">
              <w:t>Sprememba</w:t>
            </w:r>
          </w:p>
        </w:tc>
      </w:tr>
      <w:tr w:rsidR="00060A4C" w:rsidRPr="00B7760C" w14:paraId="7DB7ADED" w14:textId="77777777" w:rsidTr="005847CC">
        <w:trPr>
          <w:jc w:val="center"/>
        </w:trPr>
        <w:tc>
          <w:tcPr>
            <w:tcW w:w="4876" w:type="dxa"/>
          </w:tcPr>
          <w:p w14:paraId="5BA322C3" w14:textId="27C1ED3A" w:rsidR="00060A4C" w:rsidRPr="00B7760C" w:rsidRDefault="00060A4C" w:rsidP="005847CC">
            <w:pPr>
              <w:pStyle w:val="Normal6"/>
            </w:pPr>
            <w:r w:rsidRPr="00B7760C">
              <w:t>7.</w:t>
            </w:r>
            <w:r w:rsidRPr="00B7760C">
              <w:tab/>
              <w:t>Države članice zagotovijo, da se prepreči čezmerno nadomestilo zaradi kombinacije intervencij iz tega člena z drugimi javnimi ali zasebnimi shemami za obvladovanje tveganj.</w:t>
            </w:r>
          </w:p>
        </w:tc>
        <w:tc>
          <w:tcPr>
            <w:tcW w:w="4876" w:type="dxa"/>
          </w:tcPr>
          <w:p w14:paraId="1C798A34" w14:textId="4F8BB712" w:rsidR="00060A4C" w:rsidRPr="00B7760C" w:rsidRDefault="00060A4C" w:rsidP="005847CC">
            <w:pPr>
              <w:pStyle w:val="Normal6"/>
              <w:rPr>
                <w:szCs w:val="24"/>
              </w:rPr>
            </w:pPr>
            <w:r w:rsidRPr="00B7760C">
              <w:t>7.</w:t>
            </w:r>
            <w:r w:rsidRPr="00B7760C">
              <w:tab/>
              <w:t>Države članice zagotovijo</w:t>
            </w:r>
            <w:r w:rsidRPr="00B7760C">
              <w:rPr>
                <w:b/>
                <w:i/>
              </w:rPr>
              <w:t xml:space="preserve"> izvajanje strategij za zmanjševanje tveganj, da bi se povečala odpornost kmetij pred naravnimi in podnebnimi tveganji ter zmanjšala izpostavljenost nestabilnosti prihodkov. Poleg tega zagotovijo tudi</w:t>
            </w:r>
            <w:r w:rsidRPr="00B7760C">
              <w:t>, da se prepreči čezmerno nadomestilo zaradi kombinacije intervencij iz tega člena z drugimi javnimi ali zasebnimi shemami za obvladovanje tveganj.</w:t>
            </w:r>
          </w:p>
        </w:tc>
      </w:tr>
    </w:tbl>
    <w:p w14:paraId="6562C5E6" w14:textId="77777777" w:rsidR="003663AF" w:rsidRPr="00B7760C" w:rsidRDefault="003663AF" w:rsidP="003663AF"/>
    <w:p w14:paraId="194EF8CD" w14:textId="7A41FB47" w:rsidR="003663AF" w:rsidRPr="00B7760C" w:rsidRDefault="00877691" w:rsidP="00060A4C">
      <w:pPr>
        <w:pStyle w:val="AMNumberTabs"/>
        <w:keepNext/>
      </w:pPr>
      <w:r w:rsidRPr="00B7760C">
        <w:t>Sprememb</w:t>
      </w:r>
      <w:r w:rsidR="00060A4C" w:rsidRPr="00B7760C">
        <w:t>e</w:t>
      </w:r>
      <w:r w:rsidR="003663AF" w:rsidRPr="00B7760C">
        <w:tab/>
      </w:r>
      <w:r w:rsidR="003663AF" w:rsidRPr="00B7760C">
        <w:tab/>
        <w:t>495</w:t>
      </w:r>
      <w:r w:rsidR="00060A4C" w:rsidRPr="00B7760C">
        <w:t>, 1076 in 1152 cp12</w:t>
      </w:r>
    </w:p>
    <w:p w14:paraId="05AB87B3" w14:textId="77777777" w:rsidR="003663AF" w:rsidRPr="00B7760C" w:rsidRDefault="003663AF" w:rsidP="003663AF">
      <w:pPr>
        <w:pStyle w:val="NormalBold12b"/>
      </w:pPr>
      <w:r w:rsidRPr="00B7760C">
        <w:t>Predlog uredbe</w:t>
      </w:r>
    </w:p>
    <w:p w14:paraId="20818C7C" w14:textId="77777777" w:rsidR="003663AF" w:rsidRPr="00B7760C" w:rsidRDefault="003663AF" w:rsidP="003663AF">
      <w:pPr>
        <w:pStyle w:val="NormalBold"/>
      </w:pPr>
      <w:r w:rsidRPr="00B7760C">
        <w:t>Člen 70 – odstavek 7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BCD517C" w14:textId="77777777" w:rsidTr="00E804B7">
        <w:trPr>
          <w:jc w:val="center"/>
        </w:trPr>
        <w:tc>
          <w:tcPr>
            <w:tcW w:w="9752" w:type="dxa"/>
            <w:gridSpan w:val="2"/>
          </w:tcPr>
          <w:p w14:paraId="24F73C34" w14:textId="77777777" w:rsidR="003663AF" w:rsidRPr="00B7760C" w:rsidRDefault="003663AF" w:rsidP="00E804B7">
            <w:pPr>
              <w:keepNext/>
            </w:pPr>
          </w:p>
        </w:tc>
      </w:tr>
      <w:tr w:rsidR="003663AF" w:rsidRPr="00B7760C" w14:paraId="5014E2B3" w14:textId="77777777" w:rsidTr="00E804B7">
        <w:trPr>
          <w:jc w:val="center"/>
        </w:trPr>
        <w:tc>
          <w:tcPr>
            <w:tcW w:w="4876" w:type="dxa"/>
            <w:hideMark/>
          </w:tcPr>
          <w:p w14:paraId="4EBBDD89" w14:textId="77777777" w:rsidR="003663AF" w:rsidRPr="00B7760C" w:rsidRDefault="003663AF" w:rsidP="00E804B7">
            <w:pPr>
              <w:pStyle w:val="ColumnHeading"/>
              <w:keepNext/>
            </w:pPr>
            <w:r w:rsidRPr="00B7760C">
              <w:t>Besedilo, ki ga predlaga Komisija</w:t>
            </w:r>
          </w:p>
        </w:tc>
        <w:tc>
          <w:tcPr>
            <w:tcW w:w="4876" w:type="dxa"/>
            <w:hideMark/>
          </w:tcPr>
          <w:p w14:paraId="182EA24B" w14:textId="6F2448C9" w:rsidR="003663AF" w:rsidRPr="00B7760C" w:rsidRDefault="00877691" w:rsidP="00E804B7">
            <w:pPr>
              <w:pStyle w:val="ColumnHeading"/>
              <w:keepNext/>
            </w:pPr>
            <w:r w:rsidRPr="00B7760C">
              <w:t>Sprememba</w:t>
            </w:r>
          </w:p>
        </w:tc>
      </w:tr>
      <w:tr w:rsidR="003663AF" w:rsidRPr="00B7760C" w14:paraId="06D4FA1A" w14:textId="77777777" w:rsidTr="00E804B7">
        <w:trPr>
          <w:jc w:val="center"/>
        </w:trPr>
        <w:tc>
          <w:tcPr>
            <w:tcW w:w="4876" w:type="dxa"/>
          </w:tcPr>
          <w:p w14:paraId="4C49C37F" w14:textId="77777777" w:rsidR="003663AF" w:rsidRPr="00B7760C" w:rsidRDefault="003663AF" w:rsidP="00E804B7">
            <w:pPr>
              <w:pStyle w:val="Normal6"/>
            </w:pPr>
          </w:p>
        </w:tc>
        <w:tc>
          <w:tcPr>
            <w:tcW w:w="4876" w:type="dxa"/>
            <w:hideMark/>
          </w:tcPr>
          <w:p w14:paraId="44DDAA24" w14:textId="77777777" w:rsidR="003663AF" w:rsidRPr="00B7760C" w:rsidRDefault="003663AF" w:rsidP="00E804B7">
            <w:pPr>
              <w:pStyle w:val="Normal6"/>
              <w:rPr>
                <w:szCs w:val="24"/>
              </w:rPr>
            </w:pPr>
            <w:r w:rsidRPr="00B7760C">
              <w:rPr>
                <w:b/>
                <w:i/>
              </w:rPr>
              <w:t>7a.</w:t>
            </w:r>
            <w:r w:rsidRPr="00B7760C">
              <w:rPr>
                <w:b/>
                <w:i/>
              </w:rPr>
              <w:tab/>
              <w:t>Države članice, ki uvedejo nacionalne sheme za obvladovanje tveganj ali so te sheme že uvedle pred ... [datum začetka veljavnosti te uredbe], lahko uporabijo instrumente iz tega člena za kritje vseh vrst tveganj, ki jih te sheme ne zajemajo.</w:t>
            </w:r>
          </w:p>
        </w:tc>
      </w:tr>
    </w:tbl>
    <w:p w14:paraId="338B74D0" w14:textId="77777777" w:rsidR="003663AF" w:rsidRPr="00B7760C" w:rsidRDefault="003663AF" w:rsidP="003663AF"/>
    <w:p w14:paraId="080D2057" w14:textId="5E094AD1" w:rsidR="003663AF" w:rsidRPr="00B7760C" w:rsidRDefault="00877691" w:rsidP="003663AF">
      <w:pPr>
        <w:pStyle w:val="AMNumberTabs"/>
        <w:keepNext/>
      </w:pPr>
      <w:r w:rsidRPr="00B7760C">
        <w:t>Sprememba</w:t>
      </w:r>
      <w:r w:rsidR="003663AF" w:rsidRPr="00B7760C">
        <w:tab/>
      </w:r>
      <w:r w:rsidR="003663AF" w:rsidRPr="00B7760C">
        <w:tab/>
        <w:t>496</w:t>
      </w:r>
    </w:p>
    <w:p w14:paraId="7A9E55BC" w14:textId="77777777" w:rsidR="003663AF" w:rsidRPr="00B7760C" w:rsidRDefault="003663AF" w:rsidP="003663AF">
      <w:pPr>
        <w:pStyle w:val="NormalBold12b"/>
      </w:pPr>
      <w:r w:rsidRPr="00B7760C">
        <w:t>Predlog uredbe</w:t>
      </w:r>
    </w:p>
    <w:p w14:paraId="274C0CFA" w14:textId="77777777" w:rsidR="003663AF" w:rsidRPr="00B7760C" w:rsidRDefault="003663AF" w:rsidP="003663AF">
      <w:pPr>
        <w:pStyle w:val="NormalBold"/>
      </w:pPr>
      <w:r w:rsidRPr="00B7760C">
        <w:t>Člen 71 – 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515C123" w14:textId="77777777" w:rsidTr="00E804B7">
        <w:trPr>
          <w:jc w:val="center"/>
        </w:trPr>
        <w:tc>
          <w:tcPr>
            <w:tcW w:w="9752" w:type="dxa"/>
            <w:gridSpan w:val="2"/>
          </w:tcPr>
          <w:p w14:paraId="2B9A9A14" w14:textId="77777777" w:rsidR="003663AF" w:rsidRPr="00B7760C" w:rsidRDefault="003663AF" w:rsidP="00E804B7">
            <w:pPr>
              <w:keepNext/>
            </w:pPr>
          </w:p>
        </w:tc>
      </w:tr>
      <w:tr w:rsidR="003663AF" w:rsidRPr="00B7760C" w14:paraId="4AE2A029" w14:textId="77777777" w:rsidTr="00E804B7">
        <w:trPr>
          <w:jc w:val="center"/>
        </w:trPr>
        <w:tc>
          <w:tcPr>
            <w:tcW w:w="4876" w:type="dxa"/>
            <w:hideMark/>
          </w:tcPr>
          <w:p w14:paraId="0E9F4DAF" w14:textId="77777777" w:rsidR="003663AF" w:rsidRPr="00B7760C" w:rsidRDefault="003663AF" w:rsidP="00E804B7">
            <w:pPr>
              <w:pStyle w:val="ColumnHeading"/>
              <w:keepNext/>
            </w:pPr>
            <w:r w:rsidRPr="00B7760C">
              <w:t>Besedilo, ki ga predlaga Komisija</w:t>
            </w:r>
          </w:p>
        </w:tc>
        <w:tc>
          <w:tcPr>
            <w:tcW w:w="4876" w:type="dxa"/>
            <w:hideMark/>
          </w:tcPr>
          <w:p w14:paraId="1073F09E" w14:textId="25882140" w:rsidR="003663AF" w:rsidRPr="00B7760C" w:rsidRDefault="00877691" w:rsidP="00E804B7">
            <w:pPr>
              <w:pStyle w:val="ColumnHeading"/>
              <w:keepNext/>
            </w:pPr>
            <w:r w:rsidRPr="00B7760C">
              <w:t>Sprememba</w:t>
            </w:r>
          </w:p>
        </w:tc>
      </w:tr>
      <w:tr w:rsidR="003663AF" w:rsidRPr="00B7760C" w14:paraId="5738F96A" w14:textId="77777777" w:rsidTr="00E804B7">
        <w:trPr>
          <w:jc w:val="center"/>
        </w:trPr>
        <w:tc>
          <w:tcPr>
            <w:tcW w:w="4876" w:type="dxa"/>
            <w:hideMark/>
          </w:tcPr>
          <w:p w14:paraId="732718A9" w14:textId="77777777" w:rsidR="003663AF" w:rsidRPr="00B7760C" w:rsidRDefault="003663AF" w:rsidP="00E804B7">
            <w:pPr>
              <w:pStyle w:val="Normal6"/>
            </w:pPr>
            <w:r w:rsidRPr="00B7760C">
              <w:t>1.</w:t>
            </w:r>
            <w:r w:rsidRPr="00B7760C">
              <w:tab/>
              <w:t>Države članice lahko odobrijo podporo za sodelovanje v skladu s pogoji iz tega člena in kot je podrobneje opredeljeno v njihovih strateških načrtih SKP, da bi se pripravili in izvajali projekti operativne skupine evropskega inovacijskega partnerstva za kmetijsko produktivnost in trajnostnost iz člena 114 ter LEADER, tj. lokalni razvoj, ki ga vodi skupnost, iz člena 25 Uredbe (EU) [uredba o skupnih določbah], in se spodbujale sheme kakovosti, organizacije proizvajalcev, skupine proizvajalcev ali druge oblike sodelovanja.</w:t>
            </w:r>
          </w:p>
        </w:tc>
        <w:tc>
          <w:tcPr>
            <w:tcW w:w="4876" w:type="dxa"/>
            <w:hideMark/>
          </w:tcPr>
          <w:p w14:paraId="3DEA0E72" w14:textId="77777777" w:rsidR="003663AF" w:rsidRPr="00B7760C" w:rsidRDefault="003663AF" w:rsidP="00E804B7">
            <w:pPr>
              <w:pStyle w:val="Normal6"/>
              <w:rPr>
                <w:szCs w:val="24"/>
              </w:rPr>
            </w:pPr>
            <w:r w:rsidRPr="00B7760C">
              <w:t>1.</w:t>
            </w:r>
            <w:r w:rsidRPr="00B7760C">
              <w:tab/>
              <w:t>Države članice lahko odobrijo podporo za sodelovanje v skladu s pogoji iz tega člena in kot je podrobneje opredeljeno v njihovih strateških načrtih SKP, da bi se pripravili in izvajali projekti operativne skupine evropskega inovacijskega partnerstva za kmetijsko produktivnost in trajnostnost iz člena 114 ter LEADER, tj. lokalni razvoj, ki ga vodi skupnost, iz člena 25 Uredbe (EU) [uredba o skupnih določbah], in se spodbujale sheme kakovosti, organizacije proizvajalcev, skupine proizvajalcev ali druge oblike sodelovanja</w:t>
            </w:r>
            <w:r w:rsidRPr="00B7760C">
              <w:rPr>
                <w:b/>
                <w:i/>
              </w:rPr>
              <w:t>, vključno s tistimi, katerih proizvode zajema Uredba (EU) št. 1151/2012</w:t>
            </w:r>
            <w:r w:rsidRPr="00B7760C">
              <w:t>.</w:t>
            </w:r>
          </w:p>
        </w:tc>
      </w:tr>
    </w:tbl>
    <w:p w14:paraId="3FC534B8" w14:textId="77777777" w:rsidR="003663AF" w:rsidRPr="00B7760C" w:rsidRDefault="003663AF" w:rsidP="003663AF"/>
    <w:p w14:paraId="0B844F30" w14:textId="5051DE89" w:rsidR="003663AF" w:rsidRPr="00B7760C" w:rsidRDefault="00877691" w:rsidP="003663AF">
      <w:pPr>
        <w:pStyle w:val="AMNumberTabs"/>
        <w:keepNext/>
      </w:pPr>
      <w:r w:rsidRPr="00B7760C">
        <w:t>Sprememb</w:t>
      </w:r>
      <w:r w:rsidR="00060A4C" w:rsidRPr="00B7760C">
        <w:t>i</w:t>
      </w:r>
      <w:r w:rsidR="003663AF" w:rsidRPr="00B7760C">
        <w:tab/>
      </w:r>
      <w:r w:rsidR="003663AF" w:rsidRPr="00B7760C">
        <w:tab/>
        <w:t>497</w:t>
      </w:r>
      <w:r w:rsidR="00060A4C" w:rsidRPr="00B7760C">
        <w:t xml:space="preserve"> in 1170 cp2</w:t>
      </w:r>
    </w:p>
    <w:p w14:paraId="6DDE9DD5" w14:textId="77777777" w:rsidR="003663AF" w:rsidRPr="00B7760C" w:rsidRDefault="003663AF" w:rsidP="003663AF">
      <w:pPr>
        <w:pStyle w:val="NormalBold12b"/>
      </w:pPr>
      <w:r w:rsidRPr="00B7760C">
        <w:t>Predlog uredbe</w:t>
      </w:r>
    </w:p>
    <w:p w14:paraId="1059D377" w14:textId="77777777" w:rsidR="003663AF" w:rsidRPr="00B7760C" w:rsidRDefault="003663AF" w:rsidP="003663AF">
      <w:pPr>
        <w:pStyle w:val="NormalBold"/>
      </w:pPr>
      <w:r w:rsidRPr="00B7760C">
        <w:t>Člen 71 – odstavek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4A2A310" w14:textId="77777777" w:rsidTr="00E804B7">
        <w:trPr>
          <w:jc w:val="center"/>
        </w:trPr>
        <w:tc>
          <w:tcPr>
            <w:tcW w:w="9752" w:type="dxa"/>
            <w:gridSpan w:val="2"/>
          </w:tcPr>
          <w:p w14:paraId="61124309" w14:textId="77777777" w:rsidR="003663AF" w:rsidRPr="00B7760C" w:rsidRDefault="003663AF" w:rsidP="00E804B7">
            <w:pPr>
              <w:keepNext/>
            </w:pPr>
          </w:p>
        </w:tc>
      </w:tr>
      <w:tr w:rsidR="003663AF" w:rsidRPr="00B7760C" w14:paraId="289821AC" w14:textId="77777777" w:rsidTr="00E804B7">
        <w:trPr>
          <w:jc w:val="center"/>
        </w:trPr>
        <w:tc>
          <w:tcPr>
            <w:tcW w:w="4876" w:type="dxa"/>
            <w:hideMark/>
          </w:tcPr>
          <w:p w14:paraId="3E565AC7" w14:textId="77777777" w:rsidR="003663AF" w:rsidRPr="00B7760C" w:rsidRDefault="003663AF" w:rsidP="00E804B7">
            <w:pPr>
              <w:pStyle w:val="ColumnHeading"/>
              <w:keepNext/>
            </w:pPr>
            <w:r w:rsidRPr="00B7760C">
              <w:t>Besedilo, ki ga predlaga Komisija</w:t>
            </w:r>
          </w:p>
        </w:tc>
        <w:tc>
          <w:tcPr>
            <w:tcW w:w="4876" w:type="dxa"/>
            <w:hideMark/>
          </w:tcPr>
          <w:p w14:paraId="11E56674" w14:textId="58909B56" w:rsidR="003663AF" w:rsidRPr="00B7760C" w:rsidRDefault="00877691" w:rsidP="00E804B7">
            <w:pPr>
              <w:pStyle w:val="ColumnHeading"/>
              <w:keepNext/>
            </w:pPr>
            <w:r w:rsidRPr="00B7760C">
              <w:t>Sprememba</w:t>
            </w:r>
          </w:p>
        </w:tc>
      </w:tr>
      <w:tr w:rsidR="003663AF" w:rsidRPr="00B7760C" w14:paraId="6A73387D" w14:textId="77777777" w:rsidTr="00E804B7">
        <w:trPr>
          <w:jc w:val="center"/>
        </w:trPr>
        <w:tc>
          <w:tcPr>
            <w:tcW w:w="4876" w:type="dxa"/>
            <w:hideMark/>
          </w:tcPr>
          <w:p w14:paraId="6F50796E" w14:textId="77777777" w:rsidR="003663AF" w:rsidRPr="00B7760C" w:rsidRDefault="003663AF" w:rsidP="00E804B7">
            <w:pPr>
              <w:pStyle w:val="Normal6"/>
            </w:pPr>
            <w:r w:rsidRPr="00B7760C">
              <w:t>2.</w:t>
            </w:r>
            <w:r w:rsidRPr="00B7760C">
              <w:tab/>
              <w:t>Države članice lahko odobrijo podporo v okviru te vrste intervencij le, da bi spodbujale oblike sodelovanja, ki vključujejo vsaj dva subjekta in prispevajo k uresničevanju specifičnih ciljev iz člena 6.</w:t>
            </w:r>
          </w:p>
        </w:tc>
        <w:tc>
          <w:tcPr>
            <w:tcW w:w="4876" w:type="dxa"/>
            <w:hideMark/>
          </w:tcPr>
          <w:p w14:paraId="7D4F68C5" w14:textId="77777777" w:rsidR="003663AF" w:rsidRPr="00B7760C" w:rsidRDefault="003663AF" w:rsidP="00E804B7">
            <w:pPr>
              <w:pStyle w:val="Normal6"/>
              <w:rPr>
                <w:szCs w:val="24"/>
              </w:rPr>
            </w:pPr>
            <w:r w:rsidRPr="00B7760C">
              <w:t>2.</w:t>
            </w:r>
            <w:r w:rsidRPr="00B7760C">
              <w:tab/>
              <w:t>Države članice lahko odobrijo podporo v okviru te vrste intervencij le, da bi spodbujale oblike sodelovanja</w:t>
            </w:r>
            <w:r w:rsidRPr="00B7760C">
              <w:rPr>
                <w:b/>
                <w:i/>
              </w:rPr>
              <w:t xml:space="preserve"> ali ohranjale že obstoječe oblike sodelovanja</w:t>
            </w:r>
            <w:r w:rsidRPr="00B7760C">
              <w:t>, ki vključujejo vsaj dva subjekta</w:t>
            </w:r>
            <w:r w:rsidRPr="00B7760C">
              <w:rPr>
                <w:b/>
                <w:i/>
              </w:rPr>
              <w:t>, od katerih se vsaj eden ukvarja s kmetijsko proizvodnjo,</w:t>
            </w:r>
            <w:r w:rsidRPr="00B7760C">
              <w:t xml:space="preserve"> in prispevajo k uresničevanju specifičnih ciljev iz člena 6.</w:t>
            </w:r>
          </w:p>
        </w:tc>
      </w:tr>
    </w:tbl>
    <w:p w14:paraId="614AF50A" w14:textId="77777777" w:rsidR="003663AF" w:rsidRPr="00B7760C" w:rsidRDefault="003663AF" w:rsidP="003663AF"/>
    <w:p w14:paraId="13A7747A" w14:textId="6FD2FE77" w:rsidR="003663AF" w:rsidRPr="00B7760C" w:rsidRDefault="00877691" w:rsidP="003663AF">
      <w:pPr>
        <w:pStyle w:val="AMNumberTabs"/>
        <w:keepNext/>
      </w:pPr>
      <w:r w:rsidRPr="00B7760C">
        <w:t>Sprememb</w:t>
      </w:r>
      <w:r w:rsidR="00060A4C" w:rsidRPr="00B7760C">
        <w:t>i</w:t>
      </w:r>
      <w:r w:rsidR="003663AF" w:rsidRPr="00B7760C">
        <w:tab/>
      </w:r>
      <w:r w:rsidR="003663AF" w:rsidRPr="00B7760C">
        <w:tab/>
        <w:t>498</w:t>
      </w:r>
      <w:r w:rsidR="00060A4C" w:rsidRPr="00B7760C">
        <w:t xml:space="preserve"> in 1170 cp2</w:t>
      </w:r>
    </w:p>
    <w:p w14:paraId="1A2C18C1" w14:textId="77777777" w:rsidR="003663AF" w:rsidRPr="00B7760C" w:rsidRDefault="003663AF" w:rsidP="003663AF">
      <w:pPr>
        <w:pStyle w:val="NormalBold12b"/>
      </w:pPr>
      <w:r w:rsidRPr="00B7760C">
        <w:t>Predlog uredbe</w:t>
      </w:r>
    </w:p>
    <w:p w14:paraId="28BE72F1" w14:textId="77777777" w:rsidR="003663AF" w:rsidRPr="00B7760C" w:rsidRDefault="003663AF" w:rsidP="003663AF">
      <w:pPr>
        <w:pStyle w:val="NormalBold"/>
      </w:pPr>
      <w:r w:rsidRPr="00B7760C">
        <w:t>Člen 71 – odstavek 2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0FFC786" w14:textId="77777777" w:rsidTr="00E804B7">
        <w:trPr>
          <w:jc w:val="center"/>
        </w:trPr>
        <w:tc>
          <w:tcPr>
            <w:tcW w:w="9752" w:type="dxa"/>
            <w:gridSpan w:val="2"/>
          </w:tcPr>
          <w:p w14:paraId="2D4C3E53" w14:textId="77777777" w:rsidR="003663AF" w:rsidRPr="00B7760C" w:rsidRDefault="003663AF" w:rsidP="00E804B7">
            <w:pPr>
              <w:keepNext/>
            </w:pPr>
          </w:p>
        </w:tc>
      </w:tr>
      <w:tr w:rsidR="003663AF" w:rsidRPr="00B7760C" w14:paraId="775554A5" w14:textId="77777777" w:rsidTr="00E804B7">
        <w:trPr>
          <w:jc w:val="center"/>
        </w:trPr>
        <w:tc>
          <w:tcPr>
            <w:tcW w:w="4876" w:type="dxa"/>
            <w:hideMark/>
          </w:tcPr>
          <w:p w14:paraId="4F96438F" w14:textId="77777777" w:rsidR="003663AF" w:rsidRPr="00B7760C" w:rsidRDefault="003663AF" w:rsidP="00E804B7">
            <w:pPr>
              <w:pStyle w:val="ColumnHeading"/>
              <w:keepNext/>
            </w:pPr>
            <w:r w:rsidRPr="00B7760C">
              <w:t>Besedilo, ki ga predlaga Komisija</w:t>
            </w:r>
          </w:p>
        </w:tc>
        <w:tc>
          <w:tcPr>
            <w:tcW w:w="4876" w:type="dxa"/>
            <w:hideMark/>
          </w:tcPr>
          <w:p w14:paraId="52AAA3A8" w14:textId="37CF0386" w:rsidR="003663AF" w:rsidRPr="00B7760C" w:rsidRDefault="00877691" w:rsidP="00E804B7">
            <w:pPr>
              <w:pStyle w:val="ColumnHeading"/>
              <w:keepNext/>
            </w:pPr>
            <w:r w:rsidRPr="00B7760C">
              <w:t>Sprememba</w:t>
            </w:r>
          </w:p>
        </w:tc>
      </w:tr>
      <w:tr w:rsidR="003663AF" w:rsidRPr="00B7760C" w14:paraId="209FA657" w14:textId="77777777" w:rsidTr="00E804B7">
        <w:trPr>
          <w:jc w:val="center"/>
        </w:trPr>
        <w:tc>
          <w:tcPr>
            <w:tcW w:w="4876" w:type="dxa"/>
          </w:tcPr>
          <w:p w14:paraId="1F9D3E5F" w14:textId="77777777" w:rsidR="003663AF" w:rsidRPr="00B7760C" w:rsidRDefault="003663AF" w:rsidP="00E804B7">
            <w:pPr>
              <w:pStyle w:val="Normal6"/>
            </w:pPr>
          </w:p>
        </w:tc>
        <w:tc>
          <w:tcPr>
            <w:tcW w:w="4876" w:type="dxa"/>
            <w:hideMark/>
          </w:tcPr>
          <w:p w14:paraId="6E6E82DF" w14:textId="77777777" w:rsidR="003663AF" w:rsidRPr="00B7760C" w:rsidRDefault="003663AF" w:rsidP="00E804B7">
            <w:pPr>
              <w:pStyle w:val="Normal6"/>
              <w:rPr>
                <w:szCs w:val="24"/>
              </w:rPr>
            </w:pPr>
            <w:r w:rsidRPr="00B7760C">
              <w:rPr>
                <w:b/>
                <w:i/>
              </w:rPr>
              <w:t>2a.</w:t>
            </w:r>
            <w:r w:rsidRPr="00B7760C">
              <w:rPr>
                <w:b/>
                <w:i/>
              </w:rPr>
              <w:tab/>
              <w:t xml:space="preserve">Države članice lahko z odstopanjem od odstavka 2 dodelijo podporo iz EKSRP lokalnim akcijskim skupinam, ki izvajajo lokalno razvojno strategijo in prispevajo k uresničevanju posebnih ciljev iz člena 6. </w:t>
            </w:r>
          </w:p>
        </w:tc>
      </w:tr>
    </w:tbl>
    <w:p w14:paraId="27BD1EDD" w14:textId="77777777" w:rsidR="003663AF" w:rsidRPr="00B7760C" w:rsidRDefault="003663AF" w:rsidP="003663AF"/>
    <w:p w14:paraId="1D55D429" w14:textId="0C790D20" w:rsidR="003663AF" w:rsidRPr="00B7760C" w:rsidRDefault="00877691" w:rsidP="003663AF">
      <w:pPr>
        <w:pStyle w:val="AMNumberTabs"/>
        <w:keepNext/>
      </w:pPr>
      <w:r w:rsidRPr="00B7760C">
        <w:t>Sprememb</w:t>
      </w:r>
      <w:r w:rsidR="00060A4C" w:rsidRPr="00B7760C">
        <w:t>i</w:t>
      </w:r>
      <w:r w:rsidR="003663AF" w:rsidRPr="00B7760C">
        <w:tab/>
      </w:r>
      <w:r w:rsidR="003663AF" w:rsidRPr="00B7760C">
        <w:tab/>
        <w:t>499</w:t>
      </w:r>
      <w:r w:rsidR="00060A4C" w:rsidRPr="00B7760C">
        <w:t xml:space="preserve"> in 1170 cp2</w:t>
      </w:r>
    </w:p>
    <w:p w14:paraId="00B8F480" w14:textId="77777777" w:rsidR="003663AF" w:rsidRPr="00B7760C" w:rsidRDefault="003663AF" w:rsidP="003663AF">
      <w:pPr>
        <w:pStyle w:val="NormalBold12b"/>
      </w:pPr>
      <w:r w:rsidRPr="00B7760C">
        <w:t>Predlog uredbe</w:t>
      </w:r>
    </w:p>
    <w:p w14:paraId="5288908A" w14:textId="77777777" w:rsidR="003663AF" w:rsidRPr="00B7760C" w:rsidRDefault="003663AF" w:rsidP="003663AF">
      <w:pPr>
        <w:pStyle w:val="NormalBold"/>
      </w:pPr>
      <w:r w:rsidRPr="00B7760C">
        <w:t>Člen 71 – odstavek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23DAE37" w14:textId="77777777" w:rsidTr="00E804B7">
        <w:trPr>
          <w:jc w:val="center"/>
        </w:trPr>
        <w:tc>
          <w:tcPr>
            <w:tcW w:w="9752" w:type="dxa"/>
            <w:gridSpan w:val="2"/>
          </w:tcPr>
          <w:p w14:paraId="5C1DE742" w14:textId="77777777" w:rsidR="003663AF" w:rsidRPr="00B7760C" w:rsidRDefault="003663AF" w:rsidP="00E804B7">
            <w:pPr>
              <w:keepNext/>
            </w:pPr>
          </w:p>
        </w:tc>
      </w:tr>
      <w:tr w:rsidR="003663AF" w:rsidRPr="00B7760C" w14:paraId="6AFE7548" w14:textId="77777777" w:rsidTr="00E804B7">
        <w:trPr>
          <w:jc w:val="center"/>
        </w:trPr>
        <w:tc>
          <w:tcPr>
            <w:tcW w:w="4876" w:type="dxa"/>
            <w:hideMark/>
          </w:tcPr>
          <w:p w14:paraId="1351224A" w14:textId="77777777" w:rsidR="003663AF" w:rsidRPr="00B7760C" w:rsidRDefault="003663AF" w:rsidP="00E804B7">
            <w:pPr>
              <w:pStyle w:val="ColumnHeading"/>
              <w:keepNext/>
            </w:pPr>
            <w:r w:rsidRPr="00B7760C">
              <w:t>Besedilo, ki ga predlaga Komisija</w:t>
            </w:r>
          </w:p>
        </w:tc>
        <w:tc>
          <w:tcPr>
            <w:tcW w:w="4876" w:type="dxa"/>
            <w:hideMark/>
          </w:tcPr>
          <w:p w14:paraId="2A9D2E1A" w14:textId="3C7F18C0" w:rsidR="003663AF" w:rsidRPr="00B7760C" w:rsidRDefault="00877691" w:rsidP="00E804B7">
            <w:pPr>
              <w:pStyle w:val="ColumnHeading"/>
              <w:keepNext/>
            </w:pPr>
            <w:r w:rsidRPr="00B7760C">
              <w:t>Sprememba</w:t>
            </w:r>
          </w:p>
        </w:tc>
      </w:tr>
      <w:tr w:rsidR="003663AF" w:rsidRPr="00B7760C" w14:paraId="4FF74DC4" w14:textId="77777777" w:rsidTr="00E804B7">
        <w:trPr>
          <w:jc w:val="center"/>
        </w:trPr>
        <w:tc>
          <w:tcPr>
            <w:tcW w:w="4876" w:type="dxa"/>
            <w:hideMark/>
          </w:tcPr>
          <w:p w14:paraId="3EE64331" w14:textId="77777777" w:rsidR="003663AF" w:rsidRPr="00B7760C" w:rsidRDefault="003663AF" w:rsidP="00E804B7">
            <w:pPr>
              <w:pStyle w:val="Normal6"/>
            </w:pPr>
            <w:r w:rsidRPr="00B7760C">
              <w:t>3.</w:t>
            </w:r>
            <w:r w:rsidRPr="00B7760C">
              <w:tab/>
              <w:t>Države članice lahko v okviru te vrste intervencij krijejo stroške, povezane z vsemi vidiki sodelovanja.</w:t>
            </w:r>
          </w:p>
        </w:tc>
        <w:tc>
          <w:tcPr>
            <w:tcW w:w="4876" w:type="dxa"/>
            <w:hideMark/>
          </w:tcPr>
          <w:p w14:paraId="22AC8858" w14:textId="77777777" w:rsidR="003663AF" w:rsidRPr="00B7760C" w:rsidRDefault="003663AF" w:rsidP="00E804B7">
            <w:pPr>
              <w:pStyle w:val="Normal6"/>
              <w:rPr>
                <w:szCs w:val="24"/>
              </w:rPr>
            </w:pPr>
            <w:r w:rsidRPr="00B7760C">
              <w:t>3.</w:t>
            </w:r>
            <w:r w:rsidRPr="00B7760C">
              <w:tab/>
              <w:t xml:space="preserve">Države članice lahko v okviru te vrste intervencij krijejo stroške, povezane z vsemi </w:t>
            </w:r>
            <w:r w:rsidRPr="00B7760C">
              <w:rPr>
                <w:b/>
                <w:i/>
              </w:rPr>
              <w:t xml:space="preserve">potrebnimi </w:t>
            </w:r>
            <w:r w:rsidRPr="00B7760C">
              <w:t>vidiki sodelovanja</w:t>
            </w:r>
            <w:r w:rsidRPr="00B7760C">
              <w:rPr>
                <w:b/>
                <w:i/>
              </w:rPr>
              <w:t>, vključno s stroški certificiranja, povezanimi s sodelovanjem v shemi kakovosti Unije</w:t>
            </w:r>
            <w:r w:rsidRPr="00B7760C">
              <w:t>.</w:t>
            </w:r>
          </w:p>
        </w:tc>
      </w:tr>
    </w:tbl>
    <w:p w14:paraId="5D6F4213" w14:textId="77777777" w:rsidR="003663AF" w:rsidRPr="00B7760C" w:rsidRDefault="003663AF" w:rsidP="003663AF"/>
    <w:p w14:paraId="1046C5FF" w14:textId="1AF93BB3" w:rsidR="003663AF" w:rsidRPr="00B7760C" w:rsidRDefault="00877691" w:rsidP="003663AF">
      <w:pPr>
        <w:pStyle w:val="AMNumberTabs"/>
        <w:keepNext/>
      </w:pPr>
      <w:r w:rsidRPr="00B7760C">
        <w:t>Sprememb</w:t>
      </w:r>
      <w:r w:rsidR="00060A4C" w:rsidRPr="00B7760C">
        <w:t>i</w:t>
      </w:r>
      <w:r w:rsidR="003663AF" w:rsidRPr="00B7760C">
        <w:tab/>
      </w:r>
      <w:r w:rsidR="003663AF" w:rsidRPr="00B7760C">
        <w:tab/>
        <w:t>500</w:t>
      </w:r>
      <w:r w:rsidR="00060A4C" w:rsidRPr="00B7760C">
        <w:t xml:space="preserve"> in 1170 cp2</w:t>
      </w:r>
    </w:p>
    <w:p w14:paraId="06267B1E" w14:textId="77777777" w:rsidR="003663AF" w:rsidRPr="00B7760C" w:rsidRDefault="003663AF" w:rsidP="003663AF">
      <w:pPr>
        <w:pStyle w:val="NormalBold12b"/>
      </w:pPr>
      <w:r w:rsidRPr="00B7760C">
        <w:t>Predlog uredbe</w:t>
      </w:r>
    </w:p>
    <w:p w14:paraId="0D4DD936" w14:textId="77777777" w:rsidR="003663AF" w:rsidRPr="00B7760C" w:rsidRDefault="003663AF" w:rsidP="003663AF">
      <w:pPr>
        <w:pStyle w:val="NormalBold"/>
      </w:pPr>
      <w:r w:rsidRPr="00B7760C">
        <w:t>Člen 71 – odstavek 4 – pododstavek 1 a (novo)</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A034B2A" w14:textId="77777777" w:rsidTr="00E804B7">
        <w:trPr>
          <w:jc w:val="center"/>
        </w:trPr>
        <w:tc>
          <w:tcPr>
            <w:tcW w:w="9752" w:type="dxa"/>
            <w:gridSpan w:val="2"/>
          </w:tcPr>
          <w:p w14:paraId="7E929FA4" w14:textId="77777777" w:rsidR="003663AF" w:rsidRPr="00B7760C" w:rsidRDefault="003663AF" w:rsidP="00E804B7">
            <w:pPr>
              <w:keepNext/>
            </w:pPr>
          </w:p>
        </w:tc>
      </w:tr>
      <w:tr w:rsidR="003663AF" w:rsidRPr="00B7760C" w14:paraId="1BAD9E15" w14:textId="77777777" w:rsidTr="00E804B7">
        <w:trPr>
          <w:jc w:val="center"/>
        </w:trPr>
        <w:tc>
          <w:tcPr>
            <w:tcW w:w="4876" w:type="dxa"/>
            <w:hideMark/>
          </w:tcPr>
          <w:p w14:paraId="4B677C60" w14:textId="77777777" w:rsidR="003663AF" w:rsidRPr="00B7760C" w:rsidRDefault="003663AF" w:rsidP="00E804B7">
            <w:pPr>
              <w:pStyle w:val="ColumnHeading"/>
              <w:keepNext/>
            </w:pPr>
            <w:r w:rsidRPr="00B7760C">
              <w:t>Besedilo, ki ga predlaga Komisija</w:t>
            </w:r>
          </w:p>
        </w:tc>
        <w:tc>
          <w:tcPr>
            <w:tcW w:w="4876" w:type="dxa"/>
            <w:hideMark/>
          </w:tcPr>
          <w:p w14:paraId="5C1B3ADA" w14:textId="3E75D924" w:rsidR="003663AF" w:rsidRPr="00B7760C" w:rsidRDefault="00877691" w:rsidP="00E804B7">
            <w:pPr>
              <w:pStyle w:val="ColumnHeading"/>
              <w:keepNext/>
            </w:pPr>
            <w:r w:rsidRPr="00B7760C">
              <w:t>Sprememba</w:t>
            </w:r>
          </w:p>
        </w:tc>
      </w:tr>
      <w:tr w:rsidR="003663AF" w:rsidRPr="00B7760C" w14:paraId="1D00A9EA" w14:textId="77777777" w:rsidTr="00E804B7">
        <w:trPr>
          <w:jc w:val="center"/>
        </w:trPr>
        <w:tc>
          <w:tcPr>
            <w:tcW w:w="4876" w:type="dxa"/>
          </w:tcPr>
          <w:p w14:paraId="6E9639C8" w14:textId="77777777" w:rsidR="003663AF" w:rsidRPr="00B7760C" w:rsidRDefault="003663AF" w:rsidP="00E804B7">
            <w:pPr>
              <w:pStyle w:val="Normal6"/>
            </w:pPr>
          </w:p>
        </w:tc>
        <w:tc>
          <w:tcPr>
            <w:tcW w:w="4876" w:type="dxa"/>
            <w:hideMark/>
          </w:tcPr>
          <w:p w14:paraId="1433A9AA" w14:textId="77777777" w:rsidR="003663AF" w:rsidRPr="00B7760C" w:rsidRDefault="003663AF" w:rsidP="00E804B7">
            <w:pPr>
              <w:pStyle w:val="Normal6"/>
              <w:rPr>
                <w:szCs w:val="24"/>
              </w:rPr>
            </w:pPr>
            <w:r w:rsidRPr="00B7760C">
              <w:rPr>
                <w:b/>
                <w:i/>
              </w:rPr>
              <w:t>Države članice lahko podporo za spodbujanje shem kakovosti, organizacij proizvajalcev, skupin proizvajalcev ali drugih oblik sodelovanja odobrijo v obliki pavšalnega zneska.</w:t>
            </w:r>
          </w:p>
        </w:tc>
      </w:tr>
    </w:tbl>
    <w:p w14:paraId="0EEFDBEB" w14:textId="05D4C175" w:rsidR="00644713" w:rsidRPr="00B7760C" w:rsidRDefault="00644713" w:rsidP="00644713">
      <w:pPr>
        <w:pStyle w:val="AMNumberTabs"/>
        <w:keepNext/>
      </w:pPr>
      <w:r w:rsidRPr="00B7760C">
        <w:t>Sprememba</w:t>
      </w:r>
      <w:r w:rsidRPr="00B7760C">
        <w:tab/>
      </w:r>
      <w:r w:rsidRPr="00B7760C">
        <w:tab/>
        <w:t>1170</w:t>
      </w:r>
      <w:r w:rsidR="005847CC" w:rsidRPr="00B7760C">
        <w:t xml:space="preserve"> cp3</w:t>
      </w:r>
    </w:p>
    <w:p w14:paraId="22D47967" w14:textId="77777777" w:rsidR="00644713" w:rsidRPr="00B7760C" w:rsidRDefault="00644713" w:rsidP="00644713">
      <w:pPr>
        <w:pStyle w:val="NormalBold12b"/>
      </w:pPr>
      <w:r w:rsidRPr="00B7760C">
        <w:t>Predlog uredbe</w:t>
      </w:r>
    </w:p>
    <w:p w14:paraId="4C422348" w14:textId="1A41F5FA" w:rsidR="00644713" w:rsidRPr="00B7760C" w:rsidRDefault="00644713" w:rsidP="00644713">
      <w:pPr>
        <w:pStyle w:val="NormalBold"/>
      </w:pPr>
      <w:r w:rsidRPr="00B7760C">
        <w:t>Člen 71 – odstavek 7</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44713" w:rsidRPr="00B7760C" w14:paraId="4807400E" w14:textId="77777777" w:rsidTr="005847CC">
        <w:trPr>
          <w:jc w:val="center"/>
        </w:trPr>
        <w:tc>
          <w:tcPr>
            <w:tcW w:w="9752" w:type="dxa"/>
            <w:gridSpan w:val="2"/>
          </w:tcPr>
          <w:p w14:paraId="20506A35" w14:textId="77777777" w:rsidR="00644713" w:rsidRPr="00B7760C" w:rsidRDefault="00644713" w:rsidP="005847CC">
            <w:pPr>
              <w:keepNext/>
            </w:pPr>
          </w:p>
        </w:tc>
      </w:tr>
      <w:tr w:rsidR="00644713" w:rsidRPr="00B7760C" w14:paraId="5F75F9C9" w14:textId="77777777" w:rsidTr="005847CC">
        <w:trPr>
          <w:jc w:val="center"/>
        </w:trPr>
        <w:tc>
          <w:tcPr>
            <w:tcW w:w="4876" w:type="dxa"/>
            <w:hideMark/>
          </w:tcPr>
          <w:p w14:paraId="593139E4" w14:textId="77777777" w:rsidR="00644713" w:rsidRPr="00B7760C" w:rsidRDefault="00644713" w:rsidP="005847CC">
            <w:pPr>
              <w:pStyle w:val="ColumnHeading"/>
              <w:keepNext/>
            </w:pPr>
            <w:r w:rsidRPr="00B7760C">
              <w:t>Besedilo, ki ga predlaga Komisija</w:t>
            </w:r>
          </w:p>
        </w:tc>
        <w:tc>
          <w:tcPr>
            <w:tcW w:w="4876" w:type="dxa"/>
            <w:hideMark/>
          </w:tcPr>
          <w:p w14:paraId="5086D3BE" w14:textId="77777777" w:rsidR="00644713" w:rsidRPr="00B7760C" w:rsidRDefault="00644713" w:rsidP="005847CC">
            <w:pPr>
              <w:pStyle w:val="ColumnHeading"/>
              <w:keepNext/>
            </w:pPr>
            <w:r w:rsidRPr="00B7760C">
              <w:t>Sprememba</w:t>
            </w:r>
          </w:p>
        </w:tc>
      </w:tr>
      <w:tr w:rsidR="00644713" w:rsidRPr="00B7760C" w14:paraId="288A74B7" w14:textId="77777777" w:rsidTr="005847CC">
        <w:trPr>
          <w:jc w:val="center"/>
        </w:trPr>
        <w:tc>
          <w:tcPr>
            <w:tcW w:w="4876" w:type="dxa"/>
          </w:tcPr>
          <w:p w14:paraId="4BFC8516" w14:textId="253F5D5F" w:rsidR="00644713" w:rsidRPr="00B7760C" w:rsidRDefault="00644713" w:rsidP="005847CC">
            <w:pPr>
              <w:pStyle w:val="Normal6"/>
            </w:pPr>
            <w:r w:rsidRPr="00B7760C">
              <w:t>7.</w:t>
            </w:r>
            <w:r w:rsidRPr="00B7760C">
              <w:tab/>
              <w:t xml:space="preserve">Države članice lahko v primeru sodelovanja v okviru dedovanja kmetij odobrijo podporo samo tistim kmetom, ki </w:t>
            </w:r>
            <w:r w:rsidRPr="00B7760C">
              <w:rPr>
                <w:b/>
                <w:i/>
              </w:rPr>
              <w:t>so</w:t>
            </w:r>
            <w:r w:rsidRPr="00B7760C">
              <w:t xml:space="preserve"> dosegli upokojitveno starost, kot je določena v nacionalni zakonodaji.</w:t>
            </w:r>
          </w:p>
        </w:tc>
        <w:tc>
          <w:tcPr>
            <w:tcW w:w="4876" w:type="dxa"/>
          </w:tcPr>
          <w:p w14:paraId="318A7A81" w14:textId="0A9B159D" w:rsidR="00644713" w:rsidRPr="00B7760C" w:rsidRDefault="00644713" w:rsidP="005847CC">
            <w:pPr>
              <w:pStyle w:val="Normal6"/>
              <w:rPr>
                <w:szCs w:val="24"/>
              </w:rPr>
            </w:pPr>
            <w:r w:rsidRPr="00B7760C">
              <w:t>7.</w:t>
            </w:r>
            <w:r w:rsidRPr="00B7760C">
              <w:tab/>
              <w:t xml:space="preserve">Države članice lahko v primeru sodelovanja v okviru dedovanja kmetij </w:t>
            </w:r>
            <w:r w:rsidRPr="00B7760C">
              <w:rPr>
                <w:b/>
                <w:i/>
              </w:rPr>
              <w:t xml:space="preserve">in zaradi podpiranja generacijske pomladitve na ravni kmetij </w:t>
            </w:r>
            <w:r w:rsidRPr="00B7760C">
              <w:t xml:space="preserve">odobrijo podporo samo tistim kmetom, ki </w:t>
            </w:r>
            <w:r w:rsidRPr="00B7760C">
              <w:rPr>
                <w:b/>
                <w:i/>
              </w:rPr>
              <w:t>bodo v največ petih letih</w:t>
            </w:r>
            <w:r w:rsidRPr="00B7760C">
              <w:t xml:space="preserve"> dosegli upokojitveno starost, kot je določena v nacionalni zakonodaji.</w:t>
            </w:r>
          </w:p>
        </w:tc>
      </w:tr>
    </w:tbl>
    <w:p w14:paraId="3D83309A" w14:textId="77777777" w:rsidR="003663AF" w:rsidRPr="00B7760C" w:rsidRDefault="003663AF" w:rsidP="003663AF"/>
    <w:p w14:paraId="6CEC5F6E" w14:textId="667408E8" w:rsidR="003663AF" w:rsidRPr="00B7760C" w:rsidRDefault="00877691" w:rsidP="003663AF">
      <w:pPr>
        <w:pStyle w:val="AMNumberTabs"/>
        <w:keepNext/>
      </w:pPr>
      <w:r w:rsidRPr="00B7760C">
        <w:t>Sprememb</w:t>
      </w:r>
      <w:r w:rsidR="00644713" w:rsidRPr="00B7760C">
        <w:t>i</w:t>
      </w:r>
      <w:r w:rsidR="003663AF" w:rsidRPr="00B7760C">
        <w:tab/>
      </w:r>
      <w:r w:rsidR="003663AF" w:rsidRPr="00B7760C">
        <w:tab/>
        <w:t>501</w:t>
      </w:r>
      <w:r w:rsidR="00644713" w:rsidRPr="00B7760C">
        <w:t xml:space="preserve"> in 830 cp1</w:t>
      </w:r>
    </w:p>
    <w:p w14:paraId="4315F6D9" w14:textId="77777777" w:rsidR="003663AF" w:rsidRPr="00B7760C" w:rsidRDefault="003663AF" w:rsidP="003663AF">
      <w:pPr>
        <w:pStyle w:val="NormalBold12b"/>
      </w:pPr>
      <w:r w:rsidRPr="00B7760C">
        <w:t>Predlog uredbe</w:t>
      </w:r>
    </w:p>
    <w:p w14:paraId="3CABAE49" w14:textId="77777777" w:rsidR="003663AF" w:rsidRPr="00B7760C" w:rsidRDefault="003663AF" w:rsidP="003663AF">
      <w:pPr>
        <w:pStyle w:val="NormalBold"/>
      </w:pPr>
      <w:r w:rsidRPr="00B7760C">
        <w:t>Člen 71 – odstavek 8</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E7B40EA" w14:textId="77777777" w:rsidTr="00E804B7">
        <w:trPr>
          <w:jc w:val="center"/>
        </w:trPr>
        <w:tc>
          <w:tcPr>
            <w:tcW w:w="9752" w:type="dxa"/>
            <w:gridSpan w:val="2"/>
          </w:tcPr>
          <w:p w14:paraId="2149FCFD" w14:textId="77777777" w:rsidR="003663AF" w:rsidRPr="00B7760C" w:rsidRDefault="003663AF" w:rsidP="00E804B7">
            <w:pPr>
              <w:keepNext/>
            </w:pPr>
          </w:p>
        </w:tc>
      </w:tr>
      <w:tr w:rsidR="003663AF" w:rsidRPr="00B7760C" w14:paraId="431DC234" w14:textId="77777777" w:rsidTr="00E804B7">
        <w:trPr>
          <w:jc w:val="center"/>
        </w:trPr>
        <w:tc>
          <w:tcPr>
            <w:tcW w:w="4876" w:type="dxa"/>
            <w:hideMark/>
          </w:tcPr>
          <w:p w14:paraId="49762407" w14:textId="77777777" w:rsidR="003663AF" w:rsidRPr="00B7760C" w:rsidRDefault="003663AF" w:rsidP="00E804B7">
            <w:pPr>
              <w:pStyle w:val="ColumnHeading"/>
              <w:keepNext/>
            </w:pPr>
            <w:r w:rsidRPr="00B7760C">
              <w:t>Besedilo, ki ga predlaga Komisija</w:t>
            </w:r>
          </w:p>
        </w:tc>
        <w:tc>
          <w:tcPr>
            <w:tcW w:w="4876" w:type="dxa"/>
            <w:hideMark/>
          </w:tcPr>
          <w:p w14:paraId="54510446" w14:textId="17FA98F8" w:rsidR="003663AF" w:rsidRPr="00B7760C" w:rsidRDefault="00877691" w:rsidP="00E804B7">
            <w:pPr>
              <w:pStyle w:val="ColumnHeading"/>
              <w:keepNext/>
            </w:pPr>
            <w:r w:rsidRPr="00B7760C">
              <w:t>Sprememba</w:t>
            </w:r>
          </w:p>
        </w:tc>
      </w:tr>
      <w:tr w:rsidR="003663AF" w:rsidRPr="00B7760C" w14:paraId="235D336A" w14:textId="77777777" w:rsidTr="00E804B7">
        <w:trPr>
          <w:jc w:val="center"/>
        </w:trPr>
        <w:tc>
          <w:tcPr>
            <w:tcW w:w="4876" w:type="dxa"/>
          </w:tcPr>
          <w:p w14:paraId="67B01762" w14:textId="77777777" w:rsidR="003663AF" w:rsidRPr="00B7760C" w:rsidRDefault="003663AF" w:rsidP="00E804B7">
            <w:pPr>
              <w:pStyle w:val="Normal6"/>
            </w:pPr>
            <w:r w:rsidRPr="00B7760C">
              <w:t>8.</w:t>
            </w:r>
            <w:r w:rsidRPr="00B7760C">
              <w:tab/>
              <w:t xml:space="preserve">Države članice podporo omejijo na največ sedem let, razen za kolektivne okoljske in podnebne ukrepe v ustrezno utemeljenih primerih za uresničevanje specifičnih </w:t>
            </w:r>
            <w:r w:rsidRPr="00B7760C">
              <w:rPr>
                <w:b/>
                <w:i/>
              </w:rPr>
              <w:t xml:space="preserve">okoljskih in podnebnih </w:t>
            </w:r>
            <w:r w:rsidRPr="00B7760C">
              <w:t>ciljev iz točk (d), (e) in (f) člena 6(1).</w:t>
            </w:r>
          </w:p>
        </w:tc>
        <w:tc>
          <w:tcPr>
            <w:tcW w:w="4876" w:type="dxa"/>
          </w:tcPr>
          <w:p w14:paraId="697E0A47" w14:textId="05B02F61" w:rsidR="003663AF" w:rsidRPr="00B7760C" w:rsidRDefault="003663AF" w:rsidP="00E804B7">
            <w:pPr>
              <w:pStyle w:val="Normal6"/>
              <w:rPr>
                <w:szCs w:val="24"/>
              </w:rPr>
            </w:pPr>
            <w:r w:rsidRPr="00B7760C">
              <w:t>8.</w:t>
            </w:r>
            <w:r w:rsidRPr="00B7760C">
              <w:tab/>
              <w:t>Države članice podporo omejijo na največ sedem let, razen za kolektivne okoljske in podnebne ukrepe v ustrezno utemeljenih primerih za uresničevanje specifičnih ciljev</w:t>
            </w:r>
            <w:r w:rsidRPr="00B7760C">
              <w:rPr>
                <w:b/>
                <w:i/>
              </w:rPr>
              <w:t>, povezanih z okoljem in podnebjem,</w:t>
            </w:r>
            <w:r w:rsidRPr="00B7760C">
              <w:t xml:space="preserve"> iz točk (d), (e) in (f) člena 6(1).</w:t>
            </w:r>
            <w:r w:rsidR="00644713" w:rsidRPr="00B7760C">
              <w:t xml:space="preserve"> </w:t>
            </w:r>
            <w:r w:rsidR="00644713" w:rsidRPr="00B7760C">
              <w:rPr>
                <w:b/>
                <w:i/>
              </w:rPr>
              <w:t>Države članice ne podpirajo intervencij, ki negativno vplivajo na okolje.</w:t>
            </w:r>
          </w:p>
        </w:tc>
      </w:tr>
    </w:tbl>
    <w:p w14:paraId="498A3962" w14:textId="77777777" w:rsidR="003663AF" w:rsidRPr="00B7760C" w:rsidRDefault="003663AF" w:rsidP="003663AF"/>
    <w:p w14:paraId="56C83034" w14:textId="77777777" w:rsidR="003663AF" w:rsidRPr="00B7760C" w:rsidRDefault="003663AF" w:rsidP="003663AF">
      <w:pPr>
        <w:pStyle w:val="Normal6"/>
      </w:pPr>
    </w:p>
    <w:p w14:paraId="58EE1F4B" w14:textId="0C86A60B" w:rsidR="003663AF" w:rsidRPr="00B7760C" w:rsidRDefault="00877691" w:rsidP="00644713">
      <w:pPr>
        <w:pStyle w:val="AMNumberTabs"/>
        <w:keepNext/>
      </w:pPr>
      <w:r w:rsidRPr="00B7760C">
        <w:t>Sprememb</w:t>
      </w:r>
      <w:r w:rsidR="00644713" w:rsidRPr="00B7760C">
        <w:t>i</w:t>
      </w:r>
      <w:r w:rsidR="003663AF" w:rsidRPr="00B7760C">
        <w:tab/>
      </w:r>
      <w:r w:rsidR="003663AF" w:rsidRPr="00B7760C">
        <w:tab/>
        <w:t>502</w:t>
      </w:r>
      <w:r w:rsidR="00644713" w:rsidRPr="00B7760C">
        <w:t xml:space="preserve"> in 1170 cp4</w:t>
      </w:r>
    </w:p>
    <w:p w14:paraId="4233695F" w14:textId="77777777" w:rsidR="003663AF" w:rsidRPr="00B7760C" w:rsidRDefault="003663AF" w:rsidP="003663AF">
      <w:pPr>
        <w:pStyle w:val="NormalBold12b"/>
      </w:pPr>
      <w:r w:rsidRPr="00B7760C">
        <w:t>Predlog uredbe</w:t>
      </w:r>
    </w:p>
    <w:p w14:paraId="495E3548" w14:textId="77777777" w:rsidR="003663AF" w:rsidRPr="00B7760C" w:rsidRDefault="003663AF" w:rsidP="003663AF">
      <w:pPr>
        <w:pStyle w:val="NormalBold"/>
      </w:pPr>
      <w:r w:rsidRPr="00B7760C">
        <w:t>Člen 71 – odstavek 8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8811765" w14:textId="77777777" w:rsidTr="00E804B7">
        <w:trPr>
          <w:jc w:val="center"/>
        </w:trPr>
        <w:tc>
          <w:tcPr>
            <w:tcW w:w="9752" w:type="dxa"/>
            <w:gridSpan w:val="2"/>
          </w:tcPr>
          <w:p w14:paraId="3E2EE7D8" w14:textId="77777777" w:rsidR="003663AF" w:rsidRPr="00B7760C" w:rsidRDefault="003663AF" w:rsidP="00E804B7">
            <w:pPr>
              <w:keepNext/>
            </w:pPr>
          </w:p>
        </w:tc>
      </w:tr>
      <w:tr w:rsidR="003663AF" w:rsidRPr="00B7760C" w14:paraId="45FFD40E" w14:textId="77777777" w:rsidTr="00E804B7">
        <w:trPr>
          <w:jc w:val="center"/>
        </w:trPr>
        <w:tc>
          <w:tcPr>
            <w:tcW w:w="4876" w:type="dxa"/>
            <w:hideMark/>
          </w:tcPr>
          <w:p w14:paraId="7B6B53EE" w14:textId="77777777" w:rsidR="003663AF" w:rsidRPr="00B7760C" w:rsidRDefault="003663AF" w:rsidP="00E804B7">
            <w:pPr>
              <w:pStyle w:val="ColumnHeading"/>
              <w:keepNext/>
            </w:pPr>
            <w:r w:rsidRPr="00B7760C">
              <w:t>Besedilo, ki ga predlaga Komisija</w:t>
            </w:r>
          </w:p>
        </w:tc>
        <w:tc>
          <w:tcPr>
            <w:tcW w:w="4876" w:type="dxa"/>
            <w:hideMark/>
          </w:tcPr>
          <w:p w14:paraId="5F7FD449" w14:textId="23549934" w:rsidR="003663AF" w:rsidRPr="00B7760C" w:rsidRDefault="00877691" w:rsidP="00E804B7">
            <w:pPr>
              <w:pStyle w:val="ColumnHeading"/>
              <w:keepNext/>
            </w:pPr>
            <w:r w:rsidRPr="00B7760C">
              <w:t>Sprememba</w:t>
            </w:r>
          </w:p>
        </w:tc>
      </w:tr>
      <w:tr w:rsidR="003663AF" w:rsidRPr="00B7760C" w14:paraId="6DDFF2CF" w14:textId="77777777" w:rsidTr="00E804B7">
        <w:trPr>
          <w:jc w:val="center"/>
        </w:trPr>
        <w:tc>
          <w:tcPr>
            <w:tcW w:w="4876" w:type="dxa"/>
          </w:tcPr>
          <w:p w14:paraId="0276E745" w14:textId="77777777" w:rsidR="003663AF" w:rsidRPr="00B7760C" w:rsidRDefault="003663AF" w:rsidP="00E804B7">
            <w:pPr>
              <w:pStyle w:val="Normal6"/>
            </w:pPr>
          </w:p>
        </w:tc>
        <w:tc>
          <w:tcPr>
            <w:tcW w:w="4876" w:type="dxa"/>
            <w:hideMark/>
          </w:tcPr>
          <w:p w14:paraId="2692EECD" w14:textId="77777777" w:rsidR="003663AF" w:rsidRPr="00B7760C" w:rsidRDefault="003663AF" w:rsidP="00E804B7">
            <w:pPr>
              <w:pStyle w:val="Normal6"/>
              <w:rPr>
                <w:szCs w:val="24"/>
              </w:rPr>
            </w:pPr>
            <w:r w:rsidRPr="00B7760C">
              <w:rPr>
                <w:b/>
                <w:i/>
              </w:rPr>
              <w:t>8a.</w:t>
            </w:r>
            <w:r w:rsidRPr="00B7760C">
              <w:rPr>
                <w:b/>
                <w:i/>
              </w:rPr>
              <w:tab/>
              <w:t>Lokalne akcijske skupine lahko pristojno plačilno agencijo zaprosijo za izplačilo predplačila, če je ta možnost določena v strateškem načrtu. Znesek predplačil ne presega 50 % javne podpore za tekoče stroške in stroške animacije.</w:t>
            </w:r>
          </w:p>
        </w:tc>
      </w:tr>
    </w:tbl>
    <w:p w14:paraId="4372D2DB" w14:textId="77777777" w:rsidR="003663AF" w:rsidRPr="00B7760C" w:rsidRDefault="003663AF" w:rsidP="003663AF"/>
    <w:p w14:paraId="270FE584" w14:textId="7F861217" w:rsidR="003663AF" w:rsidRPr="00B7760C" w:rsidRDefault="00877691" w:rsidP="003663AF">
      <w:pPr>
        <w:pStyle w:val="AMNumberTabs"/>
        <w:keepNext/>
      </w:pPr>
      <w:r w:rsidRPr="00B7760C">
        <w:t>Sprememba</w:t>
      </w:r>
      <w:r w:rsidR="003663AF" w:rsidRPr="00B7760C">
        <w:tab/>
      </w:r>
      <w:r w:rsidR="003663AF" w:rsidRPr="00B7760C">
        <w:tab/>
        <w:t>503</w:t>
      </w:r>
    </w:p>
    <w:p w14:paraId="27E4B725" w14:textId="77777777" w:rsidR="003663AF" w:rsidRPr="00B7760C" w:rsidRDefault="003663AF" w:rsidP="003663AF">
      <w:pPr>
        <w:pStyle w:val="NormalBold12b"/>
      </w:pPr>
      <w:r w:rsidRPr="00B7760C">
        <w:t>Predlog uredbe</w:t>
      </w:r>
    </w:p>
    <w:p w14:paraId="0C52D725" w14:textId="77777777" w:rsidR="003663AF" w:rsidRPr="00B7760C" w:rsidRDefault="003663AF" w:rsidP="003663AF">
      <w:pPr>
        <w:pStyle w:val="NormalBold"/>
      </w:pPr>
      <w:r w:rsidRPr="00B7760C">
        <w:t>Člen 71 – odstavek 8 b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2A556BE" w14:textId="77777777" w:rsidTr="00E804B7">
        <w:trPr>
          <w:jc w:val="center"/>
        </w:trPr>
        <w:tc>
          <w:tcPr>
            <w:tcW w:w="9752" w:type="dxa"/>
            <w:gridSpan w:val="2"/>
          </w:tcPr>
          <w:p w14:paraId="61144B9B" w14:textId="77777777" w:rsidR="003663AF" w:rsidRPr="00B7760C" w:rsidRDefault="003663AF" w:rsidP="00E804B7">
            <w:pPr>
              <w:keepNext/>
            </w:pPr>
          </w:p>
        </w:tc>
      </w:tr>
      <w:tr w:rsidR="003663AF" w:rsidRPr="00B7760C" w14:paraId="5AFE9526" w14:textId="77777777" w:rsidTr="00E804B7">
        <w:trPr>
          <w:jc w:val="center"/>
        </w:trPr>
        <w:tc>
          <w:tcPr>
            <w:tcW w:w="4876" w:type="dxa"/>
            <w:hideMark/>
          </w:tcPr>
          <w:p w14:paraId="7BFDA444" w14:textId="77777777" w:rsidR="003663AF" w:rsidRPr="00B7760C" w:rsidRDefault="003663AF" w:rsidP="00E804B7">
            <w:pPr>
              <w:pStyle w:val="ColumnHeading"/>
              <w:keepNext/>
            </w:pPr>
            <w:r w:rsidRPr="00B7760C">
              <w:t>Besedilo, ki ga predlaga Komisija</w:t>
            </w:r>
          </w:p>
        </w:tc>
        <w:tc>
          <w:tcPr>
            <w:tcW w:w="4876" w:type="dxa"/>
            <w:hideMark/>
          </w:tcPr>
          <w:p w14:paraId="4C93BE76" w14:textId="5570F105" w:rsidR="003663AF" w:rsidRPr="00B7760C" w:rsidRDefault="00877691" w:rsidP="00E804B7">
            <w:pPr>
              <w:pStyle w:val="ColumnHeading"/>
              <w:keepNext/>
            </w:pPr>
            <w:r w:rsidRPr="00B7760C">
              <w:t>Sprememba</w:t>
            </w:r>
          </w:p>
        </w:tc>
      </w:tr>
      <w:tr w:rsidR="003663AF" w:rsidRPr="00B7760C" w14:paraId="33755EA6" w14:textId="77777777" w:rsidTr="00E804B7">
        <w:trPr>
          <w:jc w:val="center"/>
        </w:trPr>
        <w:tc>
          <w:tcPr>
            <w:tcW w:w="4876" w:type="dxa"/>
          </w:tcPr>
          <w:p w14:paraId="73ACBC4D" w14:textId="77777777" w:rsidR="003663AF" w:rsidRPr="00B7760C" w:rsidRDefault="003663AF" w:rsidP="00E804B7">
            <w:pPr>
              <w:pStyle w:val="Normal6"/>
            </w:pPr>
          </w:p>
        </w:tc>
        <w:tc>
          <w:tcPr>
            <w:tcW w:w="4876" w:type="dxa"/>
            <w:hideMark/>
          </w:tcPr>
          <w:p w14:paraId="44C0CC96" w14:textId="77777777" w:rsidR="003663AF" w:rsidRPr="00B7760C" w:rsidRDefault="003663AF" w:rsidP="00E804B7">
            <w:pPr>
              <w:pStyle w:val="Normal6"/>
              <w:rPr>
                <w:szCs w:val="24"/>
              </w:rPr>
            </w:pPr>
            <w:r w:rsidRPr="00B7760C">
              <w:rPr>
                <w:b/>
                <w:i/>
              </w:rPr>
              <w:t>8b.</w:t>
            </w:r>
            <w:r w:rsidRPr="00B7760C">
              <w:rPr>
                <w:b/>
                <w:i/>
              </w:rPr>
              <w:tab/>
              <w:t>Podpora shemam kakovosti za kmetijske proizvode in živila, vključno z ukrepi za informiranje in promocijo, ter pomoč za ustanovitev skupin in organizacij proizvajalcev je omejena na najvišji znesek, določen v Prilogi IXb.</w:t>
            </w:r>
          </w:p>
        </w:tc>
      </w:tr>
    </w:tbl>
    <w:p w14:paraId="38BCDD13" w14:textId="671E69E4" w:rsidR="003663AF" w:rsidRPr="00B7760C" w:rsidRDefault="003663AF" w:rsidP="003663AF"/>
    <w:p w14:paraId="380FED18" w14:textId="65FF239E" w:rsidR="001F4F12" w:rsidRPr="00B7760C" w:rsidRDefault="001F4F12" w:rsidP="001F4F12">
      <w:pPr>
        <w:pStyle w:val="AmNumberTabs0"/>
      </w:pPr>
      <w:r w:rsidRPr="00B7760C">
        <w:t>Sprememba</w:t>
      </w:r>
      <w:r w:rsidRPr="00B7760C">
        <w:tab/>
      </w:r>
      <w:r w:rsidRPr="00B7760C">
        <w:tab/>
        <w:t>830 cp2</w:t>
      </w:r>
    </w:p>
    <w:p w14:paraId="560788EF" w14:textId="77777777" w:rsidR="001F4F12" w:rsidRPr="00B7760C" w:rsidRDefault="001F4F12" w:rsidP="001F4F12">
      <w:pPr>
        <w:pStyle w:val="NormalBold12b"/>
      </w:pPr>
      <w:r w:rsidRPr="00B7760C">
        <w:t>Predlog uredbe</w:t>
      </w:r>
    </w:p>
    <w:p w14:paraId="7A1D2325" w14:textId="4650AD35" w:rsidR="001F4F12" w:rsidRPr="00B7760C" w:rsidRDefault="001F4F12" w:rsidP="001F4F12">
      <w:pPr>
        <w:pStyle w:val="NormalBold"/>
      </w:pPr>
      <w:r w:rsidRPr="00B7760C">
        <w:t>Člen 71 – odstavek 8 c (novo)</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1F4F12" w:rsidRPr="00B7760C" w14:paraId="30C8B673" w14:textId="77777777" w:rsidTr="005847CC">
        <w:trPr>
          <w:trHeight w:hRule="exact" w:val="240"/>
          <w:jc w:val="center"/>
        </w:trPr>
        <w:tc>
          <w:tcPr>
            <w:tcW w:w="9752" w:type="dxa"/>
            <w:gridSpan w:val="2"/>
          </w:tcPr>
          <w:p w14:paraId="4ADA38FA" w14:textId="77777777" w:rsidR="001F4F12" w:rsidRPr="00B7760C" w:rsidRDefault="001F4F12" w:rsidP="005847CC"/>
        </w:tc>
      </w:tr>
      <w:tr w:rsidR="001F4F12" w:rsidRPr="00B7760C" w14:paraId="5C013435" w14:textId="77777777" w:rsidTr="005847CC">
        <w:trPr>
          <w:trHeight w:val="240"/>
          <w:jc w:val="center"/>
        </w:trPr>
        <w:tc>
          <w:tcPr>
            <w:tcW w:w="4876" w:type="dxa"/>
          </w:tcPr>
          <w:p w14:paraId="1F0C1546" w14:textId="77777777" w:rsidR="001F4F12" w:rsidRPr="00B7760C" w:rsidRDefault="001F4F12" w:rsidP="005847CC">
            <w:pPr>
              <w:pStyle w:val="AmColumnHeading"/>
            </w:pPr>
            <w:r w:rsidRPr="00B7760C">
              <w:t>Besedilo, ki ga predlaga Komisija</w:t>
            </w:r>
          </w:p>
        </w:tc>
        <w:tc>
          <w:tcPr>
            <w:tcW w:w="4876" w:type="dxa"/>
          </w:tcPr>
          <w:p w14:paraId="2D98DA73" w14:textId="614EA24A" w:rsidR="001F4F12" w:rsidRPr="00B7760C" w:rsidRDefault="001F4F12" w:rsidP="005847CC">
            <w:pPr>
              <w:pStyle w:val="AmColumnHeading"/>
            </w:pPr>
            <w:r w:rsidRPr="00B7760C">
              <w:t>Sprememba</w:t>
            </w:r>
          </w:p>
        </w:tc>
      </w:tr>
      <w:tr w:rsidR="001F4F12" w:rsidRPr="00B7760C" w14:paraId="06BFD329" w14:textId="77777777" w:rsidTr="005847CC">
        <w:trPr>
          <w:jc w:val="center"/>
        </w:trPr>
        <w:tc>
          <w:tcPr>
            <w:tcW w:w="4876" w:type="dxa"/>
          </w:tcPr>
          <w:p w14:paraId="3FEA3D45" w14:textId="77777777" w:rsidR="001F4F12" w:rsidRPr="00B7760C" w:rsidRDefault="001F4F12" w:rsidP="005847CC">
            <w:pPr>
              <w:pStyle w:val="Normal6a"/>
            </w:pPr>
          </w:p>
        </w:tc>
        <w:tc>
          <w:tcPr>
            <w:tcW w:w="4876" w:type="dxa"/>
          </w:tcPr>
          <w:p w14:paraId="183D67B2" w14:textId="42022AFB" w:rsidR="001F4F12" w:rsidRPr="00B7760C" w:rsidRDefault="005847CC" w:rsidP="005847CC">
            <w:pPr>
              <w:pStyle w:val="Normal6a"/>
            </w:pPr>
            <w:r w:rsidRPr="00B7760C">
              <w:rPr>
                <w:b/>
                <w:i/>
              </w:rPr>
              <w:t>8c</w:t>
            </w:r>
            <w:r w:rsidR="001F4F12" w:rsidRPr="00B7760C">
              <w:rPr>
                <w:b/>
                <w:i/>
              </w:rPr>
              <w:t>.</w:t>
            </w:r>
            <w:r w:rsidR="001F4F12" w:rsidRPr="00B7760C">
              <w:tab/>
            </w:r>
            <w:r w:rsidR="001F4F12" w:rsidRPr="00B7760C">
              <w:rPr>
                <w:b/>
                <w:i/>
              </w:rPr>
              <w:t>Pobuda LEADER, pri kateri gre za lokalni razvoj, ki ga vodi skupnost, v smislu odstavka 1, zagotavlja aktivno vključevanje predvsem kmetijskih in/ali gozdarskih gospodarstev.</w:t>
            </w:r>
          </w:p>
        </w:tc>
      </w:tr>
    </w:tbl>
    <w:p w14:paraId="14D12F4A" w14:textId="77777777" w:rsidR="001F4F12" w:rsidRPr="00B7760C" w:rsidRDefault="001F4F12" w:rsidP="003663AF"/>
    <w:p w14:paraId="4079E26A" w14:textId="68DB1F9C" w:rsidR="003663AF" w:rsidRPr="00B7760C" w:rsidRDefault="00877691" w:rsidP="003663AF">
      <w:pPr>
        <w:pStyle w:val="AMNumberTabs"/>
      </w:pPr>
      <w:r w:rsidRPr="00B7760C">
        <w:t>Sprememba</w:t>
      </w:r>
      <w:r w:rsidR="003663AF" w:rsidRPr="00B7760C">
        <w:tab/>
      </w:r>
      <w:r w:rsidR="003663AF" w:rsidRPr="00B7760C">
        <w:tab/>
        <w:t>504</w:t>
      </w:r>
    </w:p>
    <w:p w14:paraId="1EEFE569" w14:textId="77777777" w:rsidR="003663AF" w:rsidRPr="00B7760C" w:rsidRDefault="003663AF" w:rsidP="003663AF">
      <w:pPr>
        <w:pStyle w:val="NormalBold12b"/>
      </w:pPr>
      <w:r w:rsidRPr="00B7760C">
        <w:t>Predlog uredbe</w:t>
      </w:r>
    </w:p>
    <w:p w14:paraId="7440AC02" w14:textId="77777777" w:rsidR="003663AF" w:rsidRPr="00B7760C" w:rsidRDefault="003663AF" w:rsidP="003663AF">
      <w:pPr>
        <w:pStyle w:val="NormalBold"/>
      </w:pPr>
      <w:r w:rsidRPr="00B7760C">
        <w:t>Člen 71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E97EC3F" w14:textId="77777777" w:rsidTr="00E804B7">
        <w:trPr>
          <w:trHeight w:hRule="exact" w:val="240"/>
          <w:jc w:val="center"/>
        </w:trPr>
        <w:tc>
          <w:tcPr>
            <w:tcW w:w="9752" w:type="dxa"/>
            <w:gridSpan w:val="2"/>
          </w:tcPr>
          <w:p w14:paraId="7013B1C6" w14:textId="77777777" w:rsidR="003663AF" w:rsidRPr="00B7760C" w:rsidRDefault="003663AF" w:rsidP="00E804B7"/>
        </w:tc>
      </w:tr>
      <w:tr w:rsidR="003663AF" w:rsidRPr="00B7760C" w14:paraId="6FCE3047" w14:textId="77777777" w:rsidTr="00E804B7">
        <w:trPr>
          <w:trHeight w:val="240"/>
          <w:jc w:val="center"/>
        </w:trPr>
        <w:tc>
          <w:tcPr>
            <w:tcW w:w="4876" w:type="dxa"/>
          </w:tcPr>
          <w:p w14:paraId="654EF557" w14:textId="77777777" w:rsidR="003663AF" w:rsidRPr="00B7760C" w:rsidRDefault="003663AF" w:rsidP="00E804B7">
            <w:pPr>
              <w:pStyle w:val="ColumnHeading"/>
            </w:pPr>
            <w:r w:rsidRPr="00B7760C">
              <w:t>Besedilo, ki ga predlaga Komisija</w:t>
            </w:r>
          </w:p>
        </w:tc>
        <w:tc>
          <w:tcPr>
            <w:tcW w:w="4876" w:type="dxa"/>
          </w:tcPr>
          <w:p w14:paraId="2126FD3F" w14:textId="395898DC" w:rsidR="003663AF" w:rsidRPr="00B7760C" w:rsidRDefault="00877691" w:rsidP="00E804B7">
            <w:pPr>
              <w:pStyle w:val="ColumnHeading"/>
            </w:pPr>
            <w:r w:rsidRPr="00B7760C">
              <w:t>Sprememba</w:t>
            </w:r>
          </w:p>
        </w:tc>
      </w:tr>
      <w:tr w:rsidR="003663AF" w:rsidRPr="00B7760C" w14:paraId="603524E7" w14:textId="77777777" w:rsidTr="00E804B7">
        <w:trPr>
          <w:jc w:val="center"/>
        </w:trPr>
        <w:tc>
          <w:tcPr>
            <w:tcW w:w="4876" w:type="dxa"/>
          </w:tcPr>
          <w:p w14:paraId="541EFE31" w14:textId="77777777" w:rsidR="003663AF" w:rsidRPr="00B7760C" w:rsidRDefault="003663AF" w:rsidP="00E804B7">
            <w:pPr>
              <w:pStyle w:val="Normal6"/>
              <w:jc w:val="center"/>
              <w:rPr>
                <w:b/>
                <w:bCs/>
                <w:i/>
                <w:iCs/>
              </w:rPr>
            </w:pPr>
          </w:p>
        </w:tc>
        <w:tc>
          <w:tcPr>
            <w:tcW w:w="4876" w:type="dxa"/>
          </w:tcPr>
          <w:p w14:paraId="440A74F1" w14:textId="77777777" w:rsidR="003663AF" w:rsidRPr="00B7760C" w:rsidRDefault="003663AF" w:rsidP="00E804B7">
            <w:pPr>
              <w:pStyle w:val="Normal6"/>
              <w:jc w:val="center"/>
              <w:rPr>
                <w:b/>
                <w:bCs/>
                <w:i/>
                <w:iCs/>
              </w:rPr>
            </w:pPr>
            <w:r w:rsidRPr="00B7760C">
              <w:rPr>
                <w:b/>
                <w:bCs/>
                <w:i/>
                <w:iCs/>
              </w:rPr>
              <w:t>Člen 71a</w:t>
            </w:r>
          </w:p>
        </w:tc>
      </w:tr>
      <w:tr w:rsidR="003663AF" w:rsidRPr="00B7760C" w14:paraId="1AE4AE4F" w14:textId="77777777" w:rsidTr="00E804B7">
        <w:trPr>
          <w:jc w:val="center"/>
        </w:trPr>
        <w:tc>
          <w:tcPr>
            <w:tcW w:w="4876" w:type="dxa"/>
          </w:tcPr>
          <w:p w14:paraId="71D5AC93" w14:textId="77777777" w:rsidR="003663AF" w:rsidRPr="00B7760C" w:rsidRDefault="003663AF" w:rsidP="00E804B7">
            <w:pPr>
              <w:pStyle w:val="Normal6"/>
              <w:jc w:val="center"/>
              <w:rPr>
                <w:b/>
                <w:bCs/>
                <w:i/>
                <w:iCs/>
              </w:rPr>
            </w:pPr>
          </w:p>
        </w:tc>
        <w:tc>
          <w:tcPr>
            <w:tcW w:w="4876" w:type="dxa"/>
          </w:tcPr>
          <w:p w14:paraId="2D4A6A81" w14:textId="77777777" w:rsidR="003663AF" w:rsidRPr="00B7760C" w:rsidRDefault="003663AF" w:rsidP="00E804B7">
            <w:pPr>
              <w:pStyle w:val="Normal6"/>
              <w:jc w:val="center"/>
              <w:rPr>
                <w:b/>
                <w:bCs/>
                <w:i/>
                <w:iCs/>
              </w:rPr>
            </w:pPr>
            <w:r w:rsidRPr="00B7760C">
              <w:rPr>
                <w:b/>
                <w:bCs/>
                <w:i/>
                <w:iCs/>
              </w:rPr>
              <w:t>Tematski podprogrami za sheme kakovosti za kmetijske proizvode in živila</w:t>
            </w:r>
          </w:p>
        </w:tc>
      </w:tr>
      <w:tr w:rsidR="003663AF" w:rsidRPr="00B7760C" w14:paraId="318348A1" w14:textId="77777777" w:rsidTr="00E804B7">
        <w:trPr>
          <w:jc w:val="center"/>
        </w:trPr>
        <w:tc>
          <w:tcPr>
            <w:tcW w:w="4876" w:type="dxa"/>
          </w:tcPr>
          <w:p w14:paraId="51FFBF33" w14:textId="77777777" w:rsidR="003663AF" w:rsidRPr="00B7760C" w:rsidRDefault="003663AF" w:rsidP="00E804B7">
            <w:pPr>
              <w:pStyle w:val="Normal6"/>
            </w:pPr>
          </w:p>
        </w:tc>
        <w:tc>
          <w:tcPr>
            <w:tcW w:w="4876" w:type="dxa"/>
          </w:tcPr>
          <w:p w14:paraId="5B56F1B3" w14:textId="77777777" w:rsidR="003663AF" w:rsidRPr="00B7760C" w:rsidRDefault="003663AF" w:rsidP="00E804B7">
            <w:pPr>
              <w:pStyle w:val="Normal6"/>
            </w:pPr>
            <w:r w:rsidRPr="00B7760C">
              <w:rPr>
                <w:b/>
                <w:i/>
              </w:rPr>
              <w:t>Države članice lahko vzpostavijo tematski podprogram za sheme kakovosti za kmetijske proizvode, predvidene v Uredbi 1151/2012, skladno s cilji iz člena 6(1).</w:t>
            </w:r>
          </w:p>
        </w:tc>
      </w:tr>
    </w:tbl>
    <w:p w14:paraId="148611D9" w14:textId="77777777" w:rsidR="003663AF" w:rsidRPr="00B7760C" w:rsidRDefault="003663AF" w:rsidP="003663AF"/>
    <w:p w14:paraId="76675EA3" w14:textId="16ED0D10" w:rsidR="003663AF" w:rsidRPr="00B7760C" w:rsidRDefault="00877691" w:rsidP="003663AF">
      <w:pPr>
        <w:pStyle w:val="AMNumberTabs"/>
        <w:keepNext/>
      </w:pPr>
      <w:r w:rsidRPr="00B7760C">
        <w:t>Sprememba</w:t>
      </w:r>
      <w:r w:rsidR="003663AF" w:rsidRPr="00B7760C">
        <w:tab/>
      </w:r>
      <w:r w:rsidR="003663AF" w:rsidRPr="00B7760C">
        <w:tab/>
        <w:t>505</w:t>
      </w:r>
    </w:p>
    <w:p w14:paraId="76A684E1" w14:textId="77777777" w:rsidR="003663AF" w:rsidRPr="00B7760C" w:rsidRDefault="003663AF" w:rsidP="003663AF">
      <w:pPr>
        <w:pStyle w:val="NormalBold12b"/>
      </w:pPr>
      <w:r w:rsidRPr="00B7760C">
        <w:t>Predlog uredbe</w:t>
      </w:r>
    </w:p>
    <w:p w14:paraId="6D449AB4" w14:textId="77777777" w:rsidR="003663AF" w:rsidRPr="00B7760C" w:rsidRDefault="003663AF" w:rsidP="003663AF">
      <w:pPr>
        <w:pStyle w:val="NormalBold"/>
      </w:pPr>
      <w:r w:rsidRPr="00B7760C">
        <w:t>Člen 72 – 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E3F3731" w14:textId="77777777" w:rsidTr="00E804B7">
        <w:trPr>
          <w:jc w:val="center"/>
        </w:trPr>
        <w:tc>
          <w:tcPr>
            <w:tcW w:w="9752" w:type="dxa"/>
            <w:gridSpan w:val="2"/>
          </w:tcPr>
          <w:p w14:paraId="7BEFEC0A" w14:textId="77777777" w:rsidR="003663AF" w:rsidRPr="00B7760C" w:rsidRDefault="003663AF" w:rsidP="00E804B7">
            <w:pPr>
              <w:keepNext/>
            </w:pPr>
          </w:p>
        </w:tc>
      </w:tr>
      <w:tr w:rsidR="003663AF" w:rsidRPr="00B7760C" w14:paraId="6F559419" w14:textId="77777777" w:rsidTr="00E804B7">
        <w:trPr>
          <w:jc w:val="center"/>
        </w:trPr>
        <w:tc>
          <w:tcPr>
            <w:tcW w:w="4876" w:type="dxa"/>
            <w:hideMark/>
          </w:tcPr>
          <w:p w14:paraId="1A351A83" w14:textId="77777777" w:rsidR="003663AF" w:rsidRPr="00B7760C" w:rsidRDefault="003663AF" w:rsidP="00E804B7">
            <w:pPr>
              <w:pStyle w:val="ColumnHeading"/>
              <w:keepNext/>
            </w:pPr>
            <w:r w:rsidRPr="00B7760C">
              <w:t>Besedilo, ki ga predlaga Komisija</w:t>
            </w:r>
          </w:p>
        </w:tc>
        <w:tc>
          <w:tcPr>
            <w:tcW w:w="4876" w:type="dxa"/>
            <w:hideMark/>
          </w:tcPr>
          <w:p w14:paraId="0246C08D" w14:textId="1F1AC9D3" w:rsidR="003663AF" w:rsidRPr="00B7760C" w:rsidRDefault="00877691" w:rsidP="00E804B7">
            <w:pPr>
              <w:pStyle w:val="ColumnHeading"/>
              <w:keepNext/>
            </w:pPr>
            <w:r w:rsidRPr="00B7760C">
              <w:t>Sprememba</w:t>
            </w:r>
          </w:p>
        </w:tc>
      </w:tr>
      <w:tr w:rsidR="003663AF" w:rsidRPr="00B7760C" w14:paraId="3BA0D1A4" w14:textId="77777777" w:rsidTr="00E804B7">
        <w:trPr>
          <w:jc w:val="center"/>
        </w:trPr>
        <w:tc>
          <w:tcPr>
            <w:tcW w:w="4876" w:type="dxa"/>
            <w:hideMark/>
          </w:tcPr>
          <w:p w14:paraId="411F69BD" w14:textId="77777777" w:rsidR="003663AF" w:rsidRPr="00B7760C" w:rsidRDefault="003663AF" w:rsidP="00E804B7">
            <w:pPr>
              <w:pStyle w:val="Normal6"/>
            </w:pPr>
            <w:r w:rsidRPr="00B7760C">
              <w:t>1.</w:t>
            </w:r>
            <w:r w:rsidRPr="00B7760C">
              <w:tab/>
              <w:t xml:space="preserve">Države članice lahko odobrijo podporo za izmenjavo znanja in informiranje na </w:t>
            </w:r>
            <w:r w:rsidRPr="00B7760C">
              <w:rPr>
                <w:b/>
                <w:i/>
              </w:rPr>
              <w:t>kmetijskem in gozdarskem področju ter področju podeželskih podjetij</w:t>
            </w:r>
            <w:r w:rsidRPr="00B7760C">
              <w:t xml:space="preserve"> v skladu s pogoji iz tega člena in kot je podrobneje opredeljeno v njihovih strateških načrtih SKP.</w:t>
            </w:r>
          </w:p>
        </w:tc>
        <w:tc>
          <w:tcPr>
            <w:tcW w:w="4876" w:type="dxa"/>
            <w:hideMark/>
          </w:tcPr>
          <w:p w14:paraId="6D283C5E" w14:textId="77777777" w:rsidR="003663AF" w:rsidRPr="00B7760C" w:rsidRDefault="003663AF" w:rsidP="00E804B7">
            <w:pPr>
              <w:pStyle w:val="Normal6"/>
              <w:rPr>
                <w:szCs w:val="24"/>
              </w:rPr>
            </w:pPr>
            <w:r w:rsidRPr="00B7760C">
              <w:t>1.</w:t>
            </w:r>
            <w:r w:rsidRPr="00B7760C">
              <w:tab/>
              <w:t xml:space="preserve">Države članice lahko odobrijo podporo za izmenjavo znanja in informiranje na </w:t>
            </w:r>
            <w:r w:rsidRPr="00B7760C">
              <w:rPr>
                <w:b/>
                <w:i/>
              </w:rPr>
              <w:t>individualni ali kolektivni osnovi</w:t>
            </w:r>
            <w:r w:rsidRPr="00B7760C">
              <w:t xml:space="preserve"> v skladu s pogoji iz tega člena in kot je podrobneje opredeljeno v njihovih strateških načrtih SKP</w:t>
            </w:r>
            <w:r w:rsidRPr="00B7760C">
              <w:rPr>
                <w:b/>
                <w:i/>
              </w:rPr>
              <w:t xml:space="preserve"> za intervencije na področju kmetijstva, gozdarstva, vključno s kmetijsko-gozdarskimi sistemi, varstva okolja in podnebja, podeželskih podjetij, strategije za pametne vasi ter SKP</w:t>
            </w:r>
            <w:r w:rsidRPr="00B7760C">
              <w:t>.</w:t>
            </w:r>
          </w:p>
        </w:tc>
      </w:tr>
    </w:tbl>
    <w:p w14:paraId="23976535" w14:textId="77777777" w:rsidR="003663AF" w:rsidRPr="00B7760C" w:rsidRDefault="003663AF" w:rsidP="003663AF"/>
    <w:p w14:paraId="021279ED" w14:textId="61BD612B" w:rsidR="003663AF" w:rsidRPr="00B7760C" w:rsidRDefault="00877691" w:rsidP="003663AF">
      <w:pPr>
        <w:pStyle w:val="AMNumberTabs"/>
        <w:keepNext/>
      </w:pPr>
      <w:r w:rsidRPr="00B7760C">
        <w:t>Sprememba</w:t>
      </w:r>
      <w:r w:rsidR="003663AF" w:rsidRPr="00B7760C">
        <w:tab/>
      </w:r>
      <w:r w:rsidR="003663AF" w:rsidRPr="00B7760C">
        <w:tab/>
        <w:t>506</w:t>
      </w:r>
    </w:p>
    <w:p w14:paraId="19DC1A25" w14:textId="77777777" w:rsidR="003663AF" w:rsidRPr="00B7760C" w:rsidRDefault="003663AF" w:rsidP="003663AF">
      <w:pPr>
        <w:pStyle w:val="NormalBold12b"/>
      </w:pPr>
      <w:r w:rsidRPr="00B7760C">
        <w:t>Predlog uredbe</w:t>
      </w:r>
    </w:p>
    <w:p w14:paraId="2BE3B4E4" w14:textId="77777777" w:rsidR="003663AF" w:rsidRPr="00B7760C" w:rsidRDefault="003663AF" w:rsidP="003663AF">
      <w:pPr>
        <w:pStyle w:val="NormalBold"/>
      </w:pPr>
      <w:r w:rsidRPr="00B7760C">
        <w:t>Člen 72 – odstavek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39358E3" w14:textId="77777777" w:rsidTr="00E804B7">
        <w:trPr>
          <w:jc w:val="center"/>
        </w:trPr>
        <w:tc>
          <w:tcPr>
            <w:tcW w:w="9752" w:type="dxa"/>
            <w:gridSpan w:val="2"/>
          </w:tcPr>
          <w:p w14:paraId="599F6931" w14:textId="77777777" w:rsidR="003663AF" w:rsidRPr="00B7760C" w:rsidRDefault="003663AF" w:rsidP="00E804B7">
            <w:pPr>
              <w:keepNext/>
            </w:pPr>
          </w:p>
        </w:tc>
      </w:tr>
      <w:tr w:rsidR="003663AF" w:rsidRPr="00B7760C" w14:paraId="0FDB72E4" w14:textId="77777777" w:rsidTr="00E804B7">
        <w:trPr>
          <w:jc w:val="center"/>
        </w:trPr>
        <w:tc>
          <w:tcPr>
            <w:tcW w:w="4876" w:type="dxa"/>
            <w:hideMark/>
          </w:tcPr>
          <w:p w14:paraId="56C5DF5E" w14:textId="77777777" w:rsidR="003663AF" w:rsidRPr="00B7760C" w:rsidRDefault="003663AF" w:rsidP="00E804B7">
            <w:pPr>
              <w:pStyle w:val="ColumnHeading"/>
              <w:keepNext/>
            </w:pPr>
            <w:r w:rsidRPr="00B7760C">
              <w:t>Besedilo, ki ga predlaga Komisija</w:t>
            </w:r>
          </w:p>
        </w:tc>
        <w:tc>
          <w:tcPr>
            <w:tcW w:w="4876" w:type="dxa"/>
            <w:hideMark/>
          </w:tcPr>
          <w:p w14:paraId="0017105D" w14:textId="39458D55" w:rsidR="003663AF" w:rsidRPr="00B7760C" w:rsidRDefault="00877691" w:rsidP="00E804B7">
            <w:pPr>
              <w:pStyle w:val="ColumnHeading"/>
              <w:keepNext/>
            </w:pPr>
            <w:r w:rsidRPr="00B7760C">
              <w:t>Sprememba</w:t>
            </w:r>
          </w:p>
        </w:tc>
      </w:tr>
      <w:tr w:rsidR="003663AF" w:rsidRPr="00B7760C" w14:paraId="2D4A2362" w14:textId="77777777" w:rsidTr="00E804B7">
        <w:trPr>
          <w:jc w:val="center"/>
        </w:trPr>
        <w:tc>
          <w:tcPr>
            <w:tcW w:w="4876" w:type="dxa"/>
            <w:hideMark/>
          </w:tcPr>
          <w:p w14:paraId="70D343A8" w14:textId="77777777" w:rsidR="003663AF" w:rsidRPr="00B7760C" w:rsidRDefault="003663AF" w:rsidP="00E804B7">
            <w:pPr>
              <w:pStyle w:val="Normal6"/>
            </w:pPr>
            <w:r w:rsidRPr="00B7760C">
              <w:t>2.</w:t>
            </w:r>
            <w:r w:rsidRPr="00B7760C">
              <w:tab/>
              <w:t>Države članice lahko v okviru te vrste intervencij krijejo stroške vseh ustreznih ukrepov za spodbujanje inovacij, dostopa do usposabljanja in svetovanja ter izmenjave in širjenja znanja in informacij, ki prispevajo k uresničevanju specifičnih ciljev iz člena 6.</w:t>
            </w:r>
          </w:p>
        </w:tc>
        <w:tc>
          <w:tcPr>
            <w:tcW w:w="4876" w:type="dxa"/>
            <w:hideMark/>
          </w:tcPr>
          <w:p w14:paraId="73D77FAE" w14:textId="77777777" w:rsidR="003663AF" w:rsidRPr="00B7760C" w:rsidRDefault="003663AF" w:rsidP="00E804B7">
            <w:pPr>
              <w:pStyle w:val="Normal6"/>
              <w:rPr>
                <w:szCs w:val="24"/>
              </w:rPr>
            </w:pPr>
            <w:r w:rsidRPr="00B7760C">
              <w:t>2.</w:t>
            </w:r>
            <w:r w:rsidRPr="00B7760C">
              <w:tab/>
              <w:t xml:space="preserve">Države članice </w:t>
            </w:r>
            <w:r w:rsidRPr="00B7760C">
              <w:rPr>
                <w:b/>
                <w:i/>
              </w:rPr>
              <w:t xml:space="preserve">in Unija </w:t>
            </w:r>
            <w:r w:rsidRPr="00B7760C">
              <w:t>lahko v okviru te vrste intervencij krijejo stroške vseh ustreznih ukrepov za spodbujanje inovacij, dostopa do usposabljanja in svetovanja</w:t>
            </w:r>
            <w:r w:rsidRPr="00B7760C">
              <w:rPr>
                <w:b/>
                <w:i/>
              </w:rPr>
              <w:t>, priprave načrtov in študij</w:t>
            </w:r>
            <w:r w:rsidRPr="00B7760C">
              <w:t xml:space="preserve"> ter izmenjave in širjenja znanja in informacij, ki prispevajo k uresničevanju specifičnih ciljev iz člena 6.</w:t>
            </w:r>
          </w:p>
        </w:tc>
      </w:tr>
    </w:tbl>
    <w:p w14:paraId="103C331B" w14:textId="77777777" w:rsidR="003663AF" w:rsidRPr="00B7760C" w:rsidRDefault="003663AF" w:rsidP="003663AF"/>
    <w:p w14:paraId="708157BD" w14:textId="3C4BC022" w:rsidR="003663AF" w:rsidRPr="00B7760C" w:rsidRDefault="00877691" w:rsidP="003663AF">
      <w:pPr>
        <w:pStyle w:val="AMNumberTabs"/>
        <w:keepNext/>
      </w:pPr>
      <w:r w:rsidRPr="00B7760C">
        <w:t>Sprememba</w:t>
      </w:r>
      <w:r w:rsidR="003663AF" w:rsidRPr="00B7760C">
        <w:tab/>
      </w:r>
      <w:r w:rsidR="003663AF" w:rsidRPr="00B7760C">
        <w:tab/>
        <w:t>507</w:t>
      </w:r>
    </w:p>
    <w:p w14:paraId="2D0FF20F" w14:textId="77777777" w:rsidR="003663AF" w:rsidRPr="00B7760C" w:rsidRDefault="003663AF" w:rsidP="003663AF">
      <w:pPr>
        <w:pStyle w:val="NormalBold12b"/>
      </w:pPr>
      <w:r w:rsidRPr="00B7760C">
        <w:t>Predlog uredbe</w:t>
      </w:r>
    </w:p>
    <w:p w14:paraId="57C601CA" w14:textId="77777777" w:rsidR="003663AF" w:rsidRPr="00B7760C" w:rsidRDefault="003663AF" w:rsidP="003663AF">
      <w:pPr>
        <w:pStyle w:val="NormalBold"/>
      </w:pPr>
      <w:r w:rsidRPr="00B7760C">
        <w:t>Člen 72 – odstavek 3 – pododstavek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9707E2A" w14:textId="77777777" w:rsidTr="00E804B7">
        <w:trPr>
          <w:jc w:val="center"/>
        </w:trPr>
        <w:tc>
          <w:tcPr>
            <w:tcW w:w="9752" w:type="dxa"/>
            <w:gridSpan w:val="2"/>
          </w:tcPr>
          <w:p w14:paraId="623F8224" w14:textId="77777777" w:rsidR="003663AF" w:rsidRPr="00B7760C" w:rsidRDefault="003663AF" w:rsidP="00E804B7">
            <w:pPr>
              <w:keepNext/>
            </w:pPr>
          </w:p>
        </w:tc>
      </w:tr>
      <w:tr w:rsidR="003663AF" w:rsidRPr="00B7760C" w14:paraId="68661E62" w14:textId="77777777" w:rsidTr="00E804B7">
        <w:trPr>
          <w:jc w:val="center"/>
        </w:trPr>
        <w:tc>
          <w:tcPr>
            <w:tcW w:w="4876" w:type="dxa"/>
            <w:hideMark/>
          </w:tcPr>
          <w:p w14:paraId="2BA4D7FE" w14:textId="77777777" w:rsidR="003663AF" w:rsidRPr="00B7760C" w:rsidRDefault="003663AF" w:rsidP="00E804B7">
            <w:pPr>
              <w:pStyle w:val="ColumnHeading"/>
              <w:keepNext/>
            </w:pPr>
            <w:r w:rsidRPr="00B7760C">
              <w:t>Besedilo, ki ga predlaga Komisija</w:t>
            </w:r>
          </w:p>
        </w:tc>
        <w:tc>
          <w:tcPr>
            <w:tcW w:w="4876" w:type="dxa"/>
            <w:hideMark/>
          </w:tcPr>
          <w:p w14:paraId="6DFEF0BB" w14:textId="4116B26A" w:rsidR="003663AF" w:rsidRPr="00B7760C" w:rsidRDefault="00877691" w:rsidP="00E804B7">
            <w:pPr>
              <w:pStyle w:val="ColumnHeading"/>
              <w:keepNext/>
            </w:pPr>
            <w:r w:rsidRPr="00B7760C">
              <w:t>Sprememba</w:t>
            </w:r>
          </w:p>
        </w:tc>
      </w:tr>
      <w:tr w:rsidR="003663AF" w:rsidRPr="00B7760C" w14:paraId="445E25CA" w14:textId="77777777" w:rsidTr="00E804B7">
        <w:trPr>
          <w:jc w:val="center"/>
        </w:trPr>
        <w:tc>
          <w:tcPr>
            <w:tcW w:w="4876" w:type="dxa"/>
            <w:hideMark/>
          </w:tcPr>
          <w:p w14:paraId="30A87789" w14:textId="77777777" w:rsidR="003663AF" w:rsidRPr="00B7760C" w:rsidRDefault="003663AF" w:rsidP="00E804B7">
            <w:pPr>
              <w:pStyle w:val="Normal6"/>
            </w:pPr>
            <w:r w:rsidRPr="00B7760C">
              <w:t xml:space="preserve">Države članice podporo </w:t>
            </w:r>
            <w:r w:rsidRPr="00B7760C">
              <w:rPr>
                <w:b/>
                <w:i/>
              </w:rPr>
              <w:t>omejijo na največ 75 % upravičenih stroškov</w:t>
            </w:r>
            <w:r w:rsidRPr="00B7760C">
              <w:t>.</w:t>
            </w:r>
          </w:p>
        </w:tc>
        <w:tc>
          <w:tcPr>
            <w:tcW w:w="4876" w:type="dxa"/>
            <w:hideMark/>
          </w:tcPr>
          <w:p w14:paraId="49FE85C1" w14:textId="77777777" w:rsidR="003663AF" w:rsidRPr="00B7760C" w:rsidRDefault="003663AF" w:rsidP="00E804B7">
            <w:pPr>
              <w:pStyle w:val="Normal6"/>
              <w:rPr>
                <w:szCs w:val="24"/>
              </w:rPr>
            </w:pPr>
            <w:r w:rsidRPr="00B7760C">
              <w:t xml:space="preserve">Države članice </w:t>
            </w:r>
            <w:r w:rsidRPr="00B7760C">
              <w:rPr>
                <w:b/>
                <w:i/>
              </w:rPr>
              <w:t xml:space="preserve">lahko zagotovijo </w:t>
            </w:r>
            <w:r w:rsidRPr="00B7760C">
              <w:t xml:space="preserve">podporo </w:t>
            </w:r>
            <w:r w:rsidRPr="00B7760C">
              <w:rPr>
                <w:b/>
                <w:i/>
              </w:rPr>
              <w:t>do najvišje stopnje, določene v Prilogi IXaa</w:t>
            </w:r>
            <w:r w:rsidRPr="00B7760C">
              <w:t>.</w:t>
            </w:r>
          </w:p>
        </w:tc>
      </w:tr>
    </w:tbl>
    <w:p w14:paraId="6ADC86B4" w14:textId="77777777" w:rsidR="003663AF" w:rsidRPr="00B7760C" w:rsidRDefault="003663AF" w:rsidP="003663AF"/>
    <w:p w14:paraId="29289CCE" w14:textId="1EC77316" w:rsidR="003663AF" w:rsidRPr="00B7760C" w:rsidRDefault="00877691" w:rsidP="003663AF">
      <w:pPr>
        <w:pStyle w:val="AMNumberTabs"/>
        <w:keepNext/>
      </w:pPr>
      <w:r w:rsidRPr="00B7760C">
        <w:t>Sprememba</w:t>
      </w:r>
      <w:r w:rsidR="003663AF" w:rsidRPr="00B7760C">
        <w:tab/>
      </w:r>
      <w:r w:rsidR="003663AF" w:rsidRPr="00B7760C">
        <w:tab/>
        <w:t>508</w:t>
      </w:r>
    </w:p>
    <w:p w14:paraId="16145697" w14:textId="77777777" w:rsidR="003663AF" w:rsidRPr="00B7760C" w:rsidRDefault="003663AF" w:rsidP="003663AF">
      <w:pPr>
        <w:pStyle w:val="NormalBold12b"/>
      </w:pPr>
      <w:r w:rsidRPr="00B7760C">
        <w:t>Predlog uredbe</w:t>
      </w:r>
    </w:p>
    <w:p w14:paraId="254AAAD6" w14:textId="77777777" w:rsidR="003663AF" w:rsidRPr="00B7760C" w:rsidRDefault="003663AF" w:rsidP="003663AF">
      <w:pPr>
        <w:pStyle w:val="NormalBold"/>
      </w:pPr>
      <w:r w:rsidRPr="00B7760C">
        <w:t>Člen 72 – odstavek 3 – pododstavek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DC674DC" w14:textId="77777777" w:rsidTr="00E804B7">
        <w:trPr>
          <w:jc w:val="center"/>
        </w:trPr>
        <w:tc>
          <w:tcPr>
            <w:tcW w:w="9752" w:type="dxa"/>
            <w:gridSpan w:val="2"/>
          </w:tcPr>
          <w:p w14:paraId="3C888E43" w14:textId="77777777" w:rsidR="003663AF" w:rsidRPr="00B7760C" w:rsidRDefault="003663AF" w:rsidP="00E804B7">
            <w:pPr>
              <w:keepNext/>
            </w:pPr>
          </w:p>
        </w:tc>
      </w:tr>
      <w:tr w:rsidR="003663AF" w:rsidRPr="00B7760C" w14:paraId="2C41501B" w14:textId="77777777" w:rsidTr="00E804B7">
        <w:trPr>
          <w:jc w:val="center"/>
        </w:trPr>
        <w:tc>
          <w:tcPr>
            <w:tcW w:w="4876" w:type="dxa"/>
            <w:hideMark/>
          </w:tcPr>
          <w:p w14:paraId="217DF191" w14:textId="77777777" w:rsidR="003663AF" w:rsidRPr="00B7760C" w:rsidRDefault="003663AF" w:rsidP="00E804B7">
            <w:pPr>
              <w:pStyle w:val="ColumnHeading"/>
              <w:keepNext/>
            </w:pPr>
            <w:r w:rsidRPr="00B7760C">
              <w:t>Besedilo, ki ga predlaga Komisija</w:t>
            </w:r>
          </w:p>
        </w:tc>
        <w:tc>
          <w:tcPr>
            <w:tcW w:w="4876" w:type="dxa"/>
            <w:hideMark/>
          </w:tcPr>
          <w:p w14:paraId="77A912C0" w14:textId="6496E004" w:rsidR="003663AF" w:rsidRPr="00B7760C" w:rsidRDefault="00877691" w:rsidP="00E804B7">
            <w:pPr>
              <w:pStyle w:val="ColumnHeading"/>
              <w:keepNext/>
            </w:pPr>
            <w:r w:rsidRPr="00B7760C">
              <w:t>Sprememba</w:t>
            </w:r>
          </w:p>
        </w:tc>
      </w:tr>
      <w:tr w:rsidR="003663AF" w:rsidRPr="00B7760C" w14:paraId="04E575AA" w14:textId="77777777" w:rsidTr="00E804B7">
        <w:trPr>
          <w:jc w:val="center"/>
        </w:trPr>
        <w:tc>
          <w:tcPr>
            <w:tcW w:w="4876" w:type="dxa"/>
            <w:hideMark/>
          </w:tcPr>
          <w:p w14:paraId="60AAD521" w14:textId="77777777" w:rsidR="003663AF" w:rsidRPr="00B7760C" w:rsidRDefault="003663AF" w:rsidP="00E804B7">
            <w:pPr>
              <w:pStyle w:val="Normal6"/>
            </w:pPr>
            <w:r w:rsidRPr="00B7760C">
              <w:t xml:space="preserve">Z odstopanjem od prvega pododstavka lahko države članice v primeru vzpostavljanja storitev kmetijskega svetovanja odobrijo podporo </w:t>
            </w:r>
            <w:r w:rsidRPr="00B7760C">
              <w:rPr>
                <w:b/>
                <w:i/>
              </w:rPr>
              <w:t>v obliki fiksnega</w:t>
            </w:r>
            <w:r w:rsidRPr="00B7760C">
              <w:t xml:space="preserve"> zneska v </w:t>
            </w:r>
            <w:r w:rsidRPr="00B7760C">
              <w:rPr>
                <w:b/>
                <w:i/>
              </w:rPr>
              <w:t>višini največ 200 000 EUR</w:t>
            </w:r>
            <w:r w:rsidRPr="00B7760C">
              <w:t>.</w:t>
            </w:r>
          </w:p>
        </w:tc>
        <w:tc>
          <w:tcPr>
            <w:tcW w:w="4876" w:type="dxa"/>
            <w:hideMark/>
          </w:tcPr>
          <w:p w14:paraId="14BF2B1B" w14:textId="77777777" w:rsidR="003663AF" w:rsidRPr="00B7760C" w:rsidRDefault="003663AF" w:rsidP="00E804B7">
            <w:pPr>
              <w:pStyle w:val="Normal6"/>
              <w:rPr>
                <w:szCs w:val="24"/>
              </w:rPr>
            </w:pPr>
            <w:r w:rsidRPr="00B7760C">
              <w:t xml:space="preserve">Z odstopanjem od prvega pododstavka lahko države članice v primeru vzpostavljanja storitev kmetijskega svetovanja odobrijo podporo </w:t>
            </w:r>
            <w:r w:rsidRPr="00B7760C">
              <w:rPr>
                <w:b/>
                <w:i/>
              </w:rPr>
              <w:t>do najvišjega</w:t>
            </w:r>
            <w:r w:rsidRPr="00B7760C">
              <w:t xml:space="preserve"> zneska</w:t>
            </w:r>
            <w:r w:rsidRPr="00B7760C">
              <w:rPr>
                <w:b/>
                <w:i/>
              </w:rPr>
              <w:t>, določenega</w:t>
            </w:r>
            <w:r w:rsidRPr="00B7760C">
              <w:t xml:space="preserve"> v </w:t>
            </w:r>
            <w:r w:rsidRPr="00B7760C">
              <w:rPr>
                <w:b/>
                <w:i/>
              </w:rPr>
              <w:t>Prilogi IXaa</w:t>
            </w:r>
            <w:r w:rsidRPr="00B7760C">
              <w:t>.</w:t>
            </w:r>
          </w:p>
        </w:tc>
      </w:tr>
    </w:tbl>
    <w:p w14:paraId="71DFBFD7" w14:textId="77777777" w:rsidR="003663AF" w:rsidRPr="00B7760C" w:rsidRDefault="003663AF" w:rsidP="003663AF"/>
    <w:p w14:paraId="2FCF8714" w14:textId="0B1CEF2B" w:rsidR="003663AF" w:rsidRPr="00B7760C" w:rsidRDefault="00877691" w:rsidP="003663AF">
      <w:pPr>
        <w:pStyle w:val="AMNumberTabs"/>
        <w:keepNext/>
      </w:pPr>
      <w:r w:rsidRPr="00B7760C">
        <w:t>Sprememba</w:t>
      </w:r>
      <w:r w:rsidR="003663AF" w:rsidRPr="00B7760C">
        <w:tab/>
      </w:r>
      <w:r w:rsidR="003663AF" w:rsidRPr="00B7760C">
        <w:tab/>
        <w:t>509</w:t>
      </w:r>
    </w:p>
    <w:p w14:paraId="477DDA5D" w14:textId="77777777" w:rsidR="003663AF" w:rsidRPr="00B7760C" w:rsidRDefault="003663AF" w:rsidP="003663AF">
      <w:pPr>
        <w:pStyle w:val="NormalBold12b"/>
      </w:pPr>
      <w:r w:rsidRPr="00B7760C">
        <w:t>Predlog uredbe</w:t>
      </w:r>
    </w:p>
    <w:p w14:paraId="422F024B" w14:textId="77777777" w:rsidR="003663AF" w:rsidRPr="00B7760C" w:rsidRDefault="003663AF" w:rsidP="003663AF">
      <w:pPr>
        <w:pStyle w:val="NormalBold"/>
      </w:pPr>
      <w:r w:rsidRPr="00B7760C">
        <w:t>Člen 72 – odstavek 4</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F580DC5" w14:textId="77777777" w:rsidTr="00E804B7">
        <w:trPr>
          <w:jc w:val="center"/>
        </w:trPr>
        <w:tc>
          <w:tcPr>
            <w:tcW w:w="9752" w:type="dxa"/>
            <w:gridSpan w:val="2"/>
          </w:tcPr>
          <w:p w14:paraId="2077CF4A" w14:textId="77777777" w:rsidR="003663AF" w:rsidRPr="00B7760C" w:rsidRDefault="003663AF" w:rsidP="00E804B7">
            <w:pPr>
              <w:keepNext/>
            </w:pPr>
          </w:p>
        </w:tc>
      </w:tr>
      <w:tr w:rsidR="003663AF" w:rsidRPr="00B7760C" w14:paraId="75F1AACD" w14:textId="77777777" w:rsidTr="00E804B7">
        <w:trPr>
          <w:jc w:val="center"/>
        </w:trPr>
        <w:tc>
          <w:tcPr>
            <w:tcW w:w="4876" w:type="dxa"/>
            <w:hideMark/>
          </w:tcPr>
          <w:p w14:paraId="601507C5" w14:textId="77777777" w:rsidR="003663AF" w:rsidRPr="00B7760C" w:rsidRDefault="003663AF" w:rsidP="00E804B7">
            <w:pPr>
              <w:pStyle w:val="ColumnHeading"/>
              <w:keepNext/>
            </w:pPr>
            <w:r w:rsidRPr="00B7760C">
              <w:t>Besedilo, ki ga predlaga Komisija</w:t>
            </w:r>
          </w:p>
        </w:tc>
        <w:tc>
          <w:tcPr>
            <w:tcW w:w="4876" w:type="dxa"/>
            <w:hideMark/>
          </w:tcPr>
          <w:p w14:paraId="21D7FC2A" w14:textId="31BBB117" w:rsidR="003663AF" w:rsidRPr="00B7760C" w:rsidRDefault="00877691" w:rsidP="00E804B7">
            <w:pPr>
              <w:pStyle w:val="ColumnHeading"/>
              <w:keepNext/>
            </w:pPr>
            <w:r w:rsidRPr="00B7760C">
              <w:t>Sprememba</w:t>
            </w:r>
          </w:p>
        </w:tc>
      </w:tr>
      <w:tr w:rsidR="003663AF" w:rsidRPr="00B7760C" w14:paraId="04D7A7CD" w14:textId="77777777" w:rsidTr="00E804B7">
        <w:trPr>
          <w:jc w:val="center"/>
        </w:trPr>
        <w:tc>
          <w:tcPr>
            <w:tcW w:w="4876" w:type="dxa"/>
            <w:hideMark/>
          </w:tcPr>
          <w:p w14:paraId="5332689E" w14:textId="77777777" w:rsidR="003663AF" w:rsidRPr="00B7760C" w:rsidRDefault="003663AF" w:rsidP="00E804B7">
            <w:pPr>
              <w:pStyle w:val="Normal6"/>
            </w:pPr>
            <w:r w:rsidRPr="00B7760C">
              <w:rPr>
                <w:b/>
                <w:i/>
              </w:rPr>
              <w:t>4.</w:t>
            </w:r>
            <w:r w:rsidRPr="00B7760C">
              <w:rPr>
                <w:b/>
                <w:i/>
              </w:rPr>
              <w:tab/>
              <w:t>Z odstopanjem od odstavka 3 lahko države članice v najbolj oddaljenih regijah in drugih ustrezno utemeljenih primerih za uresničevanje specifičnih ciljev iz člena 6 uporabijo višjo stopnjo ali višji znesek, kot sta določena v zadevnem odstavku.</w:t>
            </w:r>
          </w:p>
        </w:tc>
        <w:tc>
          <w:tcPr>
            <w:tcW w:w="4876" w:type="dxa"/>
            <w:hideMark/>
          </w:tcPr>
          <w:p w14:paraId="4FE44FD6" w14:textId="77777777" w:rsidR="003663AF" w:rsidRPr="00B7760C" w:rsidRDefault="003663AF" w:rsidP="00E804B7">
            <w:pPr>
              <w:pStyle w:val="Normal6"/>
              <w:rPr>
                <w:szCs w:val="24"/>
              </w:rPr>
            </w:pPr>
            <w:r w:rsidRPr="00B7760C">
              <w:rPr>
                <w:b/>
                <w:i/>
              </w:rPr>
              <w:t>črtano</w:t>
            </w:r>
          </w:p>
        </w:tc>
      </w:tr>
    </w:tbl>
    <w:p w14:paraId="604D1BE4" w14:textId="77777777" w:rsidR="003663AF" w:rsidRPr="00B7760C" w:rsidRDefault="003663AF" w:rsidP="003663AF"/>
    <w:p w14:paraId="0933F16B" w14:textId="08857F93" w:rsidR="003663AF" w:rsidRPr="00B7760C" w:rsidRDefault="00877691" w:rsidP="003663AF">
      <w:pPr>
        <w:pStyle w:val="AMNumberTabs"/>
        <w:keepNext/>
      </w:pPr>
      <w:r w:rsidRPr="00B7760C">
        <w:t>Sprememba</w:t>
      </w:r>
      <w:r w:rsidR="003663AF" w:rsidRPr="00B7760C">
        <w:tab/>
      </w:r>
      <w:r w:rsidR="003663AF" w:rsidRPr="00B7760C">
        <w:tab/>
        <w:t>510</w:t>
      </w:r>
    </w:p>
    <w:p w14:paraId="28C14574" w14:textId="77777777" w:rsidR="003663AF" w:rsidRPr="00B7760C" w:rsidRDefault="003663AF" w:rsidP="003663AF">
      <w:pPr>
        <w:pStyle w:val="NormalBold12b"/>
      </w:pPr>
      <w:r w:rsidRPr="00B7760C">
        <w:t>Predlog uredbe</w:t>
      </w:r>
    </w:p>
    <w:p w14:paraId="199233BB" w14:textId="77777777" w:rsidR="003663AF" w:rsidRPr="00B7760C" w:rsidRDefault="003663AF" w:rsidP="003663AF">
      <w:pPr>
        <w:pStyle w:val="NormalBold"/>
      </w:pPr>
      <w:r w:rsidRPr="00B7760C">
        <w:t>Člen 72 – odstavek 6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81BE7CC" w14:textId="77777777" w:rsidTr="00E804B7">
        <w:trPr>
          <w:jc w:val="center"/>
        </w:trPr>
        <w:tc>
          <w:tcPr>
            <w:tcW w:w="9752" w:type="dxa"/>
            <w:gridSpan w:val="2"/>
          </w:tcPr>
          <w:p w14:paraId="18D75671" w14:textId="77777777" w:rsidR="003663AF" w:rsidRPr="00B7760C" w:rsidRDefault="003663AF" w:rsidP="00E804B7">
            <w:pPr>
              <w:keepNext/>
            </w:pPr>
          </w:p>
        </w:tc>
      </w:tr>
      <w:tr w:rsidR="003663AF" w:rsidRPr="00B7760C" w14:paraId="395179E8" w14:textId="77777777" w:rsidTr="00E804B7">
        <w:trPr>
          <w:jc w:val="center"/>
        </w:trPr>
        <w:tc>
          <w:tcPr>
            <w:tcW w:w="4876" w:type="dxa"/>
            <w:hideMark/>
          </w:tcPr>
          <w:p w14:paraId="0198402D" w14:textId="77777777" w:rsidR="003663AF" w:rsidRPr="00B7760C" w:rsidRDefault="003663AF" w:rsidP="00E804B7">
            <w:pPr>
              <w:pStyle w:val="ColumnHeading"/>
              <w:keepNext/>
            </w:pPr>
            <w:r w:rsidRPr="00B7760C">
              <w:t>Besedilo, ki ga predlaga Komisija</w:t>
            </w:r>
          </w:p>
        </w:tc>
        <w:tc>
          <w:tcPr>
            <w:tcW w:w="4876" w:type="dxa"/>
            <w:hideMark/>
          </w:tcPr>
          <w:p w14:paraId="48E2A144" w14:textId="047BD112" w:rsidR="003663AF" w:rsidRPr="00B7760C" w:rsidRDefault="00877691" w:rsidP="00E804B7">
            <w:pPr>
              <w:pStyle w:val="ColumnHeading"/>
              <w:keepNext/>
            </w:pPr>
            <w:r w:rsidRPr="00B7760C">
              <w:t>Sprememba</w:t>
            </w:r>
          </w:p>
        </w:tc>
      </w:tr>
      <w:tr w:rsidR="003663AF" w:rsidRPr="00B7760C" w14:paraId="720EBDAE" w14:textId="77777777" w:rsidTr="00E804B7">
        <w:trPr>
          <w:jc w:val="center"/>
        </w:trPr>
        <w:tc>
          <w:tcPr>
            <w:tcW w:w="4876" w:type="dxa"/>
          </w:tcPr>
          <w:p w14:paraId="05BE942C" w14:textId="77777777" w:rsidR="003663AF" w:rsidRPr="00B7760C" w:rsidRDefault="003663AF" w:rsidP="00E804B7">
            <w:pPr>
              <w:pStyle w:val="Normal6"/>
            </w:pPr>
          </w:p>
        </w:tc>
        <w:tc>
          <w:tcPr>
            <w:tcW w:w="4876" w:type="dxa"/>
            <w:hideMark/>
          </w:tcPr>
          <w:p w14:paraId="7B471C1F" w14:textId="77777777" w:rsidR="003663AF" w:rsidRPr="00B7760C" w:rsidRDefault="003663AF" w:rsidP="00E804B7">
            <w:pPr>
              <w:pStyle w:val="Normal6"/>
              <w:rPr>
                <w:szCs w:val="24"/>
              </w:rPr>
            </w:pPr>
            <w:r w:rsidRPr="00B7760C">
              <w:rPr>
                <w:b/>
                <w:i/>
              </w:rPr>
              <w:t>6a.</w:t>
            </w:r>
            <w:r w:rsidRPr="00B7760C">
              <w:rPr>
                <w:b/>
                <w:i/>
              </w:rPr>
              <w:tab/>
              <w:t>Podpora v okviru tega člena ne vključuje tečajev izobraževanja ali usposabljanja, ki so del predpisanih običajnih izobraževalnih programov ali sistemov na srednješolski ali višjih ravneh.</w:t>
            </w:r>
          </w:p>
        </w:tc>
      </w:tr>
    </w:tbl>
    <w:p w14:paraId="3A8FB61F" w14:textId="77777777" w:rsidR="003663AF" w:rsidRPr="00B7760C" w:rsidRDefault="003663AF" w:rsidP="003663AF"/>
    <w:p w14:paraId="364A8B1E" w14:textId="1D104887" w:rsidR="003663AF" w:rsidRPr="00B7760C" w:rsidRDefault="00877691" w:rsidP="003663AF">
      <w:pPr>
        <w:pStyle w:val="AMNumberTabs"/>
        <w:keepNext/>
      </w:pPr>
      <w:r w:rsidRPr="00B7760C">
        <w:t>Sprememba</w:t>
      </w:r>
      <w:r w:rsidR="003663AF" w:rsidRPr="00B7760C">
        <w:tab/>
      </w:r>
      <w:r w:rsidR="003663AF" w:rsidRPr="00B7760C">
        <w:tab/>
        <w:t>511</w:t>
      </w:r>
    </w:p>
    <w:p w14:paraId="64C7DF27" w14:textId="77777777" w:rsidR="003663AF" w:rsidRPr="00B7760C" w:rsidRDefault="003663AF" w:rsidP="003663AF">
      <w:pPr>
        <w:pStyle w:val="NormalBold12b"/>
      </w:pPr>
      <w:r w:rsidRPr="00B7760C">
        <w:t>Predlog uredbe</w:t>
      </w:r>
    </w:p>
    <w:p w14:paraId="62C8D287" w14:textId="77777777" w:rsidR="003663AF" w:rsidRPr="00B7760C" w:rsidRDefault="003663AF" w:rsidP="003663AF">
      <w:pPr>
        <w:pStyle w:val="NormalBold"/>
      </w:pPr>
      <w:r w:rsidRPr="00B7760C">
        <w:t>Člen 72 – odstavek 6 b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1EA1E5D" w14:textId="77777777" w:rsidTr="00E804B7">
        <w:trPr>
          <w:jc w:val="center"/>
        </w:trPr>
        <w:tc>
          <w:tcPr>
            <w:tcW w:w="9752" w:type="dxa"/>
            <w:gridSpan w:val="2"/>
          </w:tcPr>
          <w:p w14:paraId="4D416C72" w14:textId="77777777" w:rsidR="003663AF" w:rsidRPr="00B7760C" w:rsidRDefault="003663AF" w:rsidP="00E804B7">
            <w:pPr>
              <w:keepNext/>
            </w:pPr>
          </w:p>
        </w:tc>
      </w:tr>
      <w:tr w:rsidR="003663AF" w:rsidRPr="00B7760C" w14:paraId="2CD7F912" w14:textId="77777777" w:rsidTr="00E804B7">
        <w:trPr>
          <w:jc w:val="center"/>
        </w:trPr>
        <w:tc>
          <w:tcPr>
            <w:tcW w:w="4876" w:type="dxa"/>
            <w:hideMark/>
          </w:tcPr>
          <w:p w14:paraId="6D9BC487" w14:textId="77777777" w:rsidR="003663AF" w:rsidRPr="00B7760C" w:rsidRDefault="003663AF" w:rsidP="00E804B7">
            <w:pPr>
              <w:pStyle w:val="ColumnHeading"/>
              <w:keepNext/>
            </w:pPr>
            <w:r w:rsidRPr="00B7760C">
              <w:t>Besedilo, ki ga predlaga Komisija</w:t>
            </w:r>
          </w:p>
        </w:tc>
        <w:tc>
          <w:tcPr>
            <w:tcW w:w="4876" w:type="dxa"/>
            <w:hideMark/>
          </w:tcPr>
          <w:p w14:paraId="0BCF5AB8" w14:textId="14BB243C" w:rsidR="003663AF" w:rsidRPr="00B7760C" w:rsidRDefault="00877691" w:rsidP="00E804B7">
            <w:pPr>
              <w:pStyle w:val="ColumnHeading"/>
              <w:keepNext/>
            </w:pPr>
            <w:r w:rsidRPr="00B7760C">
              <w:t>Sprememba</w:t>
            </w:r>
          </w:p>
        </w:tc>
      </w:tr>
      <w:tr w:rsidR="003663AF" w:rsidRPr="00B7760C" w14:paraId="14F6474F" w14:textId="77777777" w:rsidTr="00E804B7">
        <w:trPr>
          <w:jc w:val="center"/>
        </w:trPr>
        <w:tc>
          <w:tcPr>
            <w:tcW w:w="4876" w:type="dxa"/>
          </w:tcPr>
          <w:p w14:paraId="747AF22A" w14:textId="77777777" w:rsidR="003663AF" w:rsidRPr="00B7760C" w:rsidRDefault="003663AF" w:rsidP="00E804B7">
            <w:pPr>
              <w:pStyle w:val="Normal6"/>
            </w:pPr>
          </w:p>
        </w:tc>
        <w:tc>
          <w:tcPr>
            <w:tcW w:w="4876" w:type="dxa"/>
            <w:hideMark/>
          </w:tcPr>
          <w:p w14:paraId="2BA9322A" w14:textId="77777777" w:rsidR="003663AF" w:rsidRPr="00B7760C" w:rsidRDefault="003663AF" w:rsidP="00E804B7">
            <w:pPr>
              <w:pStyle w:val="Normal6"/>
              <w:rPr>
                <w:szCs w:val="24"/>
              </w:rPr>
            </w:pPr>
            <w:r w:rsidRPr="00B7760C">
              <w:rPr>
                <w:b/>
                <w:i/>
              </w:rPr>
              <w:t>6b.</w:t>
            </w:r>
            <w:r w:rsidRPr="00B7760C">
              <w:rPr>
                <w:b/>
                <w:i/>
              </w:rPr>
              <w:tab/>
              <w:t>Subjekti, ki izvajajo storitve prenosa znanja in informiranja, so ustrezno usposobljeni, kar pomeni, da je osebje kvalificirano in usposobljeno za opravljanje te naloge.</w:t>
            </w:r>
          </w:p>
        </w:tc>
      </w:tr>
    </w:tbl>
    <w:p w14:paraId="471A5134" w14:textId="77777777" w:rsidR="003663AF" w:rsidRPr="00B7760C" w:rsidRDefault="003663AF" w:rsidP="003663AF"/>
    <w:p w14:paraId="57AA17DF" w14:textId="6A69C652" w:rsidR="003663AF" w:rsidRPr="00B7760C" w:rsidRDefault="00877691" w:rsidP="003663AF">
      <w:pPr>
        <w:pStyle w:val="AMNumberTabs"/>
        <w:keepNext/>
      </w:pPr>
      <w:r w:rsidRPr="00B7760C">
        <w:t>Sprememba</w:t>
      </w:r>
      <w:r w:rsidR="003663AF" w:rsidRPr="00B7760C">
        <w:tab/>
      </w:r>
      <w:r w:rsidR="003663AF" w:rsidRPr="00B7760C">
        <w:tab/>
        <w:t>512</w:t>
      </w:r>
    </w:p>
    <w:p w14:paraId="3362BA00" w14:textId="77777777" w:rsidR="003663AF" w:rsidRPr="00B7760C" w:rsidRDefault="003663AF" w:rsidP="003663AF">
      <w:pPr>
        <w:pStyle w:val="NormalBold12b"/>
      </w:pPr>
      <w:r w:rsidRPr="00B7760C">
        <w:t>Predlog uredbe</w:t>
      </w:r>
    </w:p>
    <w:p w14:paraId="6D8672BB" w14:textId="77777777" w:rsidR="003663AF" w:rsidRPr="00B7760C" w:rsidRDefault="003663AF" w:rsidP="003663AF">
      <w:pPr>
        <w:pStyle w:val="NormalBold"/>
      </w:pPr>
      <w:r w:rsidRPr="00B7760C">
        <w:t>Člen 72 a (novo)</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BB401C6" w14:textId="77777777" w:rsidTr="00E804B7">
        <w:trPr>
          <w:jc w:val="center"/>
        </w:trPr>
        <w:tc>
          <w:tcPr>
            <w:tcW w:w="9752" w:type="dxa"/>
            <w:gridSpan w:val="2"/>
          </w:tcPr>
          <w:p w14:paraId="59EC5CE1" w14:textId="77777777" w:rsidR="003663AF" w:rsidRPr="00B7760C" w:rsidRDefault="003663AF" w:rsidP="00E804B7">
            <w:pPr>
              <w:keepNext/>
            </w:pPr>
          </w:p>
        </w:tc>
      </w:tr>
      <w:tr w:rsidR="003663AF" w:rsidRPr="00B7760C" w14:paraId="687A5AD8" w14:textId="77777777" w:rsidTr="00E804B7">
        <w:trPr>
          <w:jc w:val="center"/>
        </w:trPr>
        <w:tc>
          <w:tcPr>
            <w:tcW w:w="4876" w:type="dxa"/>
            <w:hideMark/>
          </w:tcPr>
          <w:p w14:paraId="23B4E133" w14:textId="77777777" w:rsidR="003663AF" w:rsidRPr="00B7760C" w:rsidRDefault="003663AF" w:rsidP="00E804B7">
            <w:pPr>
              <w:pStyle w:val="ColumnHeading"/>
              <w:keepNext/>
            </w:pPr>
            <w:r w:rsidRPr="00B7760C">
              <w:t>Besedilo, ki ga predlaga Komisija</w:t>
            </w:r>
          </w:p>
        </w:tc>
        <w:tc>
          <w:tcPr>
            <w:tcW w:w="4876" w:type="dxa"/>
            <w:hideMark/>
          </w:tcPr>
          <w:p w14:paraId="6D3013F4" w14:textId="76EA1E4A" w:rsidR="003663AF" w:rsidRPr="00B7760C" w:rsidRDefault="00877691" w:rsidP="00E804B7">
            <w:pPr>
              <w:pStyle w:val="ColumnHeading"/>
              <w:keepNext/>
            </w:pPr>
            <w:r w:rsidRPr="00B7760C">
              <w:t>Sprememba</w:t>
            </w:r>
          </w:p>
        </w:tc>
      </w:tr>
      <w:tr w:rsidR="003663AF" w:rsidRPr="00B7760C" w14:paraId="78DD1458" w14:textId="77777777" w:rsidTr="00E804B7">
        <w:trPr>
          <w:jc w:val="center"/>
        </w:trPr>
        <w:tc>
          <w:tcPr>
            <w:tcW w:w="4876" w:type="dxa"/>
          </w:tcPr>
          <w:p w14:paraId="38FBFD31" w14:textId="77777777" w:rsidR="003663AF" w:rsidRPr="00B7760C" w:rsidRDefault="003663AF" w:rsidP="00E804B7">
            <w:pPr>
              <w:pStyle w:val="Normal6"/>
            </w:pPr>
          </w:p>
        </w:tc>
        <w:tc>
          <w:tcPr>
            <w:tcW w:w="4876" w:type="dxa"/>
            <w:hideMark/>
          </w:tcPr>
          <w:p w14:paraId="362D09C8" w14:textId="77777777" w:rsidR="003663AF" w:rsidRPr="00B7760C" w:rsidRDefault="003663AF" w:rsidP="00E804B7">
            <w:pPr>
              <w:pStyle w:val="Normal6"/>
              <w:jc w:val="center"/>
              <w:rPr>
                <w:b/>
                <w:i/>
              </w:rPr>
            </w:pPr>
            <w:r w:rsidRPr="00B7760C">
              <w:rPr>
                <w:b/>
                <w:i/>
              </w:rPr>
              <w:t>Člen 72a</w:t>
            </w:r>
            <w:r w:rsidRPr="00B7760C">
              <w:t xml:space="preserve"> </w:t>
            </w:r>
          </w:p>
        </w:tc>
      </w:tr>
      <w:tr w:rsidR="003663AF" w:rsidRPr="00B7760C" w14:paraId="3401C091" w14:textId="77777777" w:rsidTr="00E804B7">
        <w:trPr>
          <w:jc w:val="center"/>
        </w:trPr>
        <w:tc>
          <w:tcPr>
            <w:tcW w:w="4876" w:type="dxa"/>
          </w:tcPr>
          <w:p w14:paraId="54627A3D" w14:textId="77777777" w:rsidR="003663AF" w:rsidRPr="00B7760C" w:rsidRDefault="003663AF" w:rsidP="00E804B7">
            <w:pPr>
              <w:pStyle w:val="Normal6"/>
            </w:pPr>
          </w:p>
        </w:tc>
        <w:tc>
          <w:tcPr>
            <w:tcW w:w="4876" w:type="dxa"/>
          </w:tcPr>
          <w:p w14:paraId="60F8632E" w14:textId="77777777" w:rsidR="003663AF" w:rsidRPr="00B7760C" w:rsidRDefault="003663AF" w:rsidP="00E804B7">
            <w:pPr>
              <w:pStyle w:val="Normal6"/>
              <w:jc w:val="center"/>
              <w:rPr>
                <w:b/>
                <w:i/>
              </w:rPr>
            </w:pPr>
            <w:r w:rsidRPr="00B7760C">
              <w:rPr>
                <w:b/>
                <w:bCs/>
                <w:i/>
                <w:iCs/>
              </w:rPr>
              <w:t>Ukrepi za ženske na podeželju</w:t>
            </w:r>
          </w:p>
        </w:tc>
      </w:tr>
      <w:tr w:rsidR="003663AF" w:rsidRPr="00B7760C" w14:paraId="5414FD29" w14:textId="77777777" w:rsidTr="00E804B7">
        <w:trPr>
          <w:jc w:val="center"/>
        </w:trPr>
        <w:tc>
          <w:tcPr>
            <w:tcW w:w="4876" w:type="dxa"/>
          </w:tcPr>
          <w:p w14:paraId="424540E2" w14:textId="77777777" w:rsidR="003663AF" w:rsidRPr="00B7760C" w:rsidRDefault="003663AF" w:rsidP="00E804B7">
            <w:pPr>
              <w:pStyle w:val="Normal6"/>
            </w:pPr>
          </w:p>
        </w:tc>
        <w:tc>
          <w:tcPr>
            <w:tcW w:w="4876" w:type="dxa"/>
          </w:tcPr>
          <w:p w14:paraId="75D6FF81" w14:textId="77777777" w:rsidR="003663AF" w:rsidRPr="00B7760C" w:rsidRDefault="003663AF" w:rsidP="00E804B7">
            <w:pPr>
              <w:pStyle w:val="Normal6"/>
              <w:rPr>
                <w:b/>
                <w:bCs/>
                <w:i/>
                <w:iCs/>
              </w:rPr>
            </w:pPr>
            <w:r w:rsidRPr="00B7760C">
              <w:rPr>
                <w:b/>
                <w:bCs/>
                <w:i/>
                <w:iCs/>
              </w:rPr>
              <w:t xml:space="preserve">1. </w:t>
            </w:r>
            <w:r w:rsidRPr="00B7760C">
              <w:rPr>
                <w:b/>
                <w:bCs/>
                <w:i/>
                <w:iCs/>
              </w:rPr>
              <w:tab/>
              <w:t>Države članice sprejmejo posebne ukrepe za spodbujanje večjega vključevanja žensk v podeželsko gospodarstvo z intervencijami, ki so v skladu s sedanju uredbo, da bi prispevale k uresničevanju ciljev iz člena 6(1).</w:t>
            </w:r>
          </w:p>
        </w:tc>
      </w:tr>
      <w:tr w:rsidR="003663AF" w:rsidRPr="00B7760C" w14:paraId="6CF2139C" w14:textId="77777777" w:rsidTr="00E804B7">
        <w:trPr>
          <w:jc w:val="center"/>
        </w:trPr>
        <w:tc>
          <w:tcPr>
            <w:tcW w:w="4876" w:type="dxa"/>
          </w:tcPr>
          <w:p w14:paraId="4440ED21" w14:textId="77777777" w:rsidR="003663AF" w:rsidRPr="00B7760C" w:rsidRDefault="003663AF" w:rsidP="00E804B7">
            <w:pPr>
              <w:pStyle w:val="Normal6"/>
            </w:pPr>
          </w:p>
        </w:tc>
        <w:tc>
          <w:tcPr>
            <w:tcW w:w="4876" w:type="dxa"/>
          </w:tcPr>
          <w:p w14:paraId="09D5DFA9" w14:textId="77777777" w:rsidR="003663AF" w:rsidRPr="00B7760C" w:rsidRDefault="003663AF" w:rsidP="00E804B7">
            <w:pPr>
              <w:pStyle w:val="Normal6"/>
              <w:rPr>
                <w:b/>
                <w:bCs/>
                <w:i/>
                <w:iCs/>
              </w:rPr>
            </w:pPr>
            <w:r w:rsidRPr="00B7760C">
              <w:rPr>
                <w:b/>
                <w:bCs/>
                <w:i/>
                <w:iCs/>
              </w:rPr>
              <w:t xml:space="preserve">2. </w:t>
            </w:r>
            <w:r w:rsidRPr="00B7760C">
              <w:rPr>
                <w:b/>
                <w:bCs/>
                <w:i/>
                <w:iCs/>
              </w:rPr>
              <w:tab/>
              <w:t>Države članice lahko v svojih strateških načrtih SKP odobrijo podporo za spodbujanje udeležbe žensk zlasti pri dejavnostih prenosa znanja in informiranja, storitvah svetovanja, naložbah v materialna sredstva, zagonu in razvoju kmetij in podeželskih podjetij, namestitvi digitalnih tehnologij ter sodelovanju.</w:t>
            </w:r>
          </w:p>
        </w:tc>
      </w:tr>
    </w:tbl>
    <w:p w14:paraId="1DE730E0" w14:textId="77777777" w:rsidR="003663AF" w:rsidRPr="00B7760C" w:rsidRDefault="003663AF" w:rsidP="003663AF"/>
    <w:p w14:paraId="494AB5C0" w14:textId="0E98E94F" w:rsidR="003663AF" w:rsidRPr="00B7760C" w:rsidRDefault="00877691" w:rsidP="003663AF">
      <w:pPr>
        <w:pStyle w:val="AMNumberTabs"/>
      </w:pPr>
      <w:r w:rsidRPr="00B7760C">
        <w:t>Sprememba</w:t>
      </w:r>
      <w:r w:rsidR="003663AF" w:rsidRPr="00B7760C">
        <w:tab/>
      </w:r>
      <w:r w:rsidR="003663AF" w:rsidRPr="00B7760C">
        <w:tab/>
        <w:t>513</w:t>
      </w:r>
    </w:p>
    <w:p w14:paraId="522B5F51" w14:textId="77777777" w:rsidR="003663AF" w:rsidRPr="00B7760C" w:rsidRDefault="003663AF" w:rsidP="003663AF">
      <w:pPr>
        <w:pStyle w:val="NormalBold12b"/>
      </w:pPr>
      <w:r w:rsidRPr="00B7760C">
        <w:t>Predlog uredbe</w:t>
      </w:r>
    </w:p>
    <w:p w14:paraId="64F474B9" w14:textId="77777777" w:rsidR="003663AF" w:rsidRPr="00B7760C" w:rsidRDefault="003663AF" w:rsidP="003663AF">
      <w:pPr>
        <w:pStyle w:val="NormalBold"/>
      </w:pPr>
      <w:r w:rsidRPr="00B7760C">
        <w:t>Člen 72 b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CDFC31A" w14:textId="77777777" w:rsidTr="00E804B7">
        <w:trPr>
          <w:trHeight w:hRule="exact" w:val="240"/>
          <w:jc w:val="center"/>
        </w:trPr>
        <w:tc>
          <w:tcPr>
            <w:tcW w:w="9752" w:type="dxa"/>
            <w:gridSpan w:val="2"/>
          </w:tcPr>
          <w:p w14:paraId="112ED64B" w14:textId="77777777" w:rsidR="003663AF" w:rsidRPr="00B7760C" w:rsidRDefault="003663AF" w:rsidP="00E804B7"/>
        </w:tc>
      </w:tr>
      <w:tr w:rsidR="003663AF" w:rsidRPr="00B7760C" w14:paraId="469C645E" w14:textId="77777777" w:rsidTr="00E804B7">
        <w:trPr>
          <w:trHeight w:val="240"/>
          <w:jc w:val="center"/>
        </w:trPr>
        <w:tc>
          <w:tcPr>
            <w:tcW w:w="4876" w:type="dxa"/>
          </w:tcPr>
          <w:p w14:paraId="3F4C9DB4" w14:textId="77777777" w:rsidR="003663AF" w:rsidRPr="00B7760C" w:rsidRDefault="003663AF" w:rsidP="00E804B7">
            <w:pPr>
              <w:pStyle w:val="ColumnHeading"/>
            </w:pPr>
            <w:r w:rsidRPr="00B7760C">
              <w:t>Besedilo, ki ga predlaga Komisija</w:t>
            </w:r>
          </w:p>
        </w:tc>
        <w:tc>
          <w:tcPr>
            <w:tcW w:w="4876" w:type="dxa"/>
          </w:tcPr>
          <w:p w14:paraId="794AD363" w14:textId="1B3B28E2" w:rsidR="003663AF" w:rsidRPr="00B7760C" w:rsidRDefault="00877691" w:rsidP="00E804B7">
            <w:pPr>
              <w:pStyle w:val="ColumnHeading"/>
            </w:pPr>
            <w:r w:rsidRPr="00B7760C">
              <w:t>Sprememba</w:t>
            </w:r>
          </w:p>
        </w:tc>
      </w:tr>
      <w:tr w:rsidR="003663AF" w:rsidRPr="00B7760C" w14:paraId="63CA9279" w14:textId="77777777" w:rsidTr="00E804B7">
        <w:trPr>
          <w:jc w:val="center"/>
        </w:trPr>
        <w:tc>
          <w:tcPr>
            <w:tcW w:w="4876" w:type="dxa"/>
          </w:tcPr>
          <w:p w14:paraId="78C33719" w14:textId="77777777" w:rsidR="003663AF" w:rsidRPr="00B7760C" w:rsidRDefault="003663AF" w:rsidP="00E804B7">
            <w:pPr>
              <w:pStyle w:val="Normal6"/>
            </w:pPr>
          </w:p>
        </w:tc>
        <w:tc>
          <w:tcPr>
            <w:tcW w:w="4876" w:type="dxa"/>
          </w:tcPr>
          <w:p w14:paraId="7425A8D3" w14:textId="77777777" w:rsidR="003663AF" w:rsidRPr="00B7760C" w:rsidRDefault="003663AF" w:rsidP="00E804B7">
            <w:pPr>
              <w:pStyle w:val="Normal6Center"/>
              <w:rPr>
                <w:color w:val="auto"/>
                <w:lang w:val="sl-SI"/>
              </w:rPr>
            </w:pPr>
            <w:r w:rsidRPr="00B7760C">
              <w:rPr>
                <w:color w:val="auto"/>
                <w:lang w:val="sl-SI"/>
              </w:rPr>
              <w:t>Člen 72b</w:t>
            </w:r>
          </w:p>
        </w:tc>
      </w:tr>
      <w:tr w:rsidR="003663AF" w:rsidRPr="00B7760C" w14:paraId="532FC8C4" w14:textId="77777777" w:rsidTr="00E804B7">
        <w:trPr>
          <w:jc w:val="center"/>
        </w:trPr>
        <w:tc>
          <w:tcPr>
            <w:tcW w:w="4876" w:type="dxa"/>
          </w:tcPr>
          <w:p w14:paraId="6D62147B" w14:textId="77777777" w:rsidR="003663AF" w:rsidRPr="00B7760C" w:rsidRDefault="003663AF" w:rsidP="00E804B7">
            <w:pPr>
              <w:pStyle w:val="Normal6"/>
            </w:pPr>
          </w:p>
        </w:tc>
        <w:tc>
          <w:tcPr>
            <w:tcW w:w="4876" w:type="dxa"/>
          </w:tcPr>
          <w:p w14:paraId="66B89B6E" w14:textId="77777777" w:rsidR="003663AF" w:rsidRPr="00B7760C" w:rsidRDefault="003663AF" w:rsidP="00E804B7">
            <w:pPr>
              <w:pStyle w:val="Normal6Center"/>
              <w:rPr>
                <w:color w:val="auto"/>
                <w:lang w:val="sl-SI"/>
              </w:rPr>
            </w:pPr>
            <w:r w:rsidRPr="00B7760C">
              <w:rPr>
                <w:color w:val="auto"/>
                <w:lang w:val="sl-SI"/>
              </w:rPr>
              <w:t>Razvoj strategije za pametne vasi</w:t>
            </w:r>
          </w:p>
        </w:tc>
      </w:tr>
      <w:tr w:rsidR="003663AF" w:rsidRPr="00B7760C" w14:paraId="4EE8FD02" w14:textId="77777777" w:rsidTr="00E804B7">
        <w:trPr>
          <w:jc w:val="center"/>
        </w:trPr>
        <w:tc>
          <w:tcPr>
            <w:tcW w:w="4876" w:type="dxa"/>
          </w:tcPr>
          <w:p w14:paraId="6B35E011" w14:textId="77777777" w:rsidR="003663AF" w:rsidRPr="00B7760C" w:rsidRDefault="003663AF" w:rsidP="00E804B7">
            <w:pPr>
              <w:pStyle w:val="Normal6"/>
            </w:pPr>
          </w:p>
        </w:tc>
        <w:tc>
          <w:tcPr>
            <w:tcW w:w="4876" w:type="dxa"/>
          </w:tcPr>
          <w:p w14:paraId="0CE1D65A" w14:textId="77777777" w:rsidR="003663AF" w:rsidRPr="00B7760C" w:rsidRDefault="003663AF" w:rsidP="00E804B7">
            <w:pPr>
              <w:pStyle w:val="Normal6"/>
            </w:pPr>
            <w:r w:rsidRPr="00B7760C">
              <w:rPr>
                <w:b/>
                <w:i/>
              </w:rPr>
              <w:t xml:space="preserve">1. </w:t>
            </w:r>
            <w:r w:rsidRPr="00B7760C">
              <w:rPr>
                <w:b/>
                <w:i/>
              </w:rPr>
              <w:tab/>
              <w:t>Države članice pripravijo in izvajajo strategijo za pametne vasi v okviru svojih strateških načrtov SKP, da bi spodbudile digitalizacijo in inovacije, razvoj podjetij ter socialno vključevanje in zaposlovanje na podeželskih območjih, ter pri tem upoštevajo vrste intervencij iz točk (a), (b), (d), (e), (g) in (h) člena 64 ter elemente, ki zagotavljajo posodabljanje in strategije iz člena 102.</w:t>
            </w:r>
          </w:p>
        </w:tc>
      </w:tr>
      <w:tr w:rsidR="003663AF" w:rsidRPr="00B7760C" w14:paraId="46164A9B" w14:textId="77777777" w:rsidTr="00E804B7">
        <w:trPr>
          <w:jc w:val="center"/>
        </w:trPr>
        <w:tc>
          <w:tcPr>
            <w:tcW w:w="4876" w:type="dxa"/>
          </w:tcPr>
          <w:p w14:paraId="5B3F060C" w14:textId="77777777" w:rsidR="003663AF" w:rsidRPr="00B7760C" w:rsidRDefault="003663AF" w:rsidP="00E804B7">
            <w:pPr>
              <w:pStyle w:val="Normal6"/>
            </w:pPr>
          </w:p>
        </w:tc>
        <w:tc>
          <w:tcPr>
            <w:tcW w:w="4876" w:type="dxa"/>
          </w:tcPr>
          <w:p w14:paraId="1BD7EFC6" w14:textId="77777777" w:rsidR="003663AF" w:rsidRPr="00B7760C" w:rsidRDefault="003663AF" w:rsidP="00E804B7">
            <w:pPr>
              <w:pStyle w:val="Normal6"/>
            </w:pPr>
            <w:r w:rsidRPr="00B7760C">
              <w:rPr>
                <w:b/>
                <w:i/>
              </w:rPr>
              <w:t xml:space="preserve">2. </w:t>
            </w:r>
            <w:r w:rsidRPr="00B7760C">
              <w:rPr>
                <w:b/>
                <w:i/>
              </w:rPr>
              <w:tab/>
              <w:t>Države članice poleg vrst intervencij iz prejšnje točke zlasti upoštevajo ukrepe, ki obravnavajo naslednja vprašanja na podeželskih območjih:</w:t>
            </w:r>
          </w:p>
        </w:tc>
      </w:tr>
      <w:tr w:rsidR="003663AF" w:rsidRPr="00B7760C" w14:paraId="20FEA921" w14:textId="77777777" w:rsidTr="00E804B7">
        <w:trPr>
          <w:jc w:val="center"/>
        </w:trPr>
        <w:tc>
          <w:tcPr>
            <w:tcW w:w="4876" w:type="dxa"/>
          </w:tcPr>
          <w:p w14:paraId="603907AE" w14:textId="77777777" w:rsidR="003663AF" w:rsidRPr="00B7760C" w:rsidRDefault="003663AF" w:rsidP="00E804B7">
            <w:pPr>
              <w:pStyle w:val="Normal6"/>
            </w:pPr>
          </w:p>
        </w:tc>
        <w:tc>
          <w:tcPr>
            <w:tcW w:w="4876" w:type="dxa"/>
          </w:tcPr>
          <w:p w14:paraId="06E88338" w14:textId="77777777" w:rsidR="003663AF" w:rsidRPr="00B7760C" w:rsidRDefault="003663AF" w:rsidP="00E804B7">
            <w:pPr>
              <w:pStyle w:val="Normal6"/>
            </w:pPr>
            <w:r w:rsidRPr="00B7760C">
              <w:rPr>
                <w:b/>
                <w:i/>
              </w:rPr>
              <w:t xml:space="preserve">(a) </w:t>
            </w:r>
            <w:r w:rsidRPr="00B7760C">
              <w:rPr>
                <w:b/>
                <w:i/>
              </w:rPr>
              <w:tab/>
              <w:t>digitalizacijo podeželskega gospodarstva;</w:t>
            </w:r>
          </w:p>
        </w:tc>
      </w:tr>
      <w:tr w:rsidR="003663AF" w:rsidRPr="00B7760C" w14:paraId="6828E64A" w14:textId="77777777" w:rsidTr="00E804B7">
        <w:trPr>
          <w:jc w:val="center"/>
        </w:trPr>
        <w:tc>
          <w:tcPr>
            <w:tcW w:w="4876" w:type="dxa"/>
          </w:tcPr>
          <w:p w14:paraId="64AB09CA" w14:textId="77777777" w:rsidR="003663AF" w:rsidRPr="00B7760C" w:rsidRDefault="003663AF" w:rsidP="00E804B7">
            <w:pPr>
              <w:pStyle w:val="Normal6"/>
            </w:pPr>
          </w:p>
        </w:tc>
        <w:tc>
          <w:tcPr>
            <w:tcW w:w="4876" w:type="dxa"/>
          </w:tcPr>
          <w:p w14:paraId="10A36A12" w14:textId="77777777" w:rsidR="003663AF" w:rsidRPr="00B7760C" w:rsidRDefault="003663AF" w:rsidP="00E804B7">
            <w:pPr>
              <w:pStyle w:val="Normal6"/>
            </w:pPr>
            <w:r w:rsidRPr="00B7760C">
              <w:rPr>
                <w:b/>
                <w:i/>
              </w:rPr>
              <w:t xml:space="preserve">(b) </w:t>
            </w:r>
            <w:r w:rsidRPr="00B7760C">
              <w:rPr>
                <w:b/>
                <w:i/>
              </w:rPr>
              <w:tab/>
              <w:t>precizno kmetijstvo;</w:t>
            </w:r>
          </w:p>
        </w:tc>
      </w:tr>
      <w:tr w:rsidR="003663AF" w:rsidRPr="00B7760C" w14:paraId="73ADAF03" w14:textId="77777777" w:rsidTr="00E804B7">
        <w:trPr>
          <w:jc w:val="center"/>
        </w:trPr>
        <w:tc>
          <w:tcPr>
            <w:tcW w:w="4876" w:type="dxa"/>
          </w:tcPr>
          <w:p w14:paraId="0417961A" w14:textId="77777777" w:rsidR="003663AF" w:rsidRPr="00B7760C" w:rsidRDefault="003663AF" w:rsidP="00E804B7">
            <w:pPr>
              <w:pStyle w:val="Normal6"/>
            </w:pPr>
          </w:p>
        </w:tc>
        <w:tc>
          <w:tcPr>
            <w:tcW w:w="4876" w:type="dxa"/>
          </w:tcPr>
          <w:p w14:paraId="17E62888" w14:textId="77777777" w:rsidR="003663AF" w:rsidRPr="00B7760C" w:rsidRDefault="003663AF" w:rsidP="00E804B7">
            <w:pPr>
              <w:pStyle w:val="Normal6"/>
            </w:pPr>
            <w:r w:rsidRPr="00B7760C">
              <w:rPr>
                <w:b/>
                <w:i/>
              </w:rPr>
              <w:t xml:space="preserve">(c) </w:t>
            </w:r>
            <w:r w:rsidRPr="00B7760C">
              <w:rPr>
                <w:b/>
                <w:i/>
              </w:rPr>
              <w:tab/>
              <w:t>razvoj digitalnih platform;</w:t>
            </w:r>
          </w:p>
        </w:tc>
      </w:tr>
      <w:tr w:rsidR="003663AF" w:rsidRPr="00B7760C" w14:paraId="3F8BAD16" w14:textId="77777777" w:rsidTr="00E804B7">
        <w:trPr>
          <w:jc w:val="center"/>
        </w:trPr>
        <w:tc>
          <w:tcPr>
            <w:tcW w:w="4876" w:type="dxa"/>
          </w:tcPr>
          <w:p w14:paraId="691FFC79" w14:textId="77777777" w:rsidR="003663AF" w:rsidRPr="00B7760C" w:rsidRDefault="003663AF" w:rsidP="00E804B7">
            <w:pPr>
              <w:pStyle w:val="Normal6"/>
            </w:pPr>
          </w:p>
        </w:tc>
        <w:tc>
          <w:tcPr>
            <w:tcW w:w="4876" w:type="dxa"/>
          </w:tcPr>
          <w:p w14:paraId="0B25ADDD" w14:textId="77777777" w:rsidR="003663AF" w:rsidRPr="00B7760C" w:rsidRDefault="003663AF" w:rsidP="00E804B7">
            <w:pPr>
              <w:pStyle w:val="Normal6"/>
            </w:pPr>
            <w:r w:rsidRPr="00B7760C">
              <w:rPr>
                <w:b/>
                <w:i/>
              </w:rPr>
              <w:t xml:space="preserve">(d) </w:t>
            </w:r>
            <w:r w:rsidRPr="00B7760C">
              <w:rPr>
                <w:b/>
                <w:i/>
              </w:rPr>
              <w:tab/>
              <w:t>podeželsko mobilnost;</w:t>
            </w:r>
          </w:p>
        </w:tc>
      </w:tr>
      <w:tr w:rsidR="003663AF" w:rsidRPr="00B7760C" w14:paraId="7A469FB1" w14:textId="77777777" w:rsidTr="00E804B7">
        <w:trPr>
          <w:jc w:val="center"/>
        </w:trPr>
        <w:tc>
          <w:tcPr>
            <w:tcW w:w="4876" w:type="dxa"/>
          </w:tcPr>
          <w:p w14:paraId="6C7BE880" w14:textId="77777777" w:rsidR="003663AF" w:rsidRPr="00B7760C" w:rsidRDefault="003663AF" w:rsidP="00E804B7">
            <w:pPr>
              <w:pStyle w:val="Normal6"/>
            </w:pPr>
          </w:p>
        </w:tc>
        <w:tc>
          <w:tcPr>
            <w:tcW w:w="4876" w:type="dxa"/>
          </w:tcPr>
          <w:p w14:paraId="68936996" w14:textId="77777777" w:rsidR="003663AF" w:rsidRPr="00B7760C" w:rsidRDefault="003663AF" w:rsidP="00E804B7">
            <w:pPr>
              <w:pStyle w:val="Normal6"/>
            </w:pPr>
            <w:r w:rsidRPr="00B7760C">
              <w:rPr>
                <w:b/>
                <w:i/>
              </w:rPr>
              <w:t xml:space="preserve">(e) </w:t>
            </w:r>
            <w:r w:rsidRPr="00B7760C">
              <w:rPr>
                <w:b/>
                <w:i/>
              </w:rPr>
              <w:tab/>
              <w:t>socialne inovacije;</w:t>
            </w:r>
          </w:p>
        </w:tc>
      </w:tr>
      <w:tr w:rsidR="003663AF" w:rsidRPr="00B7760C" w14:paraId="5E0D29D2" w14:textId="77777777" w:rsidTr="00E804B7">
        <w:trPr>
          <w:jc w:val="center"/>
        </w:trPr>
        <w:tc>
          <w:tcPr>
            <w:tcW w:w="4876" w:type="dxa"/>
          </w:tcPr>
          <w:p w14:paraId="02694157" w14:textId="77777777" w:rsidR="003663AF" w:rsidRPr="00B7760C" w:rsidRDefault="003663AF" w:rsidP="00E804B7">
            <w:pPr>
              <w:pStyle w:val="Normal6"/>
            </w:pPr>
          </w:p>
        </w:tc>
        <w:tc>
          <w:tcPr>
            <w:tcW w:w="4876" w:type="dxa"/>
          </w:tcPr>
          <w:p w14:paraId="1AFC59C9" w14:textId="77777777" w:rsidR="003663AF" w:rsidRPr="00B7760C" w:rsidRDefault="003663AF" w:rsidP="00E804B7">
            <w:pPr>
              <w:pStyle w:val="Normal6"/>
            </w:pPr>
            <w:r w:rsidRPr="00B7760C">
              <w:rPr>
                <w:b/>
                <w:i/>
              </w:rPr>
              <w:t xml:space="preserve">(f) </w:t>
            </w:r>
            <w:r w:rsidRPr="00B7760C">
              <w:rPr>
                <w:b/>
                <w:i/>
              </w:rPr>
              <w:tab/>
              <w:t>razvoj pametnih energetskih sistemov in omrežij ter hrambe energije na lokalni ravni in podpiranje razvoja energetskih zadrug.</w:t>
            </w:r>
          </w:p>
        </w:tc>
      </w:tr>
      <w:tr w:rsidR="003663AF" w:rsidRPr="00B7760C" w14:paraId="19A5EBCD" w14:textId="77777777" w:rsidTr="00E804B7">
        <w:trPr>
          <w:jc w:val="center"/>
        </w:trPr>
        <w:tc>
          <w:tcPr>
            <w:tcW w:w="4876" w:type="dxa"/>
          </w:tcPr>
          <w:p w14:paraId="3A0A37CE" w14:textId="77777777" w:rsidR="003663AF" w:rsidRPr="00B7760C" w:rsidRDefault="003663AF" w:rsidP="00E804B7">
            <w:pPr>
              <w:pStyle w:val="Normal6"/>
            </w:pPr>
          </w:p>
        </w:tc>
        <w:tc>
          <w:tcPr>
            <w:tcW w:w="4876" w:type="dxa"/>
          </w:tcPr>
          <w:p w14:paraId="350B9D7F" w14:textId="77777777" w:rsidR="003663AF" w:rsidRPr="00B7760C" w:rsidRDefault="003663AF" w:rsidP="00E804B7">
            <w:pPr>
              <w:pStyle w:val="Normal6"/>
            </w:pPr>
            <w:r w:rsidRPr="00B7760C">
              <w:rPr>
                <w:b/>
                <w:i/>
              </w:rPr>
              <w:t xml:space="preserve">3. </w:t>
            </w:r>
            <w:r w:rsidRPr="00B7760C">
              <w:rPr>
                <w:b/>
                <w:i/>
              </w:rPr>
              <w:tab/>
              <w:t>Države članice posebej upoštevajo usklajevanje med EKSRP in drugimi evropskimi strukturnimi in investicijskimi skladi, kot je določeno v točki (iii) člena 98(d).</w:t>
            </w:r>
          </w:p>
        </w:tc>
      </w:tr>
      <w:tr w:rsidR="003663AF" w:rsidRPr="00B7760C" w14:paraId="7E5394B6" w14:textId="77777777" w:rsidTr="00E804B7">
        <w:trPr>
          <w:jc w:val="center"/>
        </w:trPr>
        <w:tc>
          <w:tcPr>
            <w:tcW w:w="4876" w:type="dxa"/>
          </w:tcPr>
          <w:p w14:paraId="0D53E913" w14:textId="77777777" w:rsidR="003663AF" w:rsidRPr="00B7760C" w:rsidRDefault="003663AF" w:rsidP="00E804B7">
            <w:pPr>
              <w:pStyle w:val="Normal6"/>
            </w:pPr>
          </w:p>
        </w:tc>
        <w:tc>
          <w:tcPr>
            <w:tcW w:w="4876" w:type="dxa"/>
          </w:tcPr>
          <w:p w14:paraId="672129F5" w14:textId="77777777" w:rsidR="003663AF" w:rsidRPr="00B7760C" w:rsidRDefault="003663AF" w:rsidP="00E804B7">
            <w:pPr>
              <w:pStyle w:val="Normal6"/>
            </w:pPr>
            <w:r w:rsidRPr="00B7760C">
              <w:rPr>
                <w:b/>
                <w:i/>
              </w:rPr>
              <w:t xml:space="preserve">4. </w:t>
            </w:r>
            <w:r w:rsidRPr="00B7760C">
              <w:rPr>
                <w:b/>
                <w:i/>
              </w:rPr>
              <w:tab/>
              <w:t>Države članice lahko vključijo svoje strategije za pametne vasi v celovite strategije lokalnega razvoja, ki ga vodi skupnost, iz člena 25(c) Uredbe (EU) 2018/xxxx [nova uredba o skupnih določbah].</w:t>
            </w:r>
          </w:p>
        </w:tc>
      </w:tr>
    </w:tbl>
    <w:p w14:paraId="677CFBDB" w14:textId="77777777" w:rsidR="003663AF" w:rsidRPr="00B7760C" w:rsidRDefault="003663AF" w:rsidP="003663AF"/>
    <w:p w14:paraId="40D6F692" w14:textId="479C2DE2" w:rsidR="003663AF" w:rsidRPr="00B7760C" w:rsidRDefault="00877691" w:rsidP="003663AF">
      <w:pPr>
        <w:pStyle w:val="AMNumberTabs"/>
        <w:keepNext/>
      </w:pPr>
      <w:r w:rsidRPr="00B7760C">
        <w:t>Sprememba</w:t>
      </w:r>
      <w:r w:rsidR="003663AF" w:rsidRPr="00B7760C">
        <w:tab/>
      </w:r>
      <w:r w:rsidR="003663AF" w:rsidRPr="00B7760C">
        <w:tab/>
        <w:t>514</w:t>
      </w:r>
    </w:p>
    <w:p w14:paraId="11BE1C1A" w14:textId="77777777" w:rsidR="003663AF" w:rsidRPr="00B7760C" w:rsidRDefault="003663AF" w:rsidP="003663AF">
      <w:pPr>
        <w:pStyle w:val="NormalBold12b"/>
      </w:pPr>
      <w:r w:rsidRPr="00B7760C">
        <w:t>Predlog uredbe</w:t>
      </w:r>
    </w:p>
    <w:p w14:paraId="4548DBD9" w14:textId="77777777" w:rsidR="003663AF" w:rsidRPr="00B7760C" w:rsidRDefault="003663AF" w:rsidP="003663AF">
      <w:pPr>
        <w:pStyle w:val="NormalBold"/>
      </w:pPr>
      <w:r w:rsidRPr="00B7760C">
        <w:t>Člen 73 – odstavek 1 – pododstavek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D97F8B7" w14:textId="77777777" w:rsidTr="00E804B7">
        <w:trPr>
          <w:jc w:val="center"/>
        </w:trPr>
        <w:tc>
          <w:tcPr>
            <w:tcW w:w="9752" w:type="dxa"/>
            <w:gridSpan w:val="2"/>
          </w:tcPr>
          <w:p w14:paraId="1726FBD6" w14:textId="77777777" w:rsidR="003663AF" w:rsidRPr="00B7760C" w:rsidRDefault="003663AF" w:rsidP="00E804B7">
            <w:pPr>
              <w:keepNext/>
            </w:pPr>
          </w:p>
        </w:tc>
      </w:tr>
      <w:tr w:rsidR="003663AF" w:rsidRPr="00B7760C" w14:paraId="40FB8CDC" w14:textId="77777777" w:rsidTr="00E804B7">
        <w:trPr>
          <w:jc w:val="center"/>
        </w:trPr>
        <w:tc>
          <w:tcPr>
            <w:tcW w:w="4876" w:type="dxa"/>
            <w:hideMark/>
          </w:tcPr>
          <w:p w14:paraId="5A2D5241" w14:textId="77777777" w:rsidR="003663AF" w:rsidRPr="00B7760C" w:rsidRDefault="003663AF" w:rsidP="00E804B7">
            <w:pPr>
              <w:pStyle w:val="ColumnHeading"/>
              <w:keepNext/>
            </w:pPr>
            <w:r w:rsidRPr="00B7760C">
              <w:t>Besedilo, ki ga predlaga Komisija</w:t>
            </w:r>
          </w:p>
        </w:tc>
        <w:tc>
          <w:tcPr>
            <w:tcW w:w="4876" w:type="dxa"/>
            <w:hideMark/>
          </w:tcPr>
          <w:p w14:paraId="17B97649" w14:textId="4D991164" w:rsidR="003663AF" w:rsidRPr="00B7760C" w:rsidRDefault="00877691" w:rsidP="00E804B7">
            <w:pPr>
              <w:pStyle w:val="ColumnHeading"/>
              <w:keepNext/>
            </w:pPr>
            <w:r w:rsidRPr="00B7760C">
              <w:t>Sprememba</w:t>
            </w:r>
          </w:p>
        </w:tc>
      </w:tr>
      <w:tr w:rsidR="003663AF" w:rsidRPr="00B7760C" w14:paraId="100C6AFC" w14:textId="77777777" w:rsidTr="00E804B7">
        <w:trPr>
          <w:jc w:val="center"/>
        </w:trPr>
        <w:tc>
          <w:tcPr>
            <w:tcW w:w="4876" w:type="dxa"/>
            <w:hideMark/>
          </w:tcPr>
          <w:p w14:paraId="0D57B28F" w14:textId="77777777" w:rsidR="003663AF" w:rsidRPr="00B7760C" w:rsidRDefault="003663AF" w:rsidP="00E804B7">
            <w:pPr>
              <w:pStyle w:val="Normal6"/>
            </w:pPr>
            <w:r w:rsidRPr="00B7760C">
              <w:t>Organ upravljanja strateškega načrta SKP ali drugi imenovani posredniški organi opredelijo merila za izbor intervencij v zvezi z naslednjimi vrstami intervencij: naložbe, vzpostavitev gospodarstev mladih kmetov</w:t>
            </w:r>
            <w:r w:rsidRPr="00B7760C">
              <w:rPr>
                <w:b/>
                <w:i/>
              </w:rPr>
              <w:t xml:space="preserve"> in</w:t>
            </w:r>
            <w:r w:rsidRPr="00B7760C">
              <w:t xml:space="preserve"> zagon podeželskih podjetij, sodelovanje ter izmenjava znanja in informiranje, in sicer po posvetovanju z odborom za spremljanje iz člena 111. Namen meril za izbor je zagotoviti enako obravnavo vlagateljev, boljšo uporabo finančnih sredstev in ciljno usmerjenost podpore v skladu z namenom intervencij.</w:t>
            </w:r>
          </w:p>
        </w:tc>
        <w:tc>
          <w:tcPr>
            <w:tcW w:w="4876" w:type="dxa"/>
            <w:hideMark/>
          </w:tcPr>
          <w:p w14:paraId="7869DB3B" w14:textId="77777777" w:rsidR="003663AF" w:rsidRPr="00B7760C" w:rsidRDefault="003663AF" w:rsidP="00E804B7">
            <w:pPr>
              <w:pStyle w:val="Normal6"/>
              <w:rPr>
                <w:szCs w:val="24"/>
              </w:rPr>
            </w:pPr>
            <w:r w:rsidRPr="00B7760C">
              <w:t xml:space="preserve">Organ upravljanja strateškega načrta SKP </w:t>
            </w:r>
            <w:r w:rsidRPr="00B7760C">
              <w:rPr>
                <w:b/>
                <w:i/>
              </w:rPr>
              <w:t xml:space="preserve">in, če je primerno, regionalni organi upravljanja </w:t>
            </w:r>
            <w:r w:rsidRPr="00B7760C">
              <w:t xml:space="preserve">ali drugi imenovani posredniški organi opredelijo merila za izbor intervencij v zvezi z naslednjimi vrstami intervencij: naložbe, vzpostavitev gospodarstev mladih </w:t>
            </w:r>
            <w:r w:rsidRPr="00B7760C">
              <w:rPr>
                <w:b/>
                <w:i/>
              </w:rPr>
              <w:t xml:space="preserve">in novih </w:t>
            </w:r>
            <w:r w:rsidRPr="00B7760C">
              <w:t>kmetov</w:t>
            </w:r>
            <w:r w:rsidRPr="00B7760C">
              <w:rPr>
                <w:b/>
                <w:i/>
              </w:rPr>
              <w:t>,</w:t>
            </w:r>
            <w:r w:rsidRPr="00B7760C">
              <w:t xml:space="preserve"> zagon podeželskih podjetij, sodelovanje ter izmenjava znanja in informiranje</w:t>
            </w:r>
            <w:r w:rsidRPr="00B7760C">
              <w:rPr>
                <w:b/>
                <w:i/>
              </w:rPr>
              <w:t xml:space="preserve"> ter posebni ukrepi za ženske na podeželju in namestitev digitalnih tehnologij</w:t>
            </w:r>
            <w:r w:rsidRPr="00B7760C">
              <w:t>, in sicer po posvetovanju z odborom za spremljanje iz člena 111. Namen meril za izbor je zagotoviti enako obravnavo vlagateljev, boljšo uporabo finančnih sredstev in ciljno usmerjenost podpore v skladu z namenom intervencij.</w:t>
            </w:r>
          </w:p>
        </w:tc>
      </w:tr>
    </w:tbl>
    <w:p w14:paraId="47710576" w14:textId="77777777" w:rsidR="003663AF" w:rsidRPr="00B7760C" w:rsidRDefault="003663AF" w:rsidP="003663AF"/>
    <w:p w14:paraId="55EB5762" w14:textId="043CFE73" w:rsidR="003663AF" w:rsidRPr="00B7760C" w:rsidRDefault="00877691" w:rsidP="003663AF">
      <w:pPr>
        <w:pStyle w:val="AMNumberTabs"/>
        <w:keepNext/>
      </w:pPr>
      <w:r w:rsidRPr="00B7760C">
        <w:t>Sprememba</w:t>
      </w:r>
      <w:r w:rsidR="003663AF" w:rsidRPr="00B7760C">
        <w:tab/>
      </w:r>
      <w:r w:rsidR="003663AF" w:rsidRPr="00B7760C">
        <w:tab/>
        <w:t>515</w:t>
      </w:r>
    </w:p>
    <w:p w14:paraId="40842A6F" w14:textId="77777777" w:rsidR="003663AF" w:rsidRPr="00B7760C" w:rsidRDefault="003663AF" w:rsidP="003663AF">
      <w:pPr>
        <w:pStyle w:val="NormalBold12b"/>
      </w:pPr>
      <w:r w:rsidRPr="00B7760C">
        <w:t>Predlog uredbe</w:t>
      </w:r>
    </w:p>
    <w:p w14:paraId="295CCA61" w14:textId="77777777" w:rsidR="003663AF" w:rsidRPr="00B7760C" w:rsidRDefault="003663AF" w:rsidP="003663AF">
      <w:pPr>
        <w:pStyle w:val="NormalBold"/>
      </w:pPr>
      <w:r w:rsidRPr="00B7760C">
        <w:t>Člen 73 – odstavek 1 – pododstavek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2364A08" w14:textId="77777777" w:rsidTr="00E804B7">
        <w:trPr>
          <w:jc w:val="center"/>
        </w:trPr>
        <w:tc>
          <w:tcPr>
            <w:tcW w:w="9752" w:type="dxa"/>
            <w:gridSpan w:val="2"/>
          </w:tcPr>
          <w:p w14:paraId="67CCADD9" w14:textId="77777777" w:rsidR="003663AF" w:rsidRPr="00B7760C" w:rsidRDefault="003663AF" w:rsidP="00E804B7">
            <w:pPr>
              <w:keepNext/>
            </w:pPr>
          </w:p>
        </w:tc>
      </w:tr>
      <w:tr w:rsidR="003663AF" w:rsidRPr="00B7760C" w14:paraId="478773A3" w14:textId="77777777" w:rsidTr="00E804B7">
        <w:trPr>
          <w:jc w:val="center"/>
        </w:trPr>
        <w:tc>
          <w:tcPr>
            <w:tcW w:w="4876" w:type="dxa"/>
            <w:hideMark/>
          </w:tcPr>
          <w:p w14:paraId="67C2D378" w14:textId="77777777" w:rsidR="003663AF" w:rsidRPr="00B7760C" w:rsidRDefault="003663AF" w:rsidP="00E804B7">
            <w:pPr>
              <w:pStyle w:val="ColumnHeading"/>
              <w:keepNext/>
            </w:pPr>
            <w:r w:rsidRPr="00B7760C">
              <w:t>Besedilo, ki ga predlaga Komisija</w:t>
            </w:r>
          </w:p>
        </w:tc>
        <w:tc>
          <w:tcPr>
            <w:tcW w:w="4876" w:type="dxa"/>
            <w:hideMark/>
          </w:tcPr>
          <w:p w14:paraId="38379622" w14:textId="32FA4271" w:rsidR="003663AF" w:rsidRPr="00B7760C" w:rsidRDefault="00877691" w:rsidP="00E804B7">
            <w:pPr>
              <w:pStyle w:val="ColumnHeading"/>
              <w:keepNext/>
            </w:pPr>
            <w:r w:rsidRPr="00B7760C">
              <w:t>Sprememba</w:t>
            </w:r>
          </w:p>
        </w:tc>
      </w:tr>
      <w:tr w:rsidR="003663AF" w:rsidRPr="00B7760C" w14:paraId="67921DE2" w14:textId="77777777" w:rsidTr="00E804B7">
        <w:trPr>
          <w:jc w:val="center"/>
        </w:trPr>
        <w:tc>
          <w:tcPr>
            <w:tcW w:w="4876" w:type="dxa"/>
            <w:hideMark/>
          </w:tcPr>
          <w:p w14:paraId="326C1386" w14:textId="77777777" w:rsidR="003663AF" w:rsidRPr="00B7760C" w:rsidRDefault="003663AF" w:rsidP="00E804B7">
            <w:pPr>
              <w:pStyle w:val="Normal6"/>
            </w:pPr>
            <w:r w:rsidRPr="00B7760C">
              <w:t xml:space="preserve">Države članice se lahko odločijo, da </w:t>
            </w:r>
            <w:r w:rsidRPr="00B7760C">
              <w:rPr>
                <w:b/>
                <w:i/>
              </w:rPr>
              <w:t>merila</w:t>
            </w:r>
            <w:r w:rsidRPr="00B7760C">
              <w:t xml:space="preserve"> za izbor ne uporabljajo za </w:t>
            </w:r>
            <w:r w:rsidRPr="00B7760C">
              <w:rPr>
                <w:b/>
                <w:i/>
              </w:rPr>
              <w:t>naložbene intervencije, ki imajo jasne okoljske namene ali se izvajajo</w:t>
            </w:r>
            <w:r w:rsidRPr="00B7760C">
              <w:t xml:space="preserve"> v povezavi z dejavnostmi za obnovitev.</w:t>
            </w:r>
          </w:p>
        </w:tc>
        <w:tc>
          <w:tcPr>
            <w:tcW w:w="4876" w:type="dxa"/>
            <w:hideMark/>
          </w:tcPr>
          <w:p w14:paraId="7735D750" w14:textId="77777777" w:rsidR="003663AF" w:rsidRPr="00B7760C" w:rsidRDefault="003663AF" w:rsidP="00E804B7">
            <w:pPr>
              <w:pStyle w:val="Normal6"/>
              <w:rPr>
                <w:szCs w:val="24"/>
              </w:rPr>
            </w:pPr>
            <w:r w:rsidRPr="00B7760C">
              <w:t xml:space="preserve">Države članice se lahko odločijo, da </w:t>
            </w:r>
            <w:r w:rsidRPr="00B7760C">
              <w:rPr>
                <w:b/>
                <w:i/>
              </w:rPr>
              <w:t>meril</w:t>
            </w:r>
            <w:r w:rsidRPr="00B7760C">
              <w:t xml:space="preserve"> za izbor ne uporabljajo za </w:t>
            </w:r>
            <w:r w:rsidRPr="00B7760C">
              <w:rPr>
                <w:b/>
                <w:i/>
              </w:rPr>
              <w:t>naložbe</w:t>
            </w:r>
            <w:r w:rsidRPr="00B7760C">
              <w:t xml:space="preserve"> v povezavi z dejavnostmi za obnovitev</w:t>
            </w:r>
            <w:r w:rsidRPr="00B7760C">
              <w:rPr>
                <w:b/>
                <w:i/>
              </w:rPr>
              <w:t xml:space="preserve"> po katastrofičnih dogodkih</w:t>
            </w:r>
            <w:r w:rsidRPr="00B7760C">
              <w:t>.</w:t>
            </w:r>
          </w:p>
        </w:tc>
      </w:tr>
    </w:tbl>
    <w:p w14:paraId="6B9150D3" w14:textId="77777777" w:rsidR="003663AF" w:rsidRPr="00B7760C" w:rsidRDefault="003663AF" w:rsidP="003663AF"/>
    <w:p w14:paraId="40D693CE" w14:textId="668126AA" w:rsidR="003663AF" w:rsidRPr="00B7760C" w:rsidRDefault="00877691" w:rsidP="003663AF">
      <w:pPr>
        <w:pStyle w:val="AMNumberTabs"/>
        <w:keepNext/>
      </w:pPr>
      <w:r w:rsidRPr="00B7760C">
        <w:t>Sprememba</w:t>
      </w:r>
      <w:r w:rsidR="003663AF" w:rsidRPr="00B7760C">
        <w:tab/>
      </w:r>
      <w:r w:rsidR="003663AF" w:rsidRPr="00B7760C">
        <w:tab/>
        <w:t>516</w:t>
      </w:r>
    </w:p>
    <w:p w14:paraId="02F12812" w14:textId="77777777" w:rsidR="003663AF" w:rsidRPr="00B7760C" w:rsidRDefault="003663AF" w:rsidP="003663AF">
      <w:pPr>
        <w:pStyle w:val="NormalBold12b"/>
      </w:pPr>
      <w:r w:rsidRPr="00B7760C">
        <w:t>Predlog uredbe</w:t>
      </w:r>
    </w:p>
    <w:p w14:paraId="789AF308" w14:textId="77777777" w:rsidR="003663AF" w:rsidRPr="00B7760C" w:rsidRDefault="003663AF" w:rsidP="003663AF">
      <w:pPr>
        <w:pStyle w:val="NormalBold"/>
      </w:pPr>
      <w:r w:rsidRPr="00B7760C">
        <w:t>Člen 73 – odstavek 4</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E9C2FB0" w14:textId="77777777" w:rsidTr="00E804B7">
        <w:trPr>
          <w:jc w:val="center"/>
        </w:trPr>
        <w:tc>
          <w:tcPr>
            <w:tcW w:w="9752" w:type="dxa"/>
            <w:gridSpan w:val="2"/>
          </w:tcPr>
          <w:p w14:paraId="6B6A7876" w14:textId="77777777" w:rsidR="003663AF" w:rsidRPr="00B7760C" w:rsidRDefault="003663AF" w:rsidP="00E804B7">
            <w:pPr>
              <w:keepNext/>
            </w:pPr>
          </w:p>
        </w:tc>
      </w:tr>
      <w:tr w:rsidR="003663AF" w:rsidRPr="00B7760C" w14:paraId="6BDE3986" w14:textId="77777777" w:rsidTr="00E804B7">
        <w:trPr>
          <w:jc w:val="center"/>
        </w:trPr>
        <w:tc>
          <w:tcPr>
            <w:tcW w:w="4876" w:type="dxa"/>
            <w:hideMark/>
          </w:tcPr>
          <w:p w14:paraId="78DE77A2" w14:textId="77777777" w:rsidR="003663AF" w:rsidRPr="00B7760C" w:rsidRDefault="003663AF" w:rsidP="00E804B7">
            <w:pPr>
              <w:pStyle w:val="ColumnHeading"/>
              <w:keepNext/>
            </w:pPr>
            <w:r w:rsidRPr="00B7760C">
              <w:t>Besedilo, ki ga predlaga Komisija</w:t>
            </w:r>
          </w:p>
        </w:tc>
        <w:tc>
          <w:tcPr>
            <w:tcW w:w="4876" w:type="dxa"/>
            <w:hideMark/>
          </w:tcPr>
          <w:p w14:paraId="09A07612" w14:textId="03B53190" w:rsidR="003663AF" w:rsidRPr="00B7760C" w:rsidRDefault="00877691" w:rsidP="00E804B7">
            <w:pPr>
              <w:pStyle w:val="ColumnHeading"/>
              <w:keepNext/>
            </w:pPr>
            <w:r w:rsidRPr="00B7760C">
              <w:t>Sprememba</w:t>
            </w:r>
          </w:p>
        </w:tc>
      </w:tr>
      <w:tr w:rsidR="003663AF" w:rsidRPr="00B7760C" w14:paraId="083D9309" w14:textId="77777777" w:rsidTr="00E804B7">
        <w:trPr>
          <w:jc w:val="center"/>
        </w:trPr>
        <w:tc>
          <w:tcPr>
            <w:tcW w:w="4876" w:type="dxa"/>
            <w:hideMark/>
          </w:tcPr>
          <w:p w14:paraId="4751B13B" w14:textId="77777777" w:rsidR="003663AF" w:rsidRPr="00B7760C" w:rsidRDefault="003663AF" w:rsidP="00E804B7">
            <w:pPr>
              <w:pStyle w:val="Normal6"/>
            </w:pPr>
            <w:r w:rsidRPr="00B7760C">
              <w:rPr>
                <w:b/>
                <w:i/>
              </w:rPr>
              <w:t>4.</w:t>
            </w:r>
            <w:r w:rsidRPr="00B7760C">
              <w:rPr>
                <w:b/>
                <w:i/>
              </w:rPr>
              <w:tab/>
              <w:t>Merila za izbor se ne smejo opredeliti za operacije, ki so prejele pečat odličnosti v okviru programa Obzorje 2020 ali Obzorje Evropa ali so bile izbrane v okviru programa Life+, pod pogojem, da so skladne s strateškim načrtom SKP.</w:t>
            </w:r>
          </w:p>
        </w:tc>
        <w:tc>
          <w:tcPr>
            <w:tcW w:w="4876" w:type="dxa"/>
            <w:hideMark/>
          </w:tcPr>
          <w:p w14:paraId="2408FF79" w14:textId="77777777" w:rsidR="003663AF" w:rsidRPr="00B7760C" w:rsidRDefault="003663AF" w:rsidP="00E804B7">
            <w:pPr>
              <w:pStyle w:val="Normal6"/>
              <w:rPr>
                <w:szCs w:val="24"/>
              </w:rPr>
            </w:pPr>
            <w:r w:rsidRPr="00B7760C">
              <w:rPr>
                <w:b/>
                <w:i/>
              </w:rPr>
              <w:t>črtano</w:t>
            </w:r>
          </w:p>
        </w:tc>
      </w:tr>
    </w:tbl>
    <w:p w14:paraId="3D3E7E16" w14:textId="4744C197" w:rsidR="003663AF" w:rsidRPr="00B7760C" w:rsidRDefault="003663AF" w:rsidP="003663AF"/>
    <w:p w14:paraId="742EBBD9" w14:textId="347700A2" w:rsidR="001F4F12" w:rsidRPr="00B7760C" w:rsidRDefault="001F4F12" w:rsidP="001F4F12">
      <w:pPr>
        <w:pStyle w:val="AmNumberTabs0"/>
      </w:pPr>
      <w:r w:rsidRPr="00B7760C">
        <w:t>Sprememba</w:t>
      </w:r>
      <w:r w:rsidRPr="00B7760C">
        <w:tab/>
        <w:t>1173</w:t>
      </w:r>
    </w:p>
    <w:p w14:paraId="3FE960B4" w14:textId="77777777" w:rsidR="001F4F12" w:rsidRPr="00B7760C" w:rsidRDefault="001F4F12" w:rsidP="001F4F12">
      <w:pPr>
        <w:pStyle w:val="NormalBold12b"/>
      </w:pPr>
      <w:r w:rsidRPr="00B7760C">
        <w:t>Predlog uredbe</w:t>
      </w:r>
    </w:p>
    <w:p w14:paraId="772FB061" w14:textId="77777777" w:rsidR="001F4F12" w:rsidRPr="00B7760C" w:rsidRDefault="001F4F12" w:rsidP="001F4F12">
      <w:pPr>
        <w:pStyle w:val="NormalBold"/>
      </w:pPr>
      <w:r w:rsidRPr="00B7760C">
        <w:t>Člen 73 – odstavek 5</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F4F12" w:rsidRPr="00B7760C" w14:paraId="232C1D5B" w14:textId="77777777" w:rsidTr="005847CC">
        <w:trPr>
          <w:trHeight w:hRule="exact" w:val="240"/>
          <w:jc w:val="center"/>
        </w:trPr>
        <w:tc>
          <w:tcPr>
            <w:tcW w:w="9752" w:type="dxa"/>
            <w:gridSpan w:val="2"/>
          </w:tcPr>
          <w:p w14:paraId="7B8E7504" w14:textId="77777777" w:rsidR="001F4F12" w:rsidRPr="00B7760C" w:rsidRDefault="001F4F12" w:rsidP="005847CC"/>
        </w:tc>
      </w:tr>
      <w:tr w:rsidR="001F4F12" w:rsidRPr="00B7760C" w14:paraId="3856B239" w14:textId="77777777" w:rsidTr="005847CC">
        <w:trPr>
          <w:trHeight w:val="240"/>
          <w:jc w:val="center"/>
        </w:trPr>
        <w:tc>
          <w:tcPr>
            <w:tcW w:w="4876" w:type="dxa"/>
          </w:tcPr>
          <w:p w14:paraId="6E6EEC1F" w14:textId="77777777" w:rsidR="001F4F12" w:rsidRPr="00B7760C" w:rsidRDefault="001F4F12" w:rsidP="005847CC">
            <w:pPr>
              <w:pStyle w:val="AmColumnHeading"/>
            </w:pPr>
            <w:r w:rsidRPr="00B7760C">
              <w:t>Besedilo, ki ga predlaga Komisija</w:t>
            </w:r>
          </w:p>
        </w:tc>
        <w:tc>
          <w:tcPr>
            <w:tcW w:w="4876" w:type="dxa"/>
          </w:tcPr>
          <w:p w14:paraId="306546B7" w14:textId="64B74426" w:rsidR="001F4F12" w:rsidRPr="00B7760C" w:rsidRDefault="001F4F12" w:rsidP="005847CC">
            <w:pPr>
              <w:pStyle w:val="AmColumnHeading"/>
            </w:pPr>
            <w:r w:rsidRPr="00B7760C">
              <w:t>Sprememba</w:t>
            </w:r>
          </w:p>
        </w:tc>
      </w:tr>
      <w:tr w:rsidR="001F4F12" w:rsidRPr="00B7760C" w14:paraId="47FC0B99" w14:textId="77777777" w:rsidTr="005847CC">
        <w:trPr>
          <w:jc w:val="center"/>
        </w:trPr>
        <w:tc>
          <w:tcPr>
            <w:tcW w:w="4876" w:type="dxa"/>
          </w:tcPr>
          <w:p w14:paraId="71000314" w14:textId="77777777" w:rsidR="001F4F12" w:rsidRPr="00B7760C" w:rsidRDefault="001F4F12" w:rsidP="005847CC">
            <w:pPr>
              <w:pStyle w:val="Normal6a"/>
            </w:pPr>
            <w:r w:rsidRPr="00B7760C">
              <w:t>5.</w:t>
            </w:r>
            <w:r w:rsidRPr="00B7760C">
              <w:tab/>
              <w:t>Operacije se ne izberejo za podporo, če so bile fizično dokončane ali v celoti izvedene, preden je bil pri organu upravljanja vložen zahtevek za financiranje v okviru strateškega načrta SKP, ne glede na to, ali so bila vsa povezana plačila opravljena.</w:t>
            </w:r>
          </w:p>
        </w:tc>
        <w:tc>
          <w:tcPr>
            <w:tcW w:w="4876" w:type="dxa"/>
          </w:tcPr>
          <w:p w14:paraId="28831652" w14:textId="77777777" w:rsidR="001F4F12" w:rsidRPr="00B7760C" w:rsidRDefault="001F4F12" w:rsidP="005847CC">
            <w:pPr>
              <w:pStyle w:val="Normal6a"/>
            </w:pPr>
            <w:r w:rsidRPr="00B7760C">
              <w:t>5.</w:t>
            </w:r>
            <w:r w:rsidRPr="00B7760C">
              <w:tab/>
              <w:t>Operacije se ne izberejo za podporo, če so bile fizično dokončane ali v celoti izvedene, preden je bil pri organu upravljanja vložen zahtevek za financiranje v okviru strateškega načrta SKP, ne glede na to, ali so bila vsa povezana plačila opravljena.</w:t>
            </w:r>
          </w:p>
        </w:tc>
      </w:tr>
      <w:tr w:rsidR="001F4F12" w:rsidRPr="00B7760C" w14:paraId="326E9022" w14:textId="77777777" w:rsidTr="005847CC">
        <w:trPr>
          <w:jc w:val="center"/>
        </w:trPr>
        <w:tc>
          <w:tcPr>
            <w:tcW w:w="4876" w:type="dxa"/>
          </w:tcPr>
          <w:p w14:paraId="2B55D52F" w14:textId="77777777" w:rsidR="001F4F12" w:rsidRPr="00B7760C" w:rsidRDefault="001F4F12" w:rsidP="005847CC">
            <w:pPr>
              <w:pStyle w:val="Normal6a"/>
            </w:pPr>
          </w:p>
        </w:tc>
        <w:tc>
          <w:tcPr>
            <w:tcW w:w="4876" w:type="dxa"/>
          </w:tcPr>
          <w:p w14:paraId="16E0356F" w14:textId="145B0D51" w:rsidR="001F4F12" w:rsidRPr="00B7760C" w:rsidRDefault="001F4F12" w:rsidP="005847CC">
            <w:pPr>
              <w:pStyle w:val="Normal6a"/>
            </w:pPr>
            <w:r w:rsidRPr="00B7760C">
              <w:rPr>
                <w:b/>
                <w:i/>
              </w:rPr>
              <w:t>Z odstopanjem od prvega pododstavka se za podporo lahko izberejo tudi operacije, povezane z zgodnjo oskrbo nasadov in oskrbo mladih nasadov z ekološkimi, zaščitnimi in rekreacijskimi cilji, ki so bile fizično dokončane, preden je bil pri organu vložen zahtevek za financiranje.</w:t>
            </w:r>
          </w:p>
        </w:tc>
      </w:tr>
      <w:tr w:rsidR="001F4F12" w:rsidRPr="00B7760C" w14:paraId="7995738E" w14:textId="77777777" w:rsidTr="005847CC">
        <w:trPr>
          <w:jc w:val="center"/>
        </w:trPr>
        <w:tc>
          <w:tcPr>
            <w:tcW w:w="4876" w:type="dxa"/>
          </w:tcPr>
          <w:p w14:paraId="569C33A7" w14:textId="77777777" w:rsidR="001F4F12" w:rsidRPr="00B7760C" w:rsidRDefault="001F4F12" w:rsidP="005847CC">
            <w:pPr>
              <w:pStyle w:val="Normal6a"/>
            </w:pPr>
          </w:p>
        </w:tc>
        <w:tc>
          <w:tcPr>
            <w:tcW w:w="4876" w:type="dxa"/>
          </w:tcPr>
          <w:p w14:paraId="41767C90" w14:textId="77777777" w:rsidR="001F4F12" w:rsidRPr="00B7760C" w:rsidRDefault="001F4F12" w:rsidP="005847CC">
            <w:pPr>
              <w:pStyle w:val="Normal6a"/>
            </w:pPr>
            <w:r w:rsidRPr="00B7760C">
              <w:rPr>
                <w:b/>
                <w:i/>
              </w:rPr>
              <w:t>Pri takih operacijah se ne zahteva, da imajo spodbujevalen učinek, oziroma šteje, da imajo spodbujevalni učinek, če:</w:t>
            </w:r>
          </w:p>
        </w:tc>
      </w:tr>
      <w:tr w:rsidR="001F4F12" w:rsidRPr="00B7760C" w14:paraId="5D764455" w14:textId="77777777" w:rsidTr="005847CC">
        <w:trPr>
          <w:jc w:val="center"/>
        </w:trPr>
        <w:tc>
          <w:tcPr>
            <w:tcW w:w="4876" w:type="dxa"/>
          </w:tcPr>
          <w:p w14:paraId="757F0738" w14:textId="77777777" w:rsidR="001F4F12" w:rsidRPr="00B7760C" w:rsidRDefault="001F4F12" w:rsidP="005847CC">
            <w:pPr>
              <w:pStyle w:val="Normal6a"/>
            </w:pPr>
          </w:p>
        </w:tc>
        <w:tc>
          <w:tcPr>
            <w:tcW w:w="4876" w:type="dxa"/>
          </w:tcPr>
          <w:p w14:paraId="2544DA45" w14:textId="6837B426" w:rsidR="001F4F12" w:rsidRPr="00B7760C" w:rsidRDefault="001F4F12" w:rsidP="005847CC">
            <w:pPr>
              <w:pStyle w:val="Normal6a"/>
            </w:pPr>
            <w:r w:rsidRPr="00B7760C">
              <w:rPr>
                <w:b/>
                <w:i/>
              </w:rPr>
              <w:t xml:space="preserve">(i) </w:t>
            </w:r>
            <w:r w:rsidR="005847CC" w:rsidRPr="00B7760C">
              <w:rPr>
                <w:b/>
                <w:i/>
              </w:rPr>
              <w:tab/>
            </w:r>
            <w:r w:rsidRPr="00B7760C">
              <w:rPr>
                <w:b/>
                <w:i/>
              </w:rPr>
              <w:t>shema pomoči vzpostavlja pravico do pomoči v skladu z objektivnimi merili, ne da bi se država članica dodatno odločala po lastnem preudarku; je pogoj za odobritev pomoči ta, da razpoložljivi proračun za shemo pomoči ni izčrpan;</w:t>
            </w:r>
          </w:p>
        </w:tc>
      </w:tr>
      <w:tr w:rsidR="001F4F12" w:rsidRPr="00B7760C" w14:paraId="4A5A9767" w14:textId="77777777" w:rsidTr="005847CC">
        <w:trPr>
          <w:jc w:val="center"/>
        </w:trPr>
        <w:tc>
          <w:tcPr>
            <w:tcW w:w="4876" w:type="dxa"/>
          </w:tcPr>
          <w:p w14:paraId="1D2864B8" w14:textId="77777777" w:rsidR="001F4F12" w:rsidRPr="00B7760C" w:rsidRDefault="001F4F12" w:rsidP="005847CC">
            <w:pPr>
              <w:pStyle w:val="Normal6a"/>
            </w:pPr>
          </w:p>
        </w:tc>
        <w:tc>
          <w:tcPr>
            <w:tcW w:w="4876" w:type="dxa"/>
          </w:tcPr>
          <w:p w14:paraId="31ACB9A4" w14:textId="3C071542" w:rsidR="001F4F12" w:rsidRPr="00B7760C" w:rsidRDefault="001F4F12" w:rsidP="005847CC">
            <w:pPr>
              <w:pStyle w:val="Normal6a"/>
            </w:pPr>
            <w:r w:rsidRPr="00B7760C">
              <w:rPr>
                <w:b/>
                <w:i/>
              </w:rPr>
              <w:t xml:space="preserve">(ii) </w:t>
            </w:r>
            <w:r w:rsidR="005847CC" w:rsidRPr="00B7760C">
              <w:rPr>
                <w:b/>
                <w:i/>
              </w:rPr>
              <w:tab/>
            </w:r>
            <w:r w:rsidRPr="00B7760C">
              <w:rPr>
                <w:b/>
                <w:i/>
              </w:rPr>
              <w:t>se shema pomoči sprejme in začne veljati, še preden ima upravičenec upravičene stroške,</w:t>
            </w:r>
          </w:p>
        </w:tc>
      </w:tr>
      <w:tr w:rsidR="001F4F12" w:rsidRPr="00B7760C" w14:paraId="1634F1E3" w14:textId="77777777" w:rsidTr="005847CC">
        <w:trPr>
          <w:jc w:val="center"/>
        </w:trPr>
        <w:tc>
          <w:tcPr>
            <w:tcW w:w="4876" w:type="dxa"/>
          </w:tcPr>
          <w:p w14:paraId="106F278F" w14:textId="77777777" w:rsidR="001F4F12" w:rsidRPr="00B7760C" w:rsidRDefault="001F4F12" w:rsidP="005847CC">
            <w:pPr>
              <w:pStyle w:val="Normal6a"/>
            </w:pPr>
          </w:p>
        </w:tc>
        <w:tc>
          <w:tcPr>
            <w:tcW w:w="4876" w:type="dxa"/>
          </w:tcPr>
          <w:p w14:paraId="134D43F6" w14:textId="76C75DB0" w:rsidR="001F4F12" w:rsidRPr="00B7760C" w:rsidRDefault="001F4F12" w:rsidP="005847CC">
            <w:pPr>
              <w:pStyle w:val="Normal6a"/>
            </w:pPr>
            <w:r w:rsidRPr="00B7760C">
              <w:rPr>
                <w:b/>
                <w:i/>
              </w:rPr>
              <w:t xml:space="preserve">(iii) </w:t>
            </w:r>
            <w:r w:rsidR="005847CC" w:rsidRPr="00B7760C">
              <w:rPr>
                <w:b/>
                <w:i/>
              </w:rPr>
              <w:tab/>
            </w:r>
            <w:r w:rsidRPr="00B7760C">
              <w:rPr>
                <w:b/>
                <w:i/>
              </w:rPr>
              <w:t>shema pomoči zajema samo lokacije, kjer se vzpostavi nov gozd v skladu z nacionalno zakonodajo in ko je o tem uradno obveščen pristojni organ; ter</w:t>
            </w:r>
          </w:p>
        </w:tc>
      </w:tr>
      <w:tr w:rsidR="001F4F12" w:rsidRPr="00B7760C" w14:paraId="0B507DFE" w14:textId="77777777" w:rsidTr="005847CC">
        <w:trPr>
          <w:jc w:val="center"/>
        </w:trPr>
        <w:tc>
          <w:tcPr>
            <w:tcW w:w="4876" w:type="dxa"/>
          </w:tcPr>
          <w:p w14:paraId="083049D1" w14:textId="77777777" w:rsidR="001F4F12" w:rsidRPr="00B7760C" w:rsidRDefault="001F4F12" w:rsidP="005847CC">
            <w:pPr>
              <w:pStyle w:val="Normal6a"/>
            </w:pPr>
          </w:p>
        </w:tc>
        <w:tc>
          <w:tcPr>
            <w:tcW w:w="4876" w:type="dxa"/>
          </w:tcPr>
          <w:p w14:paraId="3F8C7AD1" w14:textId="59622B89" w:rsidR="001F4F12" w:rsidRPr="00B7760C" w:rsidRDefault="001F4F12" w:rsidP="005847CC">
            <w:pPr>
              <w:pStyle w:val="Normal6a"/>
            </w:pPr>
            <w:r w:rsidRPr="00B7760C">
              <w:rPr>
                <w:b/>
                <w:i/>
              </w:rPr>
              <w:t xml:space="preserve">(iv) </w:t>
            </w:r>
            <w:r w:rsidR="005847CC" w:rsidRPr="00B7760C">
              <w:rPr>
                <w:b/>
                <w:i/>
              </w:rPr>
              <w:tab/>
            </w:r>
            <w:r w:rsidRPr="00B7760C">
              <w:rPr>
                <w:b/>
                <w:i/>
              </w:rPr>
              <w:t>shema pomoči zajema samo ukrepe, ki temeljijo na načrtih za gospodarjenje z gozdovi ali enakovrednih načrtih.</w:t>
            </w:r>
          </w:p>
        </w:tc>
      </w:tr>
    </w:tbl>
    <w:p w14:paraId="33C3A8C7" w14:textId="77777777" w:rsidR="001F4F12" w:rsidRPr="00B7760C" w:rsidRDefault="001F4F12" w:rsidP="003663AF"/>
    <w:p w14:paraId="2177E637" w14:textId="593B00B5" w:rsidR="003663AF" w:rsidRPr="00B7760C" w:rsidRDefault="00877691" w:rsidP="003663AF">
      <w:pPr>
        <w:pStyle w:val="AMNumberTabs"/>
        <w:keepNext/>
      </w:pPr>
      <w:r w:rsidRPr="00B7760C">
        <w:t>Sprememba</w:t>
      </w:r>
      <w:r w:rsidR="003663AF" w:rsidRPr="00B7760C">
        <w:tab/>
      </w:r>
      <w:r w:rsidR="003663AF" w:rsidRPr="00B7760C">
        <w:tab/>
        <w:t>517</w:t>
      </w:r>
    </w:p>
    <w:p w14:paraId="0FC785C1" w14:textId="77777777" w:rsidR="003663AF" w:rsidRPr="00B7760C" w:rsidRDefault="003663AF" w:rsidP="003663AF">
      <w:pPr>
        <w:pStyle w:val="NormalBold12b"/>
      </w:pPr>
      <w:r w:rsidRPr="00B7760C">
        <w:t>Predlog uredbe</w:t>
      </w:r>
    </w:p>
    <w:p w14:paraId="7462F24F" w14:textId="77777777" w:rsidR="003663AF" w:rsidRPr="00B7760C" w:rsidRDefault="003663AF" w:rsidP="003663AF">
      <w:pPr>
        <w:pStyle w:val="NormalBold"/>
      </w:pPr>
      <w:r w:rsidRPr="00B7760C">
        <w:t>Člen 74 – odstavek 5 – pododstavek 1 a (novo)</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F1F71FF" w14:textId="77777777" w:rsidTr="00E804B7">
        <w:trPr>
          <w:jc w:val="center"/>
        </w:trPr>
        <w:tc>
          <w:tcPr>
            <w:tcW w:w="9752" w:type="dxa"/>
            <w:gridSpan w:val="2"/>
          </w:tcPr>
          <w:p w14:paraId="12F6BF8E" w14:textId="77777777" w:rsidR="003663AF" w:rsidRPr="00B7760C" w:rsidRDefault="003663AF" w:rsidP="00E804B7">
            <w:pPr>
              <w:keepNext/>
            </w:pPr>
          </w:p>
        </w:tc>
      </w:tr>
      <w:tr w:rsidR="003663AF" w:rsidRPr="00B7760C" w14:paraId="27C1E7DA" w14:textId="77777777" w:rsidTr="00E804B7">
        <w:trPr>
          <w:jc w:val="center"/>
        </w:trPr>
        <w:tc>
          <w:tcPr>
            <w:tcW w:w="4876" w:type="dxa"/>
            <w:hideMark/>
          </w:tcPr>
          <w:p w14:paraId="1464FB16" w14:textId="77777777" w:rsidR="003663AF" w:rsidRPr="00B7760C" w:rsidRDefault="003663AF" w:rsidP="00E804B7">
            <w:pPr>
              <w:pStyle w:val="ColumnHeading"/>
              <w:keepNext/>
            </w:pPr>
            <w:r w:rsidRPr="00B7760C">
              <w:t>Besedilo, ki ga predlaga Komisija</w:t>
            </w:r>
          </w:p>
        </w:tc>
        <w:tc>
          <w:tcPr>
            <w:tcW w:w="4876" w:type="dxa"/>
            <w:hideMark/>
          </w:tcPr>
          <w:p w14:paraId="01013E5B" w14:textId="4796FDB7" w:rsidR="003663AF" w:rsidRPr="00B7760C" w:rsidRDefault="00877691" w:rsidP="00E804B7">
            <w:pPr>
              <w:pStyle w:val="ColumnHeading"/>
              <w:keepNext/>
            </w:pPr>
            <w:r w:rsidRPr="00B7760C">
              <w:t>Sprememba</w:t>
            </w:r>
          </w:p>
        </w:tc>
      </w:tr>
      <w:tr w:rsidR="003663AF" w:rsidRPr="00B7760C" w14:paraId="35E91D01" w14:textId="77777777" w:rsidTr="00E804B7">
        <w:trPr>
          <w:jc w:val="center"/>
        </w:trPr>
        <w:tc>
          <w:tcPr>
            <w:tcW w:w="4876" w:type="dxa"/>
            <w:hideMark/>
          </w:tcPr>
          <w:p w14:paraId="54E851EA" w14:textId="77777777" w:rsidR="003663AF" w:rsidRPr="00B7760C" w:rsidRDefault="003663AF" w:rsidP="00E804B7">
            <w:pPr>
              <w:pStyle w:val="Normal6"/>
            </w:pPr>
          </w:p>
        </w:tc>
        <w:tc>
          <w:tcPr>
            <w:tcW w:w="4876" w:type="dxa"/>
            <w:hideMark/>
          </w:tcPr>
          <w:p w14:paraId="6F9B5A6E" w14:textId="77777777" w:rsidR="003663AF" w:rsidRPr="00B7760C" w:rsidRDefault="003663AF" w:rsidP="00E804B7">
            <w:pPr>
              <w:pStyle w:val="Normal6"/>
              <w:rPr>
                <w:szCs w:val="24"/>
              </w:rPr>
            </w:pPr>
            <w:r w:rsidRPr="00B7760C">
              <w:rPr>
                <w:b/>
                <w:i/>
              </w:rPr>
              <w:t>Kadar kmete prizadenejo hude podnebne razmere in/ali kriza na trgu, so lahko plačila iz točke (a) zajamčena z obratnim kapitalom.</w:t>
            </w:r>
          </w:p>
        </w:tc>
      </w:tr>
    </w:tbl>
    <w:p w14:paraId="4B0A90B2" w14:textId="77777777" w:rsidR="003663AF" w:rsidRPr="00B7760C" w:rsidRDefault="003663AF" w:rsidP="003663AF"/>
    <w:p w14:paraId="6F5DD4A1" w14:textId="069026C8" w:rsidR="003663AF" w:rsidRPr="00B7760C" w:rsidRDefault="00877691" w:rsidP="003663AF">
      <w:pPr>
        <w:pStyle w:val="AMNumberTabs"/>
        <w:keepNext/>
      </w:pPr>
      <w:r w:rsidRPr="00B7760C">
        <w:t>Sprememba</w:t>
      </w:r>
      <w:r w:rsidR="003663AF" w:rsidRPr="00B7760C">
        <w:tab/>
      </w:r>
      <w:r w:rsidR="003663AF" w:rsidRPr="00B7760C">
        <w:tab/>
        <w:t>518</w:t>
      </w:r>
    </w:p>
    <w:p w14:paraId="7DB307C4" w14:textId="77777777" w:rsidR="003663AF" w:rsidRPr="00B7760C" w:rsidRDefault="003663AF" w:rsidP="003663AF">
      <w:pPr>
        <w:pStyle w:val="NormalBold12b"/>
      </w:pPr>
      <w:r w:rsidRPr="00B7760C">
        <w:t>Predlog uredbe</w:t>
      </w:r>
    </w:p>
    <w:p w14:paraId="583DDDF7" w14:textId="77777777" w:rsidR="003663AF" w:rsidRPr="00B7760C" w:rsidRDefault="003663AF" w:rsidP="003663AF">
      <w:pPr>
        <w:pStyle w:val="NormalBold"/>
      </w:pPr>
      <w:r w:rsidRPr="00B7760C">
        <w:t>Člen 74 – odstavek 5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E72968D" w14:textId="77777777" w:rsidTr="00E804B7">
        <w:trPr>
          <w:jc w:val="center"/>
        </w:trPr>
        <w:tc>
          <w:tcPr>
            <w:tcW w:w="9752" w:type="dxa"/>
            <w:gridSpan w:val="2"/>
          </w:tcPr>
          <w:p w14:paraId="58793EFF" w14:textId="77777777" w:rsidR="003663AF" w:rsidRPr="00B7760C" w:rsidRDefault="003663AF" w:rsidP="00E804B7">
            <w:pPr>
              <w:keepNext/>
            </w:pPr>
          </w:p>
        </w:tc>
      </w:tr>
      <w:tr w:rsidR="003663AF" w:rsidRPr="00B7760C" w14:paraId="55D3CC2F" w14:textId="77777777" w:rsidTr="00E804B7">
        <w:trPr>
          <w:jc w:val="center"/>
        </w:trPr>
        <w:tc>
          <w:tcPr>
            <w:tcW w:w="4876" w:type="dxa"/>
            <w:hideMark/>
          </w:tcPr>
          <w:p w14:paraId="4D0677DD" w14:textId="77777777" w:rsidR="003663AF" w:rsidRPr="00B7760C" w:rsidRDefault="003663AF" w:rsidP="00E804B7">
            <w:pPr>
              <w:pStyle w:val="ColumnHeading"/>
              <w:keepNext/>
            </w:pPr>
            <w:r w:rsidRPr="00B7760C">
              <w:t>Besedilo, ki ga predlaga Komisija</w:t>
            </w:r>
          </w:p>
        </w:tc>
        <w:tc>
          <w:tcPr>
            <w:tcW w:w="4876" w:type="dxa"/>
            <w:hideMark/>
          </w:tcPr>
          <w:p w14:paraId="0C312E8F" w14:textId="632C7D34" w:rsidR="003663AF" w:rsidRPr="00B7760C" w:rsidRDefault="00877691" w:rsidP="00E804B7">
            <w:pPr>
              <w:pStyle w:val="ColumnHeading"/>
              <w:keepNext/>
            </w:pPr>
            <w:r w:rsidRPr="00B7760C">
              <w:t>Sprememba</w:t>
            </w:r>
          </w:p>
        </w:tc>
      </w:tr>
      <w:tr w:rsidR="003663AF" w:rsidRPr="00B7760C" w14:paraId="3FBD9A50" w14:textId="77777777" w:rsidTr="00E804B7">
        <w:trPr>
          <w:jc w:val="center"/>
        </w:trPr>
        <w:tc>
          <w:tcPr>
            <w:tcW w:w="4876" w:type="dxa"/>
          </w:tcPr>
          <w:p w14:paraId="394D15AB" w14:textId="77777777" w:rsidR="003663AF" w:rsidRPr="00B7760C" w:rsidRDefault="003663AF" w:rsidP="00E804B7">
            <w:pPr>
              <w:pStyle w:val="Normal6"/>
            </w:pPr>
          </w:p>
        </w:tc>
        <w:tc>
          <w:tcPr>
            <w:tcW w:w="4876" w:type="dxa"/>
            <w:hideMark/>
          </w:tcPr>
          <w:p w14:paraId="5D451EDB" w14:textId="77777777" w:rsidR="003663AF" w:rsidRPr="00B7760C" w:rsidRDefault="003663AF" w:rsidP="00E804B7">
            <w:pPr>
              <w:pStyle w:val="Normal6"/>
              <w:rPr>
                <w:szCs w:val="24"/>
              </w:rPr>
            </w:pPr>
            <w:r w:rsidRPr="00B7760C">
              <w:rPr>
                <w:b/>
                <w:i/>
              </w:rPr>
              <w:t>5a.</w:t>
            </w:r>
            <w:r w:rsidRPr="00B7760C">
              <w:rPr>
                <w:b/>
                <w:i/>
              </w:rPr>
              <w:tab/>
              <w:t>Kadar se sredstva iz tega člena ne uporabijo ali vrnejo iz finančnega instrumenta, jih je treba ohraniti za uporabo v delu strateškega načrta SKP za razvoj podeželja.</w:t>
            </w:r>
          </w:p>
        </w:tc>
      </w:tr>
    </w:tbl>
    <w:p w14:paraId="67D5D856" w14:textId="77777777" w:rsidR="003663AF" w:rsidRPr="00B7760C" w:rsidRDefault="003663AF" w:rsidP="003663AF"/>
    <w:p w14:paraId="11D93CF4" w14:textId="3CCC16B9" w:rsidR="003663AF" w:rsidRPr="00B7760C" w:rsidRDefault="00877691" w:rsidP="003663AF">
      <w:pPr>
        <w:pStyle w:val="AMNumberTabs"/>
        <w:keepNext/>
      </w:pPr>
      <w:r w:rsidRPr="00B7760C">
        <w:t>Sprememba</w:t>
      </w:r>
      <w:r w:rsidR="003663AF" w:rsidRPr="00B7760C">
        <w:tab/>
      </w:r>
      <w:r w:rsidR="003663AF" w:rsidRPr="00B7760C">
        <w:tab/>
        <w:t>519</w:t>
      </w:r>
    </w:p>
    <w:p w14:paraId="56040AB8" w14:textId="77777777" w:rsidR="003663AF" w:rsidRPr="00B7760C" w:rsidRDefault="003663AF" w:rsidP="003663AF">
      <w:pPr>
        <w:pStyle w:val="NormalBold12b"/>
      </w:pPr>
      <w:r w:rsidRPr="00B7760C">
        <w:t>Predlog uredbe</w:t>
      </w:r>
    </w:p>
    <w:p w14:paraId="741C29E1" w14:textId="77777777" w:rsidR="003663AF" w:rsidRPr="00B7760C" w:rsidRDefault="003663AF" w:rsidP="003663AF">
      <w:pPr>
        <w:pStyle w:val="NormalBold"/>
      </w:pPr>
      <w:r w:rsidRPr="00B7760C">
        <w:t>Člen 75</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41C6DA9" w14:textId="77777777" w:rsidTr="00E804B7">
        <w:trPr>
          <w:jc w:val="center"/>
        </w:trPr>
        <w:tc>
          <w:tcPr>
            <w:tcW w:w="9752" w:type="dxa"/>
            <w:gridSpan w:val="2"/>
          </w:tcPr>
          <w:p w14:paraId="777F924C" w14:textId="77777777" w:rsidR="003663AF" w:rsidRPr="00B7760C" w:rsidRDefault="003663AF" w:rsidP="00E804B7">
            <w:pPr>
              <w:keepNext/>
            </w:pPr>
          </w:p>
        </w:tc>
      </w:tr>
      <w:tr w:rsidR="003663AF" w:rsidRPr="00B7760C" w14:paraId="7AA68A04" w14:textId="77777777" w:rsidTr="00E804B7">
        <w:trPr>
          <w:jc w:val="center"/>
        </w:trPr>
        <w:tc>
          <w:tcPr>
            <w:tcW w:w="4876" w:type="dxa"/>
            <w:hideMark/>
          </w:tcPr>
          <w:p w14:paraId="01A7D692" w14:textId="77777777" w:rsidR="003663AF" w:rsidRPr="00B7760C" w:rsidRDefault="003663AF" w:rsidP="00E804B7">
            <w:pPr>
              <w:pStyle w:val="ColumnHeading"/>
              <w:keepNext/>
            </w:pPr>
            <w:r w:rsidRPr="00B7760C">
              <w:t>Besedilo, ki ga predlaga Komisija</w:t>
            </w:r>
          </w:p>
        </w:tc>
        <w:tc>
          <w:tcPr>
            <w:tcW w:w="4876" w:type="dxa"/>
            <w:hideMark/>
          </w:tcPr>
          <w:p w14:paraId="1EDF615A" w14:textId="4EB50694" w:rsidR="003663AF" w:rsidRPr="00B7760C" w:rsidRDefault="00877691" w:rsidP="00E804B7">
            <w:pPr>
              <w:pStyle w:val="ColumnHeading"/>
              <w:keepNext/>
            </w:pPr>
            <w:r w:rsidRPr="00B7760C">
              <w:t>Sprememba</w:t>
            </w:r>
          </w:p>
        </w:tc>
      </w:tr>
      <w:tr w:rsidR="003663AF" w:rsidRPr="00B7760C" w14:paraId="60FD298C" w14:textId="77777777" w:rsidTr="00E804B7">
        <w:trPr>
          <w:jc w:val="center"/>
        </w:trPr>
        <w:tc>
          <w:tcPr>
            <w:tcW w:w="4876" w:type="dxa"/>
            <w:hideMark/>
          </w:tcPr>
          <w:p w14:paraId="6209BC5E" w14:textId="77777777" w:rsidR="003663AF" w:rsidRPr="00B7760C" w:rsidRDefault="003663AF" w:rsidP="00E804B7">
            <w:pPr>
              <w:pStyle w:val="Normal6"/>
            </w:pPr>
            <w:r w:rsidRPr="00B7760C">
              <w:rPr>
                <w:b/>
                <w:i/>
              </w:rPr>
              <w:t>[...]</w:t>
            </w:r>
          </w:p>
        </w:tc>
        <w:tc>
          <w:tcPr>
            <w:tcW w:w="4876" w:type="dxa"/>
            <w:hideMark/>
          </w:tcPr>
          <w:p w14:paraId="2A8C3C97" w14:textId="77777777" w:rsidR="003663AF" w:rsidRPr="00B7760C" w:rsidRDefault="003663AF" w:rsidP="00E804B7">
            <w:pPr>
              <w:pStyle w:val="Normal6"/>
              <w:rPr>
                <w:szCs w:val="24"/>
              </w:rPr>
            </w:pPr>
            <w:r w:rsidRPr="00B7760C">
              <w:rPr>
                <w:b/>
                <w:i/>
              </w:rPr>
              <w:t>črtano</w:t>
            </w:r>
          </w:p>
        </w:tc>
      </w:tr>
    </w:tbl>
    <w:p w14:paraId="6B2FBEA4" w14:textId="77777777" w:rsidR="003663AF" w:rsidRPr="00B7760C" w:rsidRDefault="003663AF" w:rsidP="003663AF"/>
    <w:p w14:paraId="21B1912A" w14:textId="11CA30AA" w:rsidR="003663AF" w:rsidRPr="00B7760C" w:rsidRDefault="00877691" w:rsidP="003663AF">
      <w:pPr>
        <w:pStyle w:val="AMNumberTabs"/>
        <w:keepNext/>
      </w:pPr>
      <w:r w:rsidRPr="00B7760C">
        <w:t>Sprememba</w:t>
      </w:r>
      <w:r w:rsidR="003663AF" w:rsidRPr="00B7760C">
        <w:tab/>
      </w:r>
      <w:r w:rsidR="003663AF" w:rsidRPr="00B7760C">
        <w:tab/>
        <w:t>520</w:t>
      </w:r>
    </w:p>
    <w:p w14:paraId="341ACE34" w14:textId="77777777" w:rsidR="003663AF" w:rsidRPr="00B7760C" w:rsidRDefault="003663AF" w:rsidP="003663AF">
      <w:pPr>
        <w:pStyle w:val="NormalBold12b"/>
      </w:pPr>
      <w:r w:rsidRPr="00B7760C">
        <w:t>Predlog uredbe</w:t>
      </w:r>
    </w:p>
    <w:p w14:paraId="0365617C" w14:textId="77777777" w:rsidR="003663AF" w:rsidRPr="00B7760C" w:rsidRDefault="003663AF" w:rsidP="003663AF">
      <w:pPr>
        <w:pStyle w:val="NormalBold"/>
      </w:pPr>
      <w:r w:rsidRPr="00B7760C">
        <w:t>Člen 78 – 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9F1938B" w14:textId="77777777" w:rsidTr="00E804B7">
        <w:trPr>
          <w:jc w:val="center"/>
        </w:trPr>
        <w:tc>
          <w:tcPr>
            <w:tcW w:w="9752" w:type="dxa"/>
            <w:gridSpan w:val="2"/>
          </w:tcPr>
          <w:p w14:paraId="63597530" w14:textId="77777777" w:rsidR="003663AF" w:rsidRPr="00B7760C" w:rsidRDefault="003663AF" w:rsidP="00E804B7">
            <w:pPr>
              <w:keepNext/>
            </w:pPr>
          </w:p>
        </w:tc>
      </w:tr>
      <w:tr w:rsidR="003663AF" w:rsidRPr="00B7760C" w14:paraId="1FEEB487" w14:textId="77777777" w:rsidTr="00E804B7">
        <w:trPr>
          <w:jc w:val="center"/>
        </w:trPr>
        <w:tc>
          <w:tcPr>
            <w:tcW w:w="4876" w:type="dxa"/>
            <w:hideMark/>
          </w:tcPr>
          <w:p w14:paraId="43B624EC" w14:textId="77777777" w:rsidR="003663AF" w:rsidRPr="00B7760C" w:rsidRDefault="003663AF" w:rsidP="00E804B7">
            <w:pPr>
              <w:pStyle w:val="ColumnHeading"/>
              <w:keepNext/>
            </w:pPr>
            <w:r w:rsidRPr="00B7760C">
              <w:t>Besedilo, ki ga predlaga Komisija</w:t>
            </w:r>
          </w:p>
        </w:tc>
        <w:tc>
          <w:tcPr>
            <w:tcW w:w="4876" w:type="dxa"/>
            <w:hideMark/>
          </w:tcPr>
          <w:p w14:paraId="3DB33B17" w14:textId="14B99585" w:rsidR="003663AF" w:rsidRPr="00B7760C" w:rsidRDefault="00877691" w:rsidP="00E804B7">
            <w:pPr>
              <w:pStyle w:val="ColumnHeading"/>
              <w:keepNext/>
            </w:pPr>
            <w:r w:rsidRPr="00B7760C">
              <w:t>Sprememba</w:t>
            </w:r>
          </w:p>
        </w:tc>
      </w:tr>
      <w:tr w:rsidR="003663AF" w:rsidRPr="00B7760C" w14:paraId="74C41187" w14:textId="77777777" w:rsidTr="00E804B7">
        <w:trPr>
          <w:jc w:val="center"/>
        </w:trPr>
        <w:tc>
          <w:tcPr>
            <w:tcW w:w="4876" w:type="dxa"/>
            <w:hideMark/>
          </w:tcPr>
          <w:p w14:paraId="23906A59" w14:textId="77777777" w:rsidR="003663AF" w:rsidRPr="00B7760C" w:rsidRDefault="003663AF" w:rsidP="00E804B7">
            <w:pPr>
              <w:pStyle w:val="Normal6"/>
            </w:pPr>
            <w:r w:rsidRPr="00B7760C">
              <w:t xml:space="preserve">Na Komisijo se prenese pooblastilo za sprejemanje delegiranih aktov v skladu s členom 138 za dopolnitev </w:t>
            </w:r>
            <w:r w:rsidRPr="00B7760C">
              <w:rPr>
                <w:b/>
                <w:i/>
              </w:rPr>
              <w:t>te uredbe z zahtevami poleg zahtev iz tega poglavja</w:t>
            </w:r>
            <w:r w:rsidRPr="00B7760C">
              <w:t xml:space="preserve"> o </w:t>
            </w:r>
            <w:r w:rsidRPr="00B7760C">
              <w:rPr>
                <w:b/>
                <w:i/>
              </w:rPr>
              <w:t>pogojih za odobritev podpore za naslednje vrste intervencij za razvoj podeželja:</w:t>
            </w:r>
          </w:p>
        </w:tc>
        <w:tc>
          <w:tcPr>
            <w:tcW w:w="4876" w:type="dxa"/>
            <w:hideMark/>
          </w:tcPr>
          <w:p w14:paraId="764CA0DC" w14:textId="77777777" w:rsidR="003663AF" w:rsidRPr="00B7760C" w:rsidRDefault="003663AF" w:rsidP="00E804B7">
            <w:pPr>
              <w:pStyle w:val="Normal6"/>
              <w:rPr>
                <w:szCs w:val="24"/>
              </w:rPr>
            </w:pPr>
            <w:r w:rsidRPr="00B7760C">
              <w:t xml:space="preserve">Na Komisijo se prenese pooblastilo za sprejemanje delegiranih aktov v skladu s členom 138 za dopolnitev </w:t>
            </w:r>
            <w:r w:rsidRPr="00B7760C">
              <w:rPr>
                <w:b/>
                <w:i/>
              </w:rPr>
              <w:t>Priloge IXa</w:t>
            </w:r>
            <w:r w:rsidRPr="00B7760C">
              <w:t xml:space="preserve"> o </w:t>
            </w:r>
            <w:r w:rsidRPr="00B7760C">
              <w:rPr>
                <w:b/>
                <w:i/>
              </w:rPr>
              <w:t>najnižjih in najvišjih zgornjih mejah plačil iz tega poglavja</w:t>
            </w:r>
            <w:r w:rsidRPr="00B7760C">
              <w:t>.</w:t>
            </w:r>
          </w:p>
        </w:tc>
      </w:tr>
      <w:tr w:rsidR="003663AF" w:rsidRPr="00B7760C" w14:paraId="7F486C24" w14:textId="77777777" w:rsidTr="00E804B7">
        <w:trPr>
          <w:jc w:val="center"/>
        </w:trPr>
        <w:tc>
          <w:tcPr>
            <w:tcW w:w="4876" w:type="dxa"/>
          </w:tcPr>
          <w:p w14:paraId="20E160C1" w14:textId="77777777" w:rsidR="003663AF" w:rsidRPr="00B7760C" w:rsidRDefault="003663AF" w:rsidP="00E804B7">
            <w:pPr>
              <w:pStyle w:val="Normal6"/>
              <w:rPr>
                <w:b/>
                <w:bCs/>
                <w:i/>
                <w:iCs/>
              </w:rPr>
            </w:pPr>
            <w:r w:rsidRPr="00B7760C">
              <w:rPr>
                <w:b/>
                <w:bCs/>
                <w:i/>
                <w:iCs/>
              </w:rPr>
              <w:t>(a)</w:t>
            </w:r>
            <w:r w:rsidRPr="00B7760C">
              <w:rPr>
                <w:b/>
                <w:bCs/>
                <w:i/>
                <w:iCs/>
              </w:rPr>
              <w:tab/>
              <w:t>upravljavske obveznosti iz člena 65;</w:t>
            </w:r>
          </w:p>
        </w:tc>
        <w:tc>
          <w:tcPr>
            <w:tcW w:w="4876" w:type="dxa"/>
          </w:tcPr>
          <w:p w14:paraId="01499792" w14:textId="77777777" w:rsidR="003663AF" w:rsidRPr="00B7760C" w:rsidRDefault="003663AF" w:rsidP="00E804B7">
            <w:pPr>
              <w:pStyle w:val="Normal6"/>
              <w:rPr>
                <w:b/>
                <w:bCs/>
                <w:i/>
                <w:iCs/>
              </w:rPr>
            </w:pPr>
          </w:p>
        </w:tc>
      </w:tr>
      <w:tr w:rsidR="003663AF" w:rsidRPr="00B7760C" w14:paraId="70D5FC01" w14:textId="77777777" w:rsidTr="00E804B7">
        <w:trPr>
          <w:jc w:val="center"/>
        </w:trPr>
        <w:tc>
          <w:tcPr>
            <w:tcW w:w="4876" w:type="dxa"/>
          </w:tcPr>
          <w:p w14:paraId="18699273" w14:textId="77777777" w:rsidR="003663AF" w:rsidRPr="00B7760C" w:rsidRDefault="003663AF" w:rsidP="00E804B7">
            <w:pPr>
              <w:pStyle w:val="Normal6"/>
              <w:rPr>
                <w:b/>
                <w:bCs/>
                <w:i/>
                <w:iCs/>
              </w:rPr>
            </w:pPr>
            <w:r w:rsidRPr="00B7760C">
              <w:rPr>
                <w:b/>
                <w:bCs/>
                <w:i/>
                <w:iCs/>
              </w:rPr>
              <w:t>(b)</w:t>
            </w:r>
            <w:r w:rsidRPr="00B7760C">
              <w:rPr>
                <w:b/>
                <w:bCs/>
                <w:i/>
                <w:iCs/>
              </w:rPr>
              <w:tab/>
              <w:t>naložbe iz člena 68;</w:t>
            </w:r>
          </w:p>
        </w:tc>
        <w:tc>
          <w:tcPr>
            <w:tcW w:w="4876" w:type="dxa"/>
          </w:tcPr>
          <w:p w14:paraId="2523FE0D" w14:textId="77777777" w:rsidR="003663AF" w:rsidRPr="00B7760C" w:rsidRDefault="003663AF" w:rsidP="00E804B7">
            <w:pPr>
              <w:pStyle w:val="Normal6"/>
              <w:rPr>
                <w:b/>
                <w:bCs/>
                <w:i/>
                <w:iCs/>
              </w:rPr>
            </w:pPr>
          </w:p>
        </w:tc>
      </w:tr>
      <w:tr w:rsidR="003663AF" w:rsidRPr="00B7760C" w14:paraId="74D4AB3F" w14:textId="77777777" w:rsidTr="00E804B7">
        <w:trPr>
          <w:jc w:val="center"/>
        </w:trPr>
        <w:tc>
          <w:tcPr>
            <w:tcW w:w="4876" w:type="dxa"/>
          </w:tcPr>
          <w:p w14:paraId="5C31B6E9" w14:textId="77777777" w:rsidR="003663AF" w:rsidRPr="00B7760C" w:rsidRDefault="003663AF" w:rsidP="00E804B7">
            <w:pPr>
              <w:pStyle w:val="Normal6"/>
              <w:rPr>
                <w:b/>
                <w:bCs/>
                <w:i/>
                <w:iCs/>
              </w:rPr>
            </w:pPr>
            <w:r w:rsidRPr="00B7760C">
              <w:rPr>
                <w:b/>
                <w:bCs/>
                <w:i/>
                <w:iCs/>
              </w:rPr>
              <w:t>(c)</w:t>
            </w:r>
            <w:r w:rsidRPr="00B7760C">
              <w:rPr>
                <w:b/>
                <w:bCs/>
                <w:i/>
                <w:iCs/>
              </w:rPr>
              <w:tab/>
              <w:t>sodelovanje iz člena 71.</w:t>
            </w:r>
          </w:p>
        </w:tc>
        <w:tc>
          <w:tcPr>
            <w:tcW w:w="4876" w:type="dxa"/>
          </w:tcPr>
          <w:p w14:paraId="7A42EEEB" w14:textId="77777777" w:rsidR="003663AF" w:rsidRPr="00B7760C" w:rsidRDefault="003663AF" w:rsidP="00E804B7">
            <w:pPr>
              <w:pStyle w:val="Normal6"/>
              <w:rPr>
                <w:b/>
                <w:bCs/>
                <w:i/>
                <w:iCs/>
              </w:rPr>
            </w:pPr>
          </w:p>
        </w:tc>
      </w:tr>
    </w:tbl>
    <w:p w14:paraId="1DBA9616" w14:textId="77777777" w:rsidR="003663AF" w:rsidRPr="00B7760C" w:rsidRDefault="003663AF" w:rsidP="003663AF"/>
    <w:p w14:paraId="1A1C89C2" w14:textId="2EA9C5CA" w:rsidR="003663AF" w:rsidRPr="00B7760C" w:rsidRDefault="00877691" w:rsidP="003663AF">
      <w:pPr>
        <w:pStyle w:val="AMNumberTabs"/>
        <w:keepNext/>
      </w:pPr>
      <w:r w:rsidRPr="00B7760C">
        <w:t>Sprememba</w:t>
      </w:r>
      <w:r w:rsidR="003663AF" w:rsidRPr="00B7760C">
        <w:tab/>
      </w:r>
      <w:r w:rsidR="003663AF" w:rsidRPr="00B7760C">
        <w:tab/>
        <w:t>521</w:t>
      </w:r>
    </w:p>
    <w:p w14:paraId="53DDA10E" w14:textId="77777777" w:rsidR="003663AF" w:rsidRPr="00B7760C" w:rsidRDefault="003663AF" w:rsidP="003663AF">
      <w:pPr>
        <w:pStyle w:val="NormalBold12b"/>
      </w:pPr>
      <w:r w:rsidRPr="00B7760C">
        <w:t>Predlog uredbe</w:t>
      </w:r>
    </w:p>
    <w:p w14:paraId="78787E29" w14:textId="77777777" w:rsidR="003663AF" w:rsidRPr="00B7760C" w:rsidRDefault="003663AF" w:rsidP="003663AF">
      <w:pPr>
        <w:pStyle w:val="NormalBold"/>
      </w:pPr>
      <w:r w:rsidRPr="00B7760C">
        <w:t>Člen 79 – naslov</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21BFE2E" w14:textId="77777777" w:rsidTr="00E804B7">
        <w:trPr>
          <w:jc w:val="center"/>
        </w:trPr>
        <w:tc>
          <w:tcPr>
            <w:tcW w:w="9752" w:type="dxa"/>
            <w:gridSpan w:val="2"/>
          </w:tcPr>
          <w:p w14:paraId="418CD033" w14:textId="77777777" w:rsidR="003663AF" w:rsidRPr="00B7760C" w:rsidRDefault="003663AF" w:rsidP="00E804B7">
            <w:pPr>
              <w:keepNext/>
            </w:pPr>
          </w:p>
        </w:tc>
      </w:tr>
      <w:tr w:rsidR="003663AF" w:rsidRPr="00B7760C" w14:paraId="530947A3" w14:textId="77777777" w:rsidTr="00E804B7">
        <w:trPr>
          <w:jc w:val="center"/>
        </w:trPr>
        <w:tc>
          <w:tcPr>
            <w:tcW w:w="4876" w:type="dxa"/>
            <w:hideMark/>
          </w:tcPr>
          <w:p w14:paraId="16F319C2" w14:textId="77777777" w:rsidR="003663AF" w:rsidRPr="00B7760C" w:rsidRDefault="003663AF" w:rsidP="00E804B7">
            <w:pPr>
              <w:pStyle w:val="ColumnHeading"/>
              <w:keepNext/>
            </w:pPr>
            <w:r w:rsidRPr="00B7760C">
              <w:t>Besedilo, ki ga predlaga Komisija</w:t>
            </w:r>
          </w:p>
        </w:tc>
        <w:tc>
          <w:tcPr>
            <w:tcW w:w="4876" w:type="dxa"/>
            <w:hideMark/>
          </w:tcPr>
          <w:p w14:paraId="072FE24D" w14:textId="5563E8E3" w:rsidR="003663AF" w:rsidRPr="00B7760C" w:rsidRDefault="00877691" w:rsidP="00E804B7">
            <w:pPr>
              <w:pStyle w:val="ColumnHeading"/>
              <w:keepNext/>
            </w:pPr>
            <w:r w:rsidRPr="00B7760C">
              <w:t>Sprememba</w:t>
            </w:r>
          </w:p>
        </w:tc>
      </w:tr>
      <w:tr w:rsidR="003663AF" w:rsidRPr="00B7760C" w14:paraId="0190AE11" w14:textId="77777777" w:rsidTr="00E804B7">
        <w:trPr>
          <w:jc w:val="center"/>
        </w:trPr>
        <w:tc>
          <w:tcPr>
            <w:tcW w:w="4876" w:type="dxa"/>
            <w:hideMark/>
          </w:tcPr>
          <w:p w14:paraId="260E23BD" w14:textId="77777777" w:rsidR="003663AF" w:rsidRPr="00B7760C" w:rsidRDefault="003663AF" w:rsidP="00E804B7">
            <w:pPr>
              <w:pStyle w:val="Normal6"/>
            </w:pPr>
            <w:r w:rsidRPr="00B7760C">
              <w:rPr>
                <w:b/>
                <w:i/>
              </w:rPr>
              <w:t>Odhodki</w:t>
            </w:r>
            <w:r w:rsidRPr="00B7760C">
              <w:t xml:space="preserve"> EKJS in EKSRP</w:t>
            </w:r>
          </w:p>
        </w:tc>
        <w:tc>
          <w:tcPr>
            <w:tcW w:w="4876" w:type="dxa"/>
            <w:hideMark/>
          </w:tcPr>
          <w:p w14:paraId="077DD63E" w14:textId="77777777" w:rsidR="003663AF" w:rsidRPr="00B7760C" w:rsidRDefault="003663AF" w:rsidP="00E804B7">
            <w:pPr>
              <w:pStyle w:val="Normal6"/>
              <w:rPr>
                <w:szCs w:val="24"/>
              </w:rPr>
            </w:pPr>
            <w:r w:rsidRPr="00B7760C">
              <w:rPr>
                <w:b/>
                <w:i/>
              </w:rPr>
              <w:t>Finančna sredstva, ki se dodelijo iz</w:t>
            </w:r>
            <w:r w:rsidRPr="00B7760C">
              <w:t xml:space="preserve"> EKJS in EKSRP</w:t>
            </w:r>
          </w:p>
        </w:tc>
      </w:tr>
    </w:tbl>
    <w:p w14:paraId="267275BA" w14:textId="77777777" w:rsidR="003663AF" w:rsidRPr="00B7760C" w:rsidRDefault="003663AF" w:rsidP="003663AF"/>
    <w:p w14:paraId="101B3937" w14:textId="74EA29AC" w:rsidR="003663AF" w:rsidRPr="00B7760C" w:rsidRDefault="00877691" w:rsidP="003663AF">
      <w:pPr>
        <w:pStyle w:val="AMNumberTabs"/>
        <w:keepNext/>
      </w:pPr>
      <w:r w:rsidRPr="00B7760C">
        <w:t>Sprememba</w:t>
      </w:r>
      <w:r w:rsidR="003663AF" w:rsidRPr="00B7760C">
        <w:tab/>
      </w:r>
      <w:r w:rsidR="003663AF" w:rsidRPr="00B7760C">
        <w:tab/>
        <w:t>522</w:t>
      </w:r>
    </w:p>
    <w:p w14:paraId="7F6EAD62" w14:textId="77777777" w:rsidR="003663AF" w:rsidRPr="00B7760C" w:rsidRDefault="003663AF" w:rsidP="003663AF">
      <w:pPr>
        <w:pStyle w:val="NormalBold12b"/>
      </w:pPr>
      <w:r w:rsidRPr="00B7760C">
        <w:t>Predlog uredbe</w:t>
      </w:r>
    </w:p>
    <w:p w14:paraId="53FE8C36" w14:textId="77777777" w:rsidR="003663AF" w:rsidRPr="00B7760C" w:rsidRDefault="003663AF" w:rsidP="003663AF">
      <w:pPr>
        <w:pStyle w:val="NormalBold"/>
      </w:pPr>
      <w:r w:rsidRPr="00B7760C">
        <w:t>Člen 79 – odstavek 1 – uvodni del</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4E82E72" w14:textId="77777777" w:rsidTr="00E804B7">
        <w:trPr>
          <w:jc w:val="center"/>
        </w:trPr>
        <w:tc>
          <w:tcPr>
            <w:tcW w:w="9752" w:type="dxa"/>
            <w:gridSpan w:val="2"/>
          </w:tcPr>
          <w:p w14:paraId="6755E2BC" w14:textId="77777777" w:rsidR="003663AF" w:rsidRPr="00B7760C" w:rsidRDefault="003663AF" w:rsidP="00E804B7">
            <w:pPr>
              <w:keepNext/>
            </w:pPr>
          </w:p>
        </w:tc>
      </w:tr>
      <w:tr w:rsidR="003663AF" w:rsidRPr="00B7760C" w14:paraId="3E9A0B03" w14:textId="77777777" w:rsidTr="00E804B7">
        <w:trPr>
          <w:jc w:val="center"/>
        </w:trPr>
        <w:tc>
          <w:tcPr>
            <w:tcW w:w="4876" w:type="dxa"/>
            <w:hideMark/>
          </w:tcPr>
          <w:p w14:paraId="3A4AB7B0" w14:textId="77777777" w:rsidR="003663AF" w:rsidRPr="00B7760C" w:rsidRDefault="003663AF" w:rsidP="00E804B7">
            <w:pPr>
              <w:pStyle w:val="ColumnHeading"/>
              <w:keepNext/>
            </w:pPr>
            <w:r w:rsidRPr="00B7760C">
              <w:t>Besedilo, ki ga predlaga Komisija</w:t>
            </w:r>
          </w:p>
        </w:tc>
        <w:tc>
          <w:tcPr>
            <w:tcW w:w="4876" w:type="dxa"/>
            <w:hideMark/>
          </w:tcPr>
          <w:p w14:paraId="5F75A078" w14:textId="564DAA30" w:rsidR="003663AF" w:rsidRPr="00B7760C" w:rsidRDefault="00877691" w:rsidP="00E804B7">
            <w:pPr>
              <w:pStyle w:val="ColumnHeading"/>
              <w:keepNext/>
            </w:pPr>
            <w:r w:rsidRPr="00B7760C">
              <w:t>Sprememba</w:t>
            </w:r>
          </w:p>
        </w:tc>
      </w:tr>
      <w:tr w:rsidR="003663AF" w:rsidRPr="00B7760C" w14:paraId="0B44F92B" w14:textId="77777777" w:rsidTr="00E804B7">
        <w:trPr>
          <w:jc w:val="center"/>
        </w:trPr>
        <w:tc>
          <w:tcPr>
            <w:tcW w:w="4876" w:type="dxa"/>
            <w:hideMark/>
          </w:tcPr>
          <w:p w14:paraId="36A54FC0" w14:textId="77777777" w:rsidR="003663AF" w:rsidRPr="00B7760C" w:rsidRDefault="003663AF" w:rsidP="00E804B7">
            <w:pPr>
              <w:pStyle w:val="Normal6"/>
            </w:pPr>
            <w:r w:rsidRPr="00B7760C">
              <w:t>1.</w:t>
            </w:r>
            <w:r w:rsidRPr="00B7760C">
              <w:tab/>
              <w:t>EKJS financira vrste intervencij v zvezi z:</w:t>
            </w:r>
          </w:p>
        </w:tc>
        <w:tc>
          <w:tcPr>
            <w:tcW w:w="4876" w:type="dxa"/>
            <w:hideMark/>
          </w:tcPr>
          <w:p w14:paraId="7EF15489" w14:textId="77777777" w:rsidR="003663AF" w:rsidRPr="00B7760C" w:rsidRDefault="003663AF" w:rsidP="00E804B7">
            <w:pPr>
              <w:pStyle w:val="Normal6"/>
              <w:rPr>
                <w:szCs w:val="24"/>
              </w:rPr>
            </w:pPr>
            <w:r w:rsidRPr="00B7760C">
              <w:t>1.</w:t>
            </w:r>
            <w:r w:rsidRPr="00B7760C">
              <w:tab/>
            </w:r>
            <w:r w:rsidRPr="00B7760C">
              <w:rPr>
                <w:b/>
                <w:i/>
              </w:rPr>
              <w:t>Finančna sredstva za EKJS za obdobje 2021–2027 znašajo 286 143 milijonov EUR v cenah iz leta 2018 (322 511 milijonov EUR v tekočih cenah).</w:t>
            </w:r>
          </w:p>
        </w:tc>
      </w:tr>
      <w:tr w:rsidR="003663AF" w:rsidRPr="00B7760C" w14:paraId="4E495CB8" w14:textId="77777777" w:rsidTr="00E804B7">
        <w:trPr>
          <w:jc w:val="center"/>
        </w:trPr>
        <w:tc>
          <w:tcPr>
            <w:tcW w:w="4876" w:type="dxa"/>
          </w:tcPr>
          <w:p w14:paraId="7017A196" w14:textId="77777777" w:rsidR="003663AF" w:rsidRPr="00B7760C" w:rsidRDefault="003663AF" w:rsidP="00E804B7">
            <w:pPr>
              <w:pStyle w:val="Normal6"/>
            </w:pPr>
          </w:p>
        </w:tc>
        <w:tc>
          <w:tcPr>
            <w:tcW w:w="4876" w:type="dxa"/>
            <w:hideMark/>
          </w:tcPr>
          <w:p w14:paraId="559EF5D2" w14:textId="77777777" w:rsidR="003663AF" w:rsidRPr="00B7760C" w:rsidRDefault="003663AF" w:rsidP="00E804B7">
            <w:pPr>
              <w:pStyle w:val="Normal6"/>
              <w:rPr>
                <w:szCs w:val="24"/>
              </w:rPr>
            </w:pPr>
            <w:r w:rsidRPr="00B7760C">
              <w:rPr>
                <w:b/>
                <w:i/>
              </w:rPr>
              <w:t xml:space="preserve">V okviru teh finančnih sredstev in ne glede na določbe poglavja I naslova II Uredbe (EU) [HZU] </w:t>
            </w:r>
            <w:r w:rsidRPr="00B7760C">
              <w:t>EKJS financira vrste intervencij v zvezi z:</w:t>
            </w:r>
          </w:p>
        </w:tc>
      </w:tr>
    </w:tbl>
    <w:p w14:paraId="6F76DA1B" w14:textId="77777777" w:rsidR="003663AF" w:rsidRPr="00B7760C" w:rsidRDefault="003663AF" w:rsidP="003663AF"/>
    <w:p w14:paraId="3D9A20CA" w14:textId="7C86D344" w:rsidR="003663AF" w:rsidRPr="00B7760C" w:rsidRDefault="00877691" w:rsidP="003663AF">
      <w:pPr>
        <w:pStyle w:val="AMNumberTabs"/>
        <w:keepNext/>
      </w:pPr>
      <w:r w:rsidRPr="00B7760C">
        <w:t>Sprememba</w:t>
      </w:r>
      <w:r w:rsidR="003663AF" w:rsidRPr="00B7760C">
        <w:tab/>
      </w:r>
      <w:r w:rsidR="003663AF" w:rsidRPr="00B7760C">
        <w:tab/>
        <w:t>523</w:t>
      </w:r>
    </w:p>
    <w:p w14:paraId="5CE8BD46" w14:textId="77777777" w:rsidR="003663AF" w:rsidRPr="00B7760C" w:rsidRDefault="003663AF" w:rsidP="003663AF">
      <w:pPr>
        <w:pStyle w:val="NormalBold12b"/>
      </w:pPr>
      <w:r w:rsidRPr="00B7760C">
        <w:t>Predlog uredbe</w:t>
      </w:r>
    </w:p>
    <w:p w14:paraId="67B202BD" w14:textId="77777777" w:rsidR="003663AF" w:rsidRPr="00B7760C" w:rsidRDefault="003663AF" w:rsidP="003663AF">
      <w:pPr>
        <w:pStyle w:val="NormalBold"/>
      </w:pPr>
      <w:r w:rsidRPr="00B7760C">
        <w:t>Člen 79 – odstavek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E585A70" w14:textId="77777777" w:rsidTr="00E804B7">
        <w:trPr>
          <w:jc w:val="center"/>
        </w:trPr>
        <w:tc>
          <w:tcPr>
            <w:tcW w:w="9752" w:type="dxa"/>
            <w:gridSpan w:val="2"/>
          </w:tcPr>
          <w:p w14:paraId="33200479" w14:textId="77777777" w:rsidR="003663AF" w:rsidRPr="00B7760C" w:rsidRDefault="003663AF" w:rsidP="00E804B7">
            <w:pPr>
              <w:keepNext/>
            </w:pPr>
          </w:p>
        </w:tc>
      </w:tr>
      <w:tr w:rsidR="003663AF" w:rsidRPr="00B7760C" w14:paraId="1E7060AB" w14:textId="77777777" w:rsidTr="00E804B7">
        <w:trPr>
          <w:jc w:val="center"/>
        </w:trPr>
        <w:tc>
          <w:tcPr>
            <w:tcW w:w="4876" w:type="dxa"/>
            <w:hideMark/>
          </w:tcPr>
          <w:p w14:paraId="4E927BA3" w14:textId="77777777" w:rsidR="003663AF" w:rsidRPr="00B7760C" w:rsidRDefault="003663AF" w:rsidP="00E804B7">
            <w:pPr>
              <w:pStyle w:val="ColumnHeading"/>
              <w:keepNext/>
            </w:pPr>
            <w:r w:rsidRPr="00B7760C">
              <w:t>Besedilo, ki ga predlaga Komisija</w:t>
            </w:r>
          </w:p>
        </w:tc>
        <w:tc>
          <w:tcPr>
            <w:tcW w:w="4876" w:type="dxa"/>
            <w:hideMark/>
          </w:tcPr>
          <w:p w14:paraId="649E0D48" w14:textId="5B63E41E" w:rsidR="003663AF" w:rsidRPr="00B7760C" w:rsidRDefault="00877691" w:rsidP="00E804B7">
            <w:pPr>
              <w:pStyle w:val="ColumnHeading"/>
              <w:keepNext/>
            </w:pPr>
            <w:r w:rsidRPr="00B7760C">
              <w:t>Sprememba</w:t>
            </w:r>
          </w:p>
        </w:tc>
      </w:tr>
      <w:tr w:rsidR="003663AF" w:rsidRPr="00B7760C" w14:paraId="72CE9E83" w14:textId="77777777" w:rsidTr="00E804B7">
        <w:trPr>
          <w:jc w:val="center"/>
        </w:trPr>
        <w:tc>
          <w:tcPr>
            <w:tcW w:w="4876" w:type="dxa"/>
            <w:hideMark/>
          </w:tcPr>
          <w:p w14:paraId="58394DF8" w14:textId="77777777" w:rsidR="003663AF" w:rsidRPr="00B7760C" w:rsidRDefault="003663AF" w:rsidP="00E804B7">
            <w:pPr>
              <w:pStyle w:val="Normal6"/>
            </w:pPr>
            <w:r w:rsidRPr="00B7760C">
              <w:t>2.</w:t>
            </w:r>
            <w:r w:rsidRPr="00B7760C">
              <w:tab/>
              <w:t xml:space="preserve">EKSRP financira </w:t>
            </w:r>
            <w:r w:rsidRPr="00B7760C">
              <w:rPr>
                <w:b/>
                <w:i/>
              </w:rPr>
              <w:t>vrsto</w:t>
            </w:r>
            <w:r w:rsidRPr="00B7760C">
              <w:t xml:space="preserve"> intervencij iz poglavja IV naslova III.</w:t>
            </w:r>
          </w:p>
        </w:tc>
        <w:tc>
          <w:tcPr>
            <w:tcW w:w="4876" w:type="dxa"/>
            <w:hideMark/>
          </w:tcPr>
          <w:p w14:paraId="297118BC" w14:textId="77777777" w:rsidR="003663AF" w:rsidRPr="00B7760C" w:rsidRDefault="003663AF" w:rsidP="00E804B7">
            <w:pPr>
              <w:pStyle w:val="Normal6"/>
              <w:rPr>
                <w:szCs w:val="24"/>
              </w:rPr>
            </w:pPr>
            <w:r w:rsidRPr="00B7760C">
              <w:t>2.</w:t>
            </w:r>
            <w:r w:rsidRPr="00B7760C">
              <w:tab/>
            </w:r>
            <w:r w:rsidRPr="00B7760C">
              <w:rPr>
                <w:b/>
                <w:i/>
              </w:rPr>
              <w:t>Finančna sredstva za Evropski kmetijski sklad za razvoj podeželja (EKSRP) za obdobje 2021–2027 znašajo 96 712 milijonov EUR v cenah iz leta 2018 (109 000 milijonov EUR v tekočih cenah).</w:t>
            </w:r>
          </w:p>
        </w:tc>
      </w:tr>
      <w:tr w:rsidR="003663AF" w:rsidRPr="00B7760C" w14:paraId="03CF14CC" w14:textId="77777777" w:rsidTr="00E804B7">
        <w:trPr>
          <w:jc w:val="center"/>
        </w:trPr>
        <w:tc>
          <w:tcPr>
            <w:tcW w:w="4876" w:type="dxa"/>
          </w:tcPr>
          <w:p w14:paraId="7BA40CF5" w14:textId="77777777" w:rsidR="003663AF" w:rsidRPr="00B7760C" w:rsidRDefault="003663AF" w:rsidP="00E804B7">
            <w:pPr>
              <w:pStyle w:val="Normal6"/>
            </w:pPr>
          </w:p>
        </w:tc>
        <w:tc>
          <w:tcPr>
            <w:tcW w:w="4876" w:type="dxa"/>
            <w:hideMark/>
          </w:tcPr>
          <w:p w14:paraId="5F921F7E" w14:textId="77777777" w:rsidR="003663AF" w:rsidRPr="00B7760C" w:rsidRDefault="003663AF" w:rsidP="00E804B7">
            <w:pPr>
              <w:pStyle w:val="Normal6"/>
              <w:rPr>
                <w:szCs w:val="24"/>
              </w:rPr>
            </w:pPr>
            <w:r w:rsidRPr="00B7760C">
              <w:t xml:space="preserve">EKSRP financira </w:t>
            </w:r>
            <w:r w:rsidRPr="00B7760C">
              <w:rPr>
                <w:b/>
                <w:i/>
              </w:rPr>
              <w:t>vrste</w:t>
            </w:r>
            <w:r w:rsidRPr="00B7760C">
              <w:t xml:space="preserve"> intervencij iz poglavja IV naslova III</w:t>
            </w:r>
            <w:r w:rsidRPr="00B7760C">
              <w:rPr>
                <w:b/>
                <w:i/>
              </w:rPr>
              <w:t>, tehnično pomoč na pobudo držav članic iz člena 112 in tehnično pomoč na pobudo Komisije iz člena 83(2)</w:t>
            </w:r>
            <w:r w:rsidRPr="00B7760C">
              <w:t>.</w:t>
            </w:r>
          </w:p>
        </w:tc>
      </w:tr>
    </w:tbl>
    <w:p w14:paraId="3A5D786D" w14:textId="77777777" w:rsidR="003663AF" w:rsidRPr="00B7760C" w:rsidRDefault="003663AF" w:rsidP="003663AF"/>
    <w:p w14:paraId="2EE1CEC8" w14:textId="22333C06" w:rsidR="003663AF" w:rsidRPr="00B7760C" w:rsidRDefault="00877691" w:rsidP="003663AF">
      <w:pPr>
        <w:pStyle w:val="AMNumberTabs"/>
        <w:keepNext/>
      </w:pPr>
      <w:r w:rsidRPr="00B7760C">
        <w:t>Sprememba</w:t>
      </w:r>
      <w:r w:rsidR="003663AF" w:rsidRPr="00B7760C">
        <w:tab/>
      </w:r>
      <w:r w:rsidR="003663AF" w:rsidRPr="00B7760C">
        <w:tab/>
        <w:t>524</w:t>
      </w:r>
    </w:p>
    <w:p w14:paraId="27C698B0" w14:textId="77777777" w:rsidR="003663AF" w:rsidRPr="00B7760C" w:rsidRDefault="003663AF" w:rsidP="003663AF">
      <w:pPr>
        <w:pStyle w:val="NormalBold12b"/>
      </w:pPr>
      <w:r w:rsidRPr="00B7760C">
        <w:t>Predlog uredbe</w:t>
      </w:r>
    </w:p>
    <w:p w14:paraId="08DC5D1A" w14:textId="77777777" w:rsidR="003663AF" w:rsidRPr="00B7760C" w:rsidRDefault="003663AF" w:rsidP="003663AF">
      <w:pPr>
        <w:pStyle w:val="NormalBold"/>
      </w:pPr>
      <w:r w:rsidRPr="00B7760C">
        <w:t>Člen 80 – 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D78A34B" w14:textId="77777777" w:rsidTr="00E804B7">
        <w:trPr>
          <w:jc w:val="center"/>
        </w:trPr>
        <w:tc>
          <w:tcPr>
            <w:tcW w:w="9752" w:type="dxa"/>
            <w:gridSpan w:val="2"/>
          </w:tcPr>
          <w:p w14:paraId="08EC54AA" w14:textId="77777777" w:rsidR="003663AF" w:rsidRPr="00B7760C" w:rsidRDefault="003663AF" w:rsidP="00E804B7">
            <w:pPr>
              <w:keepNext/>
            </w:pPr>
          </w:p>
        </w:tc>
      </w:tr>
      <w:tr w:rsidR="003663AF" w:rsidRPr="00B7760C" w14:paraId="43014C0F" w14:textId="77777777" w:rsidTr="00E804B7">
        <w:trPr>
          <w:jc w:val="center"/>
        </w:trPr>
        <w:tc>
          <w:tcPr>
            <w:tcW w:w="4876" w:type="dxa"/>
            <w:hideMark/>
          </w:tcPr>
          <w:p w14:paraId="481D7486" w14:textId="77777777" w:rsidR="003663AF" w:rsidRPr="00B7760C" w:rsidRDefault="003663AF" w:rsidP="00E804B7">
            <w:pPr>
              <w:pStyle w:val="ColumnHeading"/>
              <w:keepNext/>
            </w:pPr>
            <w:r w:rsidRPr="00B7760C">
              <w:t>Besedilo, ki ga predlaga Komisija</w:t>
            </w:r>
          </w:p>
        </w:tc>
        <w:tc>
          <w:tcPr>
            <w:tcW w:w="4876" w:type="dxa"/>
            <w:hideMark/>
          </w:tcPr>
          <w:p w14:paraId="2D0C1152" w14:textId="229285F4" w:rsidR="003663AF" w:rsidRPr="00B7760C" w:rsidRDefault="00877691" w:rsidP="00E804B7">
            <w:pPr>
              <w:pStyle w:val="ColumnHeading"/>
              <w:keepNext/>
            </w:pPr>
            <w:r w:rsidRPr="00B7760C">
              <w:t>Sprememba</w:t>
            </w:r>
          </w:p>
        </w:tc>
      </w:tr>
      <w:tr w:rsidR="003663AF" w:rsidRPr="00B7760C" w14:paraId="63B57A60" w14:textId="77777777" w:rsidTr="00E804B7">
        <w:trPr>
          <w:jc w:val="center"/>
        </w:trPr>
        <w:tc>
          <w:tcPr>
            <w:tcW w:w="4876" w:type="dxa"/>
            <w:hideMark/>
          </w:tcPr>
          <w:p w14:paraId="23CFAA0D" w14:textId="77777777" w:rsidR="003663AF" w:rsidRPr="00B7760C" w:rsidRDefault="003663AF" w:rsidP="00E804B7">
            <w:pPr>
              <w:pStyle w:val="Normal6"/>
            </w:pPr>
            <w:r w:rsidRPr="00B7760C">
              <w:t>1.</w:t>
            </w:r>
            <w:r w:rsidRPr="00B7760C">
              <w:tab/>
              <w:t>Odhodki so upravičeni do prispevka iz EKJS in EKSRP</w:t>
            </w:r>
            <w:r w:rsidRPr="00B7760C">
              <w:rPr>
                <w:b/>
                <w:i/>
              </w:rPr>
              <w:t xml:space="preserve"> od 1. januarja leta, ki sledi letu</w:t>
            </w:r>
            <w:r w:rsidRPr="00B7760C">
              <w:t>, ko Komisija odobri strateški načrt SKP.</w:t>
            </w:r>
          </w:p>
        </w:tc>
        <w:tc>
          <w:tcPr>
            <w:tcW w:w="4876" w:type="dxa"/>
            <w:hideMark/>
          </w:tcPr>
          <w:p w14:paraId="70BB7CF3" w14:textId="77777777" w:rsidR="003663AF" w:rsidRPr="00B7760C" w:rsidRDefault="003663AF" w:rsidP="00E804B7">
            <w:pPr>
              <w:pStyle w:val="Normal6"/>
              <w:rPr>
                <w:szCs w:val="24"/>
              </w:rPr>
            </w:pPr>
            <w:r w:rsidRPr="00B7760C">
              <w:t>1.</w:t>
            </w:r>
            <w:r w:rsidRPr="00B7760C">
              <w:tab/>
              <w:t>Odhodki so upravičeni do prispevka iz EKJS in EKSRP, ko Komisija odobri strateški načrt SKP.</w:t>
            </w:r>
          </w:p>
        </w:tc>
      </w:tr>
    </w:tbl>
    <w:p w14:paraId="442497B5" w14:textId="77777777" w:rsidR="003663AF" w:rsidRPr="00B7760C" w:rsidRDefault="003663AF" w:rsidP="003663AF"/>
    <w:p w14:paraId="4ADCC4A2" w14:textId="6A2997F6" w:rsidR="003663AF" w:rsidRPr="00B7760C" w:rsidRDefault="00877691" w:rsidP="003663AF">
      <w:pPr>
        <w:pStyle w:val="AMNumberTabs"/>
        <w:keepNext/>
      </w:pPr>
      <w:r w:rsidRPr="00B7760C">
        <w:t>Sprememba</w:t>
      </w:r>
      <w:r w:rsidR="003663AF" w:rsidRPr="00B7760C">
        <w:tab/>
      </w:r>
      <w:r w:rsidR="003663AF" w:rsidRPr="00B7760C">
        <w:tab/>
        <w:t>525</w:t>
      </w:r>
    </w:p>
    <w:p w14:paraId="12705871" w14:textId="77777777" w:rsidR="003663AF" w:rsidRPr="00B7760C" w:rsidRDefault="003663AF" w:rsidP="003663AF">
      <w:pPr>
        <w:pStyle w:val="NormalBold12b"/>
      </w:pPr>
      <w:r w:rsidRPr="00B7760C">
        <w:t>Predlog uredbe</w:t>
      </w:r>
    </w:p>
    <w:p w14:paraId="7AFD9581" w14:textId="77777777" w:rsidR="003663AF" w:rsidRPr="00B7760C" w:rsidRDefault="003663AF" w:rsidP="003663AF">
      <w:pPr>
        <w:pStyle w:val="NormalBold"/>
      </w:pPr>
      <w:r w:rsidRPr="00B7760C">
        <w:t>Člen 80 – odstavek 2 – pododstavek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353D546" w14:textId="77777777" w:rsidTr="00E804B7">
        <w:trPr>
          <w:jc w:val="center"/>
        </w:trPr>
        <w:tc>
          <w:tcPr>
            <w:tcW w:w="9752" w:type="dxa"/>
            <w:gridSpan w:val="2"/>
          </w:tcPr>
          <w:p w14:paraId="6D5D6761" w14:textId="77777777" w:rsidR="003663AF" w:rsidRPr="00B7760C" w:rsidRDefault="003663AF" w:rsidP="00E804B7">
            <w:pPr>
              <w:keepNext/>
            </w:pPr>
          </w:p>
        </w:tc>
      </w:tr>
      <w:tr w:rsidR="003663AF" w:rsidRPr="00B7760C" w14:paraId="45305F59" w14:textId="77777777" w:rsidTr="00E804B7">
        <w:trPr>
          <w:jc w:val="center"/>
        </w:trPr>
        <w:tc>
          <w:tcPr>
            <w:tcW w:w="4876" w:type="dxa"/>
            <w:hideMark/>
          </w:tcPr>
          <w:p w14:paraId="32299A99" w14:textId="77777777" w:rsidR="003663AF" w:rsidRPr="00B7760C" w:rsidRDefault="003663AF" w:rsidP="00E804B7">
            <w:pPr>
              <w:pStyle w:val="ColumnHeading"/>
              <w:keepNext/>
            </w:pPr>
            <w:r w:rsidRPr="00B7760C">
              <w:t>Besedilo, ki ga predlaga Komisija</w:t>
            </w:r>
          </w:p>
        </w:tc>
        <w:tc>
          <w:tcPr>
            <w:tcW w:w="4876" w:type="dxa"/>
            <w:hideMark/>
          </w:tcPr>
          <w:p w14:paraId="011CB3F5" w14:textId="58B7ACA8" w:rsidR="003663AF" w:rsidRPr="00B7760C" w:rsidRDefault="00877691" w:rsidP="00E804B7">
            <w:pPr>
              <w:pStyle w:val="ColumnHeading"/>
              <w:keepNext/>
            </w:pPr>
            <w:r w:rsidRPr="00B7760C">
              <w:t>Sprememba</w:t>
            </w:r>
          </w:p>
        </w:tc>
      </w:tr>
      <w:tr w:rsidR="003663AF" w:rsidRPr="00B7760C" w14:paraId="38BC8626" w14:textId="77777777" w:rsidTr="00E804B7">
        <w:trPr>
          <w:jc w:val="center"/>
        </w:trPr>
        <w:tc>
          <w:tcPr>
            <w:tcW w:w="4876" w:type="dxa"/>
            <w:hideMark/>
          </w:tcPr>
          <w:p w14:paraId="6BC6ACA7" w14:textId="77777777" w:rsidR="003663AF" w:rsidRPr="00B7760C" w:rsidRDefault="003663AF" w:rsidP="00E804B7">
            <w:pPr>
              <w:pStyle w:val="Normal6"/>
            </w:pPr>
            <w:r w:rsidRPr="00B7760C">
              <w:t>Odhodki, ki postanejo upravičeni zaradi spremembe strateškega načrta SKP, so upravičeni do prispevka iz EKSRP z dnem predložitve zahteve za spremembo Komisiji.</w:t>
            </w:r>
          </w:p>
        </w:tc>
        <w:tc>
          <w:tcPr>
            <w:tcW w:w="4876" w:type="dxa"/>
            <w:hideMark/>
          </w:tcPr>
          <w:p w14:paraId="3FDA675F" w14:textId="77777777" w:rsidR="003663AF" w:rsidRPr="00B7760C" w:rsidRDefault="003663AF" w:rsidP="00E804B7">
            <w:pPr>
              <w:pStyle w:val="Normal6"/>
              <w:rPr>
                <w:szCs w:val="24"/>
              </w:rPr>
            </w:pPr>
            <w:r w:rsidRPr="00B7760C">
              <w:t xml:space="preserve">Odhodki, ki postanejo upravičeni zaradi spremembe strateškega načrta SKP, so upravičeni do prispevka iz EKSRP </w:t>
            </w:r>
            <w:r w:rsidRPr="00B7760C">
              <w:rPr>
                <w:b/>
                <w:i/>
              </w:rPr>
              <w:t xml:space="preserve">in EKJS </w:t>
            </w:r>
            <w:r w:rsidRPr="00B7760C">
              <w:t>z dnem predložitve zahteve za spremembo Komisiji.</w:t>
            </w:r>
          </w:p>
        </w:tc>
      </w:tr>
    </w:tbl>
    <w:p w14:paraId="33732317" w14:textId="77777777" w:rsidR="003663AF" w:rsidRPr="00B7760C" w:rsidRDefault="003663AF" w:rsidP="003663AF"/>
    <w:p w14:paraId="6316078A" w14:textId="19677F47" w:rsidR="003663AF" w:rsidRPr="00B7760C" w:rsidRDefault="00877691" w:rsidP="003663AF">
      <w:pPr>
        <w:pStyle w:val="AMNumberTabs"/>
        <w:keepNext/>
      </w:pPr>
      <w:r w:rsidRPr="00B7760C">
        <w:t>Sprememba</w:t>
      </w:r>
      <w:r w:rsidR="003663AF" w:rsidRPr="00B7760C">
        <w:tab/>
      </w:r>
      <w:r w:rsidR="003663AF" w:rsidRPr="00B7760C">
        <w:tab/>
        <w:t>526</w:t>
      </w:r>
    </w:p>
    <w:p w14:paraId="5F2C1F55" w14:textId="77777777" w:rsidR="003663AF" w:rsidRPr="00B7760C" w:rsidRDefault="003663AF" w:rsidP="003663AF">
      <w:pPr>
        <w:pStyle w:val="NormalBold12b"/>
      </w:pPr>
      <w:r w:rsidRPr="00B7760C">
        <w:t>Predlog uredbe</w:t>
      </w:r>
    </w:p>
    <w:p w14:paraId="3ABAF6CA" w14:textId="77777777" w:rsidR="003663AF" w:rsidRPr="00B7760C" w:rsidRDefault="003663AF" w:rsidP="003663AF">
      <w:pPr>
        <w:pStyle w:val="NormalBold"/>
      </w:pPr>
      <w:r w:rsidRPr="00B7760C">
        <w:t>Člen 80 – odstavek 2 – pododstavek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046D3EC" w14:textId="77777777" w:rsidTr="00E804B7">
        <w:trPr>
          <w:jc w:val="center"/>
        </w:trPr>
        <w:tc>
          <w:tcPr>
            <w:tcW w:w="9752" w:type="dxa"/>
            <w:gridSpan w:val="2"/>
          </w:tcPr>
          <w:p w14:paraId="319A8757" w14:textId="77777777" w:rsidR="003663AF" w:rsidRPr="00B7760C" w:rsidRDefault="003663AF" w:rsidP="00E804B7">
            <w:pPr>
              <w:keepNext/>
            </w:pPr>
          </w:p>
        </w:tc>
      </w:tr>
      <w:tr w:rsidR="003663AF" w:rsidRPr="00B7760C" w14:paraId="62480C0C" w14:textId="77777777" w:rsidTr="00E804B7">
        <w:trPr>
          <w:jc w:val="center"/>
        </w:trPr>
        <w:tc>
          <w:tcPr>
            <w:tcW w:w="4876" w:type="dxa"/>
            <w:hideMark/>
          </w:tcPr>
          <w:p w14:paraId="083CCADF" w14:textId="77777777" w:rsidR="003663AF" w:rsidRPr="00B7760C" w:rsidRDefault="003663AF" w:rsidP="00E804B7">
            <w:pPr>
              <w:pStyle w:val="ColumnHeading"/>
              <w:keepNext/>
            </w:pPr>
            <w:r w:rsidRPr="00B7760C">
              <w:t>Besedilo, ki ga predlaga Komisija</w:t>
            </w:r>
          </w:p>
        </w:tc>
        <w:tc>
          <w:tcPr>
            <w:tcW w:w="4876" w:type="dxa"/>
            <w:hideMark/>
          </w:tcPr>
          <w:p w14:paraId="1F3F8117" w14:textId="328A7CE4" w:rsidR="003663AF" w:rsidRPr="00B7760C" w:rsidRDefault="00877691" w:rsidP="00E804B7">
            <w:pPr>
              <w:pStyle w:val="ColumnHeading"/>
              <w:keepNext/>
            </w:pPr>
            <w:r w:rsidRPr="00B7760C">
              <w:t>Sprememba</w:t>
            </w:r>
          </w:p>
        </w:tc>
      </w:tr>
      <w:tr w:rsidR="003663AF" w:rsidRPr="00B7760C" w14:paraId="6B053AB3" w14:textId="77777777" w:rsidTr="00E804B7">
        <w:trPr>
          <w:jc w:val="center"/>
        </w:trPr>
        <w:tc>
          <w:tcPr>
            <w:tcW w:w="4876" w:type="dxa"/>
            <w:hideMark/>
          </w:tcPr>
          <w:p w14:paraId="01030726" w14:textId="77777777" w:rsidR="003663AF" w:rsidRPr="00B7760C" w:rsidRDefault="003663AF" w:rsidP="00E804B7">
            <w:pPr>
              <w:pStyle w:val="Normal6"/>
            </w:pPr>
            <w:r w:rsidRPr="00B7760C">
              <w:t>Z odstopanjem od člena 73(5) in prvega pododstavka je lahko v strateškem načrtu SKP v primeru nujnih ukrepov zaradi naravnih nesreč, katastrofičnih dogodkov ali slabih vremenskih razmer oziroma znatne in nenadne spremembe socialno-ekonomskih razmer v državi članici ali regiji določeno, da se upravičenost odhodkov, financiranih iz EKSRP, v zvezi s spremembami načrta lahko začne z dnem, ko se je zgodil zadevni dogodek.</w:t>
            </w:r>
          </w:p>
        </w:tc>
        <w:tc>
          <w:tcPr>
            <w:tcW w:w="4876" w:type="dxa"/>
            <w:hideMark/>
          </w:tcPr>
          <w:p w14:paraId="6C35E7A9" w14:textId="77777777" w:rsidR="003663AF" w:rsidRPr="00B7760C" w:rsidRDefault="003663AF" w:rsidP="00E804B7">
            <w:pPr>
              <w:pStyle w:val="Normal6"/>
              <w:rPr>
                <w:szCs w:val="24"/>
              </w:rPr>
            </w:pPr>
            <w:r w:rsidRPr="00B7760C">
              <w:t>Z odstopanjem od člena 73(5) in prvega pododstavka je lahko v strateškem načrtu SKP v primeru nujnih ukrepov zaradi naravnih nesreč, katastrofičnih dogodkov</w:t>
            </w:r>
            <w:r w:rsidRPr="00B7760C">
              <w:rPr>
                <w:b/>
                <w:i/>
              </w:rPr>
              <w:t>, tudi požarov, suše in poplav,</w:t>
            </w:r>
            <w:r w:rsidRPr="00B7760C">
              <w:t xml:space="preserve"> ali slabih vremenskih razmer</w:t>
            </w:r>
            <w:r w:rsidRPr="00B7760C">
              <w:rPr>
                <w:b/>
                <w:i/>
              </w:rPr>
              <w:t>, epidemij</w:t>
            </w:r>
            <w:r w:rsidRPr="00B7760C">
              <w:t xml:space="preserve"> oziroma znatne in nenadne spremembe socialno-ekonomskih razmer v državi članici ali regiji določeno, da se upravičenost odhodkov, financiranih iz EKSRP, v zvezi s spremembami načrta lahko začne z dnem, ko se je zgodil zadevni dogodek.</w:t>
            </w:r>
          </w:p>
        </w:tc>
      </w:tr>
    </w:tbl>
    <w:p w14:paraId="42A9D798" w14:textId="77777777" w:rsidR="003663AF" w:rsidRPr="00B7760C" w:rsidRDefault="003663AF" w:rsidP="003663AF"/>
    <w:p w14:paraId="08C0B1B9" w14:textId="05E61637" w:rsidR="003663AF" w:rsidRPr="00B7760C" w:rsidRDefault="00877691" w:rsidP="003663AF">
      <w:pPr>
        <w:pStyle w:val="AMNumberTabs"/>
        <w:keepNext/>
      </w:pPr>
      <w:r w:rsidRPr="00B7760C">
        <w:t>Sprememba</w:t>
      </w:r>
      <w:r w:rsidR="003663AF" w:rsidRPr="00B7760C">
        <w:tab/>
      </w:r>
      <w:r w:rsidR="003663AF" w:rsidRPr="00B7760C">
        <w:tab/>
        <w:t>527</w:t>
      </w:r>
    </w:p>
    <w:p w14:paraId="636EAEF7" w14:textId="77777777" w:rsidR="003663AF" w:rsidRPr="00B7760C" w:rsidRDefault="003663AF" w:rsidP="003663AF">
      <w:pPr>
        <w:pStyle w:val="NormalBold12b"/>
      </w:pPr>
      <w:r w:rsidRPr="00B7760C">
        <w:t>Predlog uredbe</w:t>
      </w:r>
    </w:p>
    <w:p w14:paraId="283B32BE" w14:textId="77777777" w:rsidR="003663AF" w:rsidRPr="00B7760C" w:rsidRDefault="003663AF" w:rsidP="003663AF">
      <w:pPr>
        <w:pStyle w:val="NormalBold"/>
      </w:pPr>
      <w:r w:rsidRPr="00B7760C">
        <w:t>Člen 80 – odstavek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003C706" w14:textId="77777777" w:rsidTr="00E804B7">
        <w:trPr>
          <w:jc w:val="center"/>
        </w:trPr>
        <w:tc>
          <w:tcPr>
            <w:tcW w:w="9752" w:type="dxa"/>
            <w:gridSpan w:val="2"/>
          </w:tcPr>
          <w:p w14:paraId="021663EA" w14:textId="77777777" w:rsidR="003663AF" w:rsidRPr="00B7760C" w:rsidRDefault="003663AF" w:rsidP="00E804B7">
            <w:pPr>
              <w:keepNext/>
            </w:pPr>
          </w:p>
        </w:tc>
      </w:tr>
      <w:tr w:rsidR="003663AF" w:rsidRPr="00B7760C" w14:paraId="07477C8C" w14:textId="77777777" w:rsidTr="00E804B7">
        <w:trPr>
          <w:jc w:val="center"/>
        </w:trPr>
        <w:tc>
          <w:tcPr>
            <w:tcW w:w="4876" w:type="dxa"/>
            <w:hideMark/>
          </w:tcPr>
          <w:p w14:paraId="1BF701CF" w14:textId="77777777" w:rsidR="003663AF" w:rsidRPr="00B7760C" w:rsidRDefault="003663AF" w:rsidP="00E804B7">
            <w:pPr>
              <w:pStyle w:val="ColumnHeading"/>
              <w:keepNext/>
            </w:pPr>
            <w:r w:rsidRPr="00B7760C">
              <w:t>Besedilo, ki ga predlaga Komisija</w:t>
            </w:r>
          </w:p>
        </w:tc>
        <w:tc>
          <w:tcPr>
            <w:tcW w:w="4876" w:type="dxa"/>
            <w:hideMark/>
          </w:tcPr>
          <w:p w14:paraId="6E0D1765" w14:textId="66EEF839" w:rsidR="003663AF" w:rsidRPr="00B7760C" w:rsidRDefault="00877691" w:rsidP="00E804B7">
            <w:pPr>
              <w:pStyle w:val="ColumnHeading"/>
              <w:keepNext/>
            </w:pPr>
            <w:r w:rsidRPr="00B7760C">
              <w:t>Sprememba</w:t>
            </w:r>
          </w:p>
        </w:tc>
      </w:tr>
      <w:tr w:rsidR="003663AF" w:rsidRPr="00B7760C" w14:paraId="07955F51" w14:textId="77777777" w:rsidTr="00E804B7">
        <w:trPr>
          <w:jc w:val="center"/>
        </w:trPr>
        <w:tc>
          <w:tcPr>
            <w:tcW w:w="4876" w:type="dxa"/>
            <w:hideMark/>
          </w:tcPr>
          <w:p w14:paraId="5C81CE44" w14:textId="77777777" w:rsidR="003663AF" w:rsidRPr="00B7760C" w:rsidRDefault="003663AF" w:rsidP="00E804B7">
            <w:pPr>
              <w:pStyle w:val="Normal6"/>
            </w:pPr>
            <w:r w:rsidRPr="00B7760C">
              <w:t>3.</w:t>
            </w:r>
            <w:r w:rsidRPr="00B7760C">
              <w:tab/>
              <w:t>Odhodki so upravičeni do prispevka iz EKSRP, če so nastali upravičencu in so plačani do 31. decembra [</w:t>
            </w:r>
            <w:r w:rsidRPr="00B7760C">
              <w:rPr>
                <w:b/>
                <w:i/>
              </w:rPr>
              <w:t>2029</w:t>
            </w:r>
            <w:r w:rsidRPr="00B7760C">
              <w:t xml:space="preserve">]. Poleg tega so odhodki upravičeni </w:t>
            </w:r>
            <w:r w:rsidRPr="00B7760C">
              <w:rPr>
                <w:b/>
                <w:i/>
              </w:rPr>
              <w:t xml:space="preserve">le </w:t>
            </w:r>
            <w:r w:rsidRPr="00B7760C">
              <w:t>do prispevka iz EKSRP, če je plačilna agencija zadevno pomoč dejansko plačala do 31. decembra [</w:t>
            </w:r>
            <w:r w:rsidRPr="00B7760C">
              <w:rPr>
                <w:b/>
                <w:i/>
              </w:rPr>
              <w:t>2029</w:t>
            </w:r>
            <w:r w:rsidRPr="00B7760C">
              <w:t>].</w:t>
            </w:r>
          </w:p>
        </w:tc>
        <w:tc>
          <w:tcPr>
            <w:tcW w:w="4876" w:type="dxa"/>
            <w:hideMark/>
          </w:tcPr>
          <w:p w14:paraId="7AD2E483" w14:textId="77777777" w:rsidR="003663AF" w:rsidRPr="00B7760C" w:rsidRDefault="003663AF" w:rsidP="00E804B7">
            <w:pPr>
              <w:pStyle w:val="Normal6"/>
              <w:rPr>
                <w:szCs w:val="24"/>
              </w:rPr>
            </w:pPr>
            <w:r w:rsidRPr="00B7760C">
              <w:t>3.</w:t>
            </w:r>
            <w:r w:rsidRPr="00B7760C">
              <w:tab/>
              <w:t>Odhodki so upravičeni do prispevka iz EKSRP, če so nastali upravičencu in so plačani do 31. decembra [</w:t>
            </w:r>
            <w:r w:rsidRPr="00B7760C">
              <w:rPr>
                <w:b/>
                <w:i/>
              </w:rPr>
              <w:t>2030</w:t>
            </w:r>
            <w:r w:rsidRPr="00B7760C">
              <w:t>]. Poleg tega so odhodki upravičeni do prispevka iz EKSRP</w:t>
            </w:r>
            <w:r w:rsidRPr="00B7760C">
              <w:rPr>
                <w:b/>
                <w:i/>
              </w:rPr>
              <w:t xml:space="preserve"> le</w:t>
            </w:r>
            <w:r w:rsidRPr="00B7760C">
              <w:t>, če je plačilna agencija zadevno pomoč dejansko plačala do 31. decembra [</w:t>
            </w:r>
            <w:r w:rsidRPr="00B7760C">
              <w:rPr>
                <w:b/>
                <w:i/>
              </w:rPr>
              <w:t>2030</w:t>
            </w:r>
            <w:r w:rsidRPr="00B7760C">
              <w:t>].</w:t>
            </w:r>
          </w:p>
        </w:tc>
      </w:tr>
    </w:tbl>
    <w:p w14:paraId="0876654B" w14:textId="77777777" w:rsidR="003663AF" w:rsidRPr="00B7760C" w:rsidRDefault="003663AF" w:rsidP="003663AF"/>
    <w:p w14:paraId="4118B0EF" w14:textId="78B57E0B" w:rsidR="003663AF" w:rsidRPr="00B7760C" w:rsidRDefault="00877691" w:rsidP="003663AF">
      <w:pPr>
        <w:pStyle w:val="AMNumberTabs"/>
        <w:keepNext/>
      </w:pPr>
      <w:r w:rsidRPr="00B7760C">
        <w:t>Sprememba</w:t>
      </w:r>
      <w:r w:rsidR="003663AF" w:rsidRPr="00B7760C">
        <w:tab/>
      </w:r>
      <w:r w:rsidR="003663AF" w:rsidRPr="00B7760C">
        <w:tab/>
        <w:t>528</w:t>
      </w:r>
    </w:p>
    <w:p w14:paraId="6B488DA0" w14:textId="77777777" w:rsidR="003663AF" w:rsidRPr="00B7760C" w:rsidRDefault="003663AF" w:rsidP="003663AF">
      <w:pPr>
        <w:pStyle w:val="NormalBold12b"/>
      </w:pPr>
      <w:r w:rsidRPr="00B7760C">
        <w:t>Predlog uredbe</w:t>
      </w:r>
    </w:p>
    <w:p w14:paraId="596E13EE" w14:textId="77777777" w:rsidR="003663AF" w:rsidRPr="00B7760C" w:rsidRDefault="003663AF" w:rsidP="003663AF">
      <w:pPr>
        <w:pStyle w:val="NormalBold"/>
      </w:pPr>
      <w:r w:rsidRPr="00B7760C">
        <w:t>Člen 82 – odstavek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BAC8DA3" w14:textId="77777777" w:rsidTr="00E804B7">
        <w:trPr>
          <w:jc w:val="center"/>
        </w:trPr>
        <w:tc>
          <w:tcPr>
            <w:tcW w:w="9752" w:type="dxa"/>
            <w:gridSpan w:val="2"/>
          </w:tcPr>
          <w:p w14:paraId="6EFF855F" w14:textId="77777777" w:rsidR="003663AF" w:rsidRPr="00B7760C" w:rsidRDefault="003663AF" w:rsidP="00E804B7">
            <w:pPr>
              <w:keepNext/>
            </w:pPr>
          </w:p>
        </w:tc>
      </w:tr>
      <w:tr w:rsidR="003663AF" w:rsidRPr="00B7760C" w14:paraId="2A587BC1" w14:textId="77777777" w:rsidTr="00E804B7">
        <w:trPr>
          <w:jc w:val="center"/>
        </w:trPr>
        <w:tc>
          <w:tcPr>
            <w:tcW w:w="4876" w:type="dxa"/>
            <w:hideMark/>
          </w:tcPr>
          <w:p w14:paraId="05C2976F" w14:textId="77777777" w:rsidR="003663AF" w:rsidRPr="00B7760C" w:rsidRDefault="003663AF" w:rsidP="00E804B7">
            <w:pPr>
              <w:pStyle w:val="ColumnHeading"/>
              <w:keepNext/>
            </w:pPr>
            <w:r w:rsidRPr="00B7760C">
              <w:t>Besedilo, ki ga predlaga Komisija</w:t>
            </w:r>
          </w:p>
        </w:tc>
        <w:tc>
          <w:tcPr>
            <w:tcW w:w="4876" w:type="dxa"/>
            <w:hideMark/>
          </w:tcPr>
          <w:p w14:paraId="15384269" w14:textId="65B155F1" w:rsidR="003663AF" w:rsidRPr="00B7760C" w:rsidRDefault="00877691" w:rsidP="00E804B7">
            <w:pPr>
              <w:pStyle w:val="ColumnHeading"/>
              <w:keepNext/>
            </w:pPr>
            <w:r w:rsidRPr="00B7760C">
              <w:t>Sprememba</w:t>
            </w:r>
          </w:p>
        </w:tc>
      </w:tr>
      <w:tr w:rsidR="003663AF" w:rsidRPr="00B7760C" w14:paraId="5C9C54C6" w14:textId="77777777" w:rsidTr="00E804B7">
        <w:trPr>
          <w:jc w:val="center"/>
        </w:trPr>
        <w:tc>
          <w:tcPr>
            <w:tcW w:w="4876" w:type="dxa"/>
            <w:hideMark/>
          </w:tcPr>
          <w:p w14:paraId="1F906B24" w14:textId="77777777" w:rsidR="003663AF" w:rsidRPr="00B7760C" w:rsidRDefault="003663AF" w:rsidP="00E804B7">
            <w:pPr>
              <w:pStyle w:val="Normal6"/>
            </w:pPr>
            <w:r w:rsidRPr="00B7760C">
              <w:t>3.</w:t>
            </w:r>
            <w:r w:rsidRPr="00B7760C">
              <w:tab/>
              <w:t xml:space="preserve">Finančna pomoč Unije za vrste intervencij v sektorju hmelja, ki se dodeli Nemčiji, znaša </w:t>
            </w:r>
            <w:r w:rsidRPr="00B7760C">
              <w:rPr>
                <w:b/>
                <w:i/>
              </w:rPr>
              <w:t>2 188 000</w:t>
            </w:r>
            <w:r w:rsidRPr="00B7760C">
              <w:t> EUR na leto.</w:t>
            </w:r>
          </w:p>
        </w:tc>
        <w:tc>
          <w:tcPr>
            <w:tcW w:w="4876" w:type="dxa"/>
            <w:hideMark/>
          </w:tcPr>
          <w:p w14:paraId="026AF742" w14:textId="77777777" w:rsidR="003663AF" w:rsidRPr="00B7760C" w:rsidRDefault="003663AF" w:rsidP="00E804B7">
            <w:pPr>
              <w:pStyle w:val="Normal6"/>
              <w:rPr>
                <w:szCs w:val="24"/>
              </w:rPr>
            </w:pPr>
            <w:r w:rsidRPr="00B7760C">
              <w:t>3.</w:t>
            </w:r>
            <w:r w:rsidRPr="00B7760C">
              <w:tab/>
              <w:t xml:space="preserve">Finančna pomoč Unije za vrste intervencij v sektorju hmelja, ki se dodeli Nemčiji, znaša </w:t>
            </w:r>
            <w:r w:rsidRPr="00B7760C">
              <w:rPr>
                <w:b/>
                <w:i/>
              </w:rPr>
              <w:t>X</w:t>
            </w:r>
            <w:r w:rsidRPr="00B7760C">
              <w:t> EUR na leto.</w:t>
            </w:r>
          </w:p>
        </w:tc>
      </w:tr>
    </w:tbl>
    <w:p w14:paraId="746D19CE" w14:textId="77777777" w:rsidR="003663AF" w:rsidRPr="00B7760C" w:rsidRDefault="003663AF" w:rsidP="003663AF"/>
    <w:p w14:paraId="1883D791" w14:textId="5F3AF8C2" w:rsidR="003663AF" w:rsidRPr="00B7760C" w:rsidRDefault="00877691" w:rsidP="003663AF">
      <w:pPr>
        <w:pStyle w:val="AMNumberTabs"/>
        <w:keepNext/>
      </w:pPr>
      <w:r w:rsidRPr="00B7760C">
        <w:t>Sprememba</w:t>
      </w:r>
      <w:r w:rsidR="003663AF" w:rsidRPr="00B7760C">
        <w:tab/>
      </w:r>
      <w:r w:rsidR="003663AF" w:rsidRPr="00B7760C">
        <w:tab/>
        <w:t>529</w:t>
      </w:r>
    </w:p>
    <w:p w14:paraId="14F1A687" w14:textId="77777777" w:rsidR="003663AF" w:rsidRPr="00B7760C" w:rsidRDefault="003663AF" w:rsidP="003663AF">
      <w:pPr>
        <w:pStyle w:val="NormalBold12b"/>
      </w:pPr>
      <w:r w:rsidRPr="00B7760C">
        <w:t>Predlog uredbe</w:t>
      </w:r>
    </w:p>
    <w:p w14:paraId="158E3C26" w14:textId="77777777" w:rsidR="003663AF" w:rsidRPr="00B7760C" w:rsidRDefault="003663AF" w:rsidP="003663AF">
      <w:pPr>
        <w:pStyle w:val="NormalBold"/>
      </w:pPr>
      <w:r w:rsidRPr="00B7760C">
        <w:t>Člen 82 – odstavek 4 – točka 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E0B30D8" w14:textId="77777777" w:rsidTr="00E804B7">
        <w:trPr>
          <w:jc w:val="center"/>
        </w:trPr>
        <w:tc>
          <w:tcPr>
            <w:tcW w:w="9752" w:type="dxa"/>
            <w:gridSpan w:val="2"/>
          </w:tcPr>
          <w:p w14:paraId="0CA62CA3" w14:textId="77777777" w:rsidR="003663AF" w:rsidRPr="00B7760C" w:rsidRDefault="003663AF" w:rsidP="00E804B7">
            <w:pPr>
              <w:keepNext/>
            </w:pPr>
          </w:p>
        </w:tc>
      </w:tr>
      <w:tr w:rsidR="003663AF" w:rsidRPr="00B7760C" w14:paraId="43E259C0" w14:textId="77777777" w:rsidTr="00E804B7">
        <w:trPr>
          <w:jc w:val="center"/>
        </w:trPr>
        <w:tc>
          <w:tcPr>
            <w:tcW w:w="4876" w:type="dxa"/>
            <w:hideMark/>
          </w:tcPr>
          <w:p w14:paraId="6E5DC12E" w14:textId="77777777" w:rsidR="003663AF" w:rsidRPr="00B7760C" w:rsidRDefault="003663AF" w:rsidP="00E804B7">
            <w:pPr>
              <w:pStyle w:val="ColumnHeading"/>
              <w:keepNext/>
            </w:pPr>
            <w:r w:rsidRPr="00B7760C">
              <w:t>Besedilo, ki ga predlaga Komisija</w:t>
            </w:r>
          </w:p>
        </w:tc>
        <w:tc>
          <w:tcPr>
            <w:tcW w:w="4876" w:type="dxa"/>
            <w:hideMark/>
          </w:tcPr>
          <w:p w14:paraId="1DC90570" w14:textId="74660E21" w:rsidR="003663AF" w:rsidRPr="00B7760C" w:rsidRDefault="00877691" w:rsidP="00E804B7">
            <w:pPr>
              <w:pStyle w:val="ColumnHeading"/>
              <w:keepNext/>
            </w:pPr>
            <w:r w:rsidRPr="00B7760C">
              <w:t>Sprememba</w:t>
            </w:r>
          </w:p>
        </w:tc>
      </w:tr>
      <w:tr w:rsidR="003663AF" w:rsidRPr="00B7760C" w14:paraId="31942F7D" w14:textId="77777777" w:rsidTr="00E804B7">
        <w:trPr>
          <w:jc w:val="center"/>
        </w:trPr>
        <w:tc>
          <w:tcPr>
            <w:tcW w:w="4876" w:type="dxa"/>
            <w:hideMark/>
          </w:tcPr>
          <w:p w14:paraId="5D9A0034" w14:textId="77777777" w:rsidR="003663AF" w:rsidRPr="00B7760C" w:rsidRDefault="003663AF" w:rsidP="00E804B7">
            <w:pPr>
              <w:pStyle w:val="Normal6"/>
            </w:pPr>
            <w:r w:rsidRPr="00B7760C">
              <w:t>(a)</w:t>
            </w:r>
            <w:r w:rsidRPr="00B7760C">
              <w:tab/>
            </w:r>
            <w:r w:rsidRPr="00B7760C">
              <w:rPr>
                <w:b/>
                <w:i/>
              </w:rPr>
              <w:t>10 666 000</w:t>
            </w:r>
            <w:r w:rsidRPr="00B7760C">
              <w:t> EUR na leto za Grčijo;</w:t>
            </w:r>
          </w:p>
        </w:tc>
        <w:tc>
          <w:tcPr>
            <w:tcW w:w="4876" w:type="dxa"/>
            <w:hideMark/>
          </w:tcPr>
          <w:p w14:paraId="7806A27B" w14:textId="77777777" w:rsidR="003663AF" w:rsidRPr="00B7760C" w:rsidRDefault="003663AF" w:rsidP="00E804B7">
            <w:pPr>
              <w:pStyle w:val="Normal6"/>
              <w:rPr>
                <w:szCs w:val="24"/>
              </w:rPr>
            </w:pPr>
            <w:r w:rsidRPr="00B7760C">
              <w:t>(a)</w:t>
            </w:r>
            <w:r w:rsidRPr="00B7760C">
              <w:tab/>
            </w:r>
            <w:r w:rsidRPr="00B7760C">
              <w:rPr>
                <w:b/>
                <w:i/>
              </w:rPr>
              <w:t>X</w:t>
            </w:r>
            <w:r w:rsidRPr="00B7760C">
              <w:t> EUR na leto za Grčijo;</w:t>
            </w:r>
          </w:p>
        </w:tc>
      </w:tr>
    </w:tbl>
    <w:p w14:paraId="1CEE89FB" w14:textId="77777777" w:rsidR="003663AF" w:rsidRPr="00B7760C" w:rsidRDefault="003663AF" w:rsidP="003663AF"/>
    <w:p w14:paraId="0630252C" w14:textId="0A38F829" w:rsidR="003663AF" w:rsidRPr="00B7760C" w:rsidRDefault="00877691" w:rsidP="003663AF">
      <w:pPr>
        <w:pStyle w:val="AMNumberTabs"/>
        <w:keepNext/>
      </w:pPr>
      <w:r w:rsidRPr="00B7760C">
        <w:t>Sprememba</w:t>
      </w:r>
      <w:r w:rsidR="003663AF" w:rsidRPr="00B7760C">
        <w:tab/>
      </w:r>
      <w:r w:rsidR="003663AF" w:rsidRPr="00B7760C">
        <w:tab/>
        <w:t>530</w:t>
      </w:r>
    </w:p>
    <w:p w14:paraId="000ECB4D" w14:textId="77777777" w:rsidR="003663AF" w:rsidRPr="00B7760C" w:rsidRDefault="003663AF" w:rsidP="003663AF">
      <w:pPr>
        <w:pStyle w:val="NormalBold12b"/>
      </w:pPr>
      <w:r w:rsidRPr="00B7760C">
        <w:t>Predlog uredbe</w:t>
      </w:r>
    </w:p>
    <w:p w14:paraId="5299F2EF" w14:textId="77777777" w:rsidR="003663AF" w:rsidRPr="00B7760C" w:rsidRDefault="003663AF" w:rsidP="003663AF">
      <w:pPr>
        <w:pStyle w:val="NormalBold"/>
      </w:pPr>
      <w:r w:rsidRPr="00B7760C">
        <w:t>Člen 82 – odstavek 4 – točka b</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3FB2FB1" w14:textId="77777777" w:rsidTr="00E804B7">
        <w:trPr>
          <w:jc w:val="center"/>
        </w:trPr>
        <w:tc>
          <w:tcPr>
            <w:tcW w:w="9752" w:type="dxa"/>
            <w:gridSpan w:val="2"/>
          </w:tcPr>
          <w:p w14:paraId="770989DF" w14:textId="77777777" w:rsidR="003663AF" w:rsidRPr="00B7760C" w:rsidRDefault="003663AF" w:rsidP="00E804B7">
            <w:pPr>
              <w:keepNext/>
            </w:pPr>
          </w:p>
        </w:tc>
      </w:tr>
      <w:tr w:rsidR="003663AF" w:rsidRPr="00B7760C" w14:paraId="21FEF342" w14:textId="77777777" w:rsidTr="00E804B7">
        <w:trPr>
          <w:jc w:val="center"/>
        </w:trPr>
        <w:tc>
          <w:tcPr>
            <w:tcW w:w="4876" w:type="dxa"/>
            <w:hideMark/>
          </w:tcPr>
          <w:p w14:paraId="1661608F" w14:textId="77777777" w:rsidR="003663AF" w:rsidRPr="00B7760C" w:rsidRDefault="003663AF" w:rsidP="00E804B7">
            <w:pPr>
              <w:pStyle w:val="ColumnHeading"/>
              <w:keepNext/>
            </w:pPr>
            <w:r w:rsidRPr="00B7760C">
              <w:t>Besedilo, ki ga predlaga Komisija</w:t>
            </w:r>
          </w:p>
        </w:tc>
        <w:tc>
          <w:tcPr>
            <w:tcW w:w="4876" w:type="dxa"/>
            <w:hideMark/>
          </w:tcPr>
          <w:p w14:paraId="30C21DD3" w14:textId="4694ED39" w:rsidR="003663AF" w:rsidRPr="00B7760C" w:rsidRDefault="00877691" w:rsidP="00E804B7">
            <w:pPr>
              <w:pStyle w:val="ColumnHeading"/>
              <w:keepNext/>
            </w:pPr>
            <w:r w:rsidRPr="00B7760C">
              <w:t>Sprememba</w:t>
            </w:r>
          </w:p>
        </w:tc>
      </w:tr>
      <w:tr w:rsidR="003663AF" w:rsidRPr="00B7760C" w14:paraId="69892C89" w14:textId="77777777" w:rsidTr="00E804B7">
        <w:trPr>
          <w:jc w:val="center"/>
        </w:trPr>
        <w:tc>
          <w:tcPr>
            <w:tcW w:w="4876" w:type="dxa"/>
            <w:hideMark/>
          </w:tcPr>
          <w:p w14:paraId="4CC6E904" w14:textId="77777777" w:rsidR="003663AF" w:rsidRPr="00B7760C" w:rsidRDefault="003663AF" w:rsidP="00E804B7">
            <w:pPr>
              <w:pStyle w:val="Normal6"/>
            </w:pPr>
            <w:r w:rsidRPr="00B7760C">
              <w:t>(b)</w:t>
            </w:r>
            <w:r w:rsidRPr="00B7760C">
              <w:tab/>
            </w:r>
            <w:r w:rsidRPr="00B7760C">
              <w:rPr>
                <w:b/>
                <w:i/>
              </w:rPr>
              <w:t>554 000</w:t>
            </w:r>
            <w:r w:rsidRPr="00B7760C">
              <w:t> EUR na leto za Francijo ter</w:t>
            </w:r>
          </w:p>
        </w:tc>
        <w:tc>
          <w:tcPr>
            <w:tcW w:w="4876" w:type="dxa"/>
            <w:hideMark/>
          </w:tcPr>
          <w:p w14:paraId="05E62795" w14:textId="77777777" w:rsidR="003663AF" w:rsidRPr="00B7760C" w:rsidRDefault="003663AF" w:rsidP="00E804B7">
            <w:pPr>
              <w:pStyle w:val="Normal6"/>
              <w:rPr>
                <w:szCs w:val="24"/>
              </w:rPr>
            </w:pPr>
            <w:r w:rsidRPr="00B7760C">
              <w:t>(b)</w:t>
            </w:r>
            <w:r w:rsidRPr="00B7760C">
              <w:tab/>
            </w:r>
            <w:r w:rsidRPr="00B7760C">
              <w:rPr>
                <w:b/>
                <w:i/>
              </w:rPr>
              <w:t>X</w:t>
            </w:r>
            <w:r w:rsidRPr="00B7760C">
              <w:t> EUR na leto za Francijo ter</w:t>
            </w:r>
          </w:p>
        </w:tc>
      </w:tr>
    </w:tbl>
    <w:p w14:paraId="4E7E6075" w14:textId="77777777" w:rsidR="003663AF" w:rsidRPr="00B7760C" w:rsidRDefault="003663AF" w:rsidP="003663AF"/>
    <w:p w14:paraId="6147366D" w14:textId="508F0B0E" w:rsidR="003663AF" w:rsidRPr="00B7760C" w:rsidRDefault="00877691" w:rsidP="003663AF">
      <w:pPr>
        <w:pStyle w:val="AMNumberTabs"/>
        <w:keepNext/>
      </w:pPr>
      <w:r w:rsidRPr="00B7760C">
        <w:t>Sprememba</w:t>
      </w:r>
      <w:r w:rsidR="003663AF" w:rsidRPr="00B7760C">
        <w:tab/>
      </w:r>
      <w:r w:rsidR="003663AF" w:rsidRPr="00B7760C">
        <w:tab/>
        <w:t>531</w:t>
      </w:r>
    </w:p>
    <w:p w14:paraId="03FFF035" w14:textId="77777777" w:rsidR="003663AF" w:rsidRPr="00B7760C" w:rsidRDefault="003663AF" w:rsidP="003663AF">
      <w:pPr>
        <w:pStyle w:val="NormalBold12b"/>
      </w:pPr>
      <w:r w:rsidRPr="00B7760C">
        <w:t>Predlog uredbe</w:t>
      </w:r>
    </w:p>
    <w:p w14:paraId="0CAED75B" w14:textId="77777777" w:rsidR="003663AF" w:rsidRPr="00B7760C" w:rsidRDefault="003663AF" w:rsidP="003663AF">
      <w:pPr>
        <w:pStyle w:val="NormalBold"/>
      </w:pPr>
      <w:r w:rsidRPr="00B7760C">
        <w:t>Člen 82 – odstavek 4 – točka c</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04D1CDF" w14:textId="77777777" w:rsidTr="00E804B7">
        <w:trPr>
          <w:jc w:val="center"/>
        </w:trPr>
        <w:tc>
          <w:tcPr>
            <w:tcW w:w="9752" w:type="dxa"/>
            <w:gridSpan w:val="2"/>
          </w:tcPr>
          <w:p w14:paraId="2A887715" w14:textId="77777777" w:rsidR="003663AF" w:rsidRPr="00B7760C" w:rsidRDefault="003663AF" w:rsidP="00E804B7">
            <w:pPr>
              <w:keepNext/>
            </w:pPr>
          </w:p>
        </w:tc>
      </w:tr>
      <w:tr w:rsidR="003663AF" w:rsidRPr="00B7760C" w14:paraId="77855FD9" w14:textId="77777777" w:rsidTr="00E804B7">
        <w:trPr>
          <w:jc w:val="center"/>
        </w:trPr>
        <w:tc>
          <w:tcPr>
            <w:tcW w:w="4876" w:type="dxa"/>
            <w:hideMark/>
          </w:tcPr>
          <w:p w14:paraId="3959725A" w14:textId="77777777" w:rsidR="003663AF" w:rsidRPr="00B7760C" w:rsidRDefault="003663AF" w:rsidP="00E804B7">
            <w:pPr>
              <w:pStyle w:val="ColumnHeading"/>
              <w:keepNext/>
            </w:pPr>
            <w:r w:rsidRPr="00B7760C">
              <w:t>Besedilo, ki ga predlaga Komisija</w:t>
            </w:r>
          </w:p>
        </w:tc>
        <w:tc>
          <w:tcPr>
            <w:tcW w:w="4876" w:type="dxa"/>
            <w:hideMark/>
          </w:tcPr>
          <w:p w14:paraId="3784AA48" w14:textId="1AA7FCF1" w:rsidR="003663AF" w:rsidRPr="00B7760C" w:rsidRDefault="00877691" w:rsidP="00E804B7">
            <w:pPr>
              <w:pStyle w:val="ColumnHeading"/>
              <w:keepNext/>
            </w:pPr>
            <w:r w:rsidRPr="00B7760C">
              <w:t>Sprememba</w:t>
            </w:r>
          </w:p>
        </w:tc>
      </w:tr>
      <w:tr w:rsidR="003663AF" w:rsidRPr="00B7760C" w14:paraId="5A32C0F4" w14:textId="77777777" w:rsidTr="00E804B7">
        <w:trPr>
          <w:jc w:val="center"/>
        </w:trPr>
        <w:tc>
          <w:tcPr>
            <w:tcW w:w="4876" w:type="dxa"/>
            <w:hideMark/>
          </w:tcPr>
          <w:p w14:paraId="52BB03EA" w14:textId="77777777" w:rsidR="003663AF" w:rsidRPr="00B7760C" w:rsidRDefault="003663AF" w:rsidP="00E804B7">
            <w:pPr>
              <w:pStyle w:val="Normal6"/>
            </w:pPr>
            <w:r w:rsidRPr="00B7760C">
              <w:t>(c)</w:t>
            </w:r>
            <w:r w:rsidRPr="00B7760C">
              <w:tab/>
            </w:r>
            <w:r w:rsidRPr="00B7760C">
              <w:rPr>
                <w:b/>
                <w:i/>
              </w:rPr>
              <w:t>34 590 000</w:t>
            </w:r>
            <w:r w:rsidRPr="00B7760C">
              <w:t> EUR na leto za Italijo.</w:t>
            </w:r>
          </w:p>
        </w:tc>
        <w:tc>
          <w:tcPr>
            <w:tcW w:w="4876" w:type="dxa"/>
            <w:hideMark/>
          </w:tcPr>
          <w:p w14:paraId="6B91FA0D" w14:textId="77777777" w:rsidR="003663AF" w:rsidRPr="00B7760C" w:rsidRDefault="003663AF" w:rsidP="00E804B7">
            <w:pPr>
              <w:pStyle w:val="Normal6"/>
              <w:rPr>
                <w:szCs w:val="24"/>
              </w:rPr>
            </w:pPr>
            <w:r w:rsidRPr="00B7760C">
              <w:t>(c)</w:t>
            </w:r>
            <w:r w:rsidRPr="00B7760C">
              <w:tab/>
            </w:r>
            <w:r w:rsidRPr="00B7760C">
              <w:rPr>
                <w:b/>
                <w:i/>
              </w:rPr>
              <w:t>X</w:t>
            </w:r>
            <w:r w:rsidRPr="00B7760C">
              <w:t> EUR na leto za Italijo.</w:t>
            </w:r>
          </w:p>
        </w:tc>
      </w:tr>
    </w:tbl>
    <w:p w14:paraId="682130C6" w14:textId="77777777" w:rsidR="003663AF" w:rsidRPr="00B7760C" w:rsidRDefault="003663AF" w:rsidP="003663AF"/>
    <w:p w14:paraId="5C58F77E" w14:textId="399F6FC2" w:rsidR="003663AF" w:rsidRPr="00B7760C" w:rsidRDefault="00877691" w:rsidP="003663AF">
      <w:pPr>
        <w:pStyle w:val="AMNumberTabs"/>
        <w:keepNext/>
      </w:pPr>
      <w:r w:rsidRPr="00B7760C">
        <w:t>Sprememba</w:t>
      </w:r>
      <w:r w:rsidR="003663AF" w:rsidRPr="00B7760C">
        <w:tab/>
      </w:r>
      <w:r w:rsidR="003663AF" w:rsidRPr="00B7760C">
        <w:tab/>
        <w:t>532</w:t>
      </w:r>
    </w:p>
    <w:p w14:paraId="5C1B7543" w14:textId="77777777" w:rsidR="003663AF" w:rsidRPr="00B7760C" w:rsidRDefault="003663AF" w:rsidP="003663AF">
      <w:pPr>
        <w:pStyle w:val="NormalBold12b"/>
      </w:pPr>
      <w:r w:rsidRPr="00B7760C">
        <w:t>Predlog uredbe</w:t>
      </w:r>
    </w:p>
    <w:p w14:paraId="246E7909" w14:textId="77777777" w:rsidR="003663AF" w:rsidRPr="00B7760C" w:rsidRDefault="003663AF" w:rsidP="003663AF">
      <w:pPr>
        <w:pStyle w:val="NormalBold"/>
      </w:pPr>
      <w:r w:rsidRPr="00B7760C">
        <w:t>Člen 82 – odstavek 7</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B6A9103" w14:textId="77777777" w:rsidTr="00E804B7">
        <w:trPr>
          <w:jc w:val="center"/>
        </w:trPr>
        <w:tc>
          <w:tcPr>
            <w:tcW w:w="9752" w:type="dxa"/>
            <w:gridSpan w:val="2"/>
          </w:tcPr>
          <w:p w14:paraId="3D26251D" w14:textId="77777777" w:rsidR="003663AF" w:rsidRPr="00B7760C" w:rsidRDefault="003663AF" w:rsidP="00E804B7">
            <w:pPr>
              <w:keepNext/>
            </w:pPr>
          </w:p>
        </w:tc>
      </w:tr>
      <w:tr w:rsidR="003663AF" w:rsidRPr="00B7760C" w14:paraId="0EFF8AAC" w14:textId="77777777" w:rsidTr="00E804B7">
        <w:trPr>
          <w:jc w:val="center"/>
        </w:trPr>
        <w:tc>
          <w:tcPr>
            <w:tcW w:w="4876" w:type="dxa"/>
            <w:hideMark/>
          </w:tcPr>
          <w:p w14:paraId="424A2B3B" w14:textId="77777777" w:rsidR="003663AF" w:rsidRPr="00B7760C" w:rsidRDefault="003663AF" w:rsidP="00E804B7">
            <w:pPr>
              <w:pStyle w:val="ColumnHeading"/>
              <w:keepNext/>
            </w:pPr>
            <w:r w:rsidRPr="00B7760C">
              <w:t>Besedilo, ki ga predlaga Komisija</w:t>
            </w:r>
          </w:p>
        </w:tc>
        <w:tc>
          <w:tcPr>
            <w:tcW w:w="4876" w:type="dxa"/>
            <w:hideMark/>
          </w:tcPr>
          <w:p w14:paraId="32695C1D" w14:textId="348F46E2" w:rsidR="003663AF" w:rsidRPr="00B7760C" w:rsidRDefault="00877691" w:rsidP="00E804B7">
            <w:pPr>
              <w:pStyle w:val="ColumnHeading"/>
              <w:keepNext/>
            </w:pPr>
            <w:r w:rsidRPr="00B7760C">
              <w:t>Sprememba</w:t>
            </w:r>
          </w:p>
        </w:tc>
      </w:tr>
      <w:tr w:rsidR="003663AF" w:rsidRPr="00B7760C" w14:paraId="7A9FEE4B" w14:textId="77777777" w:rsidTr="00E804B7">
        <w:trPr>
          <w:jc w:val="center"/>
        </w:trPr>
        <w:tc>
          <w:tcPr>
            <w:tcW w:w="4876" w:type="dxa"/>
            <w:hideMark/>
          </w:tcPr>
          <w:p w14:paraId="7C779C8E" w14:textId="77777777" w:rsidR="003663AF" w:rsidRPr="00B7760C" w:rsidRDefault="003663AF" w:rsidP="00E804B7">
            <w:pPr>
              <w:pStyle w:val="Normal6"/>
            </w:pPr>
            <w:r w:rsidRPr="00B7760C">
              <w:t>7.</w:t>
            </w:r>
            <w:r w:rsidRPr="00B7760C">
              <w:tab/>
            </w:r>
            <w:r w:rsidRPr="00B7760C">
              <w:rPr>
                <w:b/>
                <w:i/>
              </w:rPr>
              <w:t>Države članice</w:t>
            </w:r>
            <w:r w:rsidRPr="00B7760C">
              <w:t xml:space="preserve"> lahko </w:t>
            </w:r>
            <w:r w:rsidRPr="00B7760C">
              <w:rPr>
                <w:b/>
                <w:i/>
              </w:rPr>
              <w:t>leta 2023</w:t>
            </w:r>
            <w:r w:rsidRPr="00B7760C">
              <w:t xml:space="preserve"> pregledajo svoje odločitve iz odstavka 6 v okviru zahteve za spremembo strateških načrtov SKP iz člena 107.</w:t>
            </w:r>
          </w:p>
        </w:tc>
        <w:tc>
          <w:tcPr>
            <w:tcW w:w="4876" w:type="dxa"/>
            <w:hideMark/>
          </w:tcPr>
          <w:p w14:paraId="13BDFD02" w14:textId="77777777" w:rsidR="003663AF" w:rsidRPr="00B7760C" w:rsidRDefault="003663AF" w:rsidP="00E804B7">
            <w:pPr>
              <w:pStyle w:val="Normal6"/>
              <w:rPr>
                <w:szCs w:val="24"/>
              </w:rPr>
            </w:pPr>
            <w:r w:rsidRPr="00B7760C">
              <w:t>7.</w:t>
            </w:r>
            <w:r w:rsidRPr="00B7760C">
              <w:tab/>
            </w:r>
            <w:r w:rsidRPr="00B7760C">
              <w:rPr>
                <w:b/>
                <w:i/>
              </w:rPr>
              <w:t>Dve leti po datumu izvajanja svojih strateških načrtov</w:t>
            </w:r>
            <w:r w:rsidRPr="00B7760C">
              <w:t xml:space="preserve"> lahko </w:t>
            </w:r>
            <w:r w:rsidRPr="00B7760C">
              <w:rPr>
                <w:b/>
                <w:i/>
              </w:rPr>
              <w:t>države članice</w:t>
            </w:r>
            <w:r w:rsidRPr="00B7760C">
              <w:t xml:space="preserve"> pregledajo svoje odločitve iz odstavka 6 v okviru zahteve za spremembo strateških načrtov SKP iz člena 107.</w:t>
            </w:r>
          </w:p>
        </w:tc>
      </w:tr>
    </w:tbl>
    <w:p w14:paraId="6485B8C4" w14:textId="77777777" w:rsidR="003663AF" w:rsidRPr="00B7760C" w:rsidRDefault="003663AF" w:rsidP="003663AF"/>
    <w:p w14:paraId="790E2B6A" w14:textId="779F2B08" w:rsidR="003663AF" w:rsidRPr="00B7760C" w:rsidRDefault="00877691" w:rsidP="003663AF">
      <w:pPr>
        <w:pStyle w:val="AMNumberTabs"/>
        <w:keepNext/>
      </w:pPr>
      <w:r w:rsidRPr="00B7760C">
        <w:t>Sprememba</w:t>
      </w:r>
      <w:r w:rsidR="003663AF" w:rsidRPr="00B7760C">
        <w:tab/>
      </w:r>
      <w:r w:rsidR="003663AF" w:rsidRPr="00B7760C">
        <w:tab/>
        <w:t>533</w:t>
      </w:r>
    </w:p>
    <w:p w14:paraId="2FA47726" w14:textId="77777777" w:rsidR="003663AF" w:rsidRPr="00B7760C" w:rsidRDefault="003663AF" w:rsidP="003663AF">
      <w:pPr>
        <w:pStyle w:val="NormalBold12b"/>
      </w:pPr>
      <w:r w:rsidRPr="00B7760C">
        <w:t>Predlog uredbe</w:t>
      </w:r>
    </w:p>
    <w:p w14:paraId="537BA72C" w14:textId="77777777" w:rsidR="003663AF" w:rsidRPr="00B7760C" w:rsidRDefault="003663AF" w:rsidP="003663AF">
      <w:pPr>
        <w:pStyle w:val="NormalBold"/>
      </w:pPr>
      <w:r w:rsidRPr="00B7760C">
        <w:t>Člen 83 – 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6409B59" w14:textId="77777777" w:rsidTr="00E804B7">
        <w:trPr>
          <w:jc w:val="center"/>
        </w:trPr>
        <w:tc>
          <w:tcPr>
            <w:tcW w:w="9752" w:type="dxa"/>
            <w:gridSpan w:val="2"/>
          </w:tcPr>
          <w:p w14:paraId="49C92FEE" w14:textId="77777777" w:rsidR="003663AF" w:rsidRPr="00B7760C" w:rsidRDefault="003663AF" w:rsidP="00E804B7">
            <w:pPr>
              <w:keepNext/>
            </w:pPr>
          </w:p>
        </w:tc>
      </w:tr>
      <w:tr w:rsidR="003663AF" w:rsidRPr="00B7760C" w14:paraId="2E34430E" w14:textId="77777777" w:rsidTr="00E804B7">
        <w:trPr>
          <w:jc w:val="center"/>
        </w:trPr>
        <w:tc>
          <w:tcPr>
            <w:tcW w:w="4876" w:type="dxa"/>
            <w:hideMark/>
          </w:tcPr>
          <w:p w14:paraId="37946FA9" w14:textId="77777777" w:rsidR="003663AF" w:rsidRPr="00B7760C" w:rsidRDefault="003663AF" w:rsidP="00E804B7">
            <w:pPr>
              <w:pStyle w:val="ColumnHeading"/>
              <w:keepNext/>
            </w:pPr>
            <w:r w:rsidRPr="00B7760C">
              <w:t>Besedilo, ki ga predlaga Komisija</w:t>
            </w:r>
          </w:p>
        </w:tc>
        <w:tc>
          <w:tcPr>
            <w:tcW w:w="4876" w:type="dxa"/>
            <w:hideMark/>
          </w:tcPr>
          <w:p w14:paraId="548C876D" w14:textId="3042D76E" w:rsidR="003663AF" w:rsidRPr="00B7760C" w:rsidRDefault="00877691" w:rsidP="00E804B7">
            <w:pPr>
              <w:pStyle w:val="ColumnHeading"/>
              <w:keepNext/>
            </w:pPr>
            <w:r w:rsidRPr="00B7760C">
              <w:t>Sprememba</w:t>
            </w:r>
          </w:p>
        </w:tc>
      </w:tr>
      <w:tr w:rsidR="003663AF" w:rsidRPr="00B7760C" w14:paraId="7071E71A" w14:textId="77777777" w:rsidTr="00E804B7">
        <w:trPr>
          <w:jc w:val="center"/>
        </w:trPr>
        <w:tc>
          <w:tcPr>
            <w:tcW w:w="4876" w:type="dxa"/>
            <w:hideMark/>
          </w:tcPr>
          <w:p w14:paraId="25FD3D7D" w14:textId="77777777" w:rsidR="003663AF" w:rsidRPr="00B7760C" w:rsidRDefault="003663AF" w:rsidP="00E804B7">
            <w:pPr>
              <w:pStyle w:val="Normal6"/>
            </w:pPr>
            <w:r w:rsidRPr="00B7760C">
              <w:t>1.</w:t>
            </w:r>
            <w:r w:rsidRPr="00B7760C">
              <w:tab/>
              <w:t xml:space="preserve">Skupni znesek podpore Unije za vrste intervencij za razvoj podeželja na podlagi te uredbe za obdobje od 1. januarja 2021 do 31. decembra 2027 znaša </w:t>
            </w:r>
            <w:r w:rsidRPr="00B7760C">
              <w:rPr>
                <w:b/>
                <w:i/>
              </w:rPr>
              <w:t>78</w:t>
            </w:r>
            <w:r w:rsidRPr="00B7760C">
              <w:t> </w:t>
            </w:r>
            <w:r w:rsidRPr="00B7760C">
              <w:rPr>
                <w:b/>
                <w:i/>
              </w:rPr>
              <w:t>811</w:t>
            </w:r>
            <w:r w:rsidRPr="00B7760C">
              <w:t xml:space="preserve"> milijonov EUR v tekočih cenah v skladu z večletnim finančnim okvirom za obdobje 2021–2027</w:t>
            </w:r>
            <w:r w:rsidRPr="00B7760C">
              <w:rPr>
                <w:vertAlign w:val="superscript"/>
              </w:rPr>
              <w:t>38</w:t>
            </w:r>
            <w:r w:rsidRPr="00B7760C">
              <w:t>.</w:t>
            </w:r>
          </w:p>
        </w:tc>
        <w:tc>
          <w:tcPr>
            <w:tcW w:w="4876" w:type="dxa"/>
            <w:hideMark/>
          </w:tcPr>
          <w:p w14:paraId="7F2CB03C" w14:textId="77777777" w:rsidR="003663AF" w:rsidRPr="00B7760C" w:rsidRDefault="003663AF" w:rsidP="00E804B7">
            <w:pPr>
              <w:pStyle w:val="Normal6"/>
              <w:rPr>
                <w:szCs w:val="24"/>
              </w:rPr>
            </w:pPr>
            <w:r w:rsidRPr="00B7760C">
              <w:t>1.</w:t>
            </w:r>
            <w:r w:rsidRPr="00B7760C">
              <w:tab/>
              <w:t xml:space="preserve">Skupni znesek podpore Unije za vrste intervencij za razvoj podeželja na podlagi te uredbe za obdobje od 1. januarja 2021 do 31. decembra 2027 znaša </w:t>
            </w:r>
            <w:r w:rsidRPr="00B7760C">
              <w:rPr>
                <w:b/>
                <w:i/>
              </w:rPr>
              <w:t>109</w:t>
            </w:r>
            <w:r w:rsidRPr="00B7760C">
              <w:t> </w:t>
            </w:r>
            <w:r w:rsidRPr="00B7760C">
              <w:rPr>
                <w:b/>
                <w:i/>
              </w:rPr>
              <w:t>000</w:t>
            </w:r>
            <w:r w:rsidRPr="00B7760C">
              <w:t xml:space="preserve"> milijonov EUR v tekočih cenah v skladu z večletnim finančnim okvirom za obdobje 2021–2027</w:t>
            </w:r>
            <w:r w:rsidRPr="00B7760C">
              <w:rPr>
                <w:vertAlign w:val="superscript"/>
              </w:rPr>
              <w:t>38</w:t>
            </w:r>
            <w:r w:rsidRPr="00B7760C">
              <w:t>.</w:t>
            </w:r>
          </w:p>
        </w:tc>
      </w:tr>
      <w:tr w:rsidR="003663AF" w:rsidRPr="00B7760C" w14:paraId="733358B4" w14:textId="77777777" w:rsidTr="00E804B7">
        <w:trPr>
          <w:jc w:val="center"/>
        </w:trPr>
        <w:tc>
          <w:tcPr>
            <w:tcW w:w="4876" w:type="dxa"/>
            <w:hideMark/>
          </w:tcPr>
          <w:p w14:paraId="5CBBD3A5" w14:textId="77777777" w:rsidR="003663AF" w:rsidRPr="00B7760C" w:rsidRDefault="003663AF" w:rsidP="00E804B7">
            <w:pPr>
              <w:pStyle w:val="Normal6"/>
            </w:pPr>
            <w:r w:rsidRPr="00B7760C">
              <w:t>__________________</w:t>
            </w:r>
          </w:p>
        </w:tc>
        <w:tc>
          <w:tcPr>
            <w:tcW w:w="4876" w:type="dxa"/>
            <w:hideMark/>
          </w:tcPr>
          <w:p w14:paraId="2CB33CE1" w14:textId="77777777" w:rsidR="003663AF" w:rsidRPr="00B7760C" w:rsidRDefault="003663AF" w:rsidP="00E804B7">
            <w:pPr>
              <w:pStyle w:val="Normal6"/>
              <w:rPr>
                <w:szCs w:val="24"/>
              </w:rPr>
            </w:pPr>
            <w:r w:rsidRPr="00B7760C">
              <w:t>__________________</w:t>
            </w:r>
          </w:p>
        </w:tc>
      </w:tr>
      <w:tr w:rsidR="003663AF" w:rsidRPr="00B7760C" w14:paraId="71E8322E" w14:textId="77777777" w:rsidTr="00E804B7">
        <w:trPr>
          <w:jc w:val="center"/>
        </w:trPr>
        <w:tc>
          <w:tcPr>
            <w:tcW w:w="4876" w:type="dxa"/>
            <w:hideMark/>
          </w:tcPr>
          <w:p w14:paraId="13DEF0D9" w14:textId="146C618C" w:rsidR="003663AF" w:rsidRPr="00B7760C" w:rsidRDefault="003663AF" w:rsidP="00E804B7">
            <w:pPr>
              <w:pStyle w:val="Normal6"/>
            </w:pPr>
            <w:r w:rsidRPr="00B7760C">
              <w:rPr>
                <w:vertAlign w:val="superscript"/>
              </w:rPr>
              <w:t>38</w:t>
            </w:r>
            <w:r w:rsidRPr="00B7760C">
              <w:t xml:space="preserve"> </w:t>
            </w:r>
            <w:r w:rsidR="00E804B7" w:rsidRPr="00B7760C">
              <w:tab/>
            </w:r>
            <w:r w:rsidRPr="00B7760C">
              <w:t>Predlog uredbe Sveta o večletnem finančnem okviru za obdobje 2021–2027, Sporočilo Komisije Evropskemu parlamentu, Svetu, Evropskemu ekonomsko-socialnemu odboru in Odboru regij, COM(2018)</w:t>
            </w:r>
            <w:r w:rsidR="00E804B7" w:rsidRPr="00B7760C">
              <w:t>0</w:t>
            </w:r>
            <w:r w:rsidRPr="00B7760C">
              <w:t>322.</w:t>
            </w:r>
          </w:p>
        </w:tc>
        <w:tc>
          <w:tcPr>
            <w:tcW w:w="4876" w:type="dxa"/>
            <w:hideMark/>
          </w:tcPr>
          <w:p w14:paraId="6ACA6742" w14:textId="61BC9577" w:rsidR="003663AF" w:rsidRPr="00B7760C" w:rsidRDefault="003663AF" w:rsidP="00E804B7">
            <w:pPr>
              <w:pStyle w:val="Normal6"/>
              <w:rPr>
                <w:szCs w:val="24"/>
              </w:rPr>
            </w:pPr>
            <w:r w:rsidRPr="00B7760C">
              <w:rPr>
                <w:vertAlign w:val="superscript"/>
              </w:rPr>
              <w:t>38</w:t>
            </w:r>
            <w:r w:rsidRPr="00B7760C">
              <w:t xml:space="preserve"> </w:t>
            </w:r>
            <w:r w:rsidR="00E804B7" w:rsidRPr="00B7760C">
              <w:tab/>
            </w:r>
            <w:r w:rsidRPr="00B7760C">
              <w:t>Predlog uredbe Sveta o večletnem finančnem okviru za obdobje 2021–2027, Sporočilo Komisije Evropskemu parlamentu, Svetu, Evropskemu ekonomsko-socialnemu odboru in Odboru regij, COM(2018)</w:t>
            </w:r>
            <w:r w:rsidR="00E804B7" w:rsidRPr="00B7760C">
              <w:t>0</w:t>
            </w:r>
            <w:r w:rsidRPr="00B7760C">
              <w:t>322.</w:t>
            </w:r>
          </w:p>
        </w:tc>
      </w:tr>
    </w:tbl>
    <w:p w14:paraId="73D9FB6E" w14:textId="77777777" w:rsidR="003663AF" w:rsidRPr="00B7760C" w:rsidRDefault="003663AF" w:rsidP="003663AF"/>
    <w:p w14:paraId="0C8F9A62" w14:textId="0F4F64D1" w:rsidR="003663AF" w:rsidRPr="00B7760C" w:rsidRDefault="00877691" w:rsidP="003663AF">
      <w:pPr>
        <w:pStyle w:val="AMNumberTabs"/>
        <w:keepNext/>
      </w:pPr>
      <w:r w:rsidRPr="00B7760C">
        <w:t>Sprememba</w:t>
      </w:r>
      <w:r w:rsidR="003663AF" w:rsidRPr="00B7760C">
        <w:tab/>
      </w:r>
      <w:r w:rsidR="003663AF" w:rsidRPr="00B7760C">
        <w:tab/>
        <w:t>534</w:t>
      </w:r>
    </w:p>
    <w:p w14:paraId="7C2258F8" w14:textId="77777777" w:rsidR="003663AF" w:rsidRPr="00B7760C" w:rsidRDefault="003663AF" w:rsidP="003663AF">
      <w:pPr>
        <w:pStyle w:val="NormalBold12b"/>
      </w:pPr>
      <w:r w:rsidRPr="00B7760C">
        <w:t>Predlog uredbe</w:t>
      </w:r>
    </w:p>
    <w:p w14:paraId="4CBC2B36" w14:textId="77777777" w:rsidR="003663AF" w:rsidRPr="00B7760C" w:rsidRDefault="003663AF" w:rsidP="003663AF">
      <w:pPr>
        <w:pStyle w:val="NormalBold"/>
      </w:pPr>
      <w:r w:rsidRPr="00B7760C">
        <w:t>Člen 85 – 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0528F46" w14:textId="77777777" w:rsidTr="00E804B7">
        <w:trPr>
          <w:jc w:val="center"/>
        </w:trPr>
        <w:tc>
          <w:tcPr>
            <w:tcW w:w="9752" w:type="dxa"/>
            <w:gridSpan w:val="2"/>
          </w:tcPr>
          <w:p w14:paraId="69D2A00A" w14:textId="77777777" w:rsidR="003663AF" w:rsidRPr="00B7760C" w:rsidRDefault="003663AF" w:rsidP="00E804B7">
            <w:pPr>
              <w:keepNext/>
            </w:pPr>
          </w:p>
        </w:tc>
      </w:tr>
      <w:tr w:rsidR="003663AF" w:rsidRPr="00B7760C" w14:paraId="612A4DF7" w14:textId="77777777" w:rsidTr="00E804B7">
        <w:trPr>
          <w:jc w:val="center"/>
        </w:trPr>
        <w:tc>
          <w:tcPr>
            <w:tcW w:w="4876" w:type="dxa"/>
            <w:hideMark/>
          </w:tcPr>
          <w:p w14:paraId="0A4F6300" w14:textId="77777777" w:rsidR="003663AF" w:rsidRPr="00B7760C" w:rsidRDefault="003663AF" w:rsidP="00E804B7">
            <w:pPr>
              <w:pStyle w:val="ColumnHeading"/>
              <w:keepNext/>
            </w:pPr>
            <w:r w:rsidRPr="00B7760C">
              <w:t>Besedilo, ki ga predlaga Komisija</w:t>
            </w:r>
          </w:p>
        </w:tc>
        <w:tc>
          <w:tcPr>
            <w:tcW w:w="4876" w:type="dxa"/>
            <w:hideMark/>
          </w:tcPr>
          <w:p w14:paraId="2295A010" w14:textId="73DB4ED5" w:rsidR="003663AF" w:rsidRPr="00B7760C" w:rsidRDefault="00877691" w:rsidP="00E804B7">
            <w:pPr>
              <w:pStyle w:val="ColumnHeading"/>
              <w:keepNext/>
            </w:pPr>
            <w:r w:rsidRPr="00B7760C">
              <w:t>Sprememba</w:t>
            </w:r>
          </w:p>
        </w:tc>
      </w:tr>
      <w:tr w:rsidR="003663AF" w:rsidRPr="00B7760C" w14:paraId="7706A202" w14:textId="77777777" w:rsidTr="00E804B7">
        <w:trPr>
          <w:jc w:val="center"/>
        </w:trPr>
        <w:tc>
          <w:tcPr>
            <w:tcW w:w="4876" w:type="dxa"/>
            <w:hideMark/>
          </w:tcPr>
          <w:p w14:paraId="2EFDF9DD" w14:textId="77777777" w:rsidR="003663AF" w:rsidRPr="00B7760C" w:rsidRDefault="003663AF" w:rsidP="00E804B7">
            <w:pPr>
              <w:pStyle w:val="Normal6"/>
            </w:pPr>
            <w:r w:rsidRPr="00B7760C">
              <w:t>1.</w:t>
            </w:r>
            <w:r w:rsidRPr="00B7760C">
              <w:tab/>
              <w:t xml:space="preserve">V strateških načrtih SKP je </w:t>
            </w:r>
            <w:r w:rsidRPr="00B7760C">
              <w:rPr>
                <w:b/>
                <w:i/>
              </w:rPr>
              <w:t xml:space="preserve">določena enotna stopnja prispevka </w:t>
            </w:r>
            <w:r w:rsidRPr="00B7760C">
              <w:t>EKSRP</w:t>
            </w:r>
            <w:r w:rsidRPr="00B7760C">
              <w:rPr>
                <w:b/>
                <w:i/>
              </w:rPr>
              <w:t xml:space="preserve">, ki velja za vse </w:t>
            </w:r>
            <w:r w:rsidRPr="00B7760C">
              <w:t>intervencije.</w:t>
            </w:r>
          </w:p>
        </w:tc>
        <w:tc>
          <w:tcPr>
            <w:tcW w:w="4876" w:type="dxa"/>
            <w:hideMark/>
          </w:tcPr>
          <w:p w14:paraId="606753CC" w14:textId="77777777" w:rsidR="003663AF" w:rsidRPr="00B7760C" w:rsidRDefault="003663AF" w:rsidP="00E804B7">
            <w:pPr>
              <w:pStyle w:val="Normal6"/>
              <w:rPr>
                <w:szCs w:val="24"/>
              </w:rPr>
            </w:pPr>
            <w:r w:rsidRPr="00B7760C">
              <w:t>1.</w:t>
            </w:r>
            <w:r w:rsidRPr="00B7760C">
              <w:tab/>
              <w:t xml:space="preserve">V strateških načrtih SKP je </w:t>
            </w:r>
            <w:r w:rsidRPr="00B7760C">
              <w:rPr>
                <w:b/>
                <w:i/>
              </w:rPr>
              <w:t xml:space="preserve">določen enotni prispevek </w:t>
            </w:r>
            <w:r w:rsidRPr="00B7760C">
              <w:t xml:space="preserve">EKSRP </w:t>
            </w:r>
            <w:r w:rsidRPr="00B7760C">
              <w:rPr>
                <w:b/>
                <w:i/>
              </w:rPr>
              <w:t xml:space="preserve">k podpori za </w:t>
            </w:r>
            <w:r w:rsidRPr="00B7760C">
              <w:t xml:space="preserve">intervencije </w:t>
            </w:r>
            <w:r w:rsidRPr="00B7760C">
              <w:rPr>
                <w:b/>
                <w:i/>
              </w:rPr>
              <w:t>v vseh regijah, ki ustrezajo ravni 2 po skupni klasifikaciji statističnih teritorialnih enot (v nadaljnjem besedilu: regije na ravni NUTS 2) iz Uredbe (ES) št. 1059/2003</w:t>
            </w:r>
            <w:r w:rsidRPr="00B7760C">
              <w:t>.</w:t>
            </w:r>
          </w:p>
        </w:tc>
      </w:tr>
    </w:tbl>
    <w:p w14:paraId="54820BF4" w14:textId="77777777" w:rsidR="003663AF" w:rsidRPr="00B7760C" w:rsidRDefault="003663AF" w:rsidP="003663AF"/>
    <w:p w14:paraId="1C1178C4" w14:textId="3F6C4853" w:rsidR="003663AF" w:rsidRPr="00B7760C" w:rsidRDefault="00877691" w:rsidP="003663AF">
      <w:pPr>
        <w:pStyle w:val="AMNumberTabs"/>
        <w:keepNext/>
      </w:pPr>
      <w:r w:rsidRPr="00B7760C">
        <w:t>Sprememba</w:t>
      </w:r>
      <w:r w:rsidR="003663AF" w:rsidRPr="00B7760C">
        <w:tab/>
      </w:r>
      <w:r w:rsidR="003663AF" w:rsidRPr="00B7760C">
        <w:tab/>
        <w:t>535</w:t>
      </w:r>
    </w:p>
    <w:p w14:paraId="6552CAF9" w14:textId="77777777" w:rsidR="003663AF" w:rsidRPr="00B7760C" w:rsidRDefault="003663AF" w:rsidP="003663AF">
      <w:pPr>
        <w:pStyle w:val="NormalBold12b"/>
      </w:pPr>
      <w:r w:rsidRPr="00B7760C">
        <w:t>Predlog uredbe</w:t>
      </w:r>
    </w:p>
    <w:p w14:paraId="34418F25" w14:textId="77777777" w:rsidR="003663AF" w:rsidRPr="00B7760C" w:rsidRDefault="003663AF" w:rsidP="003663AF">
      <w:pPr>
        <w:pStyle w:val="NormalBold"/>
      </w:pPr>
      <w:r w:rsidRPr="00B7760C">
        <w:t>Člen 85 – odstavek 1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9078864" w14:textId="77777777" w:rsidTr="00E804B7">
        <w:trPr>
          <w:jc w:val="center"/>
        </w:trPr>
        <w:tc>
          <w:tcPr>
            <w:tcW w:w="9752" w:type="dxa"/>
            <w:gridSpan w:val="2"/>
          </w:tcPr>
          <w:p w14:paraId="521D4C5E" w14:textId="77777777" w:rsidR="003663AF" w:rsidRPr="00B7760C" w:rsidRDefault="003663AF" w:rsidP="00E804B7">
            <w:pPr>
              <w:keepNext/>
            </w:pPr>
          </w:p>
        </w:tc>
      </w:tr>
      <w:tr w:rsidR="003663AF" w:rsidRPr="00B7760C" w14:paraId="47E895CF" w14:textId="77777777" w:rsidTr="00E804B7">
        <w:trPr>
          <w:jc w:val="center"/>
        </w:trPr>
        <w:tc>
          <w:tcPr>
            <w:tcW w:w="4876" w:type="dxa"/>
            <w:hideMark/>
          </w:tcPr>
          <w:p w14:paraId="410840CA" w14:textId="77777777" w:rsidR="003663AF" w:rsidRPr="00B7760C" w:rsidRDefault="003663AF" w:rsidP="00E804B7">
            <w:pPr>
              <w:pStyle w:val="ColumnHeading"/>
              <w:keepNext/>
            </w:pPr>
            <w:r w:rsidRPr="00B7760C">
              <w:t>Besedilo, ki ga predlaga Komisija</w:t>
            </w:r>
          </w:p>
        </w:tc>
        <w:tc>
          <w:tcPr>
            <w:tcW w:w="4876" w:type="dxa"/>
            <w:hideMark/>
          </w:tcPr>
          <w:p w14:paraId="74AA64C3" w14:textId="2A2E25E5" w:rsidR="003663AF" w:rsidRPr="00B7760C" w:rsidRDefault="00877691" w:rsidP="00E804B7">
            <w:pPr>
              <w:pStyle w:val="ColumnHeading"/>
              <w:keepNext/>
            </w:pPr>
            <w:r w:rsidRPr="00B7760C">
              <w:t>Sprememba</w:t>
            </w:r>
          </w:p>
        </w:tc>
      </w:tr>
      <w:tr w:rsidR="003663AF" w:rsidRPr="00B7760C" w14:paraId="31DA3C8A" w14:textId="77777777" w:rsidTr="00E804B7">
        <w:trPr>
          <w:jc w:val="center"/>
        </w:trPr>
        <w:tc>
          <w:tcPr>
            <w:tcW w:w="4876" w:type="dxa"/>
          </w:tcPr>
          <w:p w14:paraId="40C80189" w14:textId="77777777" w:rsidR="003663AF" w:rsidRPr="00B7760C" w:rsidRDefault="003663AF" w:rsidP="00E804B7">
            <w:pPr>
              <w:pStyle w:val="Normal6"/>
            </w:pPr>
          </w:p>
        </w:tc>
        <w:tc>
          <w:tcPr>
            <w:tcW w:w="4876" w:type="dxa"/>
            <w:hideMark/>
          </w:tcPr>
          <w:p w14:paraId="53EFCEB8" w14:textId="77777777" w:rsidR="003663AF" w:rsidRPr="00B7760C" w:rsidRDefault="003663AF" w:rsidP="00E804B7">
            <w:pPr>
              <w:pStyle w:val="Normal6"/>
              <w:rPr>
                <w:szCs w:val="24"/>
              </w:rPr>
            </w:pPr>
            <w:r w:rsidRPr="00B7760C">
              <w:rPr>
                <w:b/>
                <w:i/>
              </w:rPr>
              <w:t>1a.</w:t>
            </w:r>
            <w:r w:rsidRPr="00B7760C">
              <w:rPr>
                <w:b/>
                <w:i/>
              </w:rPr>
              <w:tab/>
              <w:t>Sredstva iz EKSRP se razdelijo med naslednje tri kategorije regij na ravni NUTS 2:</w:t>
            </w:r>
          </w:p>
        </w:tc>
      </w:tr>
      <w:tr w:rsidR="003663AF" w:rsidRPr="00B7760C" w14:paraId="6F549064" w14:textId="77777777" w:rsidTr="00E804B7">
        <w:trPr>
          <w:jc w:val="center"/>
        </w:trPr>
        <w:tc>
          <w:tcPr>
            <w:tcW w:w="4876" w:type="dxa"/>
          </w:tcPr>
          <w:p w14:paraId="1C514FDA" w14:textId="77777777" w:rsidR="003663AF" w:rsidRPr="00B7760C" w:rsidRDefault="003663AF" w:rsidP="00E804B7">
            <w:pPr>
              <w:pStyle w:val="Normal6"/>
            </w:pPr>
          </w:p>
        </w:tc>
        <w:tc>
          <w:tcPr>
            <w:tcW w:w="4876" w:type="dxa"/>
            <w:hideMark/>
          </w:tcPr>
          <w:p w14:paraId="7671303D" w14:textId="77777777" w:rsidR="003663AF" w:rsidRPr="00B7760C" w:rsidRDefault="003663AF" w:rsidP="00E804B7">
            <w:pPr>
              <w:pStyle w:val="Normal6"/>
              <w:rPr>
                <w:szCs w:val="24"/>
              </w:rPr>
            </w:pPr>
            <w:r w:rsidRPr="00B7760C">
              <w:rPr>
                <w:b/>
                <w:i/>
              </w:rPr>
              <w:t xml:space="preserve">(a) </w:t>
            </w:r>
            <w:r w:rsidRPr="00B7760C">
              <w:rPr>
                <w:b/>
                <w:i/>
              </w:rPr>
              <w:tab/>
              <w:t>manj razvite regije, katerih BDP na prebivalca je nižji od 75 % povprečnega BDP EU-27 („manj razvite regije“);</w:t>
            </w:r>
          </w:p>
        </w:tc>
      </w:tr>
      <w:tr w:rsidR="003663AF" w:rsidRPr="00B7760C" w14:paraId="6926E252" w14:textId="77777777" w:rsidTr="00E804B7">
        <w:trPr>
          <w:jc w:val="center"/>
        </w:trPr>
        <w:tc>
          <w:tcPr>
            <w:tcW w:w="4876" w:type="dxa"/>
          </w:tcPr>
          <w:p w14:paraId="1A342C77" w14:textId="77777777" w:rsidR="003663AF" w:rsidRPr="00B7760C" w:rsidRDefault="003663AF" w:rsidP="00E804B7">
            <w:pPr>
              <w:pStyle w:val="Normal6"/>
            </w:pPr>
          </w:p>
        </w:tc>
        <w:tc>
          <w:tcPr>
            <w:tcW w:w="4876" w:type="dxa"/>
            <w:hideMark/>
          </w:tcPr>
          <w:p w14:paraId="5E9A8681" w14:textId="77777777" w:rsidR="003663AF" w:rsidRPr="00B7760C" w:rsidRDefault="003663AF" w:rsidP="00E804B7">
            <w:pPr>
              <w:pStyle w:val="Normal6"/>
              <w:rPr>
                <w:szCs w:val="24"/>
              </w:rPr>
            </w:pPr>
            <w:r w:rsidRPr="00B7760C">
              <w:rPr>
                <w:b/>
                <w:i/>
              </w:rPr>
              <w:t xml:space="preserve">(b) </w:t>
            </w:r>
            <w:r w:rsidRPr="00B7760C">
              <w:rPr>
                <w:b/>
                <w:i/>
              </w:rPr>
              <w:tab/>
              <w:t>regije v prehodu, katerih BDP na prebivalca se giblje med 75 % in 100 % povprečnega BDP EU-27 („regije v prehodu“);</w:t>
            </w:r>
          </w:p>
        </w:tc>
      </w:tr>
      <w:tr w:rsidR="003663AF" w:rsidRPr="00B7760C" w14:paraId="1013AA54" w14:textId="77777777" w:rsidTr="00E804B7">
        <w:trPr>
          <w:jc w:val="center"/>
        </w:trPr>
        <w:tc>
          <w:tcPr>
            <w:tcW w:w="4876" w:type="dxa"/>
          </w:tcPr>
          <w:p w14:paraId="13C54D5E" w14:textId="77777777" w:rsidR="003663AF" w:rsidRPr="00B7760C" w:rsidRDefault="003663AF" w:rsidP="00E804B7">
            <w:pPr>
              <w:pStyle w:val="Normal6"/>
            </w:pPr>
          </w:p>
        </w:tc>
        <w:tc>
          <w:tcPr>
            <w:tcW w:w="4876" w:type="dxa"/>
            <w:hideMark/>
          </w:tcPr>
          <w:p w14:paraId="1335C001" w14:textId="77777777" w:rsidR="003663AF" w:rsidRPr="00B7760C" w:rsidRDefault="003663AF" w:rsidP="00E804B7">
            <w:pPr>
              <w:pStyle w:val="Normal6"/>
              <w:rPr>
                <w:szCs w:val="24"/>
              </w:rPr>
            </w:pPr>
            <w:r w:rsidRPr="00B7760C">
              <w:rPr>
                <w:b/>
                <w:i/>
              </w:rPr>
              <w:t xml:space="preserve">(c) </w:t>
            </w:r>
            <w:r w:rsidRPr="00B7760C">
              <w:rPr>
                <w:b/>
                <w:i/>
              </w:rPr>
              <w:tab/>
              <w:t>bolj razvite regije, katerih BDP na prebivalca presega 100 % povprečnega BDP EU-27 („bolj razvite regije“).</w:t>
            </w:r>
          </w:p>
        </w:tc>
      </w:tr>
      <w:tr w:rsidR="003663AF" w:rsidRPr="00B7760C" w14:paraId="2C892169" w14:textId="77777777" w:rsidTr="00E804B7">
        <w:trPr>
          <w:jc w:val="center"/>
        </w:trPr>
        <w:tc>
          <w:tcPr>
            <w:tcW w:w="4876" w:type="dxa"/>
          </w:tcPr>
          <w:p w14:paraId="5D7A0253" w14:textId="77777777" w:rsidR="003663AF" w:rsidRPr="00B7760C" w:rsidRDefault="003663AF" w:rsidP="00E804B7">
            <w:pPr>
              <w:pStyle w:val="Normal6"/>
            </w:pPr>
          </w:p>
        </w:tc>
        <w:tc>
          <w:tcPr>
            <w:tcW w:w="4876" w:type="dxa"/>
            <w:hideMark/>
          </w:tcPr>
          <w:p w14:paraId="2CB811A1" w14:textId="77777777" w:rsidR="003663AF" w:rsidRPr="00B7760C" w:rsidRDefault="003663AF" w:rsidP="00E804B7">
            <w:pPr>
              <w:pStyle w:val="Normal6"/>
              <w:rPr>
                <w:szCs w:val="24"/>
              </w:rPr>
            </w:pPr>
            <w:r w:rsidRPr="00B7760C">
              <w:rPr>
                <w:b/>
                <w:i/>
              </w:rPr>
              <w:t>Razvrstitev regij v eno teh treh kategorij se določi glede na BDP na prebivalca posamezne regije, merjen po standardih kupne moči in izračunan na podlagi podatkov Unije za obdobje 2014–2016, v primerjavi s povprečnim BDP EU-27 za isto referenčno obdobje.</w:t>
            </w:r>
          </w:p>
        </w:tc>
      </w:tr>
    </w:tbl>
    <w:p w14:paraId="23D37D68" w14:textId="77777777" w:rsidR="003663AF" w:rsidRPr="00B7760C" w:rsidRDefault="003663AF" w:rsidP="003663AF"/>
    <w:p w14:paraId="037EC478" w14:textId="477087A6" w:rsidR="003663AF" w:rsidRPr="00B7760C" w:rsidRDefault="00877691" w:rsidP="003663AF">
      <w:pPr>
        <w:pStyle w:val="AMNumberTabs"/>
        <w:keepNext/>
      </w:pPr>
      <w:r w:rsidRPr="00B7760C">
        <w:t>Sprememba</w:t>
      </w:r>
      <w:r w:rsidR="003663AF" w:rsidRPr="00B7760C">
        <w:tab/>
      </w:r>
      <w:r w:rsidR="003663AF" w:rsidRPr="00B7760C">
        <w:tab/>
        <w:t>536</w:t>
      </w:r>
    </w:p>
    <w:p w14:paraId="3143E039" w14:textId="77777777" w:rsidR="003663AF" w:rsidRPr="00B7760C" w:rsidRDefault="003663AF" w:rsidP="003663AF">
      <w:pPr>
        <w:pStyle w:val="NormalBold12b"/>
      </w:pPr>
      <w:r w:rsidRPr="00B7760C">
        <w:t>Predlog uredbe</w:t>
      </w:r>
    </w:p>
    <w:p w14:paraId="13FDC021" w14:textId="77777777" w:rsidR="003663AF" w:rsidRPr="00B7760C" w:rsidRDefault="003663AF" w:rsidP="003663AF">
      <w:pPr>
        <w:pStyle w:val="NormalBold"/>
      </w:pPr>
      <w:r w:rsidRPr="00B7760C">
        <w:t>Člen 85 – odstavek 2 – pododstavek 1 – točka 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868D33F" w14:textId="77777777" w:rsidTr="00E804B7">
        <w:trPr>
          <w:jc w:val="center"/>
        </w:trPr>
        <w:tc>
          <w:tcPr>
            <w:tcW w:w="9752" w:type="dxa"/>
            <w:gridSpan w:val="2"/>
          </w:tcPr>
          <w:p w14:paraId="08C0682A" w14:textId="77777777" w:rsidR="003663AF" w:rsidRPr="00B7760C" w:rsidRDefault="003663AF" w:rsidP="00E804B7">
            <w:pPr>
              <w:keepNext/>
            </w:pPr>
          </w:p>
        </w:tc>
      </w:tr>
      <w:tr w:rsidR="003663AF" w:rsidRPr="00B7760C" w14:paraId="2F384F23" w14:textId="77777777" w:rsidTr="00E804B7">
        <w:trPr>
          <w:jc w:val="center"/>
        </w:trPr>
        <w:tc>
          <w:tcPr>
            <w:tcW w:w="4876" w:type="dxa"/>
            <w:hideMark/>
          </w:tcPr>
          <w:p w14:paraId="487CF65F" w14:textId="77777777" w:rsidR="003663AF" w:rsidRPr="00B7760C" w:rsidRDefault="003663AF" w:rsidP="00E804B7">
            <w:pPr>
              <w:pStyle w:val="ColumnHeading"/>
              <w:keepNext/>
            </w:pPr>
            <w:r w:rsidRPr="00B7760C">
              <w:t>Besedilo, ki ga predlaga Komisija</w:t>
            </w:r>
          </w:p>
        </w:tc>
        <w:tc>
          <w:tcPr>
            <w:tcW w:w="4876" w:type="dxa"/>
            <w:hideMark/>
          </w:tcPr>
          <w:p w14:paraId="7D047638" w14:textId="4310D3C1" w:rsidR="003663AF" w:rsidRPr="00B7760C" w:rsidRDefault="00877691" w:rsidP="00E804B7">
            <w:pPr>
              <w:pStyle w:val="ColumnHeading"/>
              <w:keepNext/>
            </w:pPr>
            <w:r w:rsidRPr="00B7760C">
              <w:t>Sprememba</w:t>
            </w:r>
          </w:p>
        </w:tc>
      </w:tr>
      <w:tr w:rsidR="003663AF" w:rsidRPr="00B7760C" w14:paraId="3802F44A" w14:textId="77777777" w:rsidTr="00E804B7">
        <w:trPr>
          <w:jc w:val="center"/>
        </w:trPr>
        <w:tc>
          <w:tcPr>
            <w:tcW w:w="4876" w:type="dxa"/>
            <w:hideMark/>
          </w:tcPr>
          <w:p w14:paraId="1E40B0E2" w14:textId="77777777" w:rsidR="003663AF" w:rsidRPr="00B7760C" w:rsidRDefault="003663AF" w:rsidP="00E804B7">
            <w:pPr>
              <w:pStyle w:val="Normal6"/>
            </w:pPr>
            <w:r w:rsidRPr="00B7760C">
              <w:t>(a)</w:t>
            </w:r>
            <w:r w:rsidRPr="00B7760C">
              <w:tab/>
            </w:r>
            <w:r w:rsidRPr="00B7760C">
              <w:rPr>
                <w:b/>
                <w:i/>
              </w:rPr>
              <w:t>70</w:t>
            </w:r>
            <w:r w:rsidRPr="00B7760C">
              <w:t> % upravičenih javnih odhodkov v najbolj oddaljenih regijah in na manjših egejskih otokih v smislu Uredbe (EU) št. 229/2013;</w:t>
            </w:r>
          </w:p>
        </w:tc>
        <w:tc>
          <w:tcPr>
            <w:tcW w:w="4876" w:type="dxa"/>
            <w:hideMark/>
          </w:tcPr>
          <w:p w14:paraId="32CE864D" w14:textId="77777777" w:rsidR="003663AF" w:rsidRPr="00B7760C" w:rsidRDefault="003663AF" w:rsidP="00E804B7">
            <w:pPr>
              <w:pStyle w:val="Normal6"/>
              <w:rPr>
                <w:szCs w:val="24"/>
              </w:rPr>
            </w:pPr>
            <w:r w:rsidRPr="00B7760C">
              <w:t>(a)</w:t>
            </w:r>
            <w:r w:rsidRPr="00B7760C">
              <w:tab/>
            </w:r>
            <w:r w:rsidRPr="00B7760C">
              <w:rPr>
                <w:b/>
                <w:i/>
              </w:rPr>
              <w:t>85</w:t>
            </w:r>
            <w:r w:rsidRPr="00B7760C">
              <w:t> % upravičenih javnih odhodkov v najbolj oddaljenih regijah in na manjših egejskih otokih v smislu Uredbe (EU) št. 229/2013;</w:t>
            </w:r>
          </w:p>
        </w:tc>
      </w:tr>
    </w:tbl>
    <w:p w14:paraId="64629D30" w14:textId="77777777" w:rsidR="003663AF" w:rsidRPr="00B7760C" w:rsidRDefault="003663AF" w:rsidP="003663AF"/>
    <w:p w14:paraId="36352044" w14:textId="779874E4" w:rsidR="003663AF" w:rsidRPr="00B7760C" w:rsidRDefault="00877691" w:rsidP="003663AF">
      <w:pPr>
        <w:pStyle w:val="AMNumberTabs"/>
        <w:keepNext/>
      </w:pPr>
      <w:r w:rsidRPr="00B7760C">
        <w:t>Sprememba</w:t>
      </w:r>
      <w:r w:rsidR="003663AF" w:rsidRPr="00B7760C">
        <w:tab/>
      </w:r>
      <w:r w:rsidR="003663AF" w:rsidRPr="00B7760C">
        <w:tab/>
        <w:t>537</w:t>
      </w:r>
    </w:p>
    <w:p w14:paraId="2F23A4C6" w14:textId="77777777" w:rsidR="003663AF" w:rsidRPr="00B7760C" w:rsidRDefault="003663AF" w:rsidP="003663AF">
      <w:pPr>
        <w:pStyle w:val="NormalBold12b"/>
      </w:pPr>
      <w:r w:rsidRPr="00B7760C">
        <w:t>Predlog uredbe</w:t>
      </w:r>
    </w:p>
    <w:p w14:paraId="05751221" w14:textId="77777777" w:rsidR="003663AF" w:rsidRPr="00B7760C" w:rsidRDefault="003663AF" w:rsidP="003663AF">
      <w:pPr>
        <w:pStyle w:val="NormalBold"/>
      </w:pPr>
      <w:r w:rsidRPr="00B7760C">
        <w:t>Člen 85 – odstavek 2 – pododstavek 1 – točka b</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5B908B4" w14:textId="77777777" w:rsidTr="00E804B7">
        <w:trPr>
          <w:jc w:val="center"/>
        </w:trPr>
        <w:tc>
          <w:tcPr>
            <w:tcW w:w="9752" w:type="dxa"/>
            <w:gridSpan w:val="2"/>
          </w:tcPr>
          <w:p w14:paraId="7745396D" w14:textId="77777777" w:rsidR="003663AF" w:rsidRPr="00B7760C" w:rsidRDefault="003663AF" w:rsidP="00E804B7">
            <w:pPr>
              <w:keepNext/>
            </w:pPr>
          </w:p>
        </w:tc>
      </w:tr>
      <w:tr w:rsidR="003663AF" w:rsidRPr="00B7760C" w14:paraId="081F3DD2" w14:textId="77777777" w:rsidTr="00E804B7">
        <w:trPr>
          <w:jc w:val="center"/>
        </w:trPr>
        <w:tc>
          <w:tcPr>
            <w:tcW w:w="4876" w:type="dxa"/>
            <w:hideMark/>
          </w:tcPr>
          <w:p w14:paraId="168FAFD8" w14:textId="77777777" w:rsidR="003663AF" w:rsidRPr="00B7760C" w:rsidRDefault="003663AF" w:rsidP="00E804B7">
            <w:pPr>
              <w:pStyle w:val="ColumnHeading"/>
              <w:keepNext/>
            </w:pPr>
            <w:r w:rsidRPr="00B7760C">
              <w:t>Besedilo, ki ga predlaga Komisija</w:t>
            </w:r>
          </w:p>
        </w:tc>
        <w:tc>
          <w:tcPr>
            <w:tcW w:w="4876" w:type="dxa"/>
            <w:hideMark/>
          </w:tcPr>
          <w:p w14:paraId="2159ABC4" w14:textId="2EC9509B" w:rsidR="003663AF" w:rsidRPr="00B7760C" w:rsidRDefault="00877691" w:rsidP="00E804B7">
            <w:pPr>
              <w:pStyle w:val="ColumnHeading"/>
              <w:keepNext/>
            </w:pPr>
            <w:r w:rsidRPr="00B7760C">
              <w:t>Sprememba</w:t>
            </w:r>
          </w:p>
        </w:tc>
      </w:tr>
      <w:tr w:rsidR="003663AF" w:rsidRPr="00B7760C" w14:paraId="0E4DE4DA" w14:textId="77777777" w:rsidTr="00E804B7">
        <w:trPr>
          <w:jc w:val="center"/>
        </w:trPr>
        <w:tc>
          <w:tcPr>
            <w:tcW w:w="4876" w:type="dxa"/>
            <w:hideMark/>
          </w:tcPr>
          <w:p w14:paraId="31935CEF" w14:textId="77777777" w:rsidR="003663AF" w:rsidRPr="00B7760C" w:rsidRDefault="003663AF" w:rsidP="00E804B7">
            <w:pPr>
              <w:pStyle w:val="Normal6"/>
            </w:pPr>
            <w:r w:rsidRPr="00B7760C">
              <w:t>(b)</w:t>
            </w:r>
            <w:r w:rsidRPr="00B7760C">
              <w:tab/>
            </w:r>
            <w:r w:rsidRPr="00B7760C">
              <w:rPr>
                <w:b/>
                <w:i/>
              </w:rPr>
              <w:t>70 </w:t>
            </w:r>
            <w:r w:rsidRPr="00B7760C">
              <w:t>% upravičenih javnih odhodkov v manj razvitih regijah;</w:t>
            </w:r>
          </w:p>
        </w:tc>
        <w:tc>
          <w:tcPr>
            <w:tcW w:w="4876" w:type="dxa"/>
            <w:hideMark/>
          </w:tcPr>
          <w:p w14:paraId="7D6106C6" w14:textId="77777777" w:rsidR="003663AF" w:rsidRPr="00B7760C" w:rsidRDefault="003663AF" w:rsidP="00E804B7">
            <w:pPr>
              <w:pStyle w:val="Normal6"/>
              <w:rPr>
                <w:szCs w:val="24"/>
              </w:rPr>
            </w:pPr>
            <w:r w:rsidRPr="00B7760C">
              <w:t>(b)</w:t>
            </w:r>
            <w:r w:rsidRPr="00B7760C">
              <w:tab/>
            </w:r>
            <w:r w:rsidRPr="00B7760C">
              <w:rPr>
                <w:b/>
                <w:i/>
              </w:rPr>
              <w:t>85 </w:t>
            </w:r>
            <w:r w:rsidRPr="00B7760C">
              <w:t>% upravičenih javnih odhodkov v manj razvitih regijah;</w:t>
            </w:r>
          </w:p>
        </w:tc>
      </w:tr>
    </w:tbl>
    <w:p w14:paraId="5D5129AE" w14:textId="77777777" w:rsidR="003663AF" w:rsidRPr="00B7760C" w:rsidRDefault="003663AF" w:rsidP="003663AF"/>
    <w:p w14:paraId="0DB8D1AE" w14:textId="7C2614DC" w:rsidR="003663AF" w:rsidRPr="00B7760C" w:rsidRDefault="00877691" w:rsidP="003663AF">
      <w:pPr>
        <w:pStyle w:val="AMNumberTabs"/>
        <w:keepNext/>
      </w:pPr>
      <w:r w:rsidRPr="00B7760C">
        <w:t>Sprememba</w:t>
      </w:r>
      <w:r w:rsidR="003663AF" w:rsidRPr="00B7760C">
        <w:tab/>
      </w:r>
      <w:r w:rsidR="003663AF" w:rsidRPr="00B7760C">
        <w:tab/>
        <w:t>538</w:t>
      </w:r>
    </w:p>
    <w:p w14:paraId="0650AF0C" w14:textId="77777777" w:rsidR="003663AF" w:rsidRPr="00B7760C" w:rsidRDefault="003663AF" w:rsidP="003663AF">
      <w:pPr>
        <w:pStyle w:val="NormalBold12b"/>
      </w:pPr>
      <w:r w:rsidRPr="00B7760C">
        <w:t>Predlog uredbe</w:t>
      </w:r>
    </w:p>
    <w:p w14:paraId="605800A0" w14:textId="77777777" w:rsidR="003663AF" w:rsidRPr="00B7760C" w:rsidRDefault="003663AF" w:rsidP="003663AF">
      <w:pPr>
        <w:pStyle w:val="NormalBold"/>
      </w:pPr>
      <w:r w:rsidRPr="00B7760C">
        <w:t>Člen 85 – odstavek 2 – pododstavek 1 – točka b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FB6D178" w14:textId="77777777" w:rsidTr="00E804B7">
        <w:trPr>
          <w:jc w:val="center"/>
        </w:trPr>
        <w:tc>
          <w:tcPr>
            <w:tcW w:w="9752" w:type="dxa"/>
            <w:gridSpan w:val="2"/>
          </w:tcPr>
          <w:p w14:paraId="2B1CECD8" w14:textId="77777777" w:rsidR="003663AF" w:rsidRPr="00B7760C" w:rsidRDefault="003663AF" w:rsidP="00E804B7">
            <w:pPr>
              <w:keepNext/>
            </w:pPr>
          </w:p>
        </w:tc>
      </w:tr>
      <w:tr w:rsidR="003663AF" w:rsidRPr="00B7760C" w14:paraId="271D0ADC" w14:textId="77777777" w:rsidTr="00E804B7">
        <w:trPr>
          <w:jc w:val="center"/>
        </w:trPr>
        <w:tc>
          <w:tcPr>
            <w:tcW w:w="4876" w:type="dxa"/>
            <w:hideMark/>
          </w:tcPr>
          <w:p w14:paraId="738EA881" w14:textId="77777777" w:rsidR="003663AF" w:rsidRPr="00B7760C" w:rsidRDefault="003663AF" w:rsidP="00E804B7">
            <w:pPr>
              <w:pStyle w:val="ColumnHeading"/>
              <w:keepNext/>
            </w:pPr>
            <w:r w:rsidRPr="00B7760C">
              <w:t>Besedilo, ki ga predlaga Komisija</w:t>
            </w:r>
          </w:p>
        </w:tc>
        <w:tc>
          <w:tcPr>
            <w:tcW w:w="4876" w:type="dxa"/>
            <w:hideMark/>
          </w:tcPr>
          <w:p w14:paraId="42E35ABE" w14:textId="5BFB31DC" w:rsidR="003663AF" w:rsidRPr="00B7760C" w:rsidRDefault="00877691" w:rsidP="00E804B7">
            <w:pPr>
              <w:pStyle w:val="ColumnHeading"/>
              <w:keepNext/>
            </w:pPr>
            <w:r w:rsidRPr="00B7760C">
              <w:t>Sprememba</w:t>
            </w:r>
          </w:p>
        </w:tc>
      </w:tr>
      <w:tr w:rsidR="003663AF" w:rsidRPr="00B7760C" w14:paraId="2B8B0C24" w14:textId="77777777" w:rsidTr="00E804B7">
        <w:trPr>
          <w:jc w:val="center"/>
        </w:trPr>
        <w:tc>
          <w:tcPr>
            <w:tcW w:w="4876" w:type="dxa"/>
          </w:tcPr>
          <w:p w14:paraId="2036599D" w14:textId="77777777" w:rsidR="003663AF" w:rsidRPr="00B7760C" w:rsidRDefault="003663AF" w:rsidP="00E804B7">
            <w:pPr>
              <w:pStyle w:val="Normal6"/>
            </w:pPr>
          </w:p>
        </w:tc>
        <w:tc>
          <w:tcPr>
            <w:tcW w:w="4876" w:type="dxa"/>
            <w:hideMark/>
          </w:tcPr>
          <w:p w14:paraId="60189EA5" w14:textId="77777777" w:rsidR="003663AF" w:rsidRPr="00B7760C" w:rsidRDefault="003663AF" w:rsidP="00E804B7">
            <w:pPr>
              <w:pStyle w:val="Normal6"/>
              <w:rPr>
                <w:szCs w:val="24"/>
              </w:rPr>
            </w:pPr>
            <w:r w:rsidRPr="00B7760C">
              <w:rPr>
                <w:b/>
                <w:i/>
              </w:rPr>
              <w:t>(ba)</w:t>
            </w:r>
            <w:r w:rsidRPr="00B7760C">
              <w:rPr>
                <w:b/>
                <w:i/>
              </w:rPr>
              <w:tab/>
              <w:t>65 % za regije v prehodu;</w:t>
            </w:r>
          </w:p>
        </w:tc>
      </w:tr>
    </w:tbl>
    <w:p w14:paraId="105D7FA6" w14:textId="77777777" w:rsidR="003663AF" w:rsidRPr="00B7760C" w:rsidRDefault="003663AF" w:rsidP="003663AF"/>
    <w:p w14:paraId="6DF6AA1D" w14:textId="4EB49B2A" w:rsidR="003663AF" w:rsidRPr="00B7760C" w:rsidRDefault="00877691" w:rsidP="003663AF">
      <w:pPr>
        <w:pStyle w:val="AMNumberTabs"/>
        <w:keepNext/>
      </w:pPr>
      <w:r w:rsidRPr="00B7760C">
        <w:t>Sprememba</w:t>
      </w:r>
      <w:r w:rsidR="003663AF" w:rsidRPr="00B7760C">
        <w:tab/>
      </w:r>
      <w:r w:rsidR="003663AF" w:rsidRPr="00B7760C">
        <w:tab/>
        <w:t>539</w:t>
      </w:r>
    </w:p>
    <w:p w14:paraId="2AE91E30" w14:textId="77777777" w:rsidR="003663AF" w:rsidRPr="00B7760C" w:rsidRDefault="003663AF" w:rsidP="003663AF">
      <w:pPr>
        <w:pStyle w:val="NormalBold12b"/>
      </w:pPr>
      <w:r w:rsidRPr="00B7760C">
        <w:t>Predlog uredbe</w:t>
      </w:r>
    </w:p>
    <w:p w14:paraId="4C37D075" w14:textId="77777777" w:rsidR="003663AF" w:rsidRPr="00B7760C" w:rsidRDefault="003663AF" w:rsidP="003663AF">
      <w:pPr>
        <w:pStyle w:val="NormalBold"/>
      </w:pPr>
      <w:r w:rsidRPr="00B7760C">
        <w:t>Člen 85 – odstavek 2 – pododstavek 1 – točka c</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5623C83" w14:textId="77777777" w:rsidTr="00E804B7">
        <w:trPr>
          <w:jc w:val="center"/>
        </w:trPr>
        <w:tc>
          <w:tcPr>
            <w:tcW w:w="9752" w:type="dxa"/>
            <w:gridSpan w:val="2"/>
          </w:tcPr>
          <w:p w14:paraId="1444FB1D" w14:textId="77777777" w:rsidR="003663AF" w:rsidRPr="00B7760C" w:rsidRDefault="003663AF" w:rsidP="00E804B7">
            <w:pPr>
              <w:keepNext/>
            </w:pPr>
          </w:p>
        </w:tc>
      </w:tr>
      <w:tr w:rsidR="003663AF" w:rsidRPr="00B7760C" w14:paraId="28A1FEB7" w14:textId="77777777" w:rsidTr="00E804B7">
        <w:trPr>
          <w:jc w:val="center"/>
        </w:trPr>
        <w:tc>
          <w:tcPr>
            <w:tcW w:w="4876" w:type="dxa"/>
            <w:hideMark/>
          </w:tcPr>
          <w:p w14:paraId="14B8312E" w14:textId="77777777" w:rsidR="003663AF" w:rsidRPr="00B7760C" w:rsidRDefault="003663AF" w:rsidP="00E804B7">
            <w:pPr>
              <w:pStyle w:val="ColumnHeading"/>
              <w:keepNext/>
            </w:pPr>
            <w:r w:rsidRPr="00B7760C">
              <w:t>Besedilo, ki ga predlaga Komisija</w:t>
            </w:r>
          </w:p>
        </w:tc>
        <w:tc>
          <w:tcPr>
            <w:tcW w:w="4876" w:type="dxa"/>
            <w:hideMark/>
          </w:tcPr>
          <w:p w14:paraId="79435F0A" w14:textId="01B176B9" w:rsidR="003663AF" w:rsidRPr="00B7760C" w:rsidRDefault="00877691" w:rsidP="00E804B7">
            <w:pPr>
              <w:pStyle w:val="ColumnHeading"/>
              <w:keepNext/>
            </w:pPr>
            <w:r w:rsidRPr="00B7760C">
              <w:t>Sprememba</w:t>
            </w:r>
          </w:p>
        </w:tc>
      </w:tr>
      <w:tr w:rsidR="003663AF" w:rsidRPr="00B7760C" w14:paraId="5C8B3EA0" w14:textId="77777777" w:rsidTr="00E804B7">
        <w:trPr>
          <w:jc w:val="center"/>
        </w:trPr>
        <w:tc>
          <w:tcPr>
            <w:tcW w:w="4876" w:type="dxa"/>
            <w:hideMark/>
          </w:tcPr>
          <w:p w14:paraId="69B58486" w14:textId="77777777" w:rsidR="003663AF" w:rsidRPr="00B7760C" w:rsidRDefault="003663AF" w:rsidP="00E804B7">
            <w:pPr>
              <w:pStyle w:val="Normal6"/>
            </w:pPr>
            <w:r w:rsidRPr="00B7760C">
              <w:t>(c)</w:t>
            </w:r>
            <w:r w:rsidRPr="00B7760C">
              <w:tab/>
            </w:r>
            <w:r w:rsidRPr="00B7760C">
              <w:rPr>
                <w:b/>
                <w:i/>
              </w:rPr>
              <w:t>65</w:t>
            </w:r>
            <w:r w:rsidRPr="00B7760C">
              <w:t> % upravičenih odhodkov za plačila iz člena 66;</w:t>
            </w:r>
          </w:p>
        </w:tc>
        <w:tc>
          <w:tcPr>
            <w:tcW w:w="4876" w:type="dxa"/>
            <w:hideMark/>
          </w:tcPr>
          <w:p w14:paraId="73AA04E8" w14:textId="77777777" w:rsidR="003663AF" w:rsidRPr="00B7760C" w:rsidRDefault="003663AF" w:rsidP="00E804B7">
            <w:pPr>
              <w:pStyle w:val="Normal6"/>
              <w:rPr>
                <w:szCs w:val="24"/>
              </w:rPr>
            </w:pPr>
            <w:r w:rsidRPr="00B7760C">
              <w:t>(c)</w:t>
            </w:r>
            <w:r w:rsidRPr="00B7760C">
              <w:tab/>
            </w:r>
            <w:r w:rsidRPr="00B7760C">
              <w:rPr>
                <w:b/>
                <w:i/>
              </w:rPr>
              <w:t>75</w:t>
            </w:r>
            <w:r w:rsidRPr="00B7760C">
              <w:t> % upravičenih odhodkov za plačila iz člena 66;</w:t>
            </w:r>
          </w:p>
        </w:tc>
      </w:tr>
    </w:tbl>
    <w:p w14:paraId="64EE7430" w14:textId="77777777" w:rsidR="003663AF" w:rsidRPr="00B7760C" w:rsidRDefault="003663AF" w:rsidP="003663AF"/>
    <w:p w14:paraId="2AEC3D24" w14:textId="1024503B" w:rsidR="003663AF" w:rsidRPr="00B7760C" w:rsidRDefault="00877691" w:rsidP="003663AF">
      <w:pPr>
        <w:pStyle w:val="AMNumberTabs"/>
        <w:keepNext/>
      </w:pPr>
      <w:r w:rsidRPr="00B7760C">
        <w:t>Sprememba</w:t>
      </w:r>
      <w:r w:rsidR="003663AF" w:rsidRPr="00B7760C">
        <w:tab/>
      </w:r>
      <w:r w:rsidR="003663AF" w:rsidRPr="00B7760C">
        <w:tab/>
        <w:t>540</w:t>
      </w:r>
    </w:p>
    <w:p w14:paraId="43F2508A" w14:textId="77777777" w:rsidR="003663AF" w:rsidRPr="00B7760C" w:rsidRDefault="003663AF" w:rsidP="003663AF">
      <w:pPr>
        <w:pStyle w:val="NormalBold12b"/>
      </w:pPr>
      <w:r w:rsidRPr="00B7760C">
        <w:t>Predlog uredbe</w:t>
      </w:r>
    </w:p>
    <w:p w14:paraId="42089C65" w14:textId="77777777" w:rsidR="003663AF" w:rsidRPr="00B7760C" w:rsidRDefault="003663AF" w:rsidP="003663AF">
      <w:pPr>
        <w:pStyle w:val="NormalBold"/>
      </w:pPr>
      <w:r w:rsidRPr="00B7760C">
        <w:t>Člen 85 – odstavek 2 – pododstavek 1 – točka d</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0C81BEE" w14:textId="77777777" w:rsidTr="00E804B7">
        <w:trPr>
          <w:jc w:val="center"/>
        </w:trPr>
        <w:tc>
          <w:tcPr>
            <w:tcW w:w="9752" w:type="dxa"/>
            <w:gridSpan w:val="2"/>
          </w:tcPr>
          <w:p w14:paraId="5F64957F" w14:textId="77777777" w:rsidR="003663AF" w:rsidRPr="00B7760C" w:rsidRDefault="003663AF" w:rsidP="00E804B7">
            <w:pPr>
              <w:keepNext/>
            </w:pPr>
          </w:p>
        </w:tc>
      </w:tr>
      <w:tr w:rsidR="003663AF" w:rsidRPr="00B7760C" w14:paraId="02BAEE02" w14:textId="77777777" w:rsidTr="00E804B7">
        <w:trPr>
          <w:jc w:val="center"/>
        </w:trPr>
        <w:tc>
          <w:tcPr>
            <w:tcW w:w="4876" w:type="dxa"/>
            <w:hideMark/>
          </w:tcPr>
          <w:p w14:paraId="07E4376E" w14:textId="77777777" w:rsidR="003663AF" w:rsidRPr="00B7760C" w:rsidRDefault="003663AF" w:rsidP="00E804B7">
            <w:pPr>
              <w:pStyle w:val="ColumnHeading"/>
              <w:keepNext/>
            </w:pPr>
            <w:r w:rsidRPr="00B7760C">
              <w:t>Besedilo, ki ga predlaga Komisija</w:t>
            </w:r>
          </w:p>
        </w:tc>
        <w:tc>
          <w:tcPr>
            <w:tcW w:w="4876" w:type="dxa"/>
            <w:hideMark/>
          </w:tcPr>
          <w:p w14:paraId="592F32C1" w14:textId="5C26A3AD" w:rsidR="003663AF" w:rsidRPr="00B7760C" w:rsidRDefault="00877691" w:rsidP="00E804B7">
            <w:pPr>
              <w:pStyle w:val="ColumnHeading"/>
              <w:keepNext/>
            </w:pPr>
            <w:r w:rsidRPr="00B7760C">
              <w:t>Sprememba</w:t>
            </w:r>
          </w:p>
        </w:tc>
      </w:tr>
      <w:tr w:rsidR="003663AF" w:rsidRPr="00B7760C" w14:paraId="4FA67D19" w14:textId="77777777" w:rsidTr="00E804B7">
        <w:trPr>
          <w:jc w:val="center"/>
        </w:trPr>
        <w:tc>
          <w:tcPr>
            <w:tcW w:w="4876" w:type="dxa"/>
            <w:hideMark/>
          </w:tcPr>
          <w:p w14:paraId="584978AC" w14:textId="77777777" w:rsidR="003663AF" w:rsidRPr="00B7760C" w:rsidRDefault="003663AF" w:rsidP="00E804B7">
            <w:pPr>
              <w:pStyle w:val="Normal6"/>
            </w:pPr>
            <w:r w:rsidRPr="00B7760C">
              <w:t>(d)</w:t>
            </w:r>
            <w:r w:rsidRPr="00B7760C">
              <w:tab/>
            </w:r>
            <w:r w:rsidRPr="00B7760C">
              <w:rPr>
                <w:b/>
                <w:i/>
              </w:rPr>
              <w:t>43</w:t>
            </w:r>
            <w:r w:rsidRPr="00B7760C">
              <w:t> % upravičenih javnih odhodkov v drugih regijah.</w:t>
            </w:r>
          </w:p>
        </w:tc>
        <w:tc>
          <w:tcPr>
            <w:tcW w:w="4876" w:type="dxa"/>
            <w:hideMark/>
          </w:tcPr>
          <w:p w14:paraId="15A7564D" w14:textId="77777777" w:rsidR="003663AF" w:rsidRPr="00B7760C" w:rsidRDefault="003663AF" w:rsidP="00E804B7">
            <w:pPr>
              <w:pStyle w:val="Normal6"/>
              <w:rPr>
                <w:szCs w:val="24"/>
              </w:rPr>
            </w:pPr>
            <w:r w:rsidRPr="00B7760C">
              <w:t>(d)</w:t>
            </w:r>
            <w:r w:rsidRPr="00B7760C">
              <w:tab/>
            </w:r>
            <w:r w:rsidRPr="00B7760C">
              <w:rPr>
                <w:b/>
                <w:i/>
              </w:rPr>
              <w:t>53</w:t>
            </w:r>
            <w:r w:rsidRPr="00B7760C">
              <w:t> % upravičenih javnih odhodkov v drugih regijah.</w:t>
            </w:r>
          </w:p>
        </w:tc>
      </w:tr>
    </w:tbl>
    <w:p w14:paraId="4119F99B" w14:textId="77777777" w:rsidR="003663AF" w:rsidRPr="00B7760C" w:rsidRDefault="003663AF" w:rsidP="003663AF"/>
    <w:p w14:paraId="1C897AC4" w14:textId="51621630" w:rsidR="003663AF" w:rsidRPr="00B7760C" w:rsidRDefault="00877691" w:rsidP="003663AF">
      <w:pPr>
        <w:pStyle w:val="AMNumberTabs"/>
        <w:keepNext/>
      </w:pPr>
      <w:r w:rsidRPr="00B7760C">
        <w:t>Sprememba</w:t>
      </w:r>
      <w:r w:rsidR="003663AF" w:rsidRPr="00B7760C">
        <w:tab/>
      </w:r>
      <w:r w:rsidR="003663AF" w:rsidRPr="00B7760C">
        <w:tab/>
        <w:t>541</w:t>
      </w:r>
    </w:p>
    <w:p w14:paraId="6137614E" w14:textId="77777777" w:rsidR="003663AF" w:rsidRPr="00B7760C" w:rsidRDefault="003663AF" w:rsidP="003663AF">
      <w:pPr>
        <w:pStyle w:val="NormalBold12b"/>
      </w:pPr>
      <w:r w:rsidRPr="00B7760C">
        <w:t>Predlog uredbe</w:t>
      </w:r>
    </w:p>
    <w:p w14:paraId="249CDEB4" w14:textId="77777777" w:rsidR="003663AF" w:rsidRPr="00B7760C" w:rsidRDefault="003663AF" w:rsidP="003663AF">
      <w:pPr>
        <w:pStyle w:val="NormalBold"/>
      </w:pPr>
      <w:r w:rsidRPr="00B7760C">
        <w:t>Člen 85 – odstavek 3 – točka 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1EA09E1" w14:textId="77777777" w:rsidTr="00E804B7">
        <w:trPr>
          <w:jc w:val="center"/>
        </w:trPr>
        <w:tc>
          <w:tcPr>
            <w:tcW w:w="9752" w:type="dxa"/>
            <w:gridSpan w:val="2"/>
          </w:tcPr>
          <w:p w14:paraId="3118726A" w14:textId="77777777" w:rsidR="003663AF" w:rsidRPr="00B7760C" w:rsidRDefault="003663AF" w:rsidP="00E804B7">
            <w:pPr>
              <w:keepNext/>
            </w:pPr>
          </w:p>
        </w:tc>
      </w:tr>
      <w:tr w:rsidR="003663AF" w:rsidRPr="00B7760C" w14:paraId="7FC97649" w14:textId="77777777" w:rsidTr="00E804B7">
        <w:trPr>
          <w:jc w:val="center"/>
        </w:trPr>
        <w:tc>
          <w:tcPr>
            <w:tcW w:w="4876" w:type="dxa"/>
            <w:hideMark/>
          </w:tcPr>
          <w:p w14:paraId="5A89A725" w14:textId="77777777" w:rsidR="003663AF" w:rsidRPr="00B7760C" w:rsidRDefault="003663AF" w:rsidP="00E804B7">
            <w:pPr>
              <w:pStyle w:val="ColumnHeading"/>
              <w:keepNext/>
            </w:pPr>
            <w:r w:rsidRPr="00B7760C">
              <w:t>Besedilo, ki ga predlaga Komisija</w:t>
            </w:r>
          </w:p>
        </w:tc>
        <w:tc>
          <w:tcPr>
            <w:tcW w:w="4876" w:type="dxa"/>
            <w:hideMark/>
          </w:tcPr>
          <w:p w14:paraId="6DDE2F4C" w14:textId="3AFA1052" w:rsidR="003663AF" w:rsidRPr="00B7760C" w:rsidRDefault="00877691" w:rsidP="00E804B7">
            <w:pPr>
              <w:pStyle w:val="ColumnHeading"/>
              <w:keepNext/>
            </w:pPr>
            <w:r w:rsidRPr="00B7760C">
              <w:t>Sprememba</w:t>
            </w:r>
          </w:p>
        </w:tc>
      </w:tr>
      <w:tr w:rsidR="003663AF" w:rsidRPr="00B7760C" w14:paraId="504BBC30" w14:textId="77777777" w:rsidTr="00E804B7">
        <w:trPr>
          <w:jc w:val="center"/>
        </w:trPr>
        <w:tc>
          <w:tcPr>
            <w:tcW w:w="4876" w:type="dxa"/>
            <w:hideMark/>
          </w:tcPr>
          <w:p w14:paraId="6ECBBC23" w14:textId="77777777" w:rsidR="003663AF" w:rsidRPr="00B7760C" w:rsidRDefault="003663AF" w:rsidP="00E804B7">
            <w:pPr>
              <w:pStyle w:val="Normal6"/>
            </w:pPr>
            <w:r w:rsidRPr="00B7760C">
              <w:t>(a)</w:t>
            </w:r>
            <w:r w:rsidRPr="00B7760C">
              <w:tab/>
            </w:r>
            <w:r w:rsidRPr="00B7760C">
              <w:rPr>
                <w:b/>
                <w:i/>
              </w:rPr>
              <w:t>80</w:t>
            </w:r>
            <w:r w:rsidRPr="00B7760C">
              <w:t> % za upravljavske obveznosti iz člena 65 te uredbe, za plačila iz člena 67 te uredbe, za neproduktivne naložbe iz člena 68 te uredbe, za podporo evropskemu inovacijskemu partnerstvu iz člena 71 te uredbe in za LEADER, tj. lokalni razvoj, ki ga vodi skupnost, iz člena 25 Uredbe (EU) [uredba o skupnih določbah];</w:t>
            </w:r>
          </w:p>
        </w:tc>
        <w:tc>
          <w:tcPr>
            <w:tcW w:w="4876" w:type="dxa"/>
            <w:hideMark/>
          </w:tcPr>
          <w:p w14:paraId="18FD8108" w14:textId="77777777" w:rsidR="003663AF" w:rsidRPr="00B7760C" w:rsidRDefault="003663AF" w:rsidP="00E804B7">
            <w:pPr>
              <w:pStyle w:val="Normal6"/>
              <w:rPr>
                <w:szCs w:val="24"/>
              </w:rPr>
            </w:pPr>
            <w:r w:rsidRPr="00B7760C">
              <w:t>(a)</w:t>
            </w:r>
            <w:r w:rsidRPr="00B7760C">
              <w:tab/>
            </w:r>
            <w:r w:rsidRPr="00B7760C">
              <w:rPr>
                <w:b/>
                <w:i/>
              </w:rPr>
              <w:t>90</w:t>
            </w:r>
            <w:r w:rsidRPr="00B7760C">
              <w:t xml:space="preserve"> % za upravljavske obveznosti iz člena 65 te uredbe, za plačila iz člena 67 te uredbe, za neproduktivne naložbe iz člena 68 te uredbe, </w:t>
            </w:r>
            <w:r w:rsidRPr="00B7760C">
              <w:rPr>
                <w:b/>
                <w:i/>
              </w:rPr>
              <w:t xml:space="preserve">povezane s pogozdovanjem ter specifičnimi okoljskimi in podnebnimi cilji, navedenimi v točkah (d), (e) in (f) člena 6(1), za operacije iz točke (a) člena 69(2), </w:t>
            </w:r>
            <w:r w:rsidRPr="00B7760C">
              <w:t>za podporo evropskemu inovacijskemu partnerstvu iz člena 71 te uredbe in za LEADER, tj. lokalni razvoj, ki ga vodi skupnost, iz člena 25 Uredbe (EU) [uredba o skupnih določbah]</w:t>
            </w:r>
            <w:r w:rsidRPr="00B7760C">
              <w:rPr>
                <w:b/>
                <w:i/>
              </w:rPr>
              <w:t>, za operacije iz člena 72, za operacije, ki jih podpirajo finančni instrumenti, za ukrepe iz člena 72a in za neposeljena območja</w:t>
            </w:r>
            <w:r w:rsidRPr="00B7760C">
              <w:t>;</w:t>
            </w:r>
          </w:p>
        </w:tc>
      </w:tr>
    </w:tbl>
    <w:p w14:paraId="047F64B1" w14:textId="77777777" w:rsidR="003663AF" w:rsidRPr="00B7760C" w:rsidRDefault="003663AF" w:rsidP="003663AF"/>
    <w:p w14:paraId="26469951" w14:textId="2650EE4F" w:rsidR="003663AF" w:rsidRPr="00B7760C" w:rsidRDefault="00877691" w:rsidP="003663AF">
      <w:pPr>
        <w:pStyle w:val="AMNumberTabs"/>
        <w:keepNext/>
      </w:pPr>
      <w:r w:rsidRPr="00B7760C">
        <w:t>Sprememba</w:t>
      </w:r>
      <w:r w:rsidR="003663AF" w:rsidRPr="00B7760C">
        <w:tab/>
      </w:r>
      <w:r w:rsidR="003663AF" w:rsidRPr="00B7760C">
        <w:tab/>
        <w:t>542</w:t>
      </w:r>
    </w:p>
    <w:p w14:paraId="7D74890C" w14:textId="77777777" w:rsidR="003663AF" w:rsidRPr="00B7760C" w:rsidRDefault="003663AF" w:rsidP="003663AF">
      <w:pPr>
        <w:pStyle w:val="NormalBold12b"/>
      </w:pPr>
      <w:r w:rsidRPr="00B7760C">
        <w:t>Predlog uredbe</w:t>
      </w:r>
    </w:p>
    <w:p w14:paraId="7ABA7C47" w14:textId="77777777" w:rsidR="003663AF" w:rsidRPr="00B7760C" w:rsidRDefault="003663AF" w:rsidP="003663AF">
      <w:pPr>
        <w:pStyle w:val="NormalBold"/>
      </w:pPr>
      <w:r w:rsidRPr="00B7760C">
        <w:t>Člen 85 – odstavek 3 – točka b</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41D8DF0" w14:textId="77777777" w:rsidTr="00E804B7">
        <w:trPr>
          <w:jc w:val="center"/>
        </w:trPr>
        <w:tc>
          <w:tcPr>
            <w:tcW w:w="9752" w:type="dxa"/>
            <w:gridSpan w:val="2"/>
          </w:tcPr>
          <w:p w14:paraId="5F3EB7C9" w14:textId="77777777" w:rsidR="003663AF" w:rsidRPr="00B7760C" w:rsidRDefault="003663AF" w:rsidP="00E804B7">
            <w:pPr>
              <w:keepNext/>
            </w:pPr>
          </w:p>
        </w:tc>
      </w:tr>
      <w:tr w:rsidR="003663AF" w:rsidRPr="00B7760C" w14:paraId="37556589" w14:textId="77777777" w:rsidTr="00E804B7">
        <w:trPr>
          <w:jc w:val="center"/>
        </w:trPr>
        <w:tc>
          <w:tcPr>
            <w:tcW w:w="4876" w:type="dxa"/>
            <w:hideMark/>
          </w:tcPr>
          <w:p w14:paraId="7CDAE396" w14:textId="77777777" w:rsidR="003663AF" w:rsidRPr="00B7760C" w:rsidRDefault="003663AF" w:rsidP="00E804B7">
            <w:pPr>
              <w:pStyle w:val="ColumnHeading"/>
              <w:keepNext/>
            </w:pPr>
            <w:r w:rsidRPr="00B7760C">
              <w:t>Besedilo, ki ga predlaga Komisija</w:t>
            </w:r>
          </w:p>
        </w:tc>
        <w:tc>
          <w:tcPr>
            <w:tcW w:w="4876" w:type="dxa"/>
            <w:hideMark/>
          </w:tcPr>
          <w:p w14:paraId="7459E28E" w14:textId="09D32259" w:rsidR="003663AF" w:rsidRPr="00B7760C" w:rsidRDefault="00877691" w:rsidP="00E804B7">
            <w:pPr>
              <w:pStyle w:val="ColumnHeading"/>
              <w:keepNext/>
            </w:pPr>
            <w:r w:rsidRPr="00B7760C">
              <w:t>Sprememba</w:t>
            </w:r>
          </w:p>
        </w:tc>
      </w:tr>
      <w:tr w:rsidR="003663AF" w:rsidRPr="00B7760C" w14:paraId="43EA0893" w14:textId="77777777" w:rsidTr="00E804B7">
        <w:trPr>
          <w:jc w:val="center"/>
        </w:trPr>
        <w:tc>
          <w:tcPr>
            <w:tcW w:w="4876" w:type="dxa"/>
            <w:hideMark/>
          </w:tcPr>
          <w:p w14:paraId="62250DA9" w14:textId="77777777" w:rsidR="003663AF" w:rsidRPr="00B7760C" w:rsidRDefault="003663AF" w:rsidP="00E804B7">
            <w:pPr>
              <w:pStyle w:val="Normal6"/>
            </w:pPr>
            <w:r w:rsidRPr="00B7760C">
              <w:t>(b)</w:t>
            </w:r>
            <w:r w:rsidRPr="00B7760C">
              <w:tab/>
              <w:t xml:space="preserve">100 % za operacije, ki so financirane iz sredstev, prerazporejenih v EKSRP v skladu s </w:t>
            </w:r>
            <w:r w:rsidRPr="00B7760C">
              <w:rPr>
                <w:b/>
                <w:i/>
              </w:rPr>
              <w:t>členoma 15 in</w:t>
            </w:r>
            <w:r w:rsidRPr="00B7760C">
              <w:t xml:space="preserve"> 90 te uredbe.</w:t>
            </w:r>
          </w:p>
        </w:tc>
        <w:tc>
          <w:tcPr>
            <w:tcW w:w="4876" w:type="dxa"/>
            <w:hideMark/>
          </w:tcPr>
          <w:p w14:paraId="428A04E1" w14:textId="77777777" w:rsidR="003663AF" w:rsidRPr="00B7760C" w:rsidRDefault="003663AF" w:rsidP="00E804B7">
            <w:pPr>
              <w:pStyle w:val="Normal6"/>
              <w:rPr>
                <w:szCs w:val="24"/>
              </w:rPr>
            </w:pPr>
            <w:r w:rsidRPr="00B7760C">
              <w:t>(b)</w:t>
            </w:r>
            <w:r w:rsidRPr="00B7760C">
              <w:tab/>
              <w:t xml:space="preserve">100 % za operacije, ki so financirane iz sredstev, prerazporejenih v EKSRP v skladu s </w:t>
            </w:r>
            <w:r w:rsidRPr="00B7760C">
              <w:rPr>
                <w:b/>
                <w:i/>
              </w:rPr>
              <w:t>členom</w:t>
            </w:r>
            <w:r w:rsidRPr="00B7760C">
              <w:t xml:space="preserve"> 90 te uredbe</w:t>
            </w:r>
            <w:r w:rsidRPr="00B7760C">
              <w:rPr>
                <w:b/>
                <w:i/>
              </w:rPr>
              <w:t>, kadar navedene operacije zajemajo specifične okoljske in podnebne cilje iz točk (d), (e) in (f) člena 6(1)</w:t>
            </w:r>
            <w:r w:rsidRPr="00B7760C">
              <w:t>.</w:t>
            </w:r>
          </w:p>
        </w:tc>
      </w:tr>
    </w:tbl>
    <w:p w14:paraId="0457CB45" w14:textId="77777777" w:rsidR="003663AF" w:rsidRPr="00B7760C" w:rsidRDefault="003663AF" w:rsidP="003663AF"/>
    <w:p w14:paraId="50C01F2B" w14:textId="5D45D0B5" w:rsidR="00EB559D" w:rsidRPr="00B7760C" w:rsidRDefault="00EB559D" w:rsidP="003663AF"/>
    <w:p w14:paraId="5F2A5070" w14:textId="4F319AB8" w:rsidR="00EB559D" w:rsidRPr="00B7760C" w:rsidRDefault="00497D69" w:rsidP="00EB559D">
      <w:pPr>
        <w:pStyle w:val="AmNumberTabs0"/>
      </w:pPr>
      <w:r w:rsidRPr="00B7760C">
        <w:t>Sprememba</w:t>
      </w:r>
      <w:r w:rsidR="00EB559D" w:rsidRPr="00B7760C">
        <w:tab/>
      </w:r>
      <w:r w:rsidR="00EB559D" w:rsidRPr="00B7760C">
        <w:tab/>
        <w:t>1134</w:t>
      </w:r>
    </w:p>
    <w:p w14:paraId="755CD1D8" w14:textId="77777777" w:rsidR="00EB559D" w:rsidRPr="00B7760C" w:rsidRDefault="00EB559D" w:rsidP="00EB559D">
      <w:pPr>
        <w:pStyle w:val="NormalBold12b"/>
      </w:pPr>
      <w:r w:rsidRPr="00B7760C">
        <w:t>Predlog uredbe</w:t>
      </w:r>
    </w:p>
    <w:p w14:paraId="04EB40A9" w14:textId="77777777" w:rsidR="00EB559D" w:rsidRPr="00B7760C" w:rsidRDefault="00EB559D" w:rsidP="00EB559D">
      <w:pPr>
        <w:pStyle w:val="NormalBold"/>
      </w:pPr>
      <w:r w:rsidRPr="00B7760C">
        <w:t>Člen 86</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EB559D" w:rsidRPr="00B7760C" w14:paraId="685624FE" w14:textId="77777777" w:rsidTr="004F0B88">
        <w:trPr>
          <w:jc w:val="center"/>
        </w:trPr>
        <w:tc>
          <w:tcPr>
            <w:tcW w:w="9752" w:type="dxa"/>
            <w:gridSpan w:val="2"/>
          </w:tcPr>
          <w:p w14:paraId="501C4A2B" w14:textId="77777777" w:rsidR="00EB559D" w:rsidRPr="00B7760C" w:rsidRDefault="00EB559D" w:rsidP="004F0B88">
            <w:pPr>
              <w:keepNext/>
            </w:pPr>
          </w:p>
        </w:tc>
      </w:tr>
      <w:tr w:rsidR="00EB559D" w:rsidRPr="00B7760C" w14:paraId="3EF2E7FE" w14:textId="77777777" w:rsidTr="004F0B88">
        <w:trPr>
          <w:jc w:val="center"/>
        </w:trPr>
        <w:tc>
          <w:tcPr>
            <w:tcW w:w="4876" w:type="dxa"/>
          </w:tcPr>
          <w:p w14:paraId="4BD60827" w14:textId="77777777" w:rsidR="00EB559D" w:rsidRPr="00B7760C" w:rsidRDefault="00EB559D" w:rsidP="004F0B88">
            <w:pPr>
              <w:pStyle w:val="AmColumnHeading"/>
              <w:keepNext/>
            </w:pPr>
            <w:r w:rsidRPr="00B7760C">
              <w:t>Besedilo, ki ga predlaga Komisija</w:t>
            </w:r>
          </w:p>
        </w:tc>
        <w:tc>
          <w:tcPr>
            <w:tcW w:w="4876" w:type="dxa"/>
          </w:tcPr>
          <w:p w14:paraId="6D039EE0" w14:textId="4F96F997" w:rsidR="00EB559D" w:rsidRPr="00B7760C" w:rsidRDefault="00497D69" w:rsidP="004F0B88">
            <w:pPr>
              <w:pStyle w:val="AmColumnHeading"/>
              <w:keepNext/>
            </w:pPr>
            <w:r w:rsidRPr="00B7760C">
              <w:t>S</w:t>
            </w:r>
            <w:r w:rsidR="00EB559D" w:rsidRPr="00B7760C">
              <w:t>prememb</w:t>
            </w:r>
            <w:r w:rsidRPr="00B7760C">
              <w:t>a</w:t>
            </w:r>
          </w:p>
        </w:tc>
      </w:tr>
      <w:tr w:rsidR="00EB559D" w:rsidRPr="00B7760C" w14:paraId="2198F135" w14:textId="77777777" w:rsidTr="004F0B88">
        <w:trPr>
          <w:jc w:val="center"/>
        </w:trPr>
        <w:tc>
          <w:tcPr>
            <w:tcW w:w="4876" w:type="dxa"/>
          </w:tcPr>
          <w:p w14:paraId="07BAD56A" w14:textId="77777777" w:rsidR="00EB559D" w:rsidRPr="00B7760C" w:rsidRDefault="00EB559D" w:rsidP="004F0B88">
            <w:pPr>
              <w:pStyle w:val="Normal6a"/>
              <w:jc w:val="center"/>
            </w:pPr>
            <w:r w:rsidRPr="00B7760C">
              <w:t>Člen 86</w:t>
            </w:r>
          </w:p>
        </w:tc>
        <w:tc>
          <w:tcPr>
            <w:tcW w:w="4876" w:type="dxa"/>
          </w:tcPr>
          <w:p w14:paraId="259A0AB1" w14:textId="77777777" w:rsidR="00EB559D" w:rsidRPr="00B7760C" w:rsidRDefault="00EB559D" w:rsidP="004F0B88">
            <w:pPr>
              <w:pStyle w:val="Normal6a"/>
              <w:jc w:val="center"/>
              <w:rPr>
                <w:szCs w:val="24"/>
              </w:rPr>
            </w:pPr>
            <w:r w:rsidRPr="00B7760C">
              <w:t>Člen 86</w:t>
            </w:r>
          </w:p>
        </w:tc>
      </w:tr>
      <w:tr w:rsidR="00EB559D" w:rsidRPr="00B7760C" w14:paraId="1223987B" w14:textId="77777777" w:rsidTr="004F0B88">
        <w:trPr>
          <w:jc w:val="center"/>
        </w:trPr>
        <w:tc>
          <w:tcPr>
            <w:tcW w:w="4876" w:type="dxa"/>
          </w:tcPr>
          <w:p w14:paraId="036A4DFB" w14:textId="77777777" w:rsidR="00EB559D" w:rsidRPr="00B7760C" w:rsidRDefault="00EB559D" w:rsidP="004F0B88">
            <w:pPr>
              <w:pStyle w:val="Normal6a"/>
              <w:jc w:val="center"/>
            </w:pPr>
            <w:r w:rsidRPr="00B7760C">
              <w:t>Najnižja in najvišja dodeljena finančna sredstva</w:t>
            </w:r>
          </w:p>
        </w:tc>
        <w:tc>
          <w:tcPr>
            <w:tcW w:w="4876" w:type="dxa"/>
          </w:tcPr>
          <w:p w14:paraId="203E53DA" w14:textId="77777777" w:rsidR="00EB559D" w:rsidRPr="00B7760C" w:rsidRDefault="00EB559D" w:rsidP="004F0B88">
            <w:pPr>
              <w:pStyle w:val="Normal6a"/>
              <w:jc w:val="center"/>
            </w:pPr>
            <w:r w:rsidRPr="00B7760C">
              <w:t>Najnižja in najvišja dodeljena finančna sredstva</w:t>
            </w:r>
          </w:p>
        </w:tc>
      </w:tr>
      <w:tr w:rsidR="00EB559D" w:rsidRPr="00B7760C" w14:paraId="69E3DADA" w14:textId="77777777" w:rsidTr="004F0B88">
        <w:tblPrEx>
          <w:tblLook w:val="04A0" w:firstRow="1" w:lastRow="0" w:firstColumn="1" w:lastColumn="0" w:noHBand="0" w:noVBand="1"/>
        </w:tblPrEx>
        <w:trPr>
          <w:jc w:val="center"/>
        </w:trPr>
        <w:tc>
          <w:tcPr>
            <w:tcW w:w="4876" w:type="dxa"/>
            <w:hideMark/>
          </w:tcPr>
          <w:p w14:paraId="7A9D68B1" w14:textId="77777777" w:rsidR="00EB559D" w:rsidRPr="00B7760C" w:rsidRDefault="00EB559D" w:rsidP="004F0B88">
            <w:pPr>
              <w:pStyle w:val="Normal6"/>
            </w:pPr>
            <w:r w:rsidRPr="00B7760C">
              <w:t>1.</w:t>
            </w:r>
            <w:r w:rsidRPr="00B7760C">
              <w:tab/>
              <w:t>Najmanj 5 % celotnega prispevka EKSRP za strateški načrt SKP iz Priloge IX se rezervira za LEADER, tj. lokalni razvoj, ki ga vodi skupnost, iz člena 25 Uredbe (EU) [uredba o skupnih določbah].</w:t>
            </w:r>
          </w:p>
        </w:tc>
        <w:tc>
          <w:tcPr>
            <w:tcW w:w="4876" w:type="dxa"/>
            <w:hideMark/>
          </w:tcPr>
          <w:p w14:paraId="03C64F7B" w14:textId="77777777" w:rsidR="00EB559D" w:rsidRPr="00B7760C" w:rsidRDefault="00EB559D" w:rsidP="004F0B88">
            <w:pPr>
              <w:pStyle w:val="Normal6"/>
              <w:rPr>
                <w:szCs w:val="24"/>
              </w:rPr>
            </w:pPr>
            <w:r w:rsidRPr="00B7760C">
              <w:t>1.</w:t>
            </w:r>
            <w:r w:rsidRPr="00B7760C">
              <w:tab/>
              <w:t>Najmanj 5 % celotnega prispevka EKSRP za strateški načrt SKP iz Priloge IX se rezervira za LEADER, tj. lokalni razvoj, ki ga vodi skupnost, iz člena 25 Uredbe (EU) [uredba o skupnih določbah].</w:t>
            </w:r>
          </w:p>
        </w:tc>
      </w:tr>
      <w:tr w:rsidR="00EB559D" w:rsidRPr="00B7760C" w14:paraId="7D9B3CCF" w14:textId="77777777" w:rsidTr="004F0B88">
        <w:tblPrEx>
          <w:tblLook w:val="04A0" w:firstRow="1" w:lastRow="0" w:firstColumn="1" w:lastColumn="0" w:noHBand="0" w:noVBand="1"/>
        </w:tblPrEx>
        <w:trPr>
          <w:jc w:val="center"/>
        </w:trPr>
        <w:tc>
          <w:tcPr>
            <w:tcW w:w="4876" w:type="dxa"/>
            <w:hideMark/>
          </w:tcPr>
          <w:p w14:paraId="654FCDBC" w14:textId="32831E71" w:rsidR="00EB559D" w:rsidRPr="00B7760C" w:rsidRDefault="00EB559D" w:rsidP="004F0B88">
            <w:pPr>
              <w:pStyle w:val="Normal6"/>
            </w:pPr>
            <w:r w:rsidRPr="00B7760C">
              <w:t>2.</w:t>
            </w:r>
            <w:r w:rsidRPr="00B7760C">
              <w:tab/>
            </w:r>
            <w:r w:rsidR="00497D69" w:rsidRPr="00B7760C">
              <w:t xml:space="preserve">Najmanj </w:t>
            </w:r>
            <w:r w:rsidR="00497D69" w:rsidRPr="00B7760C">
              <w:rPr>
                <w:b/>
                <w:i/>
              </w:rPr>
              <w:t>30</w:t>
            </w:r>
            <w:r w:rsidR="00497D69" w:rsidRPr="00B7760C">
              <w:t xml:space="preserve"> % celotnega prispevka EKSRP za strateški načrt SKP iz Priloge IX se rezervira za </w:t>
            </w:r>
            <w:r w:rsidR="00497D69" w:rsidRPr="00B7760C">
              <w:rPr>
                <w:b/>
                <w:i/>
              </w:rPr>
              <w:t>intervencije</w:t>
            </w:r>
            <w:r w:rsidR="00497D69" w:rsidRPr="00B7760C">
              <w:t xml:space="preserve"> za obravnavanje specifičnih okoljskih in podnebnih ciljev iz točk (d), (e)</w:t>
            </w:r>
            <w:r w:rsidR="00497D69" w:rsidRPr="00B7760C">
              <w:rPr>
                <w:b/>
                <w:i/>
              </w:rPr>
              <w:t xml:space="preserve"> in (f)</w:t>
            </w:r>
            <w:r w:rsidR="00497D69" w:rsidRPr="00B7760C">
              <w:t xml:space="preserve"> člena 6(1) te uredbe</w:t>
            </w:r>
            <w:r w:rsidR="00497D69" w:rsidRPr="00B7760C">
              <w:rPr>
                <w:b/>
                <w:i/>
              </w:rPr>
              <w:t>, razen intervencij na podlagi</w:t>
            </w:r>
            <w:r w:rsidR="00497D69" w:rsidRPr="00B7760C">
              <w:t xml:space="preserve"> </w:t>
            </w:r>
            <w:r w:rsidR="00497D69" w:rsidRPr="00B7760C">
              <w:rPr>
                <w:b/>
                <w:i/>
              </w:rPr>
              <w:t>člena</w:t>
            </w:r>
            <w:r w:rsidR="00497D69" w:rsidRPr="00B7760C">
              <w:t> 66.</w:t>
            </w:r>
          </w:p>
        </w:tc>
        <w:tc>
          <w:tcPr>
            <w:tcW w:w="4876" w:type="dxa"/>
            <w:hideMark/>
          </w:tcPr>
          <w:p w14:paraId="41949EC2" w14:textId="0116D655" w:rsidR="00EB559D" w:rsidRPr="00B7760C" w:rsidRDefault="00EB559D" w:rsidP="004F0B88">
            <w:pPr>
              <w:pStyle w:val="Normal6"/>
              <w:rPr>
                <w:szCs w:val="24"/>
              </w:rPr>
            </w:pPr>
            <w:r w:rsidRPr="00B7760C">
              <w:t>2.</w:t>
            </w:r>
            <w:r w:rsidRPr="00B7760C">
              <w:tab/>
            </w:r>
            <w:r w:rsidR="00497D69" w:rsidRPr="00B7760C">
              <w:t xml:space="preserve">Najmanj </w:t>
            </w:r>
            <w:r w:rsidR="00497D69" w:rsidRPr="00B7760C">
              <w:rPr>
                <w:b/>
                <w:i/>
              </w:rPr>
              <w:t>35</w:t>
            </w:r>
            <w:r w:rsidR="00497D69" w:rsidRPr="00B7760C">
              <w:t> % celotnega prispevka EKSRP za strateški načrt SKP iz Priloge IX se rezervira za</w:t>
            </w:r>
            <w:r w:rsidR="00497D69" w:rsidRPr="00B7760C">
              <w:rPr>
                <w:b/>
                <w:i/>
              </w:rPr>
              <w:t xml:space="preserve"> vse vrste intervencij</w:t>
            </w:r>
            <w:r w:rsidR="00497D69" w:rsidRPr="00B7760C">
              <w:t xml:space="preserve"> za obravnavanje specifičnih okoljskih in podnebnih ciljev iz točk (d), (e), </w:t>
            </w:r>
            <w:r w:rsidR="00497D69" w:rsidRPr="00B7760C">
              <w:rPr>
                <w:b/>
                <w:i/>
              </w:rPr>
              <w:t>(f) in (i)</w:t>
            </w:r>
            <w:r w:rsidR="00497D69" w:rsidRPr="00B7760C">
              <w:t xml:space="preserve"> člena 6(1) te uredbe.</w:t>
            </w:r>
          </w:p>
        </w:tc>
      </w:tr>
      <w:tr w:rsidR="00EB559D" w:rsidRPr="00B7760C" w14:paraId="59DF20FA" w14:textId="77777777" w:rsidTr="004F0B88">
        <w:tblPrEx>
          <w:tblLook w:val="04A0" w:firstRow="1" w:lastRow="0" w:firstColumn="1" w:lastColumn="0" w:noHBand="0" w:noVBand="1"/>
        </w:tblPrEx>
        <w:trPr>
          <w:jc w:val="center"/>
        </w:trPr>
        <w:tc>
          <w:tcPr>
            <w:tcW w:w="4876" w:type="dxa"/>
          </w:tcPr>
          <w:p w14:paraId="34D610F7" w14:textId="77777777" w:rsidR="00EB559D" w:rsidRPr="00B7760C" w:rsidRDefault="00EB559D" w:rsidP="004F0B88">
            <w:pPr>
              <w:pStyle w:val="Normal6"/>
            </w:pPr>
          </w:p>
        </w:tc>
        <w:tc>
          <w:tcPr>
            <w:tcW w:w="4876" w:type="dxa"/>
            <w:hideMark/>
          </w:tcPr>
          <w:p w14:paraId="1355B3CB" w14:textId="77777777" w:rsidR="00EB559D" w:rsidRPr="00B7760C" w:rsidRDefault="00EB559D" w:rsidP="004F0B88">
            <w:pPr>
              <w:pStyle w:val="Normal6"/>
              <w:rPr>
                <w:szCs w:val="24"/>
              </w:rPr>
            </w:pPr>
            <w:r w:rsidRPr="00B7760C">
              <w:rPr>
                <w:b/>
                <w:i/>
              </w:rPr>
              <w:t>Pri izračunu celotnega prispevka EKSRP iz prvega pododstavka se lahko upošteva največ 40 % plačil,</w:t>
            </w:r>
            <w:r w:rsidRPr="00B7760C">
              <w:t xml:space="preserve"> </w:t>
            </w:r>
            <w:r w:rsidRPr="00B7760C">
              <w:rPr>
                <w:b/>
                <w:i/>
              </w:rPr>
              <w:t>ki se odobrijo v skladu s členom</w:t>
            </w:r>
            <w:r w:rsidRPr="00B7760C">
              <w:t> 66.</w:t>
            </w:r>
          </w:p>
        </w:tc>
      </w:tr>
      <w:tr w:rsidR="00EB559D" w:rsidRPr="00B7760C" w14:paraId="33829485" w14:textId="77777777" w:rsidTr="004F0B88">
        <w:tblPrEx>
          <w:tblLook w:val="04A0" w:firstRow="1" w:lastRow="0" w:firstColumn="1" w:lastColumn="0" w:noHBand="0" w:noVBand="1"/>
        </w:tblPrEx>
        <w:trPr>
          <w:jc w:val="center"/>
        </w:trPr>
        <w:tc>
          <w:tcPr>
            <w:tcW w:w="4876" w:type="dxa"/>
            <w:hideMark/>
          </w:tcPr>
          <w:p w14:paraId="6000F36E" w14:textId="77777777" w:rsidR="00EB559D" w:rsidRPr="00B7760C" w:rsidRDefault="00EB559D" w:rsidP="004F0B88">
            <w:pPr>
              <w:pStyle w:val="Normal6"/>
            </w:pPr>
            <w:r w:rsidRPr="00B7760C">
              <w:t>Prvi pododstavek se ne uporablja za najbolj oddaljene regije.</w:t>
            </w:r>
          </w:p>
        </w:tc>
        <w:tc>
          <w:tcPr>
            <w:tcW w:w="4876" w:type="dxa"/>
            <w:hideMark/>
          </w:tcPr>
          <w:p w14:paraId="1F87B049" w14:textId="77777777" w:rsidR="00EB559D" w:rsidRPr="00B7760C" w:rsidRDefault="00EB559D" w:rsidP="004F0B88">
            <w:pPr>
              <w:pStyle w:val="Normal6"/>
              <w:rPr>
                <w:szCs w:val="24"/>
              </w:rPr>
            </w:pPr>
            <w:r w:rsidRPr="00B7760C">
              <w:t>Prvi pododstavek se ne uporablja za najbolj oddaljene regije.</w:t>
            </w:r>
          </w:p>
        </w:tc>
      </w:tr>
      <w:tr w:rsidR="00EB559D" w:rsidRPr="00B7760C" w14:paraId="619C8900" w14:textId="77777777" w:rsidTr="004F0B88">
        <w:tblPrEx>
          <w:tblLook w:val="04A0" w:firstRow="1" w:lastRow="0" w:firstColumn="1" w:lastColumn="0" w:noHBand="0" w:noVBand="1"/>
        </w:tblPrEx>
        <w:trPr>
          <w:jc w:val="center"/>
        </w:trPr>
        <w:tc>
          <w:tcPr>
            <w:tcW w:w="4876" w:type="dxa"/>
          </w:tcPr>
          <w:p w14:paraId="33888E68" w14:textId="77777777" w:rsidR="00EB559D" w:rsidRPr="00B7760C" w:rsidRDefault="00EB559D" w:rsidP="004F0B88">
            <w:pPr>
              <w:pStyle w:val="Normal6"/>
            </w:pPr>
          </w:p>
        </w:tc>
        <w:tc>
          <w:tcPr>
            <w:tcW w:w="4876" w:type="dxa"/>
            <w:hideMark/>
          </w:tcPr>
          <w:p w14:paraId="18CBE853" w14:textId="732B7767" w:rsidR="00EB559D" w:rsidRPr="00B7760C" w:rsidRDefault="00EB559D" w:rsidP="004F0B88">
            <w:pPr>
              <w:pStyle w:val="Normal6"/>
              <w:rPr>
                <w:szCs w:val="24"/>
              </w:rPr>
            </w:pPr>
            <w:r w:rsidRPr="00B7760C">
              <w:rPr>
                <w:b/>
                <w:i/>
              </w:rPr>
              <w:t xml:space="preserve">2a. </w:t>
            </w:r>
            <w:r w:rsidR="00497D69" w:rsidRPr="00B7760C">
              <w:rPr>
                <w:b/>
                <w:i/>
              </w:rPr>
              <w:tab/>
            </w:r>
            <w:r w:rsidRPr="00B7760C">
              <w:rPr>
                <w:b/>
                <w:i/>
              </w:rPr>
              <w:t>Najmanj 30 % celotnega prispevka EKSRP za strateški načrt SKP iz Priloge IX se rezervira za intervencije iz členov 68, 70, 71 in 72 za specifične cilje, s katerimi naj bi spodbujali razvoj pametnega, odpornega in diverzificiranega kmetijskega sektorja, kot je opredeljeno v točkah (a), (b) in (c) člena 6(1) te uredbe.</w:t>
            </w:r>
          </w:p>
        </w:tc>
      </w:tr>
      <w:tr w:rsidR="00EB559D" w:rsidRPr="00B7760C" w14:paraId="40DEED3B" w14:textId="77777777" w:rsidTr="00497D69">
        <w:tblPrEx>
          <w:tblLook w:val="04A0" w:firstRow="1" w:lastRow="0" w:firstColumn="1" w:lastColumn="0" w:noHBand="0" w:noVBand="1"/>
        </w:tblPrEx>
        <w:trPr>
          <w:jc w:val="center"/>
        </w:trPr>
        <w:tc>
          <w:tcPr>
            <w:tcW w:w="4876" w:type="dxa"/>
            <w:hideMark/>
          </w:tcPr>
          <w:p w14:paraId="4D409E77" w14:textId="2C895106" w:rsidR="00EB559D" w:rsidRPr="00B7760C" w:rsidRDefault="00EB559D" w:rsidP="004F0B88">
            <w:pPr>
              <w:pStyle w:val="Normal6"/>
            </w:pPr>
            <w:r w:rsidRPr="00B7760C">
              <w:t>3.</w:t>
            </w:r>
            <w:r w:rsidRPr="00B7760C">
              <w:tab/>
            </w:r>
            <w:r w:rsidR="00497D69" w:rsidRPr="00B7760C">
              <w:t>Največ 4 % celotnega prispevka EKSRP za strateški načrt SKP iz Priloge IX se lahko uporabi za financiranje ukrepov tehnične pomoči na pobudo držav članic iz člena 112.</w:t>
            </w:r>
          </w:p>
        </w:tc>
        <w:tc>
          <w:tcPr>
            <w:tcW w:w="4876" w:type="dxa"/>
            <w:hideMark/>
          </w:tcPr>
          <w:p w14:paraId="430C106D" w14:textId="25455F51" w:rsidR="00EB559D" w:rsidRPr="00B7760C" w:rsidRDefault="00EB559D" w:rsidP="004F0B88">
            <w:pPr>
              <w:pStyle w:val="Normal6"/>
              <w:rPr>
                <w:szCs w:val="24"/>
              </w:rPr>
            </w:pPr>
            <w:r w:rsidRPr="00B7760C">
              <w:t>3.</w:t>
            </w:r>
            <w:r w:rsidRPr="00B7760C">
              <w:tab/>
            </w:r>
            <w:r w:rsidR="00497D69" w:rsidRPr="00B7760C">
              <w:t>Največ 4 % celotnega prispevka EKSRP za strateški načrt SKP iz Priloge IX se lahko uporabi za financiranje ukrepov tehnične pomoči na pobudo držav članic iz člena 112.</w:t>
            </w:r>
          </w:p>
        </w:tc>
      </w:tr>
      <w:tr w:rsidR="00EB559D" w:rsidRPr="00B7760C" w14:paraId="3FEBDE69" w14:textId="77777777" w:rsidTr="004F0B88">
        <w:tblPrEx>
          <w:tblLook w:val="04A0" w:firstRow="1" w:lastRow="0" w:firstColumn="1" w:lastColumn="0" w:noHBand="0" w:noVBand="1"/>
        </w:tblPrEx>
        <w:trPr>
          <w:jc w:val="center"/>
        </w:trPr>
        <w:tc>
          <w:tcPr>
            <w:tcW w:w="4876" w:type="dxa"/>
            <w:hideMark/>
          </w:tcPr>
          <w:p w14:paraId="2A7C7A8C" w14:textId="77777777" w:rsidR="00EB559D" w:rsidRPr="00B7760C" w:rsidRDefault="00EB559D" w:rsidP="004F0B88">
            <w:pPr>
              <w:pStyle w:val="Normal6"/>
            </w:pPr>
            <w:r w:rsidRPr="00B7760C">
              <w:t>Prispevek EKSRP se lahko poveča na 6 % za strateške načrte SKP, pri katerih skupni znesek podpore Unije za razvoj podeželja znaša do 90 milijonov EUR.</w:t>
            </w:r>
          </w:p>
        </w:tc>
        <w:tc>
          <w:tcPr>
            <w:tcW w:w="4876" w:type="dxa"/>
            <w:hideMark/>
          </w:tcPr>
          <w:p w14:paraId="04760D60" w14:textId="77777777" w:rsidR="00EB559D" w:rsidRPr="00B7760C" w:rsidRDefault="00EB559D" w:rsidP="004F0B88">
            <w:pPr>
              <w:pStyle w:val="Normal6"/>
              <w:rPr>
                <w:szCs w:val="24"/>
              </w:rPr>
            </w:pPr>
            <w:r w:rsidRPr="00B7760C">
              <w:t>Prispevek EKSRP se lahko poveča na 6 % za strateške načrte SKP, pri katerih skupni znesek podpore Unije za razvoj podeželja znaša do 90 milijonov EUR.</w:t>
            </w:r>
          </w:p>
        </w:tc>
      </w:tr>
      <w:tr w:rsidR="00EB559D" w:rsidRPr="00B7760C" w14:paraId="05DF911E" w14:textId="77777777" w:rsidTr="004F0B88">
        <w:tblPrEx>
          <w:tblLook w:val="04A0" w:firstRow="1" w:lastRow="0" w:firstColumn="1" w:lastColumn="0" w:noHBand="0" w:noVBand="1"/>
        </w:tblPrEx>
        <w:trPr>
          <w:jc w:val="center"/>
        </w:trPr>
        <w:tc>
          <w:tcPr>
            <w:tcW w:w="4876" w:type="dxa"/>
            <w:hideMark/>
          </w:tcPr>
          <w:p w14:paraId="56C0475F" w14:textId="77777777" w:rsidR="00EB559D" w:rsidRPr="00B7760C" w:rsidRDefault="00EB559D" w:rsidP="004F0B88">
            <w:pPr>
              <w:pStyle w:val="Normal6"/>
            </w:pPr>
            <w:r w:rsidRPr="00B7760C">
              <w:t>Tehnična pomoč se povrne v obliki pavšalnega financiranja v skladu s členom 125(1)(e) Uredbe (EU, Euratom) .../... [nova finančna uredba] v okviru vmesnih plačil v skladu s členom 30 Uredbe (EU) [HZU]. Ta pavšalna stopnja pomeni odstotek vseh prijavljenih odhodkov, ki je v strateškem načrtu SKP določen za tehnično pomoč.</w:t>
            </w:r>
          </w:p>
        </w:tc>
        <w:tc>
          <w:tcPr>
            <w:tcW w:w="4876" w:type="dxa"/>
            <w:hideMark/>
          </w:tcPr>
          <w:p w14:paraId="297EF090" w14:textId="77777777" w:rsidR="00EB559D" w:rsidRPr="00B7760C" w:rsidRDefault="00EB559D" w:rsidP="004F0B88">
            <w:pPr>
              <w:pStyle w:val="Normal6"/>
              <w:rPr>
                <w:szCs w:val="24"/>
              </w:rPr>
            </w:pPr>
            <w:r w:rsidRPr="00B7760C">
              <w:t>Tehnična pomoč se povrne v obliki pavšalnega financiranja v skladu s členom 125(1)(e) Uredbe (EU, Euratom) .../... [nova finančna uredba] v okviru vmesnih plačil v skladu s členom 30 Uredbe (EU) [HZU]. Ta pavšalna stopnja pomeni odstotek vseh prijavljenih odhodkov, ki je v strateškem načrtu SKP določen za tehnično pomoč.</w:t>
            </w:r>
          </w:p>
        </w:tc>
      </w:tr>
      <w:tr w:rsidR="00EB559D" w:rsidRPr="00B7760C" w14:paraId="17604729" w14:textId="77777777" w:rsidTr="004F0B88">
        <w:tblPrEx>
          <w:tblLook w:val="04A0" w:firstRow="1" w:lastRow="0" w:firstColumn="1" w:lastColumn="0" w:noHBand="0" w:noVBand="1"/>
        </w:tblPrEx>
        <w:trPr>
          <w:jc w:val="center"/>
        </w:trPr>
        <w:tc>
          <w:tcPr>
            <w:tcW w:w="4876" w:type="dxa"/>
            <w:hideMark/>
          </w:tcPr>
          <w:p w14:paraId="6CCEE657" w14:textId="77777777" w:rsidR="00EB559D" w:rsidRPr="00B7760C" w:rsidRDefault="00EB559D" w:rsidP="004F0B88">
            <w:pPr>
              <w:pStyle w:val="Normal6"/>
            </w:pPr>
            <w:r w:rsidRPr="00B7760C">
              <w:t>4.</w:t>
            </w:r>
            <w:r w:rsidRPr="00B7760C">
              <w:tab/>
            </w:r>
            <w:r w:rsidRPr="00B7760C">
              <w:rPr>
                <w:b/>
                <w:i/>
              </w:rPr>
              <w:t>Za vsako državo članico se najnižji znesek iz Priloge</w:t>
            </w:r>
            <w:r w:rsidRPr="00B7760C">
              <w:t xml:space="preserve"> X </w:t>
            </w:r>
            <w:r w:rsidRPr="00B7760C">
              <w:rPr>
                <w:b/>
                <w:i/>
              </w:rPr>
              <w:t>rezervira za prispevanje k specifičnemu cilju „privabljanje mladih kmetov in spodbujanje razvoja podjetij“ iz točke (g) člena 6(1). Na podlagi analize stanja glede prednosti, pomanjkljivosti, priložnosti in groženj (v nadaljnjem besedilu: analiza SWOT) ter opredelitve potreb, ki jih je treba obravnavati, se znesek uporabi za naslednje vrste intervencij:</w:t>
            </w:r>
          </w:p>
        </w:tc>
        <w:tc>
          <w:tcPr>
            <w:tcW w:w="4876" w:type="dxa"/>
            <w:hideMark/>
          </w:tcPr>
          <w:p w14:paraId="58678B85" w14:textId="77777777" w:rsidR="00EB559D" w:rsidRPr="00B7760C" w:rsidRDefault="00EB559D" w:rsidP="004F0B88">
            <w:pPr>
              <w:pStyle w:val="Normal6"/>
              <w:rPr>
                <w:szCs w:val="24"/>
              </w:rPr>
            </w:pPr>
            <w:r w:rsidRPr="00B7760C">
              <w:t>4.</w:t>
            </w:r>
            <w:r w:rsidRPr="00B7760C">
              <w:tab/>
            </w:r>
            <w:r w:rsidRPr="00B7760C">
              <w:rPr>
                <w:b/>
                <w:i/>
              </w:rPr>
              <w:t>Države članice rezervirajo vsaj zneske, določene v Prilogi</w:t>
            </w:r>
            <w:r w:rsidRPr="00B7760C">
              <w:t xml:space="preserve"> X</w:t>
            </w:r>
            <w:r w:rsidRPr="00B7760C">
              <w:rPr>
                <w:b/>
                <w:i/>
              </w:rPr>
              <w:t>, za dopolnilno dohodkovno podporo za mlade kmete, kakor je določena v členu</w:t>
            </w:r>
            <w:r w:rsidRPr="00B7760C">
              <w:t xml:space="preserve"> 27.</w:t>
            </w:r>
          </w:p>
        </w:tc>
      </w:tr>
      <w:tr w:rsidR="00EB559D" w:rsidRPr="00B7760C" w14:paraId="089DDF63" w14:textId="77777777" w:rsidTr="004F0B88">
        <w:tblPrEx>
          <w:tblLook w:val="04A0" w:firstRow="1" w:lastRow="0" w:firstColumn="1" w:lastColumn="0" w:noHBand="0" w:noVBand="1"/>
        </w:tblPrEx>
        <w:trPr>
          <w:jc w:val="center"/>
        </w:trPr>
        <w:tc>
          <w:tcPr>
            <w:tcW w:w="4876" w:type="dxa"/>
            <w:hideMark/>
          </w:tcPr>
          <w:p w14:paraId="63969B34" w14:textId="64B82B32" w:rsidR="00EB559D" w:rsidRPr="00B7760C" w:rsidRDefault="00EB559D" w:rsidP="004F0B88">
            <w:pPr>
              <w:pStyle w:val="Normal6"/>
            </w:pPr>
            <w:r w:rsidRPr="00B7760C">
              <w:rPr>
                <w:b/>
                <w:i/>
              </w:rPr>
              <w:t>(a)</w:t>
            </w:r>
            <w:r w:rsidRPr="00B7760C">
              <w:t xml:space="preserve"> </w:t>
            </w:r>
            <w:r w:rsidR="00497D69" w:rsidRPr="00B7760C">
              <w:tab/>
            </w:r>
            <w:r w:rsidRPr="00B7760C">
              <w:rPr>
                <w:b/>
                <w:i/>
              </w:rPr>
              <w:t>dopolnilno dohodkovno podporo za mlade kmete iz člena </w:t>
            </w:r>
            <w:r w:rsidRPr="00B7760C">
              <w:t>27</w:t>
            </w:r>
            <w:r w:rsidRPr="00B7760C">
              <w:rPr>
                <w:b/>
                <w:i/>
              </w:rPr>
              <w:t>;</w:t>
            </w:r>
          </w:p>
        </w:tc>
        <w:tc>
          <w:tcPr>
            <w:tcW w:w="4876" w:type="dxa"/>
          </w:tcPr>
          <w:p w14:paraId="23CCF348" w14:textId="77777777" w:rsidR="00EB559D" w:rsidRPr="00B7760C" w:rsidRDefault="00EB559D" w:rsidP="004F0B88">
            <w:pPr>
              <w:pStyle w:val="Normal6"/>
              <w:rPr>
                <w:szCs w:val="24"/>
              </w:rPr>
            </w:pPr>
          </w:p>
        </w:tc>
      </w:tr>
      <w:tr w:rsidR="00EB559D" w:rsidRPr="00B7760C" w14:paraId="05D27B28" w14:textId="77777777" w:rsidTr="004F0B88">
        <w:tblPrEx>
          <w:tblLook w:val="04A0" w:firstRow="1" w:lastRow="0" w:firstColumn="1" w:lastColumn="0" w:noHBand="0" w:noVBand="1"/>
        </w:tblPrEx>
        <w:trPr>
          <w:jc w:val="center"/>
        </w:trPr>
        <w:tc>
          <w:tcPr>
            <w:tcW w:w="4876" w:type="dxa"/>
            <w:hideMark/>
          </w:tcPr>
          <w:p w14:paraId="2B8F7E5B" w14:textId="085DFB81" w:rsidR="00EB559D" w:rsidRPr="00B7760C" w:rsidRDefault="00EB559D" w:rsidP="004F0B88">
            <w:pPr>
              <w:pStyle w:val="Normal6"/>
            </w:pPr>
            <w:r w:rsidRPr="00B7760C">
              <w:rPr>
                <w:b/>
                <w:i/>
              </w:rPr>
              <w:t>(b)</w:t>
            </w:r>
            <w:r w:rsidRPr="00B7760C">
              <w:t xml:space="preserve"> </w:t>
            </w:r>
            <w:r w:rsidR="00497D69" w:rsidRPr="00B7760C">
              <w:tab/>
            </w:r>
            <w:r w:rsidRPr="00B7760C">
              <w:rPr>
                <w:b/>
                <w:i/>
              </w:rPr>
              <w:t>vzpostavitev gospodarstev mladih kmetov iz člena 69.</w:t>
            </w:r>
          </w:p>
        </w:tc>
        <w:tc>
          <w:tcPr>
            <w:tcW w:w="4876" w:type="dxa"/>
          </w:tcPr>
          <w:p w14:paraId="3AEF3509" w14:textId="77777777" w:rsidR="00EB559D" w:rsidRPr="00B7760C" w:rsidRDefault="00EB559D" w:rsidP="004F0B88">
            <w:pPr>
              <w:pStyle w:val="Normal6"/>
              <w:rPr>
                <w:szCs w:val="24"/>
              </w:rPr>
            </w:pPr>
          </w:p>
        </w:tc>
      </w:tr>
      <w:tr w:rsidR="00EB559D" w:rsidRPr="00B7760C" w14:paraId="1718D349" w14:textId="77777777" w:rsidTr="004F0B88">
        <w:tblPrEx>
          <w:tblLook w:val="04A0" w:firstRow="1" w:lastRow="0" w:firstColumn="1" w:lastColumn="0" w:noHBand="0" w:noVBand="1"/>
        </w:tblPrEx>
        <w:trPr>
          <w:jc w:val="center"/>
        </w:trPr>
        <w:tc>
          <w:tcPr>
            <w:tcW w:w="4876" w:type="dxa"/>
          </w:tcPr>
          <w:p w14:paraId="76CB5BAF" w14:textId="77777777" w:rsidR="00EB559D" w:rsidRPr="00B7760C" w:rsidRDefault="00EB559D" w:rsidP="004F0B88">
            <w:pPr>
              <w:pStyle w:val="Normal6"/>
            </w:pPr>
          </w:p>
        </w:tc>
        <w:tc>
          <w:tcPr>
            <w:tcW w:w="4876" w:type="dxa"/>
            <w:hideMark/>
          </w:tcPr>
          <w:p w14:paraId="72894494" w14:textId="4E13009C" w:rsidR="00EB559D" w:rsidRPr="00B7760C" w:rsidRDefault="00EB559D" w:rsidP="004F0B88">
            <w:pPr>
              <w:pStyle w:val="Normal6"/>
              <w:rPr>
                <w:szCs w:val="24"/>
              </w:rPr>
            </w:pPr>
            <w:r w:rsidRPr="00B7760C">
              <w:rPr>
                <w:b/>
                <w:i/>
              </w:rPr>
              <w:t xml:space="preserve">4a. </w:t>
            </w:r>
            <w:r w:rsidR="00497D69" w:rsidRPr="00B7760C">
              <w:tab/>
            </w:r>
            <w:r w:rsidRPr="00B7760C">
              <w:rPr>
                <w:b/>
                <w:i/>
              </w:rPr>
              <w:t>Države članice rezervirajo vsaj 60 % zneskov, določenih v Prilogi VII, za:</w:t>
            </w:r>
          </w:p>
        </w:tc>
      </w:tr>
      <w:tr w:rsidR="00EB559D" w:rsidRPr="00B7760C" w14:paraId="01746799" w14:textId="77777777" w:rsidTr="004F0B88">
        <w:tblPrEx>
          <w:tblLook w:val="04A0" w:firstRow="1" w:lastRow="0" w:firstColumn="1" w:lastColumn="0" w:noHBand="0" w:noVBand="1"/>
        </w:tblPrEx>
        <w:trPr>
          <w:jc w:val="center"/>
        </w:trPr>
        <w:tc>
          <w:tcPr>
            <w:tcW w:w="4876" w:type="dxa"/>
          </w:tcPr>
          <w:p w14:paraId="2E6E5231" w14:textId="77777777" w:rsidR="00EB559D" w:rsidRPr="00B7760C" w:rsidRDefault="00EB559D" w:rsidP="004F0B88">
            <w:pPr>
              <w:pStyle w:val="Normal6"/>
            </w:pPr>
          </w:p>
        </w:tc>
        <w:tc>
          <w:tcPr>
            <w:tcW w:w="4876" w:type="dxa"/>
            <w:hideMark/>
          </w:tcPr>
          <w:p w14:paraId="5953DDE4" w14:textId="5AAC73D8" w:rsidR="00EB559D" w:rsidRPr="00B7760C" w:rsidRDefault="00EB559D" w:rsidP="004F0B88">
            <w:pPr>
              <w:pStyle w:val="Normal6"/>
              <w:rPr>
                <w:szCs w:val="24"/>
              </w:rPr>
            </w:pPr>
            <w:r w:rsidRPr="00B7760C">
              <w:rPr>
                <w:b/>
                <w:i/>
              </w:rPr>
              <w:t xml:space="preserve">(a) </w:t>
            </w:r>
            <w:r w:rsidR="00497D69" w:rsidRPr="00B7760C">
              <w:tab/>
            </w:r>
            <w:r w:rsidRPr="00B7760C">
              <w:rPr>
                <w:b/>
                <w:i/>
              </w:rPr>
              <w:t>osnovno dohodkovno podporo za trajnostnost iz pododdelka 2 poglavja II naslova III;</w:t>
            </w:r>
          </w:p>
        </w:tc>
      </w:tr>
      <w:tr w:rsidR="00EB559D" w:rsidRPr="00B7760C" w14:paraId="3735C990" w14:textId="77777777" w:rsidTr="004F0B88">
        <w:tblPrEx>
          <w:tblLook w:val="04A0" w:firstRow="1" w:lastRow="0" w:firstColumn="1" w:lastColumn="0" w:noHBand="0" w:noVBand="1"/>
        </w:tblPrEx>
        <w:trPr>
          <w:jc w:val="center"/>
        </w:trPr>
        <w:tc>
          <w:tcPr>
            <w:tcW w:w="4876" w:type="dxa"/>
          </w:tcPr>
          <w:p w14:paraId="69B6FE0B" w14:textId="77777777" w:rsidR="00EB559D" w:rsidRPr="00B7760C" w:rsidRDefault="00EB559D" w:rsidP="004F0B88">
            <w:pPr>
              <w:pStyle w:val="Normal6"/>
            </w:pPr>
          </w:p>
        </w:tc>
        <w:tc>
          <w:tcPr>
            <w:tcW w:w="4876" w:type="dxa"/>
            <w:hideMark/>
          </w:tcPr>
          <w:p w14:paraId="2C3CE54F" w14:textId="126646DA" w:rsidR="00EB559D" w:rsidRPr="00B7760C" w:rsidRDefault="00EB559D" w:rsidP="004F0B88">
            <w:pPr>
              <w:pStyle w:val="Normal6"/>
              <w:rPr>
                <w:szCs w:val="24"/>
              </w:rPr>
            </w:pPr>
            <w:r w:rsidRPr="00B7760C">
              <w:rPr>
                <w:b/>
                <w:i/>
              </w:rPr>
              <w:t xml:space="preserve">(b) </w:t>
            </w:r>
            <w:r w:rsidR="00497D69" w:rsidRPr="00B7760C">
              <w:tab/>
            </w:r>
            <w:r w:rsidRPr="00B7760C">
              <w:rPr>
                <w:b/>
                <w:i/>
              </w:rPr>
              <w:t>prerazporeditveno plačilo iz pododdelka 3 oddelka 2 poglavja II naslova III;</w:t>
            </w:r>
          </w:p>
        </w:tc>
      </w:tr>
      <w:tr w:rsidR="00EB559D" w:rsidRPr="00B7760C" w14:paraId="3FC83269" w14:textId="77777777" w:rsidTr="004F0B88">
        <w:tblPrEx>
          <w:tblLook w:val="04A0" w:firstRow="1" w:lastRow="0" w:firstColumn="1" w:lastColumn="0" w:noHBand="0" w:noVBand="1"/>
        </w:tblPrEx>
        <w:trPr>
          <w:jc w:val="center"/>
        </w:trPr>
        <w:tc>
          <w:tcPr>
            <w:tcW w:w="4876" w:type="dxa"/>
          </w:tcPr>
          <w:p w14:paraId="25826631" w14:textId="77777777" w:rsidR="00EB559D" w:rsidRPr="00B7760C" w:rsidRDefault="00EB559D" w:rsidP="004F0B88">
            <w:pPr>
              <w:pStyle w:val="Normal6"/>
            </w:pPr>
          </w:p>
        </w:tc>
        <w:tc>
          <w:tcPr>
            <w:tcW w:w="4876" w:type="dxa"/>
            <w:hideMark/>
          </w:tcPr>
          <w:p w14:paraId="16972737" w14:textId="7D52D206" w:rsidR="00EB559D" w:rsidRPr="00B7760C" w:rsidRDefault="00EB559D" w:rsidP="004F0B88">
            <w:pPr>
              <w:pStyle w:val="Normal6"/>
              <w:rPr>
                <w:szCs w:val="24"/>
              </w:rPr>
            </w:pPr>
            <w:r w:rsidRPr="00B7760C">
              <w:rPr>
                <w:b/>
                <w:i/>
              </w:rPr>
              <w:t xml:space="preserve">(c) </w:t>
            </w:r>
            <w:r w:rsidR="00497D69" w:rsidRPr="00B7760C">
              <w:tab/>
            </w:r>
            <w:r w:rsidRPr="00B7760C">
              <w:rPr>
                <w:b/>
                <w:i/>
              </w:rPr>
              <w:t>intervencije vezane dohodkovne podpore iz pododdelka 1 oddelka 2 poglavja II naslova III;</w:t>
            </w:r>
          </w:p>
        </w:tc>
      </w:tr>
      <w:tr w:rsidR="00EB559D" w:rsidRPr="00B7760C" w14:paraId="2217FD73" w14:textId="77777777" w:rsidTr="004F0B88">
        <w:tblPrEx>
          <w:tblLook w:val="04A0" w:firstRow="1" w:lastRow="0" w:firstColumn="1" w:lastColumn="0" w:noHBand="0" w:noVBand="1"/>
        </w:tblPrEx>
        <w:trPr>
          <w:jc w:val="center"/>
        </w:trPr>
        <w:tc>
          <w:tcPr>
            <w:tcW w:w="4876" w:type="dxa"/>
          </w:tcPr>
          <w:p w14:paraId="7E42C048" w14:textId="77777777" w:rsidR="00EB559D" w:rsidRPr="00B7760C" w:rsidRDefault="00EB559D" w:rsidP="004F0B88">
            <w:pPr>
              <w:pStyle w:val="Normal6"/>
            </w:pPr>
          </w:p>
        </w:tc>
        <w:tc>
          <w:tcPr>
            <w:tcW w:w="4876" w:type="dxa"/>
            <w:hideMark/>
          </w:tcPr>
          <w:p w14:paraId="61D777B3" w14:textId="490E0DCE" w:rsidR="00EB559D" w:rsidRPr="00B7760C" w:rsidRDefault="00EB559D" w:rsidP="004F0B88">
            <w:pPr>
              <w:pStyle w:val="Normal6"/>
              <w:rPr>
                <w:szCs w:val="24"/>
              </w:rPr>
            </w:pPr>
            <w:r w:rsidRPr="00B7760C">
              <w:rPr>
                <w:b/>
                <w:i/>
              </w:rPr>
              <w:t xml:space="preserve">(d) </w:t>
            </w:r>
            <w:r w:rsidR="00497D69" w:rsidRPr="00B7760C">
              <w:tab/>
            </w:r>
            <w:r w:rsidRPr="00B7760C">
              <w:rPr>
                <w:b/>
                <w:i/>
              </w:rPr>
              <w:t>vrste intervencij v drugih sektorjih iz oddelka 7 poglavja III naslova III;</w:t>
            </w:r>
          </w:p>
        </w:tc>
      </w:tr>
      <w:tr w:rsidR="00EB559D" w:rsidRPr="00B7760C" w14:paraId="679E6D55" w14:textId="77777777" w:rsidTr="004F0B88">
        <w:tblPrEx>
          <w:tblLook w:val="04A0" w:firstRow="1" w:lastRow="0" w:firstColumn="1" w:lastColumn="0" w:noHBand="0" w:noVBand="1"/>
        </w:tblPrEx>
        <w:trPr>
          <w:jc w:val="center"/>
        </w:trPr>
        <w:tc>
          <w:tcPr>
            <w:tcW w:w="4876" w:type="dxa"/>
          </w:tcPr>
          <w:p w14:paraId="0D62DC14" w14:textId="77777777" w:rsidR="00EB559D" w:rsidRPr="00B7760C" w:rsidRDefault="00EB559D" w:rsidP="004F0B88">
            <w:pPr>
              <w:pStyle w:val="Normal6"/>
            </w:pPr>
          </w:p>
        </w:tc>
        <w:tc>
          <w:tcPr>
            <w:tcW w:w="4876" w:type="dxa"/>
            <w:hideMark/>
          </w:tcPr>
          <w:p w14:paraId="24A1A0B1" w14:textId="77777777" w:rsidR="00EB559D" w:rsidRPr="00B7760C" w:rsidRDefault="00EB559D" w:rsidP="004F0B88">
            <w:pPr>
              <w:pStyle w:val="Normal6"/>
              <w:rPr>
                <w:szCs w:val="24"/>
              </w:rPr>
            </w:pPr>
            <w:r w:rsidRPr="00B7760C">
              <w:rPr>
                <w:b/>
                <w:i/>
              </w:rPr>
              <w:t>Če država članica uporabi možnost iz točke (a) prvega pododstavka člena 90(1), lahko z odstopanjem od zneska, rezerviranega v skladu odstavkom 1, zmanjša najnižji znesek, ki ga je določila v skladu s prvim pododstavkom, za povečani znesek.</w:t>
            </w:r>
          </w:p>
        </w:tc>
      </w:tr>
      <w:tr w:rsidR="00EB559D" w:rsidRPr="00B7760C" w14:paraId="423B3969" w14:textId="77777777" w:rsidTr="004F0B88">
        <w:tblPrEx>
          <w:tblLook w:val="04A0" w:firstRow="1" w:lastRow="0" w:firstColumn="1" w:lastColumn="0" w:noHBand="0" w:noVBand="1"/>
        </w:tblPrEx>
        <w:trPr>
          <w:jc w:val="center"/>
        </w:trPr>
        <w:tc>
          <w:tcPr>
            <w:tcW w:w="4876" w:type="dxa"/>
          </w:tcPr>
          <w:p w14:paraId="43D53736" w14:textId="77777777" w:rsidR="00EB559D" w:rsidRPr="00B7760C" w:rsidRDefault="00EB559D" w:rsidP="004F0B88">
            <w:pPr>
              <w:pStyle w:val="Normal6"/>
            </w:pPr>
          </w:p>
        </w:tc>
        <w:tc>
          <w:tcPr>
            <w:tcW w:w="4876" w:type="dxa"/>
            <w:hideMark/>
          </w:tcPr>
          <w:p w14:paraId="65B3EA95" w14:textId="05AF3227" w:rsidR="00EB559D" w:rsidRPr="00B7760C" w:rsidRDefault="00EB559D" w:rsidP="004F0B88">
            <w:pPr>
              <w:pStyle w:val="Normal6"/>
              <w:rPr>
                <w:szCs w:val="24"/>
              </w:rPr>
            </w:pPr>
            <w:r w:rsidRPr="00B7760C">
              <w:rPr>
                <w:b/>
                <w:i/>
              </w:rPr>
              <w:t xml:space="preserve">4b. </w:t>
            </w:r>
            <w:r w:rsidR="00497D69" w:rsidRPr="00B7760C">
              <w:tab/>
            </w:r>
            <w:r w:rsidRPr="00B7760C">
              <w:rPr>
                <w:b/>
                <w:i/>
              </w:rPr>
              <w:t>Najmanj 6 % zneskov, določenih v Prilogi VII, se rezervira za podporo za prerazporeditveno plačilo iz člena 26.</w:t>
            </w:r>
          </w:p>
        </w:tc>
      </w:tr>
      <w:tr w:rsidR="00EB559D" w:rsidRPr="00B7760C" w14:paraId="27C66512" w14:textId="77777777" w:rsidTr="004F0B88">
        <w:tblPrEx>
          <w:tblLook w:val="04A0" w:firstRow="1" w:lastRow="0" w:firstColumn="1" w:lastColumn="0" w:noHBand="0" w:noVBand="1"/>
        </w:tblPrEx>
        <w:trPr>
          <w:jc w:val="center"/>
        </w:trPr>
        <w:tc>
          <w:tcPr>
            <w:tcW w:w="4876" w:type="dxa"/>
          </w:tcPr>
          <w:p w14:paraId="75163E78" w14:textId="77777777" w:rsidR="00EB559D" w:rsidRPr="00B7760C" w:rsidRDefault="00EB559D" w:rsidP="004F0B88">
            <w:pPr>
              <w:pStyle w:val="Normal6"/>
            </w:pPr>
          </w:p>
        </w:tc>
        <w:tc>
          <w:tcPr>
            <w:tcW w:w="4876" w:type="dxa"/>
            <w:hideMark/>
          </w:tcPr>
          <w:p w14:paraId="71676CD0" w14:textId="03A0AB16" w:rsidR="00EB559D" w:rsidRPr="00B7760C" w:rsidRDefault="00EB559D" w:rsidP="004F0B88">
            <w:pPr>
              <w:pStyle w:val="Normal6"/>
              <w:rPr>
                <w:szCs w:val="24"/>
              </w:rPr>
            </w:pPr>
            <w:r w:rsidRPr="00B7760C">
              <w:rPr>
                <w:b/>
                <w:i/>
              </w:rPr>
              <w:t xml:space="preserve">4c. </w:t>
            </w:r>
            <w:r w:rsidR="00497D69" w:rsidRPr="00B7760C">
              <w:tab/>
            </w:r>
            <w:r w:rsidRPr="00B7760C">
              <w:rPr>
                <w:b/>
                <w:i/>
              </w:rPr>
              <w:t>Najmanj 30 % skupnih dodeljenih sredstev iz Priloge VII za obdobje 2023–2027 se rezervira za sheme za podnebje, okolje in dobrobit živali iz člena 28.</w:t>
            </w:r>
          </w:p>
        </w:tc>
      </w:tr>
      <w:tr w:rsidR="00EB559D" w:rsidRPr="00B7760C" w14:paraId="4C358505" w14:textId="77777777" w:rsidTr="004F0B88">
        <w:tblPrEx>
          <w:tblLook w:val="04A0" w:firstRow="1" w:lastRow="0" w:firstColumn="1" w:lastColumn="0" w:noHBand="0" w:noVBand="1"/>
        </w:tblPrEx>
        <w:trPr>
          <w:jc w:val="center"/>
        </w:trPr>
        <w:tc>
          <w:tcPr>
            <w:tcW w:w="4876" w:type="dxa"/>
          </w:tcPr>
          <w:p w14:paraId="0120209C" w14:textId="77777777" w:rsidR="00EB559D" w:rsidRPr="00B7760C" w:rsidRDefault="00EB559D" w:rsidP="004F0B88">
            <w:pPr>
              <w:pStyle w:val="Normal6"/>
            </w:pPr>
          </w:p>
        </w:tc>
        <w:tc>
          <w:tcPr>
            <w:tcW w:w="4876" w:type="dxa"/>
            <w:hideMark/>
          </w:tcPr>
          <w:p w14:paraId="488FB592" w14:textId="77777777" w:rsidR="00EB559D" w:rsidRPr="00B7760C" w:rsidRDefault="00EB559D" w:rsidP="004F0B88">
            <w:pPr>
              <w:pStyle w:val="Normal6"/>
              <w:rPr>
                <w:szCs w:val="24"/>
              </w:rPr>
            </w:pPr>
            <w:r w:rsidRPr="00B7760C">
              <w:rPr>
                <w:b/>
                <w:i/>
              </w:rPr>
              <w:t>Države članice lahko za vsako koledarsko leto rezervirajo različne zneske, ki so nižji ali višji od odstotka, ki ga določi država članica v skladu s prvim stavkom, pod pogojem, da vsota vseh letnih zneskov ustreza temu odstotku.</w:t>
            </w:r>
          </w:p>
        </w:tc>
      </w:tr>
      <w:tr w:rsidR="00EB559D" w:rsidRPr="00B7760C" w14:paraId="3CE6F101" w14:textId="77777777" w:rsidTr="004F0B88">
        <w:tblPrEx>
          <w:tblLook w:val="04A0" w:firstRow="1" w:lastRow="0" w:firstColumn="1" w:lastColumn="0" w:noHBand="0" w:noVBand="1"/>
        </w:tblPrEx>
        <w:trPr>
          <w:jc w:val="center"/>
        </w:trPr>
        <w:tc>
          <w:tcPr>
            <w:tcW w:w="4876" w:type="dxa"/>
          </w:tcPr>
          <w:p w14:paraId="3C3CF419" w14:textId="77777777" w:rsidR="00EB559D" w:rsidRPr="00B7760C" w:rsidRDefault="00EB559D" w:rsidP="004F0B88">
            <w:pPr>
              <w:pStyle w:val="Normal6"/>
            </w:pPr>
          </w:p>
        </w:tc>
        <w:tc>
          <w:tcPr>
            <w:tcW w:w="4876" w:type="dxa"/>
            <w:hideMark/>
          </w:tcPr>
          <w:p w14:paraId="096D3069" w14:textId="00F69FA3" w:rsidR="00EB559D" w:rsidRPr="00B7760C" w:rsidRDefault="002C1847" w:rsidP="004F0B88">
            <w:pPr>
              <w:pStyle w:val="Normal6"/>
              <w:rPr>
                <w:szCs w:val="24"/>
              </w:rPr>
            </w:pPr>
            <w:r w:rsidRPr="00B7760C">
              <w:rPr>
                <w:b/>
                <w:i/>
              </w:rPr>
              <w:t>Kadar</w:t>
            </w:r>
            <w:r w:rsidR="00EB559D" w:rsidRPr="00B7760C">
              <w:rPr>
                <w:b/>
                <w:i/>
              </w:rPr>
              <w:t xml:space="preserve"> država članica uporabi možnost iz točke (a) prvega pododstavka člena 90(1), lahko z odstopanjem od zneska, rezerviranega v skladu s členom 28, zmanjša najnižji znesek, ki ga je določila v skladu s prvim pododstavkom, za povečani znesek.</w:t>
            </w:r>
          </w:p>
        </w:tc>
      </w:tr>
      <w:tr w:rsidR="00EB559D" w:rsidRPr="00B7760C" w14:paraId="269980C0" w14:textId="77777777" w:rsidTr="004F0B88">
        <w:tblPrEx>
          <w:tblLook w:val="04A0" w:firstRow="1" w:lastRow="0" w:firstColumn="1" w:lastColumn="0" w:noHBand="0" w:noVBand="1"/>
        </w:tblPrEx>
        <w:trPr>
          <w:jc w:val="center"/>
        </w:trPr>
        <w:tc>
          <w:tcPr>
            <w:tcW w:w="4876" w:type="dxa"/>
            <w:hideMark/>
          </w:tcPr>
          <w:p w14:paraId="02B88A6F" w14:textId="539FEF31" w:rsidR="00EB559D" w:rsidRPr="00B7760C" w:rsidRDefault="00EB559D" w:rsidP="004F0B88">
            <w:pPr>
              <w:pStyle w:val="Normal6"/>
            </w:pPr>
            <w:r w:rsidRPr="00B7760C">
              <w:t>5.</w:t>
            </w:r>
            <w:r w:rsidRPr="00B7760C">
              <w:tab/>
            </w:r>
            <w:r w:rsidR="00497D69" w:rsidRPr="00B7760C">
              <w:t>Okvirna dodeljena finančna sredstva za intervencije vezane dohodkovne podpore iz pododdelka 1 oddelka 2 poglavja II naslova III so omejena na največ 10 % zneskov, določenih v Prilogi VII.</w:t>
            </w:r>
          </w:p>
        </w:tc>
        <w:tc>
          <w:tcPr>
            <w:tcW w:w="4876" w:type="dxa"/>
            <w:hideMark/>
          </w:tcPr>
          <w:p w14:paraId="7CA37A58" w14:textId="76E2107C" w:rsidR="00EB559D" w:rsidRPr="00B7760C" w:rsidRDefault="00EB559D" w:rsidP="004F0B88">
            <w:pPr>
              <w:pStyle w:val="Normal6"/>
              <w:rPr>
                <w:szCs w:val="24"/>
              </w:rPr>
            </w:pPr>
            <w:r w:rsidRPr="00B7760C">
              <w:t>5.</w:t>
            </w:r>
            <w:r w:rsidRPr="00B7760C">
              <w:tab/>
            </w:r>
            <w:r w:rsidR="00497D69" w:rsidRPr="00B7760C">
              <w:t xml:space="preserve">Okvirna dodeljena finančna sredstva za intervencije vezane dohodkovne podpore iz pododdelka 1 oddelka 2 poglavja II naslova III so omejena na največ 10 % zneskov, določenih v Prilogi VII. </w:t>
            </w:r>
            <w:r w:rsidR="00497D69" w:rsidRPr="00B7760C">
              <w:rPr>
                <w:b/>
                <w:i/>
              </w:rPr>
              <w:t>Države članice lahko del zneska prerazporedijo, da bi povečale najvišja dodeljena sredstva, določena v členu 82(6), če navedena dodelitev ne zadošča za financiranje intervencij iz oddelka 7 poglavja III naslova III.</w:t>
            </w:r>
          </w:p>
        </w:tc>
      </w:tr>
      <w:tr w:rsidR="00EB559D" w:rsidRPr="00B7760C" w14:paraId="53EEBACA" w14:textId="77777777" w:rsidTr="004F0B88">
        <w:tblPrEx>
          <w:tblLook w:val="04A0" w:firstRow="1" w:lastRow="0" w:firstColumn="1" w:lastColumn="0" w:noHBand="0" w:noVBand="1"/>
        </w:tblPrEx>
        <w:trPr>
          <w:jc w:val="center"/>
        </w:trPr>
        <w:tc>
          <w:tcPr>
            <w:tcW w:w="4876" w:type="dxa"/>
            <w:hideMark/>
          </w:tcPr>
          <w:p w14:paraId="5C67CB0F" w14:textId="77777777" w:rsidR="00EB559D" w:rsidRPr="00B7760C" w:rsidRDefault="00EB559D" w:rsidP="004F0B88">
            <w:pPr>
              <w:pStyle w:val="Normal6"/>
            </w:pPr>
            <w:r w:rsidRPr="00B7760C">
              <w:t>Z odstopanjem od prvega pododstavka se lahko države članice, ki so v skladu s členom 53(4) Uredbe (EU) št. 1307/2013 za namen prostovoljne vezane podpore porabile več kot 13 % svoje letne nacionalne zgornje meje iz Priloge II k navedeni uredbi, odločijo, da bodo za vezano dohodkovno podporo porabile več kot 10 % zneska iz Priloge VII. Tako dobljeni odstotek ne presega odstotka, ki ga Komisija odobri za prostovoljno vezano podporo za leto zahtevka 2018.</w:t>
            </w:r>
          </w:p>
        </w:tc>
        <w:tc>
          <w:tcPr>
            <w:tcW w:w="4876" w:type="dxa"/>
            <w:hideMark/>
          </w:tcPr>
          <w:p w14:paraId="14E5EE2C" w14:textId="77777777" w:rsidR="00EB559D" w:rsidRPr="00B7760C" w:rsidRDefault="00EB559D" w:rsidP="004F0B88">
            <w:pPr>
              <w:pStyle w:val="Normal6"/>
              <w:rPr>
                <w:szCs w:val="24"/>
              </w:rPr>
            </w:pPr>
            <w:r w:rsidRPr="00B7760C">
              <w:t>Z odstopanjem od prvega pododstavka se lahko države članice, ki so v skladu s členom 53(4) Uredbe (EU) št. 1307/2013 za namen prostovoljne vezane podpore porabile več kot 13 % svoje letne nacionalne zgornje meje iz Priloge II k navedeni uredbi, odločijo, da bodo za vezano dohodkovno podporo porabile več kot 10 % zneska iz Priloge VII. Tako dobljeni odstotek ne presega odstotka, ki ga Komisija odobri za prostovoljno vezano podporo za leto zahtevka 2018.</w:t>
            </w:r>
          </w:p>
        </w:tc>
      </w:tr>
      <w:tr w:rsidR="00EB559D" w:rsidRPr="00B7760C" w14:paraId="57B550DC" w14:textId="77777777" w:rsidTr="004F0B88">
        <w:tblPrEx>
          <w:tblLook w:val="04A0" w:firstRow="1" w:lastRow="0" w:firstColumn="1" w:lastColumn="0" w:noHBand="0" w:noVBand="1"/>
        </w:tblPrEx>
        <w:trPr>
          <w:jc w:val="center"/>
        </w:trPr>
        <w:tc>
          <w:tcPr>
            <w:tcW w:w="4876" w:type="dxa"/>
            <w:hideMark/>
          </w:tcPr>
          <w:p w14:paraId="0880C90E" w14:textId="77777777" w:rsidR="00EB559D" w:rsidRPr="00B7760C" w:rsidRDefault="00EB559D" w:rsidP="004F0B88">
            <w:pPr>
              <w:pStyle w:val="Normal6"/>
            </w:pPr>
            <w:r w:rsidRPr="00B7760C">
              <w:t>Odstotek iz prvega pododstavka se lahko poveča za največ 2 %, če se znesek, ki ustreza odstotku nad 10 %, dodeli podpori za beljakovinske rastline iz pododdelka 1 oddelka 2 poglavja II naslova III.</w:t>
            </w:r>
          </w:p>
        </w:tc>
        <w:tc>
          <w:tcPr>
            <w:tcW w:w="4876" w:type="dxa"/>
            <w:hideMark/>
          </w:tcPr>
          <w:p w14:paraId="4FADC041" w14:textId="77777777" w:rsidR="00EB559D" w:rsidRPr="00B7760C" w:rsidRDefault="00EB559D" w:rsidP="004F0B88">
            <w:pPr>
              <w:pStyle w:val="Normal6"/>
              <w:rPr>
                <w:szCs w:val="24"/>
              </w:rPr>
            </w:pPr>
            <w:r w:rsidRPr="00B7760C">
              <w:t>Odstotek iz prvega pododstavka se lahko poveča za največ 2 %, če se znesek, ki ustreza odstotku nad 10 %, dodeli podpori za beljakovinske rastline iz pododdelka 1 oddelka 2 poglavja II naslova III.</w:t>
            </w:r>
          </w:p>
        </w:tc>
      </w:tr>
      <w:tr w:rsidR="00EB559D" w:rsidRPr="00B7760C" w14:paraId="1B6AFF06" w14:textId="77777777" w:rsidTr="004F0B88">
        <w:tblPrEx>
          <w:tblLook w:val="04A0" w:firstRow="1" w:lastRow="0" w:firstColumn="1" w:lastColumn="0" w:noHBand="0" w:noVBand="1"/>
        </w:tblPrEx>
        <w:trPr>
          <w:jc w:val="center"/>
        </w:trPr>
        <w:tc>
          <w:tcPr>
            <w:tcW w:w="4876" w:type="dxa"/>
            <w:hideMark/>
          </w:tcPr>
          <w:p w14:paraId="61EBDA31" w14:textId="77777777" w:rsidR="00EB559D" w:rsidRPr="00B7760C" w:rsidRDefault="00EB559D" w:rsidP="004F0B88">
            <w:pPr>
              <w:pStyle w:val="Normal6"/>
            </w:pPr>
            <w:r w:rsidRPr="00B7760C">
              <w:t>Znesek, ki je vključen v odobrenem strateškem načrtu SKP ter izhaja iz uporabe prvega in drugega pododstavka, je zavezujoč.</w:t>
            </w:r>
          </w:p>
        </w:tc>
        <w:tc>
          <w:tcPr>
            <w:tcW w:w="4876" w:type="dxa"/>
            <w:hideMark/>
          </w:tcPr>
          <w:p w14:paraId="301E7493" w14:textId="77777777" w:rsidR="00EB559D" w:rsidRPr="00B7760C" w:rsidRDefault="00EB559D" w:rsidP="004F0B88">
            <w:pPr>
              <w:pStyle w:val="Normal6"/>
              <w:rPr>
                <w:szCs w:val="24"/>
              </w:rPr>
            </w:pPr>
            <w:r w:rsidRPr="00B7760C">
              <w:t>Znesek, ki je vključen v odobrenem strateškem načrtu SKP ter izhaja iz uporabe prvega in drugega pododstavka, je zavezujoč.</w:t>
            </w:r>
          </w:p>
        </w:tc>
      </w:tr>
      <w:tr w:rsidR="00EB559D" w:rsidRPr="00B7760C" w14:paraId="23B8C522" w14:textId="77777777" w:rsidTr="004F0B88">
        <w:tblPrEx>
          <w:tblLook w:val="04A0" w:firstRow="1" w:lastRow="0" w:firstColumn="1" w:lastColumn="0" w:noHBand="0" w:noVBand="1"/>
        </w:tblPrEx>
        <w:trPr>
          <w:jc w:val="center"/>
        </w:trPr>
        <w:tc>
          <w:tcPr>
            <w:tcW w:w="4876" w:type="dxa"/>
            <w:hideMark/>
          </w:tcPr>
          <w:p w14:paraId="72C657ED" w14:textId="77777777" w:rsidR="00EB559D" w:rsidRPr="00B7760C" w:rsidRDefault="00EB559D" w:rsidP="004F0B88">
            <w:pPr>
              <w:pStyle w:val="Normal6"/>
            </w:pPr>
            <w:r w:rsidRPr="00B7760C">
              <w:t>6.</w:t>
            </w:r>
            <w:r w:rsidRPr="00B7760C">
              <w:tab/>
              <w:t>Brez poseganja v člen 15 Uredbe (EU) [HZU] najvišji znesek, ki se lahko odobri v državi članici pred uporabo člena 15 te uredbe v skladu s pododdelkom 1 oddelka 2 poglavja II naslova III te uredbe za koledarsko leto, ne presega zneskov, določenih v strateškem načrtu SKP v skladu z odstavkom </w:t>
            </w:r>
            <w:r w:rsidRPr="00B7760C">
              <w:rPr>
                <w:b/>
                <w:i/>
              </w:rPr>
              <w:t>6</w:t>
            </w:r>
            <w:r w:rsidRPr="00B7760C">
              <w:t>.</w:t>
            </w:r>
          </w:p>
        </w:tc>
        <w:tc>
          <w:tcPr>
            <w:tcW w:w="4876" w:type="dxa"/>
            <w:hideMark/>
          </w:tcPr>
          <w:p w14:paraId="3E281BA1" w14:textId="77777777" w:rsidR="00EB559D" w:rsidRPr="00B7760C" w:rsidRDefault="00EB559D" w:rsidP="004F0B88">
            <w:pPr>
              <w:pStyle w:val="Normal6"/>
              <w:rPr>
                <w:szCs w:val="24"/>
              </w:rPr>
            </w:pPr>
            <w:r w:rsidRPr="00B7760C">
              <w:t>6.</w:t>
            </w:r>
            <w:r w:rsidRPr="00B7760C">
              <w:tab/>
              <w:t>Brez poseganja v člen 15 Uredbe (EU) [HZU] najvišji znesek, ki se lahko odobri v državi članici pred uporabo člena 15 te uredbe v skladu s pododdelkom 1 oddelka 2 poglavja II naslova III te uredbe za koledarsko leto, ne presega zneskov, določenih v strateškem načrtu SKP v skladu z odstavkom </w:t>
            </w:r>
            <w:r w:rsidRPr="00B7760C">
              <w:rPr>
                <w:b/>
                <w:i/>
              </w:rPr>
              <w:t>5</w:t>
            </w:r>
            <w:r w:rsidRPr="00B7760C">
              <w:t>.</w:t>
            </w:r>
          </w:p>
        </w:tc>
      </w:tr>
      <w:tr w:rsidR="00EB559D" w:rsidRPr="00B7760C" w14:paraId="0D9D3EE4" w14:textId="77777777" w:rsidTr="004F0B88">
        <w:tblPrEx>
          <w:tblLook w:val="04A0" w:firstRow="1" w:lastRow="0" w:firstColumn="1" w:lastColumn="0" w:noHBand="0" w:noVBand="1"/>
        </w:tblPrEx>
        <w:trPr>
          <w:jc w:val="center"/>
        </w:trPr>
        <w:tc>
          <w:tcPr>
            <w:tcW w:w="4876" w:type="dxa"/>
            <w:hideMark/>
          </w:tcPr>
          <w:p w14:paraId="026F746F" w14:textId="77777777" w:rsidR="00EB559D" w:rsidRPr="00B7760C" w:rsidRDefault="00EB559D" w:rsidP="004F0B88">
            <w:pPr>
              <w:pStyle w:val="Normal6"/>
            </w:pPr>
            <w:r w:rsidRPr="00B7760C">
              <w:t>7.</w:t>
            </w:r>
            <w:r w:rsidRPr="00B7760C">
              <w:tab/>
              <w:t>Države članice se lahko v svojem strateškem načrtu SKP odločijo, da bodo določen delež dodeljenih sredstev EKSRP porabile za okrepitev podpore in nadgraditev integriranih strateških projektov, povezanih z naravo, iz [uredba LIFE] ter financiranje ukrepov, povezanih s čezmejno učno mobilnostjo ljudi na področju kmetijskega razvoja in razvoja podeželja s poudarkom na mladih kmetih, v skladu z [uredba o programu Erasmus].</w:t>
            </w:r>
          </w:p>
        </w:tc>
        <w:tc>
          <w:tcPr>
            <w:tcW w:w="4876" w:type="dxa"/>
            <w:hideMark/>
          </w:tcPr>
          <w:p w14:paraId="08D279F4" w14:textId="77777777" w:rsidR="00EB559D" w:rsidRPr="00B7760C" w:rsidRDefault="00EB559D" w:rsidP="004F0B88">
            <w:pPr>
              <w:pStyle w:val="Normal6"/>
              <w:rPr>
                <w:szCs w:val="24"/>
              </w:rPr>
            </w:pPr>
            <w:r w:rsidRPr="00B7760C">
              <w:t>7.</w:t>
            </w:r>
            <w:r w:rsidRPr="00B7760C">
              <w:tab/>
              <w:t>Države članice se lahko v svojem strateškem načrtu SKP odločijo, da bodo določen delež dodeljenih sredstev EKSRP porabile za okrepitev podpore in nadgraditev integriranih strateških projektov, povezanih z naravo, iz [uredba LIFE]</w:t>
            </w:r>
            <w:r w:rsidRPr="00B7760C">
              <w:rPr>
                <w:b/>
                <w:i/>
              </w:rPr>
              <w:t>, kadar so vanje vključene skupnosti kmetov,</w:t>
            </w:r>
            <w:r w:rsidRPr="00B7760C">
              <w:t xml:space="preserve"> ter financiranje ukrepov, povezanih s čezmejno učno mobilnostjo ljudi na področju kmetijskega razvoja in razvoja podeželja s poudarkom na mladih kmetih, v skladu z [uredba o programu Erasmus]</w:t>
            </w:r>
            <w:r w:rsidRPr="00B7760C">
              <w:rPr>
                <w:b/>
                <w:i/>
              </w:rPr>
              <w:t>, in ženskah na podeželju</w:t>
            </w:r>
            <w:r w:rsidRPr="00B7760C">
              <w:t>.</w:t>
            </w:r>
          </w:p>
        </w:tc>
      </w:tr>
    </w:tbl>
    <w:p w14:paraId="5A649162" w14:textId="77777777" w:rsidR="00EB559D" w:rsidRPr="00B7760C" w:rsidRDefault="00EB559D" w:rsidP="003663AF"/>
    <w:p w14:paraId="257EFAFE" w14:textId="43DAF95D" w:rsidR="00EB559D" w:rsidRPr="00B7760C" w:rsidRDefault="00EB559D" w:rsidP="003663AF"/>
    <w:p w14:paraId="232DEC2E" w14:textId="5BEA7582" w:rsidR="00EB559D" w:rsidRPr="00B7760C" w:rsidRDefault="00947116" w:rsidP="00EB559D">
      <w:pPr>
        <w:pStyle w:val="AmNumberTabs0"/>
      </w:pPr>
      <w:r w:rsidRPr="00B7760C">
        <w:t>Sprememba</w:t>
      </w:r>
      <w:r w:rsidR="00EB559D" w:rsidRPr="00B7760C">
        <w:tab/>
      </w:r>
      <w:r w:rsidR="00EB559D" w:rsidRPr="00B7760C">
        <w:tab/>
        <w:t>1135</w:t>
      </w:r>
    </w:p>
    <w:p w14:paraId="33CA76CE" w14:textId="77777777" w:rsidR="00EB559D" w:rsidRPr="00B7760C" w:rsidRDefault="00EB559D" w:rsidP="00EB559D">
      <w:pPr>
        <w:pStyle w:val="NormalBold12b"/>
      </w:pPr>
      <w:r w:rsidRPr="00B7760C">
        <w:t>Predlog uredbe</w:t>
      </w:r>
    </w:p>
    <w:p w14:paraId="793C8B5C" w14:textId="77777777" w:rsidR="00EB559D" w:rsidRPr="00B7760C" w:rsidRDefault="00EB559D" w:rsidP="00EB559D">
      <w:pPr>
        <w:pStyle w:val="NormalBold"/>
      </w:pPr>
      <w:r w:rsidRPr="00B7760C">
        <w:t>Člen 87</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EB559D" w:rsidRPr="00B7760C" w14:paraId="022F1E4B" w14:textId="77777777" w:rsidTr="004F0B88">
        <w:trPr>
          <w:jc w:val="center"/>
        </w:trPr>
        <w:tc>
          <w:tcPr>
            <w:tcW w:w="9752" w:type="dxa"/>
            <w:gridSpan w:val="2"/>
          </w:tcPr>
          <w:p w14:paraId="22BB300D" w14:textId="77777777" w:rsidR="00EB559D" w:rsidRPr="00B7760C" w:rsidRDefault="00EB559D" w:rsidP="004F0B88">
            <w:pPr>
              <w:keepNext/>
            </w:pPr>
          </w:p>
        </w:tc>
      </w:tr>
      <w:tr w:rsidR="00EB559D" w:rsidRPr="00B7760C" w14:paraId="3EAB6F80" w14:textId="77777777" w:rsidTr="004F0B88">
        <w:trPr>
          <w:jc w:val="center"/>
        </w:trPr>
        <w:tc>
          <w:tcPr>
            <w:tcW w:w="4876" w:type="dxa"/>
          </w:tcPr>
          <w:p w14:paraId="64A9E63B" w14:textId="77777777" w:rsidR="00EB559D" w:rsidRPr="00B7760C" w:rsidRDefault="00EB559D" w:rsidP="004F0B88">
            <w:pPr>
              <w:pStyle w:val="AmColumnHeading"/>
              <w:keepNext/>
            </w:pPr>
            <w:r w:rsidRPr="00B7760C">
              <w:t>Besedilo, ki ga predlaga Komisija</w:t>
            </w:r>
          </w:p>
        </w:tc>
        <w:tc>
          <w:tcPr>
            <w:tcW w:w="4876" w:type="dxa"/>
          </w:tcPr>
          <w:p w14:paraId="64F24E1C" w14:textId="520C08E1" w:rsidR="00EB559D" w:rsidRPr="00B7760C" w:rsidRDefault="00947116" w:rsidP="004F0B88">
            <w:pPr>
              <w:pStyle w:val="AmColumnHeading"/>
              <w:keepNext/>
            </w:pPr>
            <w:r w:rsidRPr="00B7760C">
              <w:t>Sprememba</w:t>
            </w:r>
          </w:p>
        </w:tc>
      </w:tr>
      <w:tr w:rsidR="00EB559D" w:rsidRPr="00B7760C" w14:paraId="3239E228" w14:textId="77777777" w:rsidTr="004F0B88">
        <w:trPr>
          <w:jc w:val="center"/>
        </w:trPr>
        <w:tc>
          <w:tcPr>
            <w:tcW w:w="4876" w:type="dxa"/>
          </w:tcPr>
          <w:p w14:paraId="51E1477B" w14:textId="77777777" w:rsidR="00EB559D" w:rsidRPr="00B7760C" w:rsidRDefault="00EB559D" w:rsidP="004F0B88">
            <w:pPr>
              <w:pStyle w:val="Normal6a"/>
              <w:jc w:val="center"/>
            </w:pPr>
            <w:r w:rsidRPr="00B7760C">
              <w:t>Člen 87</w:t>
            </w:r>
          </w:p>
        </w:tc>
        <w:tc>
          <w:tcPr>
            <w:tcW w:w="4876" w:type="dxa"/>
          </w:tcPr>
          <w:p w14:paraId="4A802C8C" w14:textId="77777777" w:rsidR="00EB559D" w:rsidRPr="00B7760C" w:rsidRDefault="00EB559D" w:rsidP="004F0B88">
            <w:pPr>
              <w:pStyle w:val="Normal6a"/>
              <w:jc w:val="center"/>
              <w:rPr>
                <w:szCs w:val="24"/>
              </w:rPr>
            </w:pPr>
            <w:r w:rsidRPr="00B7760C">
              <w:t>Člen 87</w:t>
            </w:r>
          </w:p>
        </w:tc>
      </w:tr>
      <w:tr w:rsidR="00EB559D" w:rsidRPr="00B7760C" w14:paraId="6458267D" w14:textId="77777777" w:rsidTr="004F0B88">
        <w:trPr>
          <w:jc w:val="center"/>
        </w:trPr>
        <w:tc>
          <w:tcPr>
            <w:tcW w:w="4876" w:type="dxa"/>
          </w:tcPr>
          <w:p w14:paraId="71A5F690" w14:textId="77777777" w:rsidR="00EB559D" w:rsidRPr="00B7760C" w:rsidRDefault="00EB559D" w:rsidP="004F0B88">
            <w:pPr>
              <w:pStyle w:val="Normal6a"/>
              <w:jc w:val="center"/>
            </w:pPr>
            <w:r w:rsidRPr="00B7760C">
              <w:t>Sledenje odhodkom za podnebne ukrepe</w:t>
            </w:r>
          </w:p>
        </w:tc>
        <w:tc>
          <w:tcPr>
            <w:tcW w:w="4876" w:type="dxa"/>
          </w:tcPr>
          <w:p w14:paraId="06F0F0F2" w14:textId="77777777" w:rsidR="00EB559D" w:rsidRPr="00B7760C" w:rsidRDefault="00EB559D" w:rsidP="004F0B88">
            <w:pPr>
              <w:pStyle w:val="Normal6a"/>
              <w:jc w:val="center"/>
            </w:pPr>
            <w:r w:rsidRPr="00B7760C">
              <w:t>Sledenje odhodkom za podnebne ukrepe</w:t>
            </w:r>
          </w:p>
        </w:tc>
      </w:tr>
      <w:tr w:rsidR="00EB559D" w:rsidRPr="00B7760C" w14:paraId="2A845E1F" w14:textId="77777777" w:rsidTr="004F0B88">
        <w:tblPrEx>
          <w:tblLook w:val="04A0" w:firstRow="1" w:lastRow="0" w:firstColumn="1" w:lastColumn="0" w:noHBand="0" w:noVBand="1"/>
        </w:tblPrEx>
        <w:trPr>
          <w:jc w:val="center"/>
        </w:trPr>
        <w:tc>
          <w:tcPr>
            <w:tcW w:w="4876" w:type="dxa"/>
            <w:hideMark/>
          </w:tcPr>
          <w:p w14:paraId="24C97A8E" w14:textId="77777777" w:rsidR="00EB559D" w:rsidRPr="00B7760C" w:rsidRDefault="00EB559D" w:rsidP="004F0B88">
            <w:pPr>
              <w:pStyle w:val="Normal6"/>
            </w:pPr>
            <w:r w:rsidRPr="00B7760C">
              <w:t>1.</w:t>
            </w:r>
            <w:r w:rsidRPr="00B7760C">
              <w:tab/>
              <w:t xml:space="preserve">Komisija na podlagi informacij držav članic oceni prispevek politike k ciljem na področju podnebnih sprememb z uporabo </w:t>
            </w:r>
            <w:r w:rsidRPr="00B7760C">
              <w:rPr>
                <w:b/>
                <w:i/>
              </w:rPr>
              <w:t>enostavne in</w:t>
            </w:r>
            <w:r w:rsidRPr="00B7760C">
              <w:t xml:space="preserve"> skupne metodologije.</w:t>
            </w:r>
          </w:p>
        </w:tc>
        <w:tc>
          <w:tcPr>
            <w:tcW w:w="4876" w:type="dxa"/>
            <w:hideMark/>
          </w:tcPr>
          <w:p w14:paraId="606F57B3" w14:textId="77777777" w:rsidR="00EB559D" w:rsidRPr="00B7760C" w:rsidRDefault="00EB559D" w:rsidP="004F0B88">
            <w:pPr>
              <w:pStyle w:val="Normal6"/>
              <w:rPr>
                <w:szCs w:val="24"/>
              </w:rPr>
            </w:pPr>
            <w:r w:rsidRPr="00B7760C">
              <w:t>1.</w:t>
            </w:r>
            <w:r w:rsidRPr="00B7760C">
              <w:tab/>
              <w:t xml:space="preserve">Komisija na podlagi informacij držav članic oceni prispevek politike k ciljem na področju podnebnih sprememb z uporabo </w:t>
            </w:r>
            <w:r w:rsidRPr="00B7760C">
              <w:rPr>
                <w:b/>
                <w:i/>
              </w:rPr>
              <w:t>mednarodno priznane</w:t>
            </w:r>
            <w:r w:rsidRPr="00B7760C">
              <w:t xml:space="preserve"> skupne metodologije.</w:t>
            </w:r>
          </w:p>
        </w:tc>
      </w:tr>
      <w:tr w:rsidR="00EB559D" w:rsidRPr="00B7760C" w14:paraId="7A6B1F28" w14:textId="77777777" w:rsidTr="004F0B88">
        <w:tblPrEx>
          <w:tblLook w:val="04A0" w:firstRow="1" w:lastRow="0" w:firstColumn="1" w:lastColumn="0" w:noHBand="0" w:noVBand="1"/>
        </w:tblPrEx>
        <w:trPr>
          <w:jc w:val="center"/>
        </w:trPr>
        <w:tc>
          <w:tcPr>
            <w:tcW w:w="4876" w:type="dxa"/>
            <w:hideMark/>
          </w:tcPr>
          <w:p w14:paraId="331B9AE9" w14:textId="77777777" w:rsidR="00EB559D" w:rsidRPr="00B7760C" w:rsidRDefault="00EB559D" w:rsidP="004F0B88">
            <w:pPr>
              <w:pStyle w:val="Normal6"/>
            </w:pPr>
            <w:r w:rsidRPr="00B7760C">
              <w:rPr>
                <w:b/>
                <w:i/>
              </w:rPr>
              <w:t>2.</w:t>
            </w:r>
            <w:r w:rsidRPr="00B7760C">
              <w:tab/>
            </w:r>
            <w:r w:rsidRPr="00B7760C">
              <w:rPr>
                <w:b/>
                <w:i/>
              </w:rPr>
              <w:t>Prispevek k odhodkovnim ciljnim vrednostim se oceni z uporabo posebnih ponderjev, ki se razlikujejo glede na to, ali podpora znatno ali zmerno prispeva k ciljem na področju podnebnih sprememb. Ti ponderji so:</w:t>
            </w:r>
            <w:r w:rsidRPr="00B7760C">
              <w:rPr>
                <w:b/>
                <w:i/>
              </w:rPr>
              <w:tab/>
              <w:t>40 % za odhodke v okviru osnovne dohodkovne podpore za trajnostnost in dopolnilne dohodkovne podpore iz pododdelkov 2 in 3 oddelka II poglavja II naslova III;</w:t>
            </w:r>
          </w:p>
        </w:tc>
        <w:tc>
          <w:tcPr>
            <w:tcW w:w="4876" w:type="dxa"/>
          </w:tcPr>
          <w:p w14:paraId="4512B9B5" w14:textId="77777777" w:rsidR="00EB559D" w:rsidRPr="00B7760C" w:rsidRDefault="00EB559D" w:rsidP="004F0B88">
            <w:pPr>
              <w:pStyle w:val="Normal6"/>
              <w:rPr>
                <w:szCs w:val="24"/>
              </w:rPr>
            </w:pPr>
          </w:p>
        </w:tc>
      </w:tr>
      <w:tr w:rsidR="00EB559D" w:rsidRPr="00B7760C" w14:paraId="568B5ADF" w14:textId="77777777" w:rsidTr="004F0B88">
        <w:tblPrEx>
          <w:tblLook w:val="04A0" w:firstRow="1" w:lastRow="0" w:firstColumn="1" w:lastColumn="0" w:noHBand="0" w:noVBand="1"/>
        </w:tblPrEx>
        <w:trPr>
          <w:jc w:val="center"/>
        </w:trPr>
        <w:tc>
          <w:tcPr>
            <w:tcW w:w="4876" w:type="dxa"/>
            <w:hideMark/>
          </w:tcPr>
          <w:p w14:paraId="7A972987" w14:textId="77777777" w:rsidR="00EB559D" w:rsidRPr="00B7760C" w:rsidRDefault="00EB559D" w:rsidP="004F0B88">
            <w:pPr>
              <w:pStyle w:val="Normal6"/>
            </w:pPr>
            <w:r w:rsidRPr="00B7760C">
              <w:rPr>
                <w:b/>
                <w:i/>
              </w:rPr>
              <w:t>(b)</w:t>
            </w:r>
            <w:r w:rsidRPr="00B7760C">
              <w:rPr>
                <w:b/>
                <w:i/>
              </w:rPr>
              <w:tab/>
              <w:t>100 % za odhodke v okviru shem za podnebje in okolje iz pododdelka 4 oddelka II poglavja II naslova III;</w:t>
            </w:r>
          </w:p>
        </w:tc>
        <w:tc>
          <w:tcPr>
            <w:tcW w:w="4876" w:type="dxa"/>
          </w:tcPr>
          <w:p w14:paraId="142124BE" w14:textId="77777777" w:rsidR="00EB559D" w:rsidRPr="00B7760C" w:rsidRDefault="00EB559D" w:rsidP="004F0B88">
            <w:pPr>
              <w:pStyle w:val="Normal6"/>
              <w:rPr>
                <w:szCs w:val="24"/>
              </w:rPr>
            </w:pPr>
          </w:p>
        </w:tc>
      </w:tr>
      <w:tr w:rsidR="00EB559D" w:rsidRPr="00B7760C" w14:paraId="03B7C57A" w14:textId="77777777" w:rsidTr="004F0B88">
        <w:tblPrEx>
          <w:tblLook w:val="04A0" w:firstRow="1" w:lastRow="0" w:firstColumn="1" w:lastColumn="0" w:noHBand="0" w:noVBand="1"/>
        </w:tblPrEx>
        <w:trPr>
          <w:jc w:val="center"/>
        </w:trPr>
        <w:tc>
          <w:tcPr>
            <w:tcW w:w="4876" w:type="dxa"/>
            <w:hideMark/>
          </w:tcPr>
          <w:p w14:paraId="3B2A12A6" w14:textId="77777777" w:rsidR="00EB559D" w:rsidRPr="00B7760C" w:rsidRDefault="00EB559D" w:rsidP="004F0B88">
            <w:pPr>
              <w:pStyle w:val="Normal6"/>
            </w:pPr>
            <w:r w:rsidRPr="00B7760C">
              <w:rPr>
                <w:b/>
                <w:i/>
              </w:rPr>
              <w:t>(c)</w:t>
            </w:r>
            <w:r w:rsidRPr="00B7760C">
              <w:rPr>
                <w:b/>
                <w:i/>
              </w:rPr>
              <w:tab/>
              <w:t>100 % za odhodke za intervencije iz prvega pododstavka člena 86(2);</w:t>
            </w:r>
          </w:p>
        </w:tc>
        <w:tc>
          <w:tcPr>
            <w:tcW w:w="4876" w:type="dxa"/>
          </w:tcPr>
          <w:p w14:paraId="581A4AE3" w14:textId="77777777" w:rsidR="00EB559D" w:rsidRPr="00B7760C" w:rsidRDefault="00EB559D" w:rsidP="004F0B88">
            <w:pPr>
              <w:pStyle w:val="Normal6"/>
              <w:rPr>
                <w:szCs w:val="24"/>
              </w:rPr>
            </w:pPr>
          </w:p>
        </w:tc>
      </w:tr>
      <w:tr w:rsidR="00EB559D" w:rsidRPr="00B7760C" w14:paraId="02DC8B1E" w14:textId="77777777" w:rsidTr="004F0B88">
        <w:tblPrEx>
          <w:tblLook w:val="04A0" w:firstRow="1" w:lastRow="0" w:firstColumn="1" w:lastColumn="0" w:noHBand="0" w:noVBand="1"/>
        </w:tblPrEx>
        <w:trPr>
          <w:jc w:val="center"/>
        </w:trPr>
        <w:tc>
          <w:tcPr>
            <w:tcW w:w="4876" w:type="dxa"/>
            <w:hideMark/>
          </w:tcPr>
          <w:p w14:paraId="3C1F9916" w14:textId="77777777" w:rsidR="00EB559D" w:rsidRPr="00B7760C" w:rsidRDefault="00EB559D" w:rsidP="004F0B88">
            <w:pPr>
              <w:pStyle w:val="Normal6"/>
            </w:pPr>
            <w:r w:rsidRPr="00B7760C">
              <w:rPr>
                <w:b/>
                <w:i/>
              </w:rPr>
              <w:t>(d)</w:t>
            </w:r>
            <w:r w:rsidRPr="00B7760C">
              <w:rPr>
                <w:b/>
                <w:i/>
              </w:rPr>
              <w:tab/>
              <w:t>40 % za odhodke za naravne omejitve ali druge omejitve, značilne za posamezno območje, iz člena 66.</w:t>
            </w:r>
          </w:p>
        </w:tc>
        <w:tc>
          <w:tcPr>
            <w:tcW w:w="4876" w:type="dxa"/>
          </w:tcPr>
          <w:p w14:paraId="2340AA93" w14:textId="77777777" w:rsidR="00EB559D" w:rsidRPr="00B7760C" w:rsidRDefault="00EB559D" w:rsidP="004F0B88">
            <w:pPr>
              <w:pStyle w:val="Normal6"/>
              <w:rPr>
                <w:szCs w:val="24"/>
              </w:rPr>
            </w:pPr>
          </w:p>
        </w:tc>
      </w:tr>
      <w:tr w:rsidR="00EB559D" w:rsidRPr="00B7760C" w14:paraId="12221187" w14:textId="77777777" w:rsidTr="004F0B88">
        <w:tblPrEx>
          <w:tblLook w:val="04A0" w:firstRow="1" w:lastRow="0" w:firstColumn="1" w:lastColumn="0" w:noHBand="0" w:noVBand="1"/>
        </w:tblPrEx>
        <w:trPr>
          <w:jc w:val="center"/>
        </w:trPr>
        <w:tc>
          <w:tcPr>
            <w:tcW w:w="4876" w:type="dxa"/>
          </w:tcPr>
          <w:p w14:paraId="61D1BCD6" w14:textId="77777777" w:rsidR="00EB559D" w:rsidRPr="00B7760C" w:rsidRDefault="00EB559D" w:rsidP="004F0B88">
            <w:pPr>
              <w:pStyle w:val="Normal6"/>
            </w:pPr>
          </w:p>
        </w:tc>
        <w:tc>
          <w:tcPr>
            <w:tcW w:w="4876" w:type="dxa"/>
            <w:hideMark/>
          </w:tcPr>
          <w:p w14:paraId="46464DC3" w14:textId="77777777" w:rsidR="00EB559D" w:rsidRPr="00B7760C" w:rsidRDefault="00EB559D" w:rsidP="004F0B88">
            <w:pPr>
              <w:pStyle w:val="Normal6"/>
              <w:rPr>
                <w:szCs w:val="24"/>
              </w:rPr>
            </w:pPr>
            <w:r w:rsidRPr="00B7760C">
              <w:rPr>
                <w:b/>
                <w:i/>
              </w:rPr>
              <w:t>2a.</w:t>
            </w:r>
            <w:r w:rsidRPr="00B7760C">
              <w:rPr>
                <w:b/>
                <w:i/>
              </w:rPr>
              <w:tab/>
              <w:t>Komisija razvije znanstveno utemeljeno in mednarodno priznano skupno metodologijo za natančnejše sledenje odhodkom za podnebne in okoljske cilje, vključno z biotsko raznovrstnostjo, ter v okviru vmesnega pregleda iz člena 139a oceni ocenjeni prispevek različnih vrst intervencij.</w:t>
            </w:r>
          </w:p>
        </w:tc>
      </w:tr>
    </w:tbl>
    <w:p w14:paraId="429D2F57" w14:textId="2AE1147E" w:rsidR="00EB559D" w:rsidRPr="00B7760C" w:rsidRDefault="00EB559D" w:rsidP="003663AF"/>
    <w:p w14:paraId="17DBE34B" w14:textId="77777777" w:rsidR="00BC1010" w:rsidRPr="00B7760C" w:rsidRDefault="00BC1010" w:rsidP="003663AF"/>
    <w:p w14:paraId="6E8F4152" w14:textId="77777777" w:rsidR="005847CC" w:rsidRPr="00B7760C" w:rsidRDefault="005847CC" w:rsidP="005847CC">
      <w:pPr>
        <w:pStyle w:val="AmNumberTabs0"/>
      </w:pPr>
      <w:r w:rsidRPr="00B7760C">
        <w:t>Sprememba</w:t>
      </w:r>
      <w:r w:rsidRPr="00B7760C">
        <w:tab/>
      </w:r>
      <w:r w:rsidRPr="00B7760C">
        <w:tab/>
        <w:t>1175</w:t>
      </w:r>
    </w:p>
    <w:p w14:paraId="08C9DCA8" w14:textId="77777777" w:rsidR="005847CC" w:rsidRPr="00B7760C" w:rsidRDefault="005847CC" w:rsidP="005847CC">
      <w:pPr>
        <w:pStyle w:val="NormalBold12b"/>
      </w:pPr>
      <w:r w:rsidRPr="00B7760C">
        <w:t>Predlog uredbe</w:t>
      </w:r>
    </w:p>
    <w:p w14:paraId="4322C1DE" w14:textId="77777777" w:rsidR="005847CC" w:rsidRPr="00B7760C" w:rsidRDefault="005847CC" w:rsidP="005847CC">
      <w:pPr>
        <w:pStyle w:val="NormalBold"/>
      </w:pPr>
      <w:r w:rsidRPr="00B7760C">
        <w:t>Člen 88 – odstavek 1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847CC" w:rsidRPr="00B7760C" w14:paraId="31125C79" w14:textId="77777777" w:rsidTr="005847CC">
        <w:trPr>
          <w:trHeight w:hRule="exact" w:val="240"/>
          <w:jc w:val="center"/>
        </w:trPr>
        <w:tc>
          <w:tcPr>
            <w:tcW w:w="9752" w:type="dxa"/>
            <w:gridSpan w:val="2"/>
          </w:tcPr>
          <w:p w14:paraId="27743B44" w14:textId="77777777" w:rsidR="005847CC" w:rsidRPr="00B7760C" w:rsidRDefault="005847CC" w:rsidP="005847CC"/>
        </w:tc>
      </w:tr>
      <w:tr w:rsidR="005847CC" w:rsidRPr="00B7760C" w14:paraId="6C65A4A4" w14:textId="77777777" w:rsidTr="005847CC">
        <w:trPr>
          <w:trHeight w:val="240"/>
          <w:jc w:val="center"/>
        </w:trPr>
        <w:tc>
          <w:tcPr>
            <w:tcW w:w="4876" w:type="dxa"/>
          </w:tcPr>
          <w:p w14:paraId="28724D59" w14:textId="77777777" w:rsidR="005847CC" w:rsidRPr="00B7760C" w:rsidRDefault="005847CC" w:rsidP="005847CC">
            <w:pPr>
              <w:pStyle w:val="AmColumnHeading"/>
            </w:pPr>
            <w:r w:rsidRPr="00B7760C">
              <w:t>Besedilo, ki ga predlaga Komisija</w:t>
            </w:r>
          </w:p>
        </w:tc>
        <w:tc>
          <w:tcPr>
            <w:tcW w:w="4876" w:type="dxa"/>
          </w:tcPr>
          <w:p w14:paraId="440E1C6F" w14:textId="77777777" w:rsidR="005847CC" w:rsidRPr="00B7760C" w:rsidRDefault="005847CC" w:rsidP="005847CC">
            <w:pPr>
              <w:pStyle w:val="AmColumnHeading"/>
            </w:pPr>
            <w:r w:rsidRPr="00B7760C">
              <w:t>Sprememba</w:t>
            </w:r>
          </w:p>
        </w:tc>
      </w:tr>
      <w:tr w:rsidR="005847CC" w:rsidRPr="00B7760C" w14:paraId="57287AC3" w14:textId="77777777" w:rsidTr="005847CC">
        <w:trPr>
          <w:jc w:val="center"/>
        </w:trPr>
        <w:tc>
          <w:tcPr>
            <w:tcW w:w="4876" w:type="dxa"/>
          </w:tcPr>
          <w:p w14:paraId="126A0B03" w14:textId="77777777" w:rsidR="005847CC" w:rsidRPr="00B7760C" w:rsidRDefault="005847CC" w:rsidP="005847CC">
            <w:pPr>
              <w:pStyle w:val="Normal6a"/>
            </w:pPr>
          </w:p>
        </w:tc>
        <w:tc>
          <w:tcPr>
            <w:tcW w:w="4876" w:type="dxa"/>
          </w:tcPr>
          <w:p w14:paraId="09352711" w14:textId="77777777" w:rsidR="005847CC" w:rsidRPr="00B7760C" w:rsidRDefault="005847CC" w:rsidP="005847CC">
            <w:pPr>
              <w:pStyle w:val="Normal6a"/>
            </w:pPr>
            <w:r w:rsidRPr="00B7760C">
              <w:rPr>
                <w:b/>
                <w:i/>
              </w:rPr>
              <w:t>1a.</w:t>
            </w:r>
            <w:r w:rsidRPr="00B7760C">
              <w:tab/>
            </w:r>
            <w:r w:rsidRPr="00B7760C">
              <w:rPr>
                <w:b/>
                <w:i/>
              </w:rPr>
              <w:t>Načrtovani zneski na enoto iz odstavka 1 so enotni ali povprečni, kar določijo države članice.</w:t>
            </w:r>
          </w:p>
        </w:tc>
      </w:tr>
    </w:tbl>
    <w:p w14:paraId="4E2C51BE" w14:textId="18FA4D4D" w:rsidR="003663AF" w:rsidRPr="00B7760C" w:rsidRDefault="00877691" w:rsidP="003663AF">
      <w:pPr>
        <w:pStyle w:val="AMNumberTabs"/>
        <w:keepNext/>
      </w:pPr>
      <w:r w:rsidRPr="00B7760C">
        <w:t>Sprememba</w:t>
      </w:r>
      <w:r w:rsidR="003663AF" w:rsidRPr="00B7760C">
        <w:tab/>
      </w:r>
      <w:r w:rsidR="003663AF" w:rsidRPr="00B7760C">
        <w:tab/>
        <w:t>554</w:t>
      </w:r>
    </w:p>
    <w:p w14:paraId="1548C33D" w14:textId="77777777" w:rsidR="003663AF" w:rsidRPr="00B7760C" w:rsidRDefault="003663AF" w:rsidP="003663AF">
      <w:pPr>
        <w:pStyle w:val="NormalBold12b"/>
      </w:pPr>
      <w:r w:rsidRPr="00B7760C">
        <w:t>Predlog uredbe</w:t>
      </w:r>
    </w:p>
    <w:p w14:paraId="2376AD24" w14:textId="77777777" w:rsidR="003663AF" w:rsidRPr="00B7760C" w:rsidRDefault="003663AF" w:rsidP="003663AF">
      <w:pPr>
        <w:pStyle w:val="NormalBold"/>
      </w:pPr>
      <w:r w:rsidRPr="00B7760C">
        <w:t>Člen 89 – odstavek 1 – pododstavek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A0EBC0B" w14:textId="77777777" w:rsidTr="00E804B7">
        <w:trPr>
          <w:jc w:val="center"/>
        </w:trPr>
        <w:tc>
          <w:tcPr>
            <w:tcW w:w="9752" w:type="dxa"/>
            <w:gridSpan w:val="2"/>
          </w:tcPr>
          <w:p w14:paraId="1ADCF77A" w14:textId="77777777" w:rsidR="003663AF" w:rsidRPr="00B7760C" w:rsidRDefault="003663AF" w:rsidP="00E804B7">
            <w:pPr>
              <w:keepNext/>
            </w:pPr>
          </w:p>
        </w:tc>
      </w:tr>
      <w:tr w:rsidR="003663AF" w:rsidRPr="00B7760C" w14:paraId="48481BC7" w14:textId="77777777" w:rsidTr="00E804B7">
        <w:trPr>
          <w:jc w:val="center"/>
        </w:trPr>
        <w:tc>
          <w:tcPr>
            <w:tcW w:w="4876" w:type="dxa"/>
            <w:hideMark/>
          </w:tcPr>
          <w:p w14:paraId="1250B8BB" w14:textId="77777777" w:rsidR="003663AF" w:rsidRPr="00B7760C" w:rsidRDefault="003663AF" w:rsidP="00E804B7">
            <w:pPr>
              <w:pStyle w:val="ColumnHeading"/>
              <w:keepNext/>
            </w:pPr>
            <w:r w:rsidRPr="00B7760C">
              <w:t>Besedilo, ki ga predlaga Komisija</w:t>
            </w:r>
          </w:p>
        </w:tc>
        <w:tc>
          <w:tcPr>
            <w:tcW w:w="4876" w:type="dxa"/>
            <w:hideMark/>
          </w:tcPr>
          <w:p w14:paraId="3DCBA365" w14:textId="557438B2" w:rsidR="003663AF" w:rsidRPr="00B7760C" w:rsidRDefault="00877691" w:rsidP="00E804B7">
            <w:pPr>
              <w:pStyle w:val="ColumnHeading"/>
              <w:keepNext/>
            </w:pPr>
            <w:r w:rsidRPr="00B7760C">
              <w:t>Sprememba</w:t>
            </w:r>
          </w:p>
        </w:tc>
      </w:tr>
      <w:tr w:rsidR="003663AF" w:rsidRPr="00B7760C" w14:paraId="6B712CFA" w14:textId="77777777" w:rsidTr="00E804B7">
        <w:trPr>
          <w:jc w:val="center"/>
        </w:trPr>
        <w:tc>
          <w:tcPr>
            <w:tcW w:w="4876" w:type="dxa"/>
            <w:hideMark/>
          </w:tcPr>
          <w:p w14:paraId="115E8314" w14:textId="77777777" w:rsidR="003663AF" w:rsidRPr="00B7760C" w:rsidRDefault="003663AF" w:rsidP="00E804B7">
            <w:pPr>
              <w:pStyle w:val="Normal6"/>
            </w:pPr>
            <w:r w:rsidRPr="00B7760C">
              <w:t>Delež odstopanja je delež, za katerega lahko realizirani povprečni ali enotni zneski na enoto presegajo načrtovane povprečne ali enotne zneske na enoto iz strateškega načrta SKP.</w:t>
            </w:r>
          </w:p>
        </w:tc>
        <w:tc>
          <w:tcPr>
            <w:tcW w:w="4876" w:type="dxa"/>
            <w:hideMark/>
          </w:tcPr>
          <w:p w14:paraId="71D74B50" w14:textId="77777777" w:rsidR="003663AF" w:rsidRPr="00B7760C" w:rsidRDefault="003663AF" w:rsidP="00E804B7">
            <w:pPr>
              <w:pStyle w:val="Normal6"/>
              <w:rPr>
                <w:szCs w:val="24"/>
              </w:rPr>
            </w:pPr>
            <w:r w:rsidRPr="00B7760C">
              <w:t xml:space="preserve">Delež odstopanja je delež, za katerega lahko realizirani povprečni ali </w:t>
            </w:r>
            <w:r w:rsidRPr="00B7760C">
              <w:rPr>
                <w:b/>
                <w:i/>
              </w:rPr>
              <w:t xml:space="preserve">okvirni </w:t>
            </w:r>
            <w:r w:rsidRPr="00B7760C">
              <w:t>enotni zneski na enoto presegajo načrtovane povprečne ali</w:t>
            </w:r>
            <w:r w:rsidRPr="00B7760C">
              <w:rPr>
                <w:b/>
                <w:i/>
              </w:rPr>
              <w:t xml:space="preserve"> okvirne</w:t>
            </w:r>
            <w:r w:rsidRPr="00B7760C">
              <w:t xml:space="preserve"> enotne zneske na enoto iz strateškega načrta SKP.</w:t>
            </w:r>
          </w:p>
        </w:tc>
      </w:tr>
    </w:tbl>
    <w:p w14:paraId="6FD768D4" w14:textId="77777777" w:rsidR="003663AF" w:rsidRPr="00B7760C" w:rsidRDefault="003663AF" w:rsidP="003663AF"/>
    <w:p w14:paraId="35DD9084" w14:textId="66AFF312" w:rsidR="003663AF" w:rsidRPr="00B7760C" w:rsidRDefault="00877691" w:rsidP="003663AF">
      <w:pPr>
        <w:pStyle w:val="AMNumberTabs"/>
        <w:keepNext/>
      </w:pPr>
      <w:r w:rsidRPr="00B7760C">
        <w:t>Sprememba</w:t>
      </w:r>
      <w:r w:rsidR="003663AF" w:rsidRPr="00B7760C">
        <w:tab/>
      </w:r>
      <w:r w:rsidR="003663AF" w:rsidRPr="00B7760C">
        <w:tab/>
        <w:t>555</w:t>
      </w:r>
    </w:p>
    <w:p w14:paraId="0FFDE967" w14:textId="77777777" w:rsidR="003663AF" w:rsidRPr="00B7760C" w:rsidRDefault="003663AF" w:rsidP="003663AF">
      <w:pPr>
        <w:pStyle w:val="NormalBold12b"/>
      </w:pPr>
      <w:r w:rsidRPr="00B7760C">
        <w:t>Predlog uredbe</w:t>
      </w:r>
    </w:p>
    <w:p w14:paraId="1AEFD8E8" w14:textId="77777777" w:rsidR="003663AF" w:rsidRPr="00B7760C" w:rsidRDefault="003663AF" w:rsidP="003663AF">
      <w:pPr>
        <w:pStyle w:val="NormalBold"/>
      </w:pPr>
      <w:r w:rsidRPr="00B7760C">
        <w:t>Člen 89 – odstavek 1 – pododstavek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7F775DA" w14:textId="77777777" w:rsidTr="00E804B7">
        <w:trPr>
          <w:jc w:val="center"/>
        </w:trPr>
        <w:tc>
          <w:tcPr>
            <w:tcW w:w="9752" w:type="dxa"/>
            <w:gridSpan w:val="2"/>
          </w:tcPr>
          <w:p w14:paraId="7E60F081" w14:textId="77777777" w:rsidR="003663AF" w:rsidRPr="00B7760C" w:rsidRDefault="003663AF" w:rsidP="00E804B7">
            <w:pPr>
              <w:keepNext/>
            </w:pPr>
          </w:p>
        </w:tc>
      </w:tr>
      <w:tr w:rsidR="003663AF" w:rsidRPr="00B7760C" w14:paraId="197783C6" w14:textId="77777777" w:rsidTr="00E804B7">
        <w:trPr>
          <w:jc w:val="center"/>
        </w:trPr>
        <w:tc>
          <w:tcPr>
            <w:tcW w:w="4876" w:type="dxa"/>
            <w:hideMark/>
          </w:tcPr>
          <w:p w14:paraId="1B71291A" w14:textId="77777777" w:rsidR="003663AF" w:rsidRPr="00B7760C" w:rsidRDefault="003663AF" w:rsidP="00E804B7">
            <w:pPr>
              <w:pStyle w:val="ColumnHeading"/>
              <w:keepNext/>
            </w:pPr>
            <w:r w:rsidRPr="00B7760C">
              <w:t>Besedilo, ki ga predlaga Komisija</w:t>
            </w:r>
          </w:p>
        </w:tc>
        <w:tc>
          <w:tcPr>
            <w:tcW w:w="4876" w:type="dxa"/>
            <w:hideMark/>
          </w:tcPr>
          <w:p w14:paraId="5F429C6A" w14:textId="070CD900" w:rsidR="003663AF" w:rsidRPr="00B7760C" w:rsidRDefault="00877691" w:rsidP="00E804B7">
            <w:pPr>
              <w:pStyle w:val="ColumnHeading"/>
              <w:keepNext/>
            </w:pPr>
            <w:r w:rsidRPr="00B7760C">
              <w:t>Sprememba</w:t>
            </w:r>
          </w:p>
        </w:tc>
      </w:tr>
      <w:tr w:rsidR="003663AF" w:rsidRPr="00B7760C" w14:paraId="037D778E" w14:textId="77777777" w:rsidTr="00E804B7">
        <w:trPr>
          <w:jc w:val="center"/>
        </w:trPr>
        <w:tc>
          <w:tcPr>
            <w:tcW w:w="4876" w:type="dxa"/>
            <w:hideMark/>
          </w:tcPr>
          <w:p w14:paraId="190700AC" w14:textId="77777777" w:rsidR="003663AF" w:rsidRPr="00B7760C" w:rsidRDefault="003663AF" w:rsidP="00E804B7">
            <w:pPr>
              <w:pStyle w:val="Normal6"/>
            </w:pPr>
            <w:r w:rsidRPr="00B7760C">
              <w:t>Za vsako intervencijo v obliki neposrednih plačil realizirani povprečni ali enotni znesek na enoto nikoli ni nižji od načrtovanega zneska na enoto, razen če realizirani izložek presega načrtovani izložek, kot je določen v strateškem načrtu SKP.</w:t>
            </w:r>
          </w:p>
        </w:tc>
        <w:tc>
          <w:tcPr>
            <w:tcW w:w="4876" w:type="dxa"/>
            <w:hideMark/>
          </w:tcPr>
          <w:p w14:paraId="3CB193BC" w14:textId="77777777" w:rsidR="003663AF" w:rsidRPr="00B7760C" w:rsidRDefault="003663AF" w:rsidP="00E804B7">
            <w:pPr>
              <w:pStyle w:val="Normal6"/>
              <w:rPr>
                <w:szCs w:val="24"/>
              </w:rPr>
            </w:pPr>
            <w:r w:rsidRPr="00B7760C">
              <w:t xml:space="preserve">Za vsako intervencijo v obliki neposrednih plačil realizirani povprečni ali </w:t>
            </w:r>
            <w:r w:rsidRPr="00B7760C">
              <w:rPr>
                <w:b/>
                <w:i/>
              </w:rPr>
              <w:t xml:space="preserve">okvirni </w:t>
            </w:r>
            <w:r w:rsidRPr="00B7760C">
              <w:t>enotni znesek na enoto nikoli ni nižji od načrtovanega</w:t>
            </w:r>
            <w:r w:rsidRPr="00B7760C">
              <w:rPr>
                <w:b/>
                <w:i/>
              </w:rPr>
              <w:t xml:space="preserve"> okvirnega</w:t>
            </w:r>
            <w:r w:rsidRPr="00B7760C">
              <w:t xml:space="preserve"> zneska na enoto, razen če realizirani izložek presega načrtovani izložek, kot je določen v strateškem načrtu SKP.</w:t>
            </w:r>
          </w:p>
        </w:tc>
      </w:tr>
    </w:tbl>
    <w:p w14:paraId="7F603768" w14:textId="77777777" w:rsidR="003663AF" w:rsidRPr="00B7760C" w:rsidRDefault="003663AF" w:rsidP="003663AF"/>
    <w:p w14:paraId="293A9328" w14:textId="12ED9837" w:rsidR="003663AF" w:rsidRPr="00B7760C" w:rsidRDefault="00877691" w:rsidP="003663AF">
      <w:pPr>
        <w:pStyle w:val="AMNumberTabs"/>
        <w:keepNext/>
      </w:pPr>
      <w:r w:rsidRPr="00B7760C">
        <w:t>Sprememba</w:t>
      </w:r>
      <w:r w:rsidR="003663AF" w:rsidRPr="00B7760C">
        <w:tab/>
      </w:r>
      <w:r w:rsidR="003663AF" w:rsidRPr="00B7760C">
        <w:tab/>
        <w:t>556</w:t>
      </w:r>
    </w:p>
    <w:p w14:paraId="472C4178" w14:textId="77777777" w:rsidR="003663AF" w:rsidRPr="00B7760C" w:rsidRDefault="003663AF" w:rsidP="003663AF">
      <w:pPr>
        <w:pStyle w:val="NormalBold12b"/>
      </w:pPr>
      <w:r w:rsidRPr="00B7760C">
        <w:t>Predlog uredbe</w:t>
      </w:r>
    </w:p>
    <w:p w14:paraId="07D86D91" w14:textId="77777777" w:rsidR="003663AF" w:rsidRPr="00B7760C" w:rsidRDefault="003663AF" w:rsidP="003663AF">
      <w:pPr>
        <w:pStyle w:val="NormalBold"/>
      </w:pPr>
      <w:r w:rsidRPr="00B7760C">
        <w:t>Člen 89 – odstavek 1 – pododstavek 4</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7327622" w14:textId="77777777" w:rsidTr="00E804B7">
        <w:trPr>
          <w:jc w:val="center"/>
        </w:trPr>
        <w:tc>
          <w:tcPr>
            <w:tcW w:w="9752" w:type="dxa"/>
            <w:gridSpan w:val="2"/>
          </w:tcPr>
          <w:p w14:paraId="14F00668" w14:textId="77777777" w:rsidR="003663AF" w:rsidRPr="00B7760C" w:rsidRDefault="003663AF" w:rsidP="00E804B7">
            <w:pPr>
              <w:keepNext/>
            </w:pPr>
          </w:p>
        </w:tc>
      </w:tr>
      <w:tr w:rsidR="003663AF" w:rsidRPr="00B7760C" w14:paraId="29426CD9" w14:textId="77777777" w:rsidTr="00E804B7">
        <w:trPr>
          <w:jc w:val="center"/>
        </w:trPr>
        <w:tc>
          <w:tcPr>
            <w:tcW w:w="4876" w:type="dxa"/>
            <w:hideMark/>
          </w:tcPr>
          <w:p w14:paraId="45EAD297" w14:textId="77777777" w:rsidR="003663AF" w:rsidRPr="00B7760C" w:rsidRDefault="003663AF" w:rsidP="00E804B7">
            <w:pPr>
              <w:pStyle w:val="ColumnHeading"/>
              <w:keepNext/>
            </w:pPr>
            <w:r w:rsidRPr="00B7760C">
              <w:t>Besedilo, ki ga predlaga Komisija</w:t>
            </w:r>
          </w:p>
        </w:tc>
        <w:tc>
          <w:tcPr>
            <w:tcW w:w="4876" w:type="dxa"/>
            <w:hideMark/>
          </w:tcPr>
          <w:p w14:paraId="5C9DB555" w14:textId="3FF526D6" w:rsidR="003663AF" w:rsidRPr="00B7760C" w:rsidRDefault="00877691" w:rsidP="00E804B7">
            <w:pPr>
              <w:pStyle w:val="ColumnHeading"/>
              <w:keepNext/>
            </w:pPr>
            <w:r w:rsidRPr="00B7760C">
              <w:t>Sprememba</w:t>
            </w:r>
          </w:p>
        </w:tc>
      </w:tr>
      <w:tr w:rsidR="003663AF" w:rsidRPr="00B7760C" w14:paraId="07B90B74" w14:textId="77777777" w:rsidTr="00E804B7">
        <w:trPr>
          <w:jc w:val="center"/>
        </w:trPr>
        <w:tc>
          <w:tcPr>
            <w:tcW w:w="4876" w:type="dxa"/>
            <w:hideMark/>
          </w:tcPr>
          <w:p w14:paraId="74569B0B" w14:textId="77777777" w:rsidR="003663AF" w:rsidRPr="00B7760C" w:rsidRDefault="003663AF" w:rsidP="00E804B7">
            <w:pPr>
              <w:pStyle w:val="Normal6"/>
            </w:pPr>
            <w:r w:rsidRPr="00B7760C">
              <w:t>Kadar so znotraj intervencije opredeljeni različni zneski na enoto, se ta pododstavek uporablja za vsak enotni ali povprečni znesek na enoto v zadevni intervenciji.</w:t>
            </w:r>
          </w:p>
        </w:tc>
        <w:tc>
          <w:tcPr>
            <w:tcW w:w="4876" w:type="dxa"/>
            <w:hideMark/>
          </w:tcPr>
          <w:p w14:paraId="3986E983" w14:textId="77777777" w:rsidR="003663AF" w:rsidRPr="00B7760C" w:rsidRDefault="003663AF" w:rsidP="00E804B7">
            <w:pPr>
              <w:pStyle w:val="Normal6"/>
              <w:rPr>
                <w:szCs w:val="24"/>
              </w:rPr>
            </w:pPr>
            <w:r w:rsidRPr="00B7760C">
              <w:t xml:space="preserve">Kadar so znotraj intervencije opredeljeni različni </w:t>
            </w:r>
            <w:r w:rsidRPr="00B7760C">
              <w:rPr>
                <w:b/>
                <w:i/>
              </w:rPr>
              <w:t xml:space="preserve">okvirni </w:t>
            </w:r>
            <w:r w:rsidRPr="00B7760C">
              <w:t>zneski na enoto, se ta pododstavek uporablja za vsak enotni ali povprečni</w:t>
            </w:r>
            <w:r w:rsidRPr="00B7760C">
              <w:rPr>
                <w:b/>
                <w:i/>
              </w:rPr>
              <w:t xml:space="preserve"> okvirni</w:t>
            </w:r>
            <w:r w:rsidRPr="00B7760C">
              <w:t xml:space="preserve"> znesek na enoto v zadevni intervenciji.</w:t>
            </w:r>
          </w:p>
        </w:tc>
      </w:tr>
    </w:tbl>
    <w:p w14:paraId="60F911D8" w14:textId="77777777" w:rsidR="003663AF" w:rsidRPr="00B7760C" w:rsidRDefault="003663AF" w:rsidP="003663AF"/>
    <w:p w14:paraId="4E2E67DB" w14:textId="3ADFA3B4" w:rsidR="003663AF" w:rsidRPr="00B7760C" w:rsidRDefault="00877691" w:rsidP="003663AF">
      <w:pPr>
        <w:pStyle w:val="AMNumberTabs"/>
        <w:keepNext/>
      </w:pPr>
      <w:r w:rsidRPr="00B7760C">
        <w:t>Sprememba</w:t>
      </w:r>
      <w:r w:rsidR="003663AF" w:rsidRPr="00B7760C">
        <w:tab/>
      </w:r>
      <w:r w:rsidR="003663AF" w:rsidRPr="00B7760C">
        <w:tab/>
        <w:t>557</w:t>
      </w:r>
    </w:p>
    <w:p w14:paraId="655314F9" w14:textId="77777777" w:rsidR="003663AF" w:rsidRPr="00B7760C" w:rsidRDefault="003663AF" w:rsidP="003663AF">
      <w:pPr>
        <w:pStyle w:val="NormalBold12b"/>
      </w:pPr>
      <w:r w:rsidRPr="00B7760C">
        <w:t>Predlog uredbe</w:t>
      </w:r>
    </w:p>
    <w:p w14:paraId="3F587B2F" w14:textId="77777777" w:rsidR="003663AF" w:rsidRPr="00B7760C" w:rsidRDefault="003663AF" w:rsidP="003663AF">
      <w:pPr>
        <w:pStyle w:val="NormalBold"/>
      </w:pPr>
      <w:r w:rsidRPr="00B7760C">
        <w:t>Člen 89 – odstavek 2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9B467BE" w14:textId="77777777" w:rsidTr="00E804B7">
        <w:trPr>
          <w:jc w:val="center"/>
        </w:trPr>
        <w:tc>
          <w:tcPr>
            <w:tcW w:w="9752" w:type="dxa"/>
            <w:gridSpan w:val="2"/>
          </w:tcPr>
          <w:p w14:paraId="407A950A" w14:textId="77777777" w:rsidR="003663AF" w:rsidRPr="00B7760C" w:rsidRDefault="003663AF" w:rsidP="00E804B7">
            <w:pPr>
              <w:keepNext/>
            </w:pPr>
          </w:p>
        </w:tc>
      </w:tr>
      <w:tr w:rsidR="003663AF" w:rsidRPr="00B7760C" w14:paraId="5B96D545" w14:textId="77777777" w:rsidTr="00E804B7">
        <w:trPr>
          <w:jc w:val="center"/>
        </w:trPr>
        <w:tc>
          <w:tcPr>
            <w:tcW w:w="4876" w:type="dxa"/>
            <w:hideMark/>
          </w:tcPr>
          <w:p w14:paraId="58FCA5F6" w14:textId="77777777" w:rsidR="003663AF" w:rsidRPr="00B7760C" w:rsidRDefault="003663AF" w:rsidP="00E804B7">
            <w:pPr>
              <w:pStyle w:val="ColumnHeading"/>
              <w:keepNext/>
            </w:pPr>
            <w:r w:rsidRPr="00B7760C">
              <w:t>Besedilo, ki ga predlaga Komisija</w:t>
            </w:r>
          </w:p>
        </w:tc>
        <w:tc>
          <w:tcPr>
            <w:tcW w:w="4876" w:type="dxa"/>
            <w:hideMark/>
          </w:tcPr>
          <w:p w14:paraId="6F77A236" w14:textId="30980091" w:rsidR="003663AF" w:rsidRPr="00B7760C" w:rsidRDefault="00877691" w:rsidP="00E804B7">
            <w:pPr>
              <w:pStyle w:val="ColumnHeading"/>
              <w:keepNext/>
            </w:pPr>
            <w:r w:rsidRPr="00B7760C">
              <w:t>Sprememba</w:t>
            </w:r>
          </w:p>
        </w:tc>
      </w:tr>
      <w:tr w:rsidR="003663AF" w:rsidRPr="00B7760C" w14:paraId="291B7B3B" w14:textId="77777777" w:rsidTr="00E804B7">
        <w:trPr>
          <w:jc w:val="center"/>
        </w:trPr>
        <w:tc>
          <w:tcPr>
            <w:tcW w:w="4876" w:type="dxa"/>
          </w:tcPr>
          <w:p w14:paraId="4480A862" w14:textId="77777777" w:rsidR="003663AF" w:rsidRPr="00B7760C" w:rsidRDefault="003663AF" w:rsidP="00E804B7">
            <w:pPr>
              <w:pStyle w:val="Normal6"/>
            </w:pPr>
          </w:p>
        </w:tc>
        <w:tc>
          <w:tcPr>
            <w:tcW w:w="4876" w:type="dxa"/>
            <w:hideMark/>
          </w:tcPr>
          <w:p w14:paraId="16C89C28" w14:textId="77777777" w:rsidR="003663AF" w:rsidRPr="00B7760C" w:rsidRDefault="003663AF" w:rsidP="00E804B7">
            <w:pPr>
              <w:pStyle w:val="Normal6"/>
              <w:rPr>
                <w:szCs w:val="24"/>
              </w:rPr>
            </w:pPr>
            <w:r w:rsidRPr="00B7760C">
              <w:rPr>
                <w:b/>
                <w:i/>
              </w:rPr>
              <w:t>2a.</w:t>
            </w:r>
            <w:r w:rsidRPr="00B7760C">
              <w:rPr>
                <w:b/>
                <w:i/>
              </w:rPr>
              <w:tab/>
              <w:t>Države članice lahko prerazporedijo zneske znotraj iste vrste intervencij.</w:t>
            </w:r>
          </w:p>
        </w:tc>
      </w:tr>
    </w:tbl>
    <w:p w14:paraId="1E5351F7" w14:textId="77777777" w:rsidR="003663AF" w:rsidRPr="00B7760C" w:rsidRDefault="003663AF" w:rsidP="003663AF"/>
    <w:p w14:paraId="42F69D81" w14:textId="361EF38D" w:rsidR="003663AF" w:rsidRPr="00B7760C" w:rsidRDefault="003663AF" w:rsidP="003663AF"/>
    <w:p w14:paraId="5C7230C0" w14:textId="7E89BF9E" w:rsidR="00EB559D" w:rsidRPr="00B7760C" w:rsidRDefault="00EB559D" w:rsidP="003663AF"/>
    <w:p w14:paraId="7693B296" w14:textId="7535EA90" w:rsidR="00EB559D" w:rsidRPr="00B7760C" w:rsidRDefault="00947116" w:rsidP="00EB559D">
      <w:pPr>
        <w:pStyle w:val="AmNumberTabs0"/>
      </w:pPr>
      <w:r w:rsidRPr="00B7760C">
        <w:t>Sprememba</w:t>
      </w:r>
      <w:r w:rsidR="00EB559D" w:rsidRPr="00B7760C">
        <w:tab/>
      </w:r>
      <w:r w:rsidR="00EB559D" w:rsidRPr="00B7760C">
        <w:tab/>
        <w:t>1136</w:t>
      </w:r>
    </w:p>
    <w:p w14:paraId="1B371509" w14:textId="77777777" w:rsidR="00EB559D" w:rsidRPr="00B7760C" w:rsidRDefault="00EB559D" w:rsidP="00EB559D">
      <w:pPr>
        <w:pStyle w:val="NormalBold12b"/>
      </w:pPr>
      <w:r w:rsidRPr="00B7760C">
        <w:t>Predlog uredbe</w:t>
      </w:r>
    </w:p>
    <w:p w14:paraId="2B2ECD84" w14:textId="77777777" w:rsidR="00EB559D" w:rsidRPr="00B7760C" w:rsidRDefault="00EB559D" w:rsidP="00EB559D">
      <w:pPr>
        <w:pStyle w:val="NormalBold"/>
      </w:pPr>
      <w:r w:rsidRPr="00B7760C">
        <w:t>Člen 90</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EB559D" w:rsidRPr="00B7760C" w14:paraId="34E15C7B" w14:textId="77777777" w:rsidTr="004F0B88">
        <w:trPr>
          <w:jc w:val="center"/>
        </w:trPr>
        <w:tc>
          <w:tcPr>
            <w:tcW w:w="9752" w:type="dxa"/>
            <w:gridSpan w:val="2"/>
          </w:tcPr>
          <w:p w14:paraId="3D8F133A" w14:textId="77777777" w:rsidR="00EB559D" w:rsidRPr="00B7760C" w:rsidRDefault="00EB559D" w:rsidP="004F0B88">
            <w:pPr>
              <w:keepNext/>
            </w:pPr>
          </w:p>
        </w:tc>
      </w:tr>
      <w:tr w:rsidR="00EB559D" w:rsidRPr="00B7760C" w14:paraId="1F5BE329" w14:textId="77777777" w:rsidTr="004F0B88">
        <w:trPr>
          <w:jc w:val="center"/>
        </w:trPr>
        <w:tc>
          <w:tcPr>
            <w:tcW w:w="4876" w:type="dxa"/>
          </w:tcPr>
          <w:p w14:paraId="44A5AE4E" w14:textId="77777777" w:rsidR="00EB559D" w:rsidRPr="00B7760C" w:rsidRDefault="00EB559D" w:rsidP="004F0B88">
            <w:pPr>
              <w:pStyle w:val="AmColumnHeading"/>
              <w:keepNext/>
            </w:pPr>
            <w:r w:rsidRPr="00B7760C">
              <w:t>Besedilo, ki ga predlaga Komisija</w:t>
            </w:r>
          </w:p>
        </w:tc>
        <w:tc>
          <w:tcPr>
            <w:tcW w:w="4876" w:type="dxa"/>
          </w:tcPr>
          <w:p w14:paraId="231CB516" w14:textId="36912F7B" w:rsidR="00EB559D" w:rsidRPr="00B7760C" w:rsidRDefault="00947116" w:rsidP="004F0B88">
            <w:pPr>
              <w:pStyle w:val="AmColumnHeading"/>
              <w:keepNext/>
            </w:pPr>
            <w:r w:rsidRPr="00B7760C">
              <w:t>S</w:t>
            </w:r>
            <w:r w:rsidR="00EB559D" w:rsidRPr="00B7760C">
              <w:t>prememb</w:t>
            </w:r>
            <w:r w:rsidRPr="00B7760C">
              <w:t>a</w:t>
            </w:r>
          </w:p>
        </w:tc>
      </w:tr>
      <w:tr w:rsidR="00EB559D" w:rsidRPr="00B7760C" w14:paraId="5B42CBD3" w14:textId="77777777" w:rsidTr="004F0B88">
        <w:trPr>
          <w:jc w:val="center"/>
        </w:trPr>
        <w:tc>
          <w:tcPr>
            <w:tcW w:w="4876" w:type="dxa"/>
          </w:tcPr>
          <w:p w14:paraId="23267164" w14:textId="77777777" w:rsidR="00EB559D" w:rsidRPr="00B7760C" w:rsidRDefault="00EB559D" w:rsidP="004F0B88">
            <w:pPr>
              <w:pStyle w:val="Normal6a"/>
              <w:jc w:val="center"/>
            </w:pPr>
            <w:r w:rsidRPr="00B7760C">
              <w:t>Člen 90</w:t>
            </w:r>
          </w:p>
        </w:tc>
        <w:tc>
          <w:tcPr>
            <w:tcW w:w="4876" w:type="dxa"/>
          </w:tcPr>
          <w:p w14:paraId="14D8C679" w14:textId="77777777" w:rsidR="00EB559D" w:rsidRPr="00B7760C" w:rsidRDefault="00EB559D" w:rsidP="004F0B88">
            <w:pPr>
              <w:pStyle w:val="Normal6a"/>
              <w:jc w:val="center"/>
              <w:rPr>
                <w:szCs w:val="24"/>
              </w:rPr>
            </w:pPr>
            <w:r w:rsidRPr="00B7760C">
              <w:t>Člen 90</w:t>
            </w:r>
          </w:p>
        </w:tc>
      </w:tr>
      <w:tr w:rsidR="00EB559D" w:rsidRPr="00B7760C" w14:paraId="0109DB7B" w14:textId="77777777" w:rsidTr="004F0B88">
        <w:tblPrEx>
          <w:tblLook w:val="04A0" w:firstRow="1" w:lastRow="0" w:firstColumn="1" w:lastColumn="0" w:noHBand="0" w:noVBand="1"/>
        </w:tblPrEx>
        <w:trPr>
          <w:jc w:val="center"/>
        </w:trPr>
        <w:tc>
          <w:tcPr>
            <w:tcW w:w="4876" w:type="dxa"/>
          </w:tcPr>
          <w:p w14:paraId="2C923C83" w14:textId="77777777" w:rsidR="00EB559D" w:rsidRPr="00B7760C" w:rsidRDefault="00EB559D" w:rsidP="004F0B88">
            <w:pPr>
              <w:pStyle w:val="Normal6"/>
              <w:jc w:val="center"/>
            </w:pPr>
            <w:r w:rsidRPr="00B7760C">
              <w:t>Prožnost med dodeljenimi finančnimi sredstvi za neposredna plačila in dodelitvami EKSRP</w:t>
            </w:r>
          </w:p>
        </w:tc>
        <w:tc>
          <w:tcPr>
            <w:tcW w:w="4876" w:type="dxa"/>
          </w:tcPr>
          <w:p w14:paraId="012845C9" w14:textId="77777777" w:rsidR="00EB559D" w:rsidRPr="00B7760C" w:rsidRDefault="00EB559D" w:rsidP="004F0B88">
            <w:pPr>
              <w:pStyle w:val="Normal6"/>
              <w:jc w:val="center"/>
            </w:pPr>
            <w:r w:rsidRPr="00B7760C">
              <w:t>Prožnost med dodeljenimi finančnimi sredstvi za neposredna plačila in dodelitvami EKSRP</w:t>
            </w:r>
          </w:p>
        </w:tc>
      </w:tr>
      <w:tr w:rsidR="00EB559D" w:rsidRPr="00B7760C" w14:paraId="2B9A84A5" w14:textId="77777777" w:rsidTr="004F0B88">
        <w:tblPrEx>
          <w:tblLook w:val="04A0" w:firstRow="1" w:lastRow="0" w:firstColumn="1" w:lastColumn="0" w:noHBand="0" w:noVBand="1"/>
        </w:tblPrEx>
        <w:trPr>
          <w:jc w:val="center"/>
        </w:trPr>
        <w:tc>
          <w:tcPr>
            <w:tcW w:w="4876" w:type="dxa"/>
            <w:hideMark/>
          </w:tcPr>
          <w:p w14:paraId="7235BEA5" w14:textId="77777777" w:rsidR="00EB559D" w:rsidRPr="00B7760C" w:rsidRDefault="00EB559D" w:rsidP="004F0B88">
            <w:pPr>
              <w:pStyle w:val="Normal6"/>
            </w:pPr>
            <w:r w:rsidRPr="00B7760C">
              <w:t>1.</w:t>
            </w:r>
            <w:r w:rsidRPr="00B7760C">
              <w:tab/>
              <w:t>Država članica se lahko v svojem predlogu za strateški načrt SKP iz člena 106(1) odloči za prerazporeditev:</w:t>
            </w:r>
          </w:p>
        </w:tc>
        <w:tc>
          <w:tcPr>
            <w:tcW w:w="4876" w:type="dxa"/>
            <w:hideMark/>
          </w:tcPr>
          <w:p w14:paraId="12DFB7CA" w14:textId="77777777" w:rsidR="00EB559D" w:rsidRPr="00B7760C" w:rsidRDefault="00EB559D" w:rsidP="004F0B88">
            <w:pPr>
              <w:pStyle w:val="Normal6"/>
              <w:rPr>
                <w:szCs w:val="24"/>
              </w:rPr>
            </w:pPr>
            <w:r w:rsidRPr="00B7760C">
              <w:t>1.</w:t>
            </w:r>
            <w:r w:rsidRPr="00B7760C">
              <w:tab/>
              <w:t>Država članica se lahko v svojem predlogu za strateški načrt SKP iz člena 106(1) odloči za prerazporeditev:</w:t>
            </w:r>
          </w:p>
        </w:tc>
      </w:tr>
      <w:tr w:rsidR="00EB559D" w:rsidRPr="00B7760C" w14:paraId="0BCF8C52" w14:textId="77777777" w:rsidTr="004F0B88">
        <w:tblPrEx>
          <w:tblLook w:val="04A0" w:firstRow="1" w:lastRow="0" w:firstColumn="1" w:lastColumn="0" w:noHBand="0" w:noVBand="1"/>
        </w:tblPrEx>
        <w:trPr>
          <w:jc w:val="center"/>
        </w:trPr>
        <w:tc>
          <w:tcPr>
            <w:tcW w:w="4876" w:type="dxa"/>
            <w:hideMark/>
          </w:tcPr>
          <w:p w14:paraId="61DF739F" w14:textId="77777777" w:rsidR="00EB559D" w:rsidRPr="00B7760C" w:rsidRDefault="00EB559D" w:rsidP="004F0B88">
            <w:pPr>
              <w:pStyle w:val="Normal6"/>
            </w:pPr>
            <w:r w:rsidRPr="00B7760C">
              <w:t>(a)</w:t>
            </w:r>
            <w:r w:rsidRPr="00B7760C">
              <w:tab/>
              <w:t xml:space="preserve">do </w:t>
            </w:r>
            <w:r w:rsidRPr="00B7760C">
              <w:rPr>
                <w:b/>
                <w:i/>
              </w:rPr>
              <w:t>15 </w:t>
            </w:r>
            <w:r w:rsidRPr="00B7760C">
              <w:t xml:space="preserve">% dodeljenih finančnih sredstev države članice za neposredna plačila iz Priloge IV po odštevku dodeljenih finančnih sredstev za bombaž iz Priloge VI za koledarska leta </w:t>
            </w:r>
            <w:r w:rsidRPr="00B7760C">
              <w:rPr>
                <w:b/>
                <w:i/>
              </w:rPr>
              <w:t>2021</w:t>
            </w:r>
            <w:r w:rsidRPr="00B7760C">
              <w:t xml:space="preserve">–2026 v dodeljena finančna sredstva države članice za EKSRP v proračunskih letih </w:t>
            </w:r>
            <w:r w:rsidRPr="00B7760C">
              <w:rPr>
                <w:b/>
                <w:i/>
              </w:rPr>
              <w:t>2022</w:t>
            </w:r>
            <w:r w:rsidRPr="00B7760C">
              <w:t xml:space="preserve">–2027 </w:t>
            </w:r>
            <w:r w:rsidRPr="00B7760C">
              <w:rPr>
                <w:b/>
                <w:bCs/>
                <w:i/>
                <w:iCs/>
              </w:rPr>
              <w:t>or</w:t>
            </w:r>
          </w:p>
        </w:tc>
        <w:tc>
          <w:tcPr>
            <w:tcW w:w="4876" w:type="dxa"/>
            <w:hideMark/>
          </w:tcPr>
          <w:p w14:paraId="5463981E" w14:textId="712D1D7A" w:rsidR="00EB559D" w:rsidRPr="00B7760C" w:rsidRDefault="00EB559D" w:rsidP="009379FE">
            <w:pPr>
              <w:pStyle w:val="Normal6"/>
              <w:rPr>
                <w:szCs w:val="24"/>
              </w:rPr>
            </w:pPr>
            <w:r w:rsidRPr="00B7760C">
              <w:t>(a)</w:t>
            </w:r>
            <w:r w:rsidRPr="00B7760C">
              <w:tab/>
              <w:t xml:space="preserve">do </w:t>
            </w:r>
            <w:r w:rsidRPr="00B7760C">
              <w:rPr>
                <w:b/>
                <w:i/>
              </w:rPr>
              <w:t>12</w:t>
            </w:r>
            <w:r w:rsidRPr="00B7760C">
              <w:t>%</w:t>
            </w:r>
            <w:r w:rsidRPr="00B7760C">
              <w:rPr>
                <w:b/>
                <w:i/>
              </w:rPr>
              <w:t xml:space="preserve"> skupnih</w:t>
            </w:r>
            <w:r w:rsidRPr="00B7760C">
              <w:t xml:space="preserve"> dodeljenih finančnih sredstev države članice za neposredna plačila iz Priloge IV po odštevku dodeljenih finančnih sredstev za bombaž iz Priloge VI za koledarska leta </w:t>
            </w:r>
            <w:r w:rsidRPr="00B7760C">
              <w:rPr>
                <w:b/>
                <w:i/>
              </w:rPr>
              <w:t>2023</w:t>
            </w:r>
            <w:r w:rsidRPr="00B7760C">
              <w:t>–2026</w:t>
            </w:r>
            <w:r w:rsidRPr="00B7760C">
              <w:rPr>
                <w:b/>
                <w:i/>
              </w:rPr>
              <w:t>, prenesena</w:t>
            </w:r>
            <w:r w:rsidRPr="00B7760C">
              <w:t xml:space="preserve"> v dodeljena finančna sredstva države članice za EKSRP v proračunskih letih </w:t>
            </w:r>
            <w:r w:rsidRPr="00B7760C">
              <w:rPr>
                <w:b/>
                <w:i/>
              </w:rPr>
              <w:t>2024</w:t>
            </w:r>
            <w:r w:rsidRPr="00B7760C">
              <w:t>–2027</w:t>
            </w:r>
            <w:r w:rsidRPr="00B7760C">
              <w:rPr>
                <w:b/>
                <w:i/>
              </w:rPr>
              <w:t>, če države članice uporabijo ustrezno povečanje za kmetijsko-okoljske intervencije iz člena 65, katerih upravičenci so kmetje</w:t>
            </w:r>
            <w:r w:rsidR="009379FE" w:rsidRPr="00B7760C">
              <w:rPr>
                <w:b/>
                <w:i/>
              </w:rPr>
              <w:t>,</w:t>
            </w:r>
            <w:r w:rsidRPr="00B7760C">
              <w:t xml:space="preserve"> </w:t>
            </w:r>
            <w:r w:rsidRPr="00B7760C">
              <w:rPr>
                <w:b/>
                <w:bCs/>
                <w:i/>
                <w:iCs/>
              </w:rPr>
              <w:t>ali</w:t>
            </w:r>
          </w:p>
        </w:tc>
      </w:tr>
      <w:tr w:rsidR="00EB559D" w:rsidRPr="00B7760C" w14:paraId="1F7F3B55" w14:textId="77777777" w:rsidTr="004F0B88">
        <w:tblPrEx>
          <w:tblLook w:val="04A0" w:firstRow="1" w:lastRow="0" w:firstColumn="1" w:lastColumn="0" w:noHBand="0" w:noVBand="1"/>
        </w:tblPrEx>
        <w:trPr>
          <w:jc w:val="center"/>
        </w:trPr>
        <w:tc>
          <w:tcPr>
            <w:tcW w:w="4876" w:type="dxa"/>
            <w:hideMark/>
          </w:tcPr>
          <w:p w14:paraId="3446DBF7" w14:textId="77777777" w:rsidR="00EB559D" w:rsidRPr="00B7760C" w:rsidRDefault="00EB559D" w:rsidP="004F0B88">
            <w:pPr>
              <w:pStyle w:val="Normal6"/>
            </w:pPr>
            <w:r w:rsidRPr="00B7760C">
              <w:t>(b)</w:t>
            </w:r>
            <w:r w:rsidRPr="00B7760C">
              <w:tab/>
              <w:t xml:space="preserve">do </w:t>
            </w:r>
            <w:r w:rsidRPr="00B7760C">
              <w:rPr>
                <w:b/>
                <w:i/>
              </w:rPr>
              <w:t>15 </w:t>
            </w:r>
            <w:r w:rsidRPr="00B7760C">
              <w:t xml:space="preserve">% dodeljenih finančnih sredstev države članice za EKSRP v proračunskih letih </w:t>
            </w:r>
            <w:r w:rsidRPr="00B7760C">
              <w:rPr>
                <w:b/>
                <w:i/>
              </w:rPr>
              <w:t>2022</w:t>
            </w:r>
            <w:r w:rsidRPr="00B7760C">
              <w:t xml:space="preserve">–2027 v dodeljena finančna sredstva države članice za neposredna plačila iz Priloge IV za koledarska leta </w:t>
            </w:r>
            <w:r w:rsidRPr="00B7760C">
              <w:rPr>
                <w:b/>
                <w:i/>
              </w:rPr>
              <w:t>2021</w:t>
            </w:r>
            <w:r w:rsidRPr="00B7760C">
              <w:t>–2026.</w:t>
            </w:r>
          </w:p>
        </w:tc>
        <w:tc>
          <w:tcPr>
            <w:tcW w:w="4876" w:type="dxa"/>
            <w:hideMark/>
          </w:tcPr>
          <w:p w14:paraId="1D7152B9" w14:textId="77777777" w:rsidR="00EB559D" w:rsidRPr="00B7760C" w:rsidRDefault="00EB559D" w:rsidP="004F0B88">
            <w:pPr>
              <w:pStyle w:val="Normal6"/>
              <w:rPr>
                <w:szCs w:val="24"/>
              </w:rPr>
            </w:pPr>
            <w:r w:rsidRPr="00B7760C">
              <w:t>(b)</w:t>
            </w:r>
            <w:r w:rsidRPr="00B7760C">
              <w:tab/>
              <w:t xml:space="preserve">do </w:t>
            </w:r>
            <w:r w:rsidRPr="00B7760C">
              <w:rPr>
                <w:b/>
                <w:i/>
              </w:rPr>
              <w:t xml:space="preserve">5 </w:t>
            </w:r>
            <w:r w:rsidRPr="00B7760C">
              <w:t xml:space="preserve">% dodeljenih finančnih sredstev države članice za EKSRP v proračunskih letih </w:t>
            </w:r>
            <w:r w:rsidRPr="00B7760C">
              <w:rPr>
                <w:b/>
                <w:i/>
              </w:rPr>
              <w:t>2024</w:t>
            </w:r>
            <w:r w:rsidRPr="00B7760C">
              <w:t xml:space="preserve">–2027 v dodeljena finančna sredstva države članice za neposredna plačila iz Priloge IV za koledarska leta </w:t>
            </w:r>
            <w:r w:rsidRPr="00B7760C">
              <w:rPr>
                <w:b/>
                <w:i/>
              </w:rPr>
              <w:t>2023</w:t>
            </w:r>
            <w:r w:rsidRPr="00B7760C">
              <w:t>–2026</w:t>
            </w:r>
            <w:r w:rsidRPr="00B7760C">
              <w:rPr>
                <w:b/>
                <w:i/>
              </w:rPr>
              <w:t>, če se ustrezno povečanje dodeli za operacije iz člena 28</w:t>
            </w:r>
            <w:r w:rsidRPr="00B7760C">
              <w:t>.</w:t>
            </w:r>
          </w:p>
        </w:tc>
      </w:tr>
      <w:tr w:rsidR="00EB559D" w:rsidRPr="00B7760C" w14:paraId="691A71AA" w14:textId="77777777" w:rsidTr="004F0B88">
        <w:tblPrEx>
          <w:tblLook w:val="04A0" w:firstRow="1" w:lastRow="0" w:firstColumn="1" w:lastColumn="0" w:noHBand="0" w:noVBand="1"/>
        </w:tblPrEx>
        <w:trPr>
          <w:jc w:val="center"/>
        </w:trPr>
        <w:tc>
          <w:tcPr>
            <w:tcW w:w="4876" w:type="dxa"/>
            <w:hideMark/>
          </w:tcPr>
          <w:p w14:paraId="6F13E13A" w14:textId="77777777" w:rsidR="00EB559D" w:rsidRPr="00B7760C" w:rsidRDefault="00EB559D" w:rsidP="004F0B88">
            <w:pPr>
              <w:pStyle w:val="Normal6"/>
            </w:pPr>
            <w:r w:rsidRPr="00B7760C">
              <w:rPr>
                <w:b/>
                <w:i/>
              </w:rPr>
              <w:t>Delež prerazporeditve iz dodeljenih finančnih sredstev</w:t>
            </w:r>
            <w:r w:rsidRPr="00B7760C">
              <w:t xml:space="preserve"> države članice za neposredna plačila</w:t>
            </w:r>
            <w:r w:rsidRPr="00B7760C">
              <w:rPr>
                <w:b/>
                <w:i/>
              </w:rPr>
              <w:t xml:space="preserve"> v njena dodeljena finančna sredstva</w:t>
            </w:r>
            <w:r w:rsidRPr="00B7760C">
              <w:t xml:space="preserve"> za </w:t>
            </w:r>
            <w:r w:rsidRPr="00B7760C">
              <w:rPr>
                <w:b/>
                <w:i/>
              </w:rPr>
              <w:t>EKSRP iz prvega pododstavka</w:t>
            </w:r>
            <w:r w:rsidRPr="00B7760C">
              <w:t xml:space="preserve"> se </w:t>
            </w:r>
            <w:r w:rsidRPr="00B7760C">
              <w:rPr>
                <w:b/>
                <w:i/>
              </w:rPr>
              <w:t>lahko poveča za:</w:t>
            </w:r>
          </w:p>
        </w:tc>
        <w:tc>
          <w:tcPr>
            <w:tcW w:w="4876" w:type="dxa"/>
            <w:hideMark/>
          </w:tcPr>
          <w:p w14:paraId="68B4547F" w14:textId="35C93091" w:rsidR="00EB559D" w:rsidRPr="00B7760C" w:rsidRDefault="00EB559D" w:rsidP="001E1226">
            <w:pPr>
              <w:pStyle w:val="Normal6"/>
              <w:rPr>
                <w:szCs w:val="24"/>
              </w:rPr>
            </w:pPr>
            <w:r w:rsidRPr="00B7760C">
              <w:rPr>
                <w:b/>
                <w:i/>
              </w:rPr>
              <w:t xml:space="preserve">Z odstopanjem od točke (b) </w:t>
            </w:r>
            <w:r w:rsidR="001E1226" w:rsidRPr="00B7760C">
              <w:rPr>
                <w:b/>
                <w:i/>
              </w:rPr>
              <w:t>prvega</w:t>
            </w:r>
            <w:r w:rsidRPr="00B7760C">
              <w:rPr>
                <w:b/>
                <w:i/>
              </w:rPr>
              <w:t xml:space="preserve"> pododstavka lahko</w:t>
            </w:r>
            <w:r w:rsidRPr="00B7760C">
              <w:t xml:space="preserve"> države članice</w:t>
            </w:r>
            <w:r w:rsidRPr="00B7760C">
              <w:rPr>
                <w:b/>
                <w:i/>
              </w:rPr>
              <w:t>, katerih nacionalni povprečni znesek na hektar je pod povprečjem EU, prenesejo do 12 % dodeljenih sredstev EKSRP v dodeljena sredstva</w:t>
            </w:r>
            <w:r w:rsidRPr="00B7760C">
              <w:t xml:space="preserve"> za neposredna plačila</w:t>
            </w:r>
            <w:r w:rsidRPr="00B7760C">
              <w:rPr>
                <w:b/>
                <w:i/>
              </w:rPr>
              <w:t>. Vendar prenos ni višji od zneska, potrebnega za uskladitev nacionalnega povprečnega zneska na hektar s povprečjem EU. V celoti</w:t>
            </w:r>
            <w:r w:rsidRPr="00B7760C">
              <w:t xml:space="preserve"> se </w:t>
            </w:r>
            <w:r w:rsidRPr="00B7760C">
              <w:rPr>
                <w:b/>
                <w:i/>
              </w:rPr>
              <w:t>dodeli intervencijam iz člena 28.</w:t>
            </w:r>
          </w:p>
        </w:tc>
      </w:tr>
      <w:tr w:rsidR="00EB559D" w:rsidRPr="00B7760C" w14:paraId="4AEB691D" w14:textId="77777777" w:rsidTr="004F0B88">
        <w:tblPrEx>
          <w:tblLook w:val="04A0" w:firstRow="1" w:lastRow="0" w:firstColumn="1" w:lastColumn="0" w:noHBand="0" w:noVBand="1"/>
        </w:tblPrEx>
        <w:trPr>
          <w:jc w:val="center"/>
        </w:trPr>
        <w:tc>
          <w:tcPr>
            <w:tcW w:w="4876" w:type="dxa"/>
            <w:hideMark/>
          </w:tcPr>
          <w:p w14:paraId="36876551" w14:textId="77777777" w:rsidR="00EB559D" w:rsidRPr="00B7760C" w:rsidRDefault="00EB559D" w:rsidP="004F0B88">
            <w:pPr>
              <w:pStyle w:val="Normal6"/>
            </w:pPr>
            <w:r w:rsidRPr="00B7760C">
              <w:rPr>
                <w:b/>
                <w:i/>
              </w:rPr>
              <w:t>(a)</w:t>
            </w:r>
            <w:r w:rsidRPr="00B7760C">
              <w:t xml:space="preserve"> </w:t>
            </w:r>
            <w:r w:rsidRPr="00B7760C">
              <w:tab/>
            </w:r>
            <w:r w:rsidRPr="00B7760C">
              <w:rPr>
                <w:b/>
                <w:i/>
              </w:rPr>
              <w:t>do 15 odstotnih točk, če države članice uporabijo ustrezno povečanje za intervencije, ki se financirajo iz EKSRP in ki obravnavajo specifične okoljske in podnebne cilje iz točk (d), (e) in (f) člena 6(1);</w:t>
            </w:r>
          </w:p>
        </w:tc>
        <w:tc>
          <w:tcPr>
            <w:tcW w:w="4876" w:type="dxa"/>
          </w:tcPr>
          <w:p w14:paraId="0346B71C" w14:textId="77777777" w:rsidR="00EB559D" w:rsidRPr="00B7760C" w:rsidRDefault="00EB559D" w:rsidP="004F0B88">
            <w:pPr>
              <w:pStyle w:val="Normal6"/>
              <w:rPr>
                <w:szCs w:val="24"/>
              </w:rPr>
            </w:pPr>
          </w:p>
        </w:tc>
      </w:tr>
      <w:tr w:rsidR="00EB559D" w:rsidRPr="00B7760C" w14:paraId="193BAE0E" w14:textId="77777777" w:rsidTr="004F0B88">
        <w:tblPrEx>
          <w:tblLook w:val="04A0" w:firstRow="1" w:lastRow="0" w:firstColumn="1" w:lastColumn="0" w:noHBand="0" w:noVBand="1"/>
        </w:tblPrEx>
        <w:trPr>
          <w:jc w:val="center"/>
        </w:trPr>
        <w:tc>
          <w:tcPr>
            <w:tcW w:w="4876" w:type="dxa"/>
            <w:hideMark/>
          </w:tcPr>
          <w:p w14:paraId="442C635D" w14:textId="77777777" w:rsidR="00EB559D" w:rsidRPr="00B7760C" w:rsidRDefault="00EB559D" w:rsidP="004F0B88">
            <w:pPr>
              <w:pStyle w:val="Normal6"/>
            </w:pPr>
            <w:r w:rsidRPr="00B7760C">
              <w:rPr>
                <w:b/>
                <w:i/>
              </w:rPr>
              <w:t>(b)</w:t>
            </w:r>
            <w:r w:rsidRPr="00B7760C">
              <w:t xml:space="preserve"> </w:t>
            </w:r>
            <w:r w:rsidRPr="00B7760C">
              <w:tab/>
            </w:r>
            <w:r w:rsidRPr="00B7760C">
              <w:rPr>
                <w:b/>
                <w:i/>
              </w:rPr>
              <w:t>do 2 odstotni točki, če države članice uporabijo ustrezno povečanje v skladu s točko (b) člena 86(4).</w:t>
            </w:r>
          </w:p>
        </w:tc>
        <w:tc>
          <w:tcPr>
            <w:tcW w:w="4876" w:type="dxa"/>
          </w:tcPr>
          <w:p w14:paraId="75ECD1DB" w14:textId="77777777" w:rsidR="00EB559D" w:rsidRPr="00B7760C" w:rsidRDefault="00EB559D" w:rsidP="004F0B88">
            <w:pPr>
              <w:pStyle w:val="Normal6"/>
              <w:rPr>
                <w:szCs w:val="24"/>
              </w:rPr>
            </w:pPr>
          </w:p>
        </w:tc>
      </w:tr>
      <w:tr w:rsidR="00EB559D" w:rsidRPr="00B7760C" w14:paraId="009F7032" w14:textId="77777777" w:rsidTr="004F0B88">
        <w:tblPrEx>
          <w:tblLook w:val="04A0" w:firstRow="1" w:lastRow="0" w:firstColumn="1" w:lastColumn="0" w:noHBand="0" w:noVBand="1"/>
        </w:tblPrEx>
        <w:trPr>
          <w:jc w:val="center"/>
        </w:trPr>
        <w:tc>
          <w:tcPr>
            <w:tcW w:w="4876" w:type="dxa"/>
          </w:tcPr>
          <w:p w14:paraId="21910D5B" w14:textId="77777777" w:rsidR="00EB559D" w:rsidRPr="00B7760C" w:rsidRDefault="00EB559D" w:rsidP="004F0B88">
            <w:pPr>
              <w:pStyle w:val="Normal6"/>
            </w:pPr>
          </w:p>
        </w:tc>
        <w:tc>
          <w:tcPr>
            <w:tcW w:w="4876" w:type="dxa"/>
            <w:hideMark/>
          </w:tcPr>
          <w:p w14:paraId="54BA0D5C" w14:textId="2D0357B5" w:rsidR="00EB559D" w:rsidRPr="00B7760C" w:rsidRDefault="00EB559D" w:rsidP="004F0B88">
            <w:pPr>
              <w:pStyle w:val="Normal6"/>
              <w:rPr>
                <w:szCs w:val="24"/>
              </w:rPr>
            </w:pPr>
            <w:r w:rsidRPr="00B7760C">
              <w:rPr>
                <w:b/>
                <w:i/>
              </w:rPr>
              <w:t>Dodelitve za neposredna plačila, prenesene v skladu z odstavkom 1(a) tega člena, se lahko odštejejo od deleža pr</w:t>
            </w:r>
            <w:r w:rsidR="001E1226" w:rsidRPr="00B7760C">
              <w:rPr>
                <w:b/>
                <w:i/>
              </w:rPr>
              <w:t>ispevka v skladu s členom 86(4a) ali (4</w:t>
            </w:r>
            <w:r w:rsidRPr="00B7760C">
              <w:rPr>
                <w:b/>
                <w:i/>
              </w:rPr>
              <w:t>c) ali kombinacijo obojega.</w:t>
            </w:r>
          </w:p>
        </w:tc>
      </w:tr>
      <w:tr w:rsidR="00EB559D" w:rsidRPr="00B7760C" w14:paraId="75E2C275" w14:textId="77777777" w:rsidTr="004F0B88">
        <w:tblPrEx>
          <w:tblLook w:val="04A0" w:firstRow="1" w:lastRow="0" w:firstColumn="1" w:lastColumn="0" w:noHBand="0" w:noVBand="1"/>
        </w:tblPrEx>
        <w:trPr>
          <w:jc w:val="center"/>
        </w:trPr>
        <w:tc>
          <w:tcPr>
            <w:tcW w:w="4876" w:type="dxa"/>
            <w:hideMark/>
          </w:tcPr>
          <w:p w14:paraId="7F9FE59C" w14:textId="77777777" w:rsidR="00EB559D" w:rsidRPr="00B7760C" w:rsidRDefault="00EB559D" w:rsidP="004F0B88">
            <w:pPr>
              <w:pStyle w:val="Normal6"/>
            </w:pPr>
            <w:r w:rsidRPr="00B7760C">
              <w:t>2.</w:t>
            </w:r>
            <w:r w:rsidRPr="00B7760C">
              <w:tab/>
              <w:t>V odločitvah iz odstavka 1 se določi delež iz odstavka 1, ki se lahko razlikuje med koledarskimi leti.</w:t>
            </w:r>
          </w:p>
        </w:tc>
        <w:tc>
          <w:tcPr>
            <w:tcW w:w="4876" w:type="dxa"/>
            <w:hideMark/>
          </w:tcPr>
          <w:p w14:paraId="34387B66" w14:textId="77777777" w:rsidR="00EB559D" w:rsidRPr="00B7760C" w:rsidRDefault="00EB559D" w:rsidP="004F0B88">
            <w:pPr>
              <w:pStyle w:val="Normal6"/>
              <w:rPr>
                <w:szCs w:val="24"/>
              </w:rPr>
            </w:pPr>
            <w:r w:rsidRPr="00B7760C">
              <w:t>2.</w:t>
            </w:r>
            <w:r w:rsidRPr="00B7760C">
              <w:tab/>
              <w:t>V odločitvah iz odstavka 1 se določi delež iz odstavka 1, ki se lahko razlikuje med koledarskimi leti.</w:t>
            </w:r>
          </w:p>
        </w:tc>
      </w:tr>
      <w:tr w:rsidR="00EB559D" w:rsidRPr="00B7760C" w14:paraId="6BECB34D" w14:textId="77777777" w:rsidTr="004F0B88">
        <w:tblPrEx>
          <w:tblLook w:val="04A0" w:firstRow="1" w:lastRow="0" w:firstColumn="1" w:lastColumn="0" w:noHBand="0" w:noVBand="1"/>
        </w:tblPrEx>
        <w:trPr>
          <w:jc w:val="center"/>
        </w:trPr>
        <w:tc>
          <w:tcPr>
            <w:tcW w:w="4876" w:type="dxa"/>
            <w:hideMark/>
          </w:tcPr>
          <w:p w14:paraId="174AEA82" w14:textId="77777777" w:rsidR="00EB559D" w:rsidRPr="00B7760C" w:rsidRDefault="00EB559D" w:rsidP="004F0B88">
            <w:pPr>
              <w:pStyle w:val="Normal6"/>
            </w:pPr>
            <w:r w:rsidRPr="00B7760C">
              <w:t>3.</w:t>
            </w:r>
            <w:r w:rsidRPr="00B7760C">
              <w:tab/>
              <w:t xml:space="preserve">Države članice lahko leta </w:t>
            </w:r>
            <w:r w:rsidRPr="00B7760C">
              <w:rPr>
                <w:b/>
                <w:i/>
              </w:rPr>
              <w:t>2023</w:t>
            </w:r>
            <w:r w:rsidRPr="00B7760C">
              <w:t xml:space="preserve"> pregledajo svoje odločitve iz odstavka 1 v okviru zahteve za spremembo strateških načrtov SKP iz člena 107.</w:t>
            </w:r>
          </w:p>
        </w:tc>
        <w:tc>
          <w:tcPr>
            <w:tcW w:w="4876" w:type="dxa"/>
            <w:hideMark/>
          </w:tcPr>
          <w:p w14:paraId="30133533" w14:textId="77777777" w:rsidR="00EB559D" w:rsidRPr="00B7760C" w:rsidRDefault="00EB559D" w:rsidP="004F0B88">
            <w:pPr>
              <w:pStyle w:val="Normal6"/>
              <w:rPr>
                <w:szCs w:val="24"/>
              </w:rPr>
            </w:pPr>
            <w:r w:rsidRPr="00B7760C">
              <w:t>3.</w:t>
            </w:r>
            <w:r w:rsidRPr="00B7760C">
              <w:tab/>
              <w:t xml:space="preserve">Države članice lahko leta </w:t>
            </w:r>
            <w:r w:rsidRPr="00B7760C">
              <w:rPr>
                <w:b/>
                <w:i/>
              </w:rPr>
              <w:t>2024</w:t>
            </w:r>
            <w:r w:rsidRPr="00B7760C">
              <w:t xml:space="preserve"> pregledajo svoje odločitve iz odstavka 1 v okviru zahteve za spremembo strateških načrtov SKP iz člena 107.</w:t>
            </w:r>
          </w:p>
        </w:tc>
      </w:tr>
      <w:tr w:rsidR="00EB559D" w:rsidRPr="00B7760C" w14:paraId="76CCD7BC" w14:textId="77777777" w:rsidTr="004F0B88">
        <w:tblPrEx>
          <w:tblLook w:val="04A0" w:firstRow="1" w:lastRow="0" w:firstColumn="1" w:lastColumn="0" w:noHBand="0" w:noVBand="1"/>
        </w:tblPrEx>
        <w:trPr>
          <w:jc w:val="center"/>
        </w:trPr>
        <w:tc>
          <w:tcPr>
            <w:tcW w:w="4876" w:type="dxa"/>
          </w:tcPr>
          <w:p w14:paraId="72A77FA4" w14:textId="77777777" w:rsidR="00EB559D" w:rsidRPr="00B7760C" w:rsidRDefault="00EB559D" w:rsidP="004F0B88">
            <w:pPr>
              <w:pStyle w:val="Normal6"/>
            </w:pPr>
          </w:p>
        </w:tc>
        <w:tc>
          <w:tcPr>
            <w:tcW w:w="4876" w:type="dxa"/>
            <w:hideMark/>
          </w:tcPr>
          <w:p w14:paraId="1ED89B5C" w14:textId="77777777" w:rsidR="00EB559D" w:rsidRPr="00B7760C" w:rsidRDefault="00EB559D" w:rsidP="004F0B88">
            <w:pPr>
              <w:pStyle w:val="Normal6"/>
              <w:rPr>
                <w:szCs w:val="24"/>
              </w:rPr>
            </w:pPr>
            <w:r w:rsidRPr="00B7760C">
              <w:rPr>
                <w:b/>
                <w:i/>
              </w:rPr>
              <w:t>Države članice odločitve iz odstavka 1 skupaj z odločitvijo o uporabi členov 15 in 26 sporočijo Komisiji do 31. decembra 2021.</w:t>
            </w:r>
          </w:p>
        </w:tc>
      </w:tr>
    </w:tbl>
    <w:p w14:paraId="05891267" w14:textId="77777777" w:rsidR="00EB559D" w:rsidRPr="00B7760C" w:rsidRDefault="00EB559D" w:rsidP="003663AF"/>
    <w:p w14:paraId="0A053B9A" w14:textId="74D8D9E5" w:rsidR="003663AF" w:rsidRPr="00B7760C" w:rsidRDefault="00877691" w:rsidP="003663AF">
      <w:pPr>
        <w:pStyle w:val="AMNumberTabs"/>
        <w:keepNext/>
      </w:pPr>
      <w:r w:rsidRPr="00B7760C">
        <w:t>Sprememba</w:t>
      </w:r>
      <w:r w:rsidR="003663AF" w:rsidRPr="00B7760C">
        <w:tab/>
      </w:r>
      <w:r w:rsidR="003663AF" w:rsidRPr="00B7760C">
        <w:tab/>
        <w:t>562</w:t>
      </w:r>
    </w:p>
    <w:p w14:paraId="05CC3F57" w14:textId="77777777" w:rsidR="003663AF" w:rsidRPr="00B7760C" w:rsidRDefault="003663AF" w:rsidP="003663AF">
      <w:pPr>
        <w:pStyle w:val="NormalBold12b"/>
      </w:pPr>
      <w:r w:rsidRPr="00B7760C">
        <w:t>Predlog uredbe</w:t>
      </w:r>
    </w:p>
    <w:p w14:paraId="07A6AF85" w14:textId="77777777" w:rsidR="003663AF" w:rsidRPr="00B7760C" w:rsidRDefault="003663AF" w:rsidP="003663AF">
      <w:pPr>
        <w:pStyle w:val="NormalBold"/>
      </w:pPr>
      <w:r w:rsidRPr="00B7760C">
        <w:t>Člen 91 – 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12BF3D6" w14:textId="77777777" w:rsidTr="00E804B7">
        <w:trPr>
          <w:jc w:val="center"/>
        </w:trPr>
        <w:tc>
          <w:tcPr>
            <w:tcW w:w="9752" w:type="dxa"/>
            <w:gridSpan w:val="2"/>
          </w:tcPr>
          <w:p w14:paraId="20A83CA9" w14:textId="77777777" w:rsidR="003663AF" w:rsidRPr="00B7760C" w:rsidRDefault="003663AF" w:rsidP="00E804B7">
            <w:pPr>
              <w:keepNext/>
            </w:pPr>
          </w:p>
        </w:tc>
      </w:tr>
      <w:tr w:rsidR="003663AF" w:rsidRPr="00B7760C" w14:paraId="35C32AEA" w14:textId="77777777" w:rsidTr="00E804B7">
        <w:trPr>
          <w:jc w:val="center"/>
        </w:trPr>
        <w:tc>
          <w:tcPr>
            <w:tcW w:w="4876" w:type="dxa"/>
            <w:hideMark/>
          </w:tcPr>
          <w:p w14:paraId="3E364DC8" w14:textId="77777777" w:rsidR="003663AF" w:rsidRPr="00B7760C" w:rsidRDefault="003663AF" w:rsidP="00E804B7">
            <w:pPr>
              <w:pStyle w:val="ColumnHeading"/>
              <w:keepNext/>
            </w:pPr>
            <w:r w:rsidRPr="00B7760C">
              <w:t>Besedilo, ki ga predlaga Komisija</w:t>
            </w:r>
          </w:p>
        </w:tc>
        <w:tc>
          <w:tcPr>
            <w:tcW w:w="4876" w:type="dxa"/>
            <w:hideMark/>
          </w:tcPr>
          <w:p w14:paraId="4452C101" w14:textId="3E2C2964" w:rsidR="003663AF" w:rsidRPr="00B7760C" w:rsidRDefault="00877691" w:rsidP="00E804B7">
            <w:pPr>
              <w:pStyle w:val="ColumnHeading"/>
              <w:keepNext/>
            </w:pPr>
            <w:r w:rsidRPr="00B7760C">
              <w:t>Sprememba</w:t>
            </w:r>
          </w:p>
        </w:tc>
      </w:tr>
      <w:tr w:rsidR="003663AF" w:rsidRPr="00B7760C" w14:paraId="2F36C2B9" w14:textId="77777777" w:rsidTr="00E804B7">
        <w:trPr>
          <w:jc w:val="center"/>
        </w:trPr>
        <w:tc>
          <w:tcPr>
            <w:tcW w:w="4876" w:type="dxa"/>
            <w:hideMark/>
          </w:tcPr>
          <w:p w14:paraId="1B522DE6" w14:textId="77777777" w:rsidR="003663AF" w:rsidRPr="00B7760C" w:rsidRDefault="003663AF" w:rsidP="00E804B7">
            <w:pPr>
              <w:pStyle w:val="Normal6"/>
            </w:pPr>
            <w:r w:rsidRPr="00B7760C">
              <w:t>Države članice za izvajanje podpore Unije, ki se za doseganje specifičnih ciljev iz člena 6 financira iz EKJS in EKSRP, pripravijo strateške načrte SKP v skladu s to uredbo.</w:t>
            </w:r>
          </w:p>
        </w:tc>
        <w:tc>
          <w:tcPr>
            <w:tcW w:w="4876" w:type="dxa"/>
            <w:hideMark/>
          </w:tcPr>
          <w:p w14:paraId="3AB790B2" w14:textId="77777777" w:rsidR="003663AF" w:rsidRPr="00B7760C" w:rsidRDefault="003663AF" w:rsidP="00E804B7">
            <w:pPr>
              <w:pStyle w:val="Normal6"/>
              <w:rPr>
                <w:szCs w:val="24"/>
              </w:rPr>
            </w:pPr>
            <w:r w:rsidRPr="00B7760C">
              <w:t xml:space="preserve">Države članice </w:t>
            </w:r>
            <w:r w:rsidRPr="00B7760C">
              <w:rPr>
                <w:b/>
                <w:i/>
              </w:rPr>
              <w:t xml:space="preserve">, po potrebi v sodelovanju z regijami, </w:t>
            </w:r>
            <w:r w:rsidRPr="00B7760C">
              <w:t>za izvajanje podpore Unije, ki se za doseganje specifičnih ciljev iz člena 6</w:t>
            </w:r>
            <w:r w:rsidRPr="00B7760C">
              <w:rPr>
                <w:b/>
                <w:i/>
              </w:rPr>
              <w:t>(1)</w:t>
            </w:r>
            <w:r w:rsidRPr="00B7760C">
              <w:t xml:space="preserve"> financira iz EKJS in EKSRP, pripravijo strateške načrte SKP v skladu s to uredbo.</w:t>
            </w:r>
          </w:p>
        </w:tc>
      </w:tr>
    </w:tbl>
    <w:p w14:paraId="62D906AD" w14:textId="77777777" w:rsidR="003663AF" w:rsidRPr="00B7760C" w:rsidRDefault="003663AF" w:rsidP="003663AF"/>
    <w:p w14:paraId="3AE20206" w14:textId="3F3CBD44" w:rsidR="003663AF" w:rsidRPr="00B7760C" w:rsidRDefault="00877691" w:rsidP="003663AF">
      <w:pPr>
        <w:pStyle w:val="AMNumberTabs"/>
        <w:keepNext/>
      </w:pPr>
      <w:r w:rsidRPr="00B7760C">
        <w:t>Sprememba</w:t>
      </w:r>
      <w:r w:rsidR="003663AF" w:rsidRPr="00B7760C">
        <w:tab/>
      </w:r>
      <w:r w:rsidR="003663AF" w:rsidRPr="00B7760C">
        <w:tab/>
        <w:t>563</w:t>
      </w:r>
    </w:p>
    <w:p w14:paraId="0B747E98" w14:textId="77777777" w:rsidR="003663AF" w:rsidRPr="00B7760C" w:rsidRDefault="003663AF" w:rsidP="003663AF">
      <w:pPr>
        <w:pStyle w:val="NormalBold12b"/>
      </w:pPr>
      <w:r w:rsidRPr="00B7760C">
        <w:t>Predlog uredbe</w:t>
      </w:r>
    </w:p>
    <w:p w14:paraId="0F293B9A" w14:textId="77777777" w:rsidR="003663AF" w:rsidRPr="00B7760C" w:rsidRDefault="003663AF" w:rsidP="003663AF">
      <w:pPr>
        <w:pStyle w:val="NormalBold"/>
      </w:pPr>
      <w:r w:rsidRPr="00B7760C">
        <w:t>Člen 91 – odstavek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615A212" w14:textId="77777777" w:rsidTr="00E804B7">
        <w:trPr>
          <w:jc w:val="center"/>
        </w:trPr>
        <w:tc>
          <w:tcPr>
            <w:tcW w:w="9752" w:type="dxa"/>
            <w:gridSpan w:val="2"/>
          </w:tcPr>
          <w:p w14:paraId="3BE04721" w14:textId="77777777" w:rsidR="003663AF" w:rsidRPr="00B7760C" w:rsidRDefault="003663AF" w:rsidP="00E804B7">
            <w:pPr>
              <w:keepNext/>
            </w:pPr>
          </w:p>
        </w:tc>
      </w:tr>
      <w:tr w:rsidR="003663AF" w:rsidRPr="00B7760C" w14:paraId="21E1CC28" w14:textId="77777777" w:rsidTr="00E804B7">
        <w:trPr>
          <w:jc w:val="center"/>
        </w:trPr>
        <w:tc>
          <w:tcPr>
            <w:tcW w:w="4876" w:type="dxa"/>
            <w:hideMark/>
          </w:tcPr>
          <w:p w14:paraId="26F7414A" w14:textId="77777777" w:rsidR="003663AF" w:rsidRPr="00B7760C" w:rsidRDefault="003663AF" w:rsidP="00E804B7">
            <w:pPr>
              <w:pStyle w:val="ColumnHeading"/>
              <w:keepNext/>
            </w:pPr>
            <w:r w:rsidRPr="00B7760C">
              <w:t>Besedilo, ki ga predlaga Komisija</w:t>
            </w:r>
          </w:p>
        </w:tc>
        <w:tc>
          <w:tcPr>
            <w:tcW w:w="4876" w:type="dxa"/>
            <w:hideMark/>
          </w:tcPr>
          <w:p w14:paraId="769088EC" w14:textId="1835AEAD" w:rsidR="003663AF" w:rsidRPr="00B7760C" w:rsidRDefault="00877691" w:rsidP="00E804B7">
            <w:pPr>
              <w:pStyle w:val="ColumnHeading"/>
              <w:keepNext/>
            </w:pPr>
            <w:r w:rsidRPr="00B7760C">
              <w:t>Sprememba</w:t>
            </w:r>
          </w:p>
        </w:tc>
      </w:tr>
      <w:tr w:rsidR="003663AF" w:rsidRPr="00B7760C" w14:paraId="35546E0D" w14:textId="77777777" w:rsidTr="00E804B7">
        <w:trPr>
          <w:jc w:val="center"/>
        </w:trPr>
        <w:tc>
          <w:tcPr>
            <w:tcW w:w="4876" w:type="dxa"/>
            <w:hideMark/>
          </w:tcPr>
          <w:p w14:paraId="6E61EF46" w14:textId="77777777" w:rsidR="003663AF" w:rsidRPr="00B7760C" w:rsidRDefault="003663AF" w:rsidP="00E804B7">
            <w:pPr>
              <w:pStyle w:val="Normal6"/>
            </w:pPr>
            <w:r w:rsidRPr="00B7760C">
              <w:t>Države članice na podlagi analize SWOT iz člena 103(2) in ocene potreb iz člena 96 v strateških načrtih SKP pripravijo intervencijsko strategijo iz člena 97, v kateri določijo količinske ciljne vrednosti in mejnike za doseganje specifičnih ciljev iz člena 6. Ciljne vrednosti bodo opredeljene s skupnimi kazalniki rezultatov iz Priloge I.</w:t>
            </w:r>
          </w:p>
        </w:tc>
        <w:tc>
          <w:tcPr>
            <w:tcW w:w="4876" w:type="dxa"/>
            <w:hideMark/>
          </w:tcPr>
          <w:p w14:paraId="3E253AFA" w14:textId="77777777" w:rsidR="003663AF" w:rsidRPr="00B7760C" w:rsidRDefault="003663AF" w:rsidP="00E804B7">
            <w:pPr>
              <w:pStyle w:val="Normal6"/>
              <w:rPr>
                <w:szCs w:val="24"/>
              </w:rPr>
            </w:pPr>
            <w:r w:rsidRPr="00B7760C">
              <w:t>Države članice</w:t>
            </w:r>
            <w:r w:rsidRPr="00B7760C">
              <w:rPr>
                <w:b/>
                <w:i/>
              </w:rPr>
              <w:t>, po potrebi v sodelovanju z regijami,</w:t>
            </w:r>
            <w:r w:rsidRPr="00B7760C">
              <w:t xml:space="preserve"> na podlagi analize SWOT iz člena 103(2) in ocene potreb iz člena 96 v strateških načrtih SKP pripravijo intervencijsko strategijo iz člena 97, v kateri določijo količinske ciljne vrednosti in mejnike za doseganje specifičnih ciljev iz člena 6. Ciljne vrednosti bodo opredeljene s skupnimi kazalniki rezultatov iz Priloge I.</w:t>
            </w:r>
          </w:p>
        </w:tc>
      </w:tr>
    </w:tbl>
    <w:p w14:paraId="030EAB6A" w14:textId="77777777" w:rsidR="003663AF" w:rsidRPr="00B7760C" w:rsidRDefault="003663AF" w:rsidP="003663AF"/>
    <w:p w14:paraId="64D2A7F2" w14:textId="5E7AD593" w:rsidR="003663AF" w:rsidRPr="00B7760C" w:rsidRDefault="00877691" w:rsidP="003663AF">
      <w:pPr>
        <w:pStyle w:val="AMNumberTabs"/>
        <w:keepNext/>
      </w:pPr>
      <w:r w:rsidRPr="00B7760C">
        <w:t>Sprememba</w:t>
      </w:r>
      <w:r w:rsidR="003663AF" w:rsidRPr="00B7760C">
        <w:tab/>
      </w:r>
      <w:r w:rsidR="003663AF" w:rsidRPr="00B7760C">
        <w:tab/>
        <w:t>564</w:t>
      </w:r>
    </w:p>
    <w:p w14:paraId="0081CFBA" w14:textId="77777777" w:rsidR="003663AF" w:rsidRPr="00B7760C" w:rsidRDefault="003663AF" w:rsidP="003663AF">
      <w:pPr>
        <w:pStyle w:val="NormalBold12b"/>
      </w:pPr>
      <w:r w:rsidRPr="00B7760C">
        <w:t>Predlog uredbe</w:t>
      </w:r>
    </w:p>
    <w:p w14:paraId="0F0AD0C4" w14:textId="77777777" w:rsidR="003663AF" w:rsidRPr="00B7760C" w:rsidRDefault="003663AF" w:rsidP="003663AF">
      <w:pPr>
        <w:pStyle w:val="NormalBold"/>
      </w:pPr>
      <w:r w:rsidRPr="00B7760C">
        <w:t>Člen 91 – odstavek 4</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1CA1A2A" w14:textId="77777777" w:rsidTr="00E804B7">
        <w:trPr>
          <w:jc w:val="center"/>
        </w:trPr>
        <w:tc>
          <w:tcPr>
            <w:tcW w:w="9752" w:type="dxa"/>
            <w:gridSpan w:val="2"/>
          </w:tcPr>
          <w:p w14:paraId="2CF7998A" w14:textId="77777777" w:rsidR="003663AF" w:rsidRPr="00B7760C" w:rsidRDefault="003663AF" w:rsidP="00E804B7">
            <w:pPr>
              <w:keepNext/>
            </w:pPr>
          </w:p>
        </w:tc>
      </w:tr>
      <w:tr w:rsidR="003663AF" w:rsidRPr="00B7760C" w14:paraId="074F94DD" w14:textId="77777777" w:rsidTr="00E804B7">
        <w:trPr>
          <w:jc w:val="center"/>
        </w:trPr>
        <w:tc>
          <w:tcPr>
            <w:tcW w:w="4876" w:type="dxa"/>
            <w:hideMark/>
          </w:tcPr>
          <w:p w14:paraId="315A82FB" w14:textId="77777777" w:rsidR="003663AF" w:rsidRPr="00B7760C" w:rsidRDefault="003663AF" w:rsidP="00E804B7">
            <w:pPr>
              <w:pStyle w:val="ColumnHeading"/>
              <w:keepNext/>
            </w:pPr>
            <w:r w:rsidRPr="00B7760C">
              <w:t>Besedilo, ki ga predlaga Komisija</w:t>
            </w:r>
          </w:p>
        </w:tc>
        <w:tc>
          <w:tcPr>
            <w:tcW w:w="4876" w:type="dxa"/>
            <w:hideMark/>
          </w:tcPr>
          <w:p w14:paraId="785F9E7A" w14:textId="2960411F" w:rsidR="003663AF" w:rsidRPr="00B7760C" w:rsidRDefault="00877691" w:rsidP="00E804B7">
            <w:pPr>
              <w:pStyle w:val="ColumnHeading"/>
              <w:keepNext/>
            </w:pPr>
            <w:r w:rsidRPr="00B7760C">
              <w:t>Sprememba</w:t>
            </w:r>
          </w:p>
        </w:tc>
      </w:tr>
      <w:tr w:rsidR="003663AF" w:rsidRPr="00B7760C" w14:paraId="5756A59B" w14:textId="77777777" w:rsidTr="00E804B7">
        <w:trPr>
          <w:jc w:val="center"/>
        </w:trPr>
        <w:tc>
          <w:tcPr>
            <w:tcW w:w="4876" w:type="dxa"/>
            <w:hideMark/>
          </w:tcPr>
          <w:p w14:paraId="130E98C3" w14:textId="77777777" w:rsidR="003663AF" w:rsidRPr="00B7760C" w:rsidRDefault="003663AF" w:rsidP="00E804B7">
            <w:pPr>
              <w:pStyle w:val="Normal6"/>
            </w:pPr>
            <w:r w:rsidRPr="00B7760C">
              <w:t xml:space="preserve">Vsak strateški načrt SKP zajema obdobje od 1. januarja </w:t>
            </w:r>
            <w:r w:rsidRPr="00B7760C">
              <w:rPr>
                <w:b/>
                <w:i/>
              </w:rPr>
              <w:t>2021</w:t>
            </w:r>
            <w:r w:rsidRPr="00B7760C">
              <w:t xml:space="preserve"> do 31. decembra 2027.</w:t>
            </w:r>
          </w:p>
        </w:tc>
        <w:tc>
          <w:tcPr>
            <w:tcW w:w="4876" w:type="dxa"/>
            <w:hideMark/>
          </w:tcPr>
          <w:p w14:paraId="32072657" w14:textId="77777777" w:rsidR="003663AF" w:rsidRPr="00B7760C" w:rsidRDefault="003663AF" w:rsidP="00E804B7">
            <w:pPr>
              <w:pStyle w:val="Normal6"/>
              <w:rPr>
                <w:szCs w:val="24"/>
              </w:rPr>
            </w:pPr>
            <w:r w:rsidRPr="00B7760C">
              <w:t xml:space="preserve">Vsak strateški načrt SKP zajema obdobje od 1. januarja </w:t>
            </w:r>
            <w:r w:rsidRPr="00B7760C">
              <w:rPr>
                <w:b/>
                <w:i/>
              </w:rPr>
              <w:t>2022</w:t>
            </w:r>
            <w:r w:rsidRPr="00B7760C">
              <w:t xml:space="preserve"> do 31. decembra 2027.</w:t>
            </w:r>
          </w:p>
        </w:tc>
      </w:tr>
    </w:tbl>
    <w:p w14:paraId="321C0885" w14:textId="77777777" w:rsidR="003663AF" w:rsidRPr="00B7760C" w:rsidRDefault="003663AF" w:rsidP="003663AF"/>
    <w:p w14:paraId="787FAEA7" w14:textId="6CAEF822" w:rsidR="003663AF" w:rsidRPr="00B7760C" w:rsidRDefault="00877691" w:rsidP="003663AF">
      <w:pPr>
        <w:pStyle w:val="AMNumberTabs"/>
        <w:keepNext/>
      </w:pPr>
      <w:r w:rsidRPr="00B7760C">
        <w:t>Sprememba</w:t>
      </w:r>
      <w:r w:rsidR="003663AF" w:rsidRPr="00B7760C">
        <w:tab/>
      </w:r>
      <w:r w:rsidR="003663AF" w:rsidRPr="00B7760C">
        <w:tab/>
        <w:t>565</w:t>
      </w:r>
    </w:p>
    <w:p w14:paraId="555C42CA" w14:textId="77777777" w:rsidR="003663AF" w:rsidRPr="00B7760C" w:rsidRDefault="003663AF" w:rsidP="003663AF">
      <w:pPr>
        <w:pStyle w:val="NormalBold12b"/>
      </w:pPr>
      <w:r w:rsidRPr="00B7760C">
        <w:t>Predlog uredbe</w:t>
      </w:r>
    </w:p>
    <w:p w14:paraId="4F7B1E9E" w14:textId="77777777" w:rsidR="003663AF" w:rsidRPr="00B7760C" w:rsidRDefault="003663AF" w:rsidP="003663AF">
      <w:pPr>
        <w:pStyle w:val="NormalBold"/>
      </w:pPr>
      <w:r w:rsidRPr="00B7760C">
        <w:t>Člen 91 – odstavek 4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16F37C2" w14:textId="77777777" w:rsidTr="00E804B7">
        <w:trPr>
          <w:jc w:val="center"/>
        </w:trPr>
        <w:tc>
          <w:tcPr>
            <w:tcW w:w="9752" w:type="dxa"/>
            <w:gridSpan w:val="2"/>
          </w:tcPr>
          <w:p w14:paraId="41526811" w14:textId="77777777" w:rsidR="003663AF" w:rsidRPr="00B7760C" w:rsidRDefault="003663AF" w:rsidP="00E804B7">
            <w:pPr>
              <w:keepNext/>
            </w:pPr>
          </w:p>
        </w:tc>
      </w:tr>
      <w:tr w:rsidR="003663AF" w:rsidRPr="00B7760C" w14:paraId="5358FC1D" w14:textId="77777777" w:rsidTr="00E804B7">
        <w:trPr>
          <w:jc w:val="center"/>
        </w:trPr>
        <w:tc>
          <w:tcPr>
            <w:tcW w:w="4876" w:type="dxa"/>
            <w:hideMark/>
          </w:tcPr>
          <w:p w14:paraId="72BAD04F" w14:textId="77777777" w:rsidR="003663AF" w:rsidRPr="00B7760C" w:rsidRDefault="003663AF" w:rsidP="00E804B7">
            <w:pPr>
              <w:pStyle w:val="ColumnHeading"/>
              <w:keepNext/>
            </w:pPr>
            <w:r w:rsidRPr="00B7760C">
              <w:t>Besedilo, ki ga predlaga Komisija</w:t>
            </w:r>
          </w:p>
        </w:tc>
        <w:tc>
          <w:tcPr>
            <w:tcW w:w="4876" w:type="dxa"/>
            <w:hideMark/>
          </w:tcPr>
          <w:p w14:paraId="03D667CE" w14:textId="0F722132" w:rsidR="003663AF" w:rsidRPr="00B7760C" w:rsidRDefault="00877691" w:rsidP="00E804B7">
            <w:pPr>
              <w:pStyle w:val="ColumnHeading"/>
              <w:keepNext/>
            </w:pPr>
            <w:r w:rsidRPr="00B7760C">
              <w:t>Sprememba</w:t>
            </w:r>
          </w:p>
        </w:tc>
      </w:tr>
      <w:tr w:rsidR="003663AF" w:rsidRPr="00B7760C" w14:paraId="50FBAAEB" w14:textId="77777777" w:rsidTr="00E804B7">
        <w:trPr>
          <w:jc w:val="center"/>
        </w:trPr>
        <w:tc>
          <w:tcPr>
            <w:tcW w:w="4876" w:type="dxa"/>
          </w:tcPr>
          <w:p w14:paraId="17CCB9CE" w14:textId="77777777" w:rsidR="003663AF" w:rsidRPr="00B7760C" w:rsidRDefault="003663AF" w:rsidP="00E804B7">
            <w:pPr>
              <w:pStyle w:val="Normal6"/>
            </w:pPr>
          </w:p>
        </w:tc>
        <w:tc>
          <w:tcPr>
            <w:tcW w:w="4876" w:type="dxa"/>
            <w:hideMark/>
          </w:tcPr>
          <w:p w14:paraId="2400E270" w14:textId="77777777" w:rsidR="003663AF" w:rsidRPr="00B7760C" w:rsidRDefault="003663AF" w:rsidP="00E804B7">
            <w:pPr>
              <w:pStyle w:val="Normal6"/>
              <w:rPr>
                <w:szCs w:val="24"/>
              </w:rPr>
            </w:pPr>
            <w:r w:rsidRPr="00B7760C">
              <w:rPr>
                <w:b/>
                <w:i/>
              </w:rPr>
              <w:t>Odobritev strateških načrtov SKP in njihovo izvajanje v državah članicah ne povzročita zamud za upravičence v obdobju vlaganja zahtevkov za pomoč ali pri izplačevanju pomoči upravičencem.</w:t>
            </w:r>
          </w:p>
        </w:tc>
      </w:tr>
    </w:tbl>
    <w:p w14:paraId="61D8D71B" w14:textId="77777777" w:rsidR="003663AF" w:rsidRPr="00B7760C" w:rsidRDefault="003663AF" w:rsidP="003663AF"/>
    <w:p w14:paraId="56C10990" w14:textId="138F0A87" w:rsidR="003663AF" w:rsidRPr="00B7760C" w:rsidRDefault="00877691" w:rsidP="00D02D17">
      <w:pPr>
        <w:pStyle w:val="AMNumberTabs"/>
        <w:keepNext/>
      </w:pPr>
      <w:r w:rsidRPr="00B7760C">
        <w:t>Sprememba</w:t>
      </w:r>
      <w:r w:rsidR="003663AF" w:rsidRPr="00B7760C">
        <w:tab/>
      </w:r>
      <w:r w:rsidR="003663AF" w:rsidRPr="00B7760C">
        <w:tab/>
      </w:r>
      <w:r w:rsidR="00D02D17" w:rsidRPr="00B7760C">
        <w:t>832 cp1</w:t>
      </w:r>
    </w:p>
    <w:p w14:paraId="4698C296" w14:textId="77777777" w:rsidR="003663AF" w:rsidRPr="00B7760C" w:rsidRDefault="003663AF" w:rsidP="003663AF">
      <w:pPr>
        <w:pStyle w:val="NormalBold12b"/>
      </w:pPr>
      <w:r w:rsidRPr="00B7760C">
        <w:t>Predlog uredbe</w:t>
      </w:r>
    </w:p>
    <w:p w14:paraId="6D6DD632" w14:textId="77777777" w:rsidR="003663AF" w:rsidRPr="00B7760C" w:rsidRDefault="003663AF" w:rsidP="003663AF">
      <w:pPr>
        <w:pStyle w:val="NormalBold"/>
      </w:pPr>
      <w:r w:rsidRPr="00B7760C">
        <w:t>Člen 92 – naslov</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7ACBD35" w14:textId="77777777" w:rsidTr="00D02D17">
        <w:trPr>
          <w:jc w:val="center"/>
        </w:trPr>
        <w:tc>
          <w:tcPr>
            <w:tcW w:w="9752" w:type="dxa"/>
            <w:gridSpan w:val="2"/>
          </w:tcPr>
          <w:p w14:paraId="29BF36F9" w14:textId="77777777" w:rsidR="003663AF" w:rsidRPr="00B7760C" w:rsidRDefault="003663AF" w:rsidP="00E804B7">
            <w:pPr>
              <w:keepNext/>
            </w:pPr>
          </w:p>
        </w:tc>
      </w:tr>
      <w:tr w:rsidR="003663AF" w:rsidRPr="00B7760C" w14:paraId="578E2713" w14:textId="77777777" w:rsidTr="00D02D17">
        <w:trPr>
          <w:jc w:val="center"/>
        </w:trPr>
        <w:tc>
          <w:tcPr>
            <w:tcW w:w="4876" w:type="dxa"/>
            <w:hideMark/>
          </w:tcPr>
          <w:p w14:paraId="28E3706C" w14:textId="77777777" w:rsidR="003663AF" w:rsidRPr="00B7760C" w:rsidRDefault="003663AF" w:rsidP="00E804B7">
            <w:pPr>
              <w:pStyle w:val="ColumnHeading"/>
              <w:keepNext/>
            </w:pPr>
            <w:r w:rsidRPr="00B7760C">
              <w:t>Besedilo, ki ga predlaga Komisija</w:t>
            </w:r>
          </w:p>
        </w:tc>
        <w:tc>
          <w:tcPr>
            <w:tcW w:w="4876" w:type="dxa"/>
            <w:hideMark/>
          </w:tcPr>
          <w:p w14:paraId="385CB4BA" w14:textId="75EA7685" w:rsidR="003663AF" w:rsidRPr="00B7760C" w:rsidRDefault="00877691" w:rsidP="00E804B7">
            <w:pPr>
              <w:pStyle w:val="ColumnHeading"/>
              <w:keepNext/>
            </w:pPr>
            <w:r w:rsidRPr="00B7760C">
              <w:t>Sprememba</w:t>
            </w:r>
          </w:p>
        </w:tc>
      </w:tr>
      <w:tr w:rsidR="00D02D17" w:rsidRPr="00B7760C" w14:paraId="6D5195CB" w14:textId="77777777" w:rsidTr="00D02D17">
        <w:trPr>
          <w:jc w:val="center"/>
        </w:trPr>
        <w:tc>
          <w:tcPr>
            <w:tcW w:w="4876" w:type="dxa"/>
          </w:tcPr>
          <w:p w14:paraId="45E770D5" w14:textId="5884AFE0" w:rsidR="00D02D17" w:rsidRPr="00B7760C" w:rsidRDefault="00D02D17" w:rsidP="00C7565D">
            <w:pPr>
              <w:pStyle w:val="Normal6a"/>
            </w:pPr>
            <w:r w:rsidRPr="00B7760C">
              <w:t xml:space="preserve">Ambicioznejši </w:t>
            </w:r>
            <w:r w:rsidRPr="00B7760C">
              <w:rPr>
                <w:b/>
                <w:i/>
              </w:rPr>
              <w:t>okoljski in podnebni</w:t>
            </w:r>
            <w:r w:rsidRPr="00B7760C">
              <w:t xml:space="preserve"> cilji</w:t>
            </w:r>
          </w:p>
        </w:tc>
        <w:tc>
          <w:tcPr>
            <w:tcW w:w="4876" w:type="dxa"/>
          </w:tcPr>
          <w:p w14:paraId="5AE06362" w14:textId="755C1032" w:rsidR="00D02D17" w:rsidRPr="00B7760C" w:rsidRDefault="00D02D17" w:rsidP="00C7565D">
            <w:pPr>
              <w:pStyle w:val="Normal6a"/>
            </w:pPr>
            <w:r w:rsidRPr="00B7760C">
              <w:t>Ambicioznejši cilji</w:t>
            </w:r>
            <w:r w:rsidRPr="00B7760C">
              <w:rPr>
                <w:b/>
                <w:i/>
              </w:rPr>
              <w:t xml:space="preserve"> glede okolja, podnebja in dobrobiti živali</w:t>
            </w:r>
          </w:p>
        </w:tc>
      </w:tr>
    </w:tbl>
    <w:p w14:paraId="222AF4F2" w14:textId="77777777" w:rsidR="00D02D17" w:rsidRPr="00B7760C" w:rsidRDefault="00D02D17" w:rsidP="003663AF"/>
    <w:p w14:paraId="6B6C0224" w14:textId="3ED1B897" w:rsidR="003663AF" w:rsidRPr="00B7760C" w:rsidRDefault="00877691" w:rsidP="003663AF">
      <w:pPr>
        <w:pStyle w:val="AMNumberTabs"/>
        <w:keepNext/>
      </w:pPr>
      <w:r w:rsidRPr="00B7760C">
        <w:t>Sprememba</w:t>
      </w:r>
      <w:r w:rsidR="003663AF" w:rsidRPr="00B7760C">
        <w:tab/>
      </w:r>
      <w:r w:rsidR="003663AF" w:rsidRPr="00B7760C">
        <w:tab/>
        <w:t>567</w:t>
      </w:r>
    </w:p>
    <w:p w14:paraId="299B0B6D" w14:textId="77777777" w:rsidR="003663AF" w:rsidRPr="00B7760C" w:rsidRDefault="003663AF" w:rsidP="003663AF">
      <w:pPr>
        <w:pStyle w:val="NormalBold12b"/>
      </w:pPr>
      <w:r w:rsidRPr="00B7760C">
        <w:t>Predlog uredbe</w:t>
      </w:r>
    </w:p>
    <w:p w14:paraId="3C122140" w14:textId="77777777" w:rsidR="003663AF" w:rsidRPr="00B7760C" w:rsidRDefault="003663AF" w:rsidP="003663AF">
      <w:pPr>
        <w:pStyle w:val="NormalBold"/>
      </w:pPr>
      <w:r w:rsidRPr="00B7760C">
        <w:t>Člen 92 – 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18AE60D" w14:textId="77777777" w:rsidTr="00E804B7">
        <w:trPr>
          <w:jc w:val="center"/>
        </w:trPr>
        <w:tc>
          <w:tcPr>
            <w:tcW w:w="9752" w:type="dxa"/>
            <w:gridSpan w:val="2"/>
          </w:tcPr>
          <w:p w14:paraId="1E926720" w14:textId="77777777" w:rsidR="003663AF" w:rsidRPr="00B7760C" w:rsidRDefault="003663AF" w:rsidP="00E804B7">
            <w:pPr>
              <w:keepNext/>
            </w:pPr>
          </w:p>
        </w:tc>
      </w:tr>
      <w:tr w:rsidR="003663AF" w:rsidRPr="00B7760C" w14:paraId="0E1D333D" w14:textId="77777777" w:rsidTr="00E804B7">
        <w:trPr>
          <w:jc w:val="center"/>
        </w:trPr>
        <w:tc>
          <w:tcPr>
            <w:tcW w:w="4876" w:type="dxa"/>
            <w:hideMark/>
          </w:tcPr>
          <w:p w14:paraId="78A88019" w14:textId="77777777" w:rsidR="003663AF" w:rsidRPr="00B7760C" w:rsidRDefault="003663AF" w:rsidP="00E804B7">
            <w:pPr>
              <w:pStyle w:val="ColumnHeading"/>
              <w:keepNext/>
            </w:pPr>
            <w:r w:rsidRPr="00B7760C">
              <w:t>Besedilo, ki ga predlaga Komisija</w:t>
            </w:r>
          </w:p>
        </w:tc>
        <w:tc>
          <w:tcPr>
            <w:tcW w:w="4876" w:type="dxa"/>
            <w:hideMark/>
          </w:tcPr>
          <w:p w14:paraId="73473730" w14:textId="0EA33E78" w:rsidR="003663AF" w:rsidRPr="00B7760C" w:rsidRDefault="00877691" w:rsidP="00E804B7">
            <w:pPr>
              <w:pStyle w:val="ColumnHeading"/>
              <w:keepNext/>
            </w:pPr>
            <w:r w:rsidRPr="00B7760C">
              <w:t>Sprememba</w:t>
            </w:r>
          </w:p>
        </w:tc>
      </w:tr>
      <w:tr w:rsidR="003663AF" w:rsidRPr="00B7760C" w14:paraId="734D3689" w14:textId="77777777" w:rsidTr="00E804B7">
        <w:trPr>
          <w:jc w:val="center"/>
        </w:trPr>
        <w:tc>
          <w:tcPr>
            <w:tcW w:w="4876" w:type="dxa"/>
            <w:hideMark/>
          </w:tcPr>
          <w:p w14:paraId="114355F3" w14:textId="77777777" w:rsidR="003663AF" w:rsidRPr="00B7760C" w:rsidRDefault="003663AF" w:rsidP="00E804B7">
            <w:pPr>
              <w:pStyle w:val="Normal6"/>
            </w:pPr>
            <w:r w:rsidRPr="00B7760C">
              <w:t>1.</w:t>
            </w:r>
            <w:r w:rsidRPr="00B7760C">
              <w:tab/>
              <w:t xml:space="preserve">Države članice si bodo s strateškimi načrti SKP, zlasti pa z elementi intervencijske strategije iz točke (a) člena 97(2), prizadevale, da bo skupni </w:t>
            </w:r>
            <w:r w:rsidRPr="00B7760C">
              <w:rPr>
                <w:b/>
                <w:i/>
              </w:rPr>
              <w:t>prispevek k doseganju</w:t>
            </w:r>
            <w:r w:rsidRPr="00B7760C">
              <w:t xml:space="preserve"> specifičnih </w:t>
            </w:r>
            <w:r w:rsidRPr="00B7760C">
              <w:rPr>
                <w:b/>
                <w:i/>
              </w:rPr>
              <w:t>okoljskih</w:t>
            </w:r>
            <w:r w:rsidRPr="00B7760C">
              <w:t xml:space="preserve"> in </w:t>
            </w:r>
            <w:r w:rsidRPr="00B7760C">
              <w:rPr>
                <w:b/>
                <w:i/>
              </w:rPr>
              <w:t>podnebnih ciljev</w:t>
            </w:r>
            <w:r w:rsidRPr="00B7760C">
              <w:t xml:space="preserve"> iz točk (d), (e) in (f) člena 6(1) večji od skupnega </w:t>
            </w:r>
            <w:r w:rsidRPr="00B7760C">
              <w:rPr>
                <w:b/>
                <w:i/>
              </w:rPr>
              <w:t>prispevka k cilju</w:t>
            </w:r>
            <w:r w:rsidRPr="00B7760C">
              <w:t xml:space="preserve"> iz točke (b) prvega pododstavka člena 110(2) Uredbe (EU) št.</w:t>
            </w:r>
            <w:r w:rsidRPr="00B7760C">
              <w:rPr>
                <w:b/>
                <w:i/>
              </w:rPr>
              <w:t> </w:t>
            </w:r>
            <w:r w:rsidRPr="00B7760C">
              <w:t>1306/2013 s podporo v okviru EKJS in EKSRP v obdobju 2014–2020.</w:t>
            </w:r>
          </w:p>
        </w:tc>
        <w:tc>
          <w:tcPr>
            <w:tcW w:w="4876" w:type="dxa"/>
            <w:hideMark/>
          </w:tcPr>
          <w:p w14:paraId="5F44F3E3" w14:textId="77777777" w:rsidR="003663AF" w:rsidRPr="00B7760C" w:rsidRDefault="003663AF" w:rsidP="00E804B7">
            <w:pPr>
              <w:pStyle w:val="Normal6"/>
              <w:rPr>
                <w:szCs w:val="24"/>
              </w:rPr>
            </w:pPr>
            <w:r w:rsidRPr="00B7760C">
              <w:t>1.</w:t>
            </w:r>
            <w:r w:rsidRPr="00B7760C">
              <w:tab/>
              <w:t xml:space="preserve">Države članice si bodo s strateškimi načrti SKP, zlasti pa z elementi intervencijske strategije iz točke (a) člena 97(2), prizadevale, da bo skupni </w:t>
            </w:r>
            <w:r w:rsidRPr="00B7760C">
              <w:rPr>
                <w:b/>
                <w:i/>
              </w:rPr>
              <w:t>delež dodeljenih proračunskih sredstev za doseganje</w:t>
            </w:r>
            <w:r w:rsidRPr="00B7760C">
              <w:t xml:space="preserve"> specifičnih </w:t>
            </w:r>
            <w:r w:rsidRPr="00B7760C">
              <w:rPr>
                <w:b/>
                <w:i/>
              </w:rPr>
              <w:t>ciljev, povezanih s kmetijsko-okoljsko</w:t>
            </w:r>
            <w:r w:rsidRPr="00B7760C">
              <w:t xml:space="preserve"> in </w:t>
            </w:r>
            <w:r w:rsidRPr="00B7760C">
              <w:rPr>
                <w:b/>
                <w:i/>
              </w:rPr>
              <w:t>podnebno problematiko</w:t>
            </w:r>
            <w:r w:rsidRPr="00B7760C">
              <w:t xml:space="preserve"> iz točk (d), (e) in (f) člena 6(1) večji od skupnega </w:t>
            </w:r>
            <w:r w:rsidRPr="00B7760C">
              <w:rPr>
                <w:b/>
                <w:i/>
              </w:rPr>
              <w:t>deleža dodeljenih proračunskih sredstev za cilj</w:t>
            </w:r>
            <w:r w:rsidRPr="00B7760C">
              <w:t xml:space="preserve"> iz točke (b) prvega pododstavka člena 110(2) Uredbe (EU) št.1306/2013 s podporo v okviru EKJS in EKSRP v obdobju 2014–2020.</w:t>
            </w:r>
          </w:p>
        </w:tc>
      </w:tr>
    </w:tbl>
    <w:p w14:paraId="74321543" w14:textId="77777777" w:rsidR="003663AF" w:rsidRPr="00B7760C" w:rsidRDefault="003663AF" w:rsidP="003663AF"/>
    <w:p w14:paraId="40668FF8" w14:textId="71938E91" w:rsidR="003663AF" w:rsidRPr="00B7760C" w:rsidRDefault="00877691" w:rsidP="005847CC">
      <w:pPr>
        <w:pStyle w:val="AMNumberTabs"/>
        <w:keepNext/>
      </w:pPr>
      <w:r w:rsidRPr="00B7760C">
        <w:t>Sprememba</w:t>
      </w:r>
      <w:r w:rsidR="003663AF" w:rsidRPr="00B7760C">
        <w:tab/>
      </w:r>
      <w:r w:rsidR="003663AF" w:rsidRPr="00B7760C">
        <w:tab/>
      </w:r>
      <w:r w:rsidR="00D02D17" w:rsidRPr="00B7760C">
        <w:t xml:space="preserve">832 </w:t>
      </w:r>
      <w:r w:rsidR="005847CC" w:rsidRPr="00B7760C">
        <w:t>cp</w:t>
      </w:r>
      <w:r w:rsidR="00D02D17" w:rsidRPr="00B7760C">
        <w:t>4</w:t>
      </w:r>
    </w:p>
    <w:p w14:paraId="39ADF4D6" w14:textId="77777777" w:rsidR="003663AF" w:rsidRPr="00B7760C" w:rsidRDefault="003663AF" w:rsidP="003663AF">
      <w:pPr>
        <w:pStyle w:val="NormalBold12b"/>
      </w:pPr>
      <w:r w:rsidRPr="00B7760C">
        <w:t>Predlog uredbe</w:t>
      </w:r>
    </w:p>
    <w:p w14:paraId="6196841E" w14:textId="77777777" w:rsidR="003663AF" w:rsidRPr="00B7760C" w:rsidRDefault="003663AF" w:rsidP="003663AF">
      <w:pPr>
        <w:pStyle w:val="NormalBold"/>
      </w:pPr>
      <w:r w:rsidRPr="00B7760C">
        <w:t>Člen 92 – odstavek 2</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E220097" w14:textId="77777777" w:rsidTr="00D02D17">
        <w:trPr>
          <w:jc w:val="center"/>
        </w:trPr>
        <w:tc>
          <w:tcPr>
            <w:tcW w:w="9752" w:type="dxa"/>
            <w:gridSpan w:val="2"/>
          </w:tcPr>
          <w:p w14:paraId="66574C96" w14:textId="77777777" w:rsidR="003663AF" w:rsidRPr="00B7760C" w:rsidRDefault="003663AF" w:rsidP="00E804B7">
            <w:pPr>
              <w:keepNext/>
            </w:pPr>
          </w:p>
        </w:tc>
      </w:tr>
      <w:tr w:rsidR="003663AF" w:rsidRPr="00B7760C" w14:paraId="6E585142" w14:textId="77777777" w:rsidTr="00D02D17">
        <w:trPr>
          <w:jc w:val="center"/>
        </w:trPr>
        <w:tc>
          <w:tcPr>
            <w:tcW w:w="4876" w:type="dxa"/>
            <w:hideMark/>
          </w:tcPr>
          <w:p w14:paraId="397D827D" w14:textId="77777777" w:rsidR="003663AF" w:rsidRPr="00B7760C" w:rsidRDefault="003663AF" w:rsidP="00E804B7">
            <w:pPr>
              <w:pStyle w:val="ColumnHeading"/>
              <w:keepNext/>
            </w:pPr>
            <w:r w:rsidRPr="00B7760C">
              <w:t>Besedilo, ki ga predlaga Komisija</w:t>
            </w:r>
          </w:p>
        </w:tc>
        <w:tc>
          <w:tcPr>
            <w:tcW w:w="4876" w:type="dxa"/>
            <w:hideMark/>
          </w:tcPr>
          <w:p w14:paraId="1F03C2E3" w14:textId="46A83627" w:rsidR="003663AF" w:rsidRPr="00B7760C" w:rsidRDefault="00877691" w:rsidP="00E804B7">
            <w:pPr>
              <w:pStyle w:val="ColumnHeading"/>
              <w:keepNext/>
            </w:pPr>
            <w:r w:rsidRPr="00B7760C">
              <w:t>Sprememba</w:t>
            </w:r>
          </w:p>
        </w:tc>
      </w:tr>
      <w:tr w:rsidR="00D02D17" w:rsidRPr="00B7760C" w14:paraId="308B7BFD" w14:textId="77777777" w:rsidTr="00D02D17">
        <w:trPr>
          <w:jc w:val="center"/>
        </w:trPr>
        <w:tc>
          <w:tcPr>
            <w:tcW w:w="4876" w:type="dxa"/>
          </w:tcPr>
          <w:p w14:paraId="47D74587" w14:textId="2FA98AEC" w:rsidR="00D02D17" w:rsidRPr="00B7760C" w:rsidRDefault="00D02D17" w:rsidP="00D02D17">
            <w:pPr>
              <w:pStyle w:val="Normal6"/>
            </w:pPr>
            <w:r w:rsidRPr="00B7760C">
              <w:t>2.</w:t>
            </w:r>
            <w:r w:rsidRPr="00B7760C">
              <w:tab/>
              <w:t xml:space="preserve">Države članice v strateških načrtih SKP na podlagi </w:t>
            </w:r>
            <w:r w:rsidRPr="00B7760C">
              <w:rPr>
                <w:b/>
                <w:i/>
              </w:rPr>
              <w:t>razpoložljivih</w:t>
            </w:r>
            <w:r w:rsidRPr="00B7760C">
              <w:t xml:space="preserve"> informacij pojasnijo, kako nameravajo doseči večji skupni prispevek iz odstavka 1. Razlaga temelji na relevantnih informacijah, kot so elementi iz točk (a)–(f) člena 95(1) in </w:t>
            </w:r>
            <w:r w:rsidRPr="00B7760C">
              <w:rPr>
                <w:b/>
                <w:i/>
              </w:rPr>
              <w:t>točke</w:t>
            </w:r>
            <w:r w:rsidRPr="00B7760C">
              <w:t xml:space="preserve"> (b) člena 95(2).</w:t>
            </w:r>
          </w:p>
        </w:tc>
        <w:tc>
          <w:tcPr>
            <w:tcW w:w="4876" w:type="dxa"/>
          </w:tcPr>
          <w:p w14:paraId="289328A8" w14:textId="1643554E" w:rsidR="00D02D17" w:rsidRPr="00B7760C" w:rsidRDefault="00D02D17" w:rsidP="00D02D17">
            <w:pPr>
              <w:pStyle w:val="Normal6"/>
            </w:pPr>
            <w:r w:rsidRPr="00B7760C">
              <w:t>2.</w:t>
            </w:r>
            <w:r w:rsidRPr="00B7760C">
              <w:tab/>
              <w:t xml:space="preserve">Države članice v strateških načrtih SKP na podlagi </w:t>
            </w:r>
            <w:r w:rsidRPr="00B7760C">
              <w:rPr>
                <w:b/>
                <w:i/>
              </w:rPr>
              <w:t>najnovejših in najzanesljivejših</w:t>
            </w:r>
            <w:r w:rsidRPr="00B7760C">
              <w:t xml:space="preserve"> informacij pojasnijo, </w:t>
            </w:r>
            <w:r w:rsidRPr="00B7760C">
              <w:rPr>
                <w:b/>
                <w:i/>
              </w:rPr>
              <w:t>kakšen učinek na okolje in podnebje želijo doseči v obdobju 2021–27 in</w:t>
            </w:r>
            <w:r w:rsidRPr="00B7760C">
              <w:t xml:space="preserve"> kako nameravajo doseči večji skupni prispevek iz odstavka 1</w:t>
            </w:r>
            <w:r w:rsidRPr="00B7760C">
              <w:rPr>
                <w:b/>
                <w:i/>
              </w:rPr>
              <w:t>, pa tudi kako nameravajo zagotoviti, da bodo cilji, opredeljeni na podlagi kazalnikov učinka iz Priloge I, pomenili izboljšanje trenutnega stanja</w:t>
            </w:r>
            <w:r w:rsidRPr="00B7760C">
              <w:t xml:space="preserve">. Razlaga temelji na relevantnih informacijah, kot so elementi iz točk (a)–(f) člena 95(1) ter </w:t>
            </w:r>
            <w:r w:rsidRPr="00B7760C">
              <w:rPr>
                <w:b/>
                <w:i/>
              </w:rPr>
              <w:t>točk (a) in</w:t>
            </w:r>
            <w:r w:rsidRPr="00B7760C">
              <w:t xml:space="preserve"> (b) člena 95(2).</w:t>
            </w:r>
          </w:p>
        </w:tc>
      </w:tr>
    </w:tbl>
    <w:p w14:paraId="284D23C5" w14:textId="1EEA218C" w:rsidR="00D02D17" w:rsidRPr="00B7760C" w:rsidRDefault="00D02D17" w:rsidP="003663AF"/>
    <w:p w14:paraId="3712A021" w14:textId="3A31633E" w:rsidR="00D02D17" w:rsidRPr="00B7760C" w:rsidRDefault="00D02D17" w:rsidP="00D02D17">
      <w:pPr>
        <w:pStyle w:val="AmNumberTabs0"/>
      </w:pPr>
      <w:r w:rsidRPr="00B7760C">
        <w:t>Sprememba</w:t>
      </w:r>
      <w:r w:rsidRPr="00B7760C">
        <w:tab/>
      </w:r>
      <w:r w:rsidRPr="00B7760C">
        <w:tab/>
        <w:t>1177</w:t>
      </w:r>
    </w:p>
    <w:p w14:paraId="6095DAAB" w14:textId="77777777" w:rsidR="00D02D17" w:rsidRPr="00B7760C" w:rsidRDefault="00D02D17" w:rsidP="00D02D17">
      <w:pPr>
        <w:pStyle w:val="NormalBold12b"/>
      </w:pPr>
      <w:r w:rsidRPr="00B7760C">
        <w:t>Predlog uredbe</w:t>
      </w:r>
    </w:p>
    <w:p w14:paraId="6FF2B34D" w14:textId="77777777" w:rsidR="00D02D17" w:rsidRPr="00B7760C" w:rsidRDefault="00D02D17" w:rsidP="00D02D17">
      <w:pPr>
        <w:pStyle w:val="NormalBold"/>
      </w:pPr>
      <w:r w:rsidRPr="00B7760C">
        <w:t>Člen 92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D02D17" w:rsidRPr="00B7760C" w14:paraId="35D0B84F" w14:textId="77777777" w:rsidTr="00C7565D">
        <w:trPr>
          <w:trHeight w:hRule="exact" w:val="240"/>
          <w:jc w:val="center"/>
        </w:trPr>
        <w:tc>
          <w:tcPr>
            <w:tcW w:w="9752" w:type="dxa"/>
            <w:gridSpan w:val="2"/>
          </w:tcPr>
          <w:p w14:paraId="4CD5815D" w14:textId="77777777" w:rsidR="00D02D17" w:rsidRPr="00B7760C" w:rsidRDefault="00D02D17" w:rsidP="00C7565D"/>
        </w:tc>
      </w:tr>
      <w:tr w:rsidR="00D02D17" w:rsidRPr="00B7760C" w14:paraId="45A76C94" w14:textId="77777777" w:rsidTr="00C7565D">
        <w:trPr>
          <w:trHeight w:val="240"/>
          <w:jc w:val="center"/>
        </w:trPr>
        <w:tc>
          <w:tcPr>
            <w:tcW w:w="4876" w:type="dxa"/>
          </w:tcPr>
          <w:p w14:paraId="233B7B47" w14:textId="77777777" w:rsidR="00D02D17" w:rsidRPr="00B7760C" w:rsidRDefault="00D02D17" w:rsidP="00C7565D">
            <w:pPr>
              <w:pStyle w:val="AmColumnHeading"/>
            </w:pPr>
            <w:r w:rsidRPr="00B7760C">
              <w:t>Besedilo, ki ga predlaga Komisija</w:t>
            </w:r>
          </w:p>
        </w:tc>
        <w:tc>
          <w:tcPr>
            <w:tcW w:w="4876" w:type="dxa"/>
          </w:tcPr>
          <w:p w14:paraId="3BF51EB2" w14:textId="495C0E71" w:rsidR="00D02D17" w:rsidRPr="00B7760C" w:rsidRDefault="00D02D17" w:rsidP="00C7565D">
            <w:pPr>
              <w:pStyle w:val="AmColumnHeading"/>
            </w:pPr>
            <w:r w:rsidRPr="00B7760C">
              <w:t>Sprememba</w:t>
            </w:r>
          </w:p>
        </w:tc>
      </w:tr>
      <w:tr w:rsidR="00D02D17" w:rsidRPr="00B7760C" w14:paraId="7CD67252" w14:textId="77777777" w:rsidTr="00C7565D">
        <w:trPr>
          <w:jc w:val="center"/>
        </w:trPr>
        <w:tc>
          <w:tcPr>
            <w:tcW w:w="4876" w:type="dxa"/>
          </w:tcPr>
          <w:p w14:paraId="42FD4268" w14:textId="77777777" w:rsidR="00D02D17" w:rsidRPr="00B7760C" w:rsidRDefault="00D02D17" w:rsidP="00C7565D">
            <w:pPr>
              <w:pStyle w:val="Normal6a"/>
            </w:pPr>
          </w:p>
        </w:tc>
        <w:tc>
          <w:tcPr>
            <w:tcW w:w="4876" w:type="dxa"/>
          </w:tcPr>
          <w:p w14:paraId="08E9650E" w14:textId="77777777" w:rsidR="00D02D17" w:rsidRPr="00B7760C" w:rsidRDefault="00D02D17" w:rsidP="00C7565D">
            <w:pPr>
              <w:pStyle w:val="NormalBoldItalicCenter6a"/>
            </w:pPr>
            <w:r w:rsidRPr="00B7760C">
              <w:t>Člen 92 a</w:t>
            </w:r>
          </w:p>
        </w:tc>
      </w:tr>
      <w:tr w:rsidR="00D02D17" w:rsidRPr="00B7760C" w14:paraId="276F3100" w14:textId="77777777" w:rsidTr="00C7565D">
        <w:trPr>
          <w:jc w:val="center"/>
        </w:trPr>
        <w:tc>
          <w:tcPr>
            <w:tcW w:w="4876" w:type="dxa"/>
          </w:tcPr>
          <w:p w14:paraId="49ECA262" w14:textId="77777777" w:rsidR="00D02D17" w:rsidRPr="00B7760C" w:rsidRDefault="00D02D17" w:rsidP="00C7565D">
            <w:pPr>
              <w:pStyle w:val="Normal6a"/>
            </w:pPr>
          </w:p>
        </w:tc>
        <w:tc>
          <w:tcPr>
            <w:tcW w:w="4876" w:type="dxa"/>
          </w:tcPr>
          <w:p w14:paraId="161E6757" w14:textId="77777777" w:rsidR="00D02D17" w:rsidRPr="00B7760C" w:rsidRDefault="00D02D17" w:rsidP="00C7565D">
            <w:pPr>
              <w:pStyle w:val="NormalBoldItalicCenter6a"/>
            </w:pPr>
            <w:r w:rsidRPr="00B7760C">
              <w:t>Preprečevanje na področju obvladovanja tveganj</w:t>
            </w:r>
          </w:p>
        </w:tc>
      </w:tr>
      <w:tr w:rsidR="00D02D17" w:rsidRPr="00B7760C" w14:paraId="0071B425" w14:textId="77777777" w:rsidTr="00C7565D">
        <w:trPr>
          <w:jc w:val="center"/>
        </w:trPr>
        <w:tc>
          <w:tcPr>
            <w:tcW w:w="4876" w:type="dxa"/>
          </w:tcPr>
          <w:p w14:paraId="6FB78FE9" w14:textId="77777777" w:rsidR="00D02D17" w:rsidRPr="00B7760C" w:rsidRDefault="00D02D17" w:rsidP="00C7565D">
            <w:pPr>
              <w:pStyle w:val="Normal6a"/>
            </w:pPr>
          </w:p>
        </w:tc>
        <w:tc>
          <w:tcPr>
            <w:tcW w:w="4876" w:type="dxa"/>
          </w:tcPr>
          <w:p w14:paraId="7018BF59" w14:textId="77777777" w:rsidR="00D02D17" w:rsidRPr="00B7760C" w:rsidRDefault="00D02D17" w:rsidP="00C7565D">
            <w:pPr>
              <w:pStyle w:val="Normal6a"/>
            </w:pPr>
            <w:r w:rsidRPr="00B7760C">
              <w:rPr>
                <w:b/>
                <w:i/>
              </w:rPr>
              <w:t>Države članice v svojih strateških načrtih SKP na podlagi razpoložljivih informacij in analize SWOT pojasnijo, kako nameravajo zagotoviti zadostne in ustrezne rešitve za obvladovanje tveganja, da bi kmetom pomagale pri spopadanju s podnebnimi, sanitarnimi in gospodarskimi nevarnostmi. Rešitve za obvladovanje tveganja iz tega člena lahko vključujejo instrumente za obvladovanje tveganja iz člena 70 ali morebitne že obstoječe nacionalne rešitve za obvladovanje tveganja.</w:t>
            </w:r>
          </w:p>
        </w:tc>
      </w:tr>
    </w:tbl>
    <w:p w14:paraId="1715B6CD" w14:textId="77777777" w:rsidR="00D02D17" w:rsidRPr="00B7760C" w:rsidRDefault="00D02D17" w:rsidP="003663AF"/>
    <w:p w14:paraId="23766C03" w14:textId="3E325255" w:rsidR="003663AF" w:rsidRPr="00B7760C" w:rsidRDefault="00877691" w:rsidP="003663AF">
      <w:pPr>
        <w:pStyle w:val="AMNumberTabs"/>
        <w:keepNext/>
      </w:pPr>
      <w:r w:rsidRPr="00B7760C">
        <w:t>Sprememba</w:t>
      </w:r>
      <w:r w:rsidR="003663AF" w:rsidRPr="00B7760C">
        <w:tab/>
      </w:r>
      <w:r w:rsidR="003663AF" w:rsidRPr="00B7760C">
        <w:tab/>
        <w:t>569</w:t>
      </w:r>
    </w:p>
    <w:p w14:paraId="111A7959" w14:textId="77777777" w:rsidR="003663AF" w:rsidRPr="00B7760C" w:rsidRDefault="003663AF" w:rsidP="003663AF">
      <w:pPr>
        <w:pStyle w:val="NormalBold12b"/>
      </w:pPr>
      <w:r w:rsidRPr="00B7760C">
        <w:t>Predlog uredbe</w:t>
      </w:r>
    </w:p>
    <w:p w14:paraId="3FADFF08" w14:textId="77777777" w:rsidR="003663AF" w:rsidRPr="00B7760C" w:rsidRDefault="003663AF" w:rsidP="003663AF">
      <w:pPr>
        <w:pStyle w:val="NormalBold"/>
      </w:pPr>
      <w:r w:rsidRPr="00B7760C">
        <w:t>Člen 93 – 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CD4AE13" w14:textId="77777777" w:rsidTr="00E804B7">
        <w:trPr>
          <w:jc w:val="center"/>
        </w:trPr>
        <w:tc>
          <w:tcPr>
            <w:tcW w:w="9752" w:type="dxa"/>
            <w:gridSpan w:val="2"/>
          </w:tcPr>
          <w:p w14:paraId="111DBC7C" w14:textId="77777777" w:rsidR="003663AF" w:rsidRPr="00B7760C" w:rsidRDefault="003663AF" w:rsidP="00E804B7">
            <w:pPr>
              <w:keepNext/>
            </w:pPr>
          </w:p>
        </w:tc>
      </w:tr>
      <w:tr w:rsidR="003663AF" w:rsidRPr="00B7760C" w14:paraId="3175A75D" w14:textId="77777777" w:rsidTr="00E804B7">
        <w:trPr>
          <w:jc w:val="center"/>
        </w:trPr>
        <w:tc>
          <w:tcPr>
            <w:tcW w:w="4876" w:type="dxa"/>
            <w:hideMark/>
          </w:tcPr>
          <w:p w14:paraId="4626DE40" w14:textId="77777777" w:rsidR="003663AF" w:rsidRPr="00B7760C" w:rsidRDefault="003663AF" w:rsidP="00E804B7">
            <w:pPr>
              <w:pStyle w:val="ColumnHeading"/>
              <w:keepNext/>
            </w:pPr>
            <w:r w:rsidRPr="00B7760C">
              <w:t>Besedilo, ki ga predlaga Komisija</w:t>
            </w:r>
          </w:p>
        </w:tc>
        <w:tc>
          <w:tcPr>
            <w:tcW w:w="4876" w:type="dxa"/>
            <w:hideMark/>
          </w:tcPr>
          <w:p w14:paraId="5C2924CD" w14:textId="2B8D4A64" w:rsidR="003663AF" w:rsidRPr="00B7760C" w:rsidRDefault="00877691" w:rsidP="00E804B7">
            <w:pPr>
              <w:pStyle w:val="ColumnHeading"/>
              <w:keepNext/>
            </w:pPr>
            <w:r w:rsidRPr="00B7760C">
              <w:t>Sprememba</w:t>
            </w:r>
          </w:p>
        </w:tc>
      </w:tr>
      <w:tr w:rsidR="003663AF" w:rsidRPr="00B7760C" w14:paraId="39845E01" w14:textId="77777777" w:rsidTr="00E804B7">
        <w:trPr>
          <w:jc w:val="center"/>
        </w:trPr>
        <w:tc>
          <w:tcPr>
            <w:tcW w:w="4876" w:type="dxa"/>
            <w:hideMark/>
          </w:tcPr>
          <w:p w14:paraId="09A25AED" w14:textId="77777777" w:rsidR="003663AF" w:rsidRPr="00B7760C" w:rsidRDefault="003663AF" w:rsidP="00E804B7">
            <w:pPr>
              <w:pStyle w:val="Normal6"/>
            </w:pPr>
            <w:r w:rsidRPr="00B7760C">
              <w:t>Vsaka država članica za svoje celotno ozemlje pripravi po en strateški načrt SKP.</w:t>
            </w:r>
          </w:p>
        </w:tc>
        <w:tc>
          <w:tcPr>
            <w:tcW w:w="4876" w:type="dxa"/>
            <w:hideMark/>
          </w:tcPr>
          <w:p w14:paraId="3486FC28" w14:textId="77777777" w:rsidR="003663AF" w:rsidRPr="00B7760C" w:rsidRDefault="003663AF" w:rsidP="00E804B7">
            <w:pPr>
              <w:pStyle w:val="Normal6"/>
              <w:rPr>
                <w:szCs w:val="24"/>
              </w:rPr>
            </w:pPr>
            <w:r w:rsidRPr="00B7760C">
              <w:t>Vsaka država članica</w:t>
            </w:r>
            <w:r w:rsidRPr="00B7760C">
              <w:rPr>
                <w:b/>
                <w:i/>
              </w:rPr>
              <w:t>, po potrebi v sodelovanju z regijami,</w:t>
            </w:r>
            <w:r w:rsidRPr="00B7760C">
              <w:t xml:space="preserve"> za svoje celotno ozemlje pripravi po en strateški načrt SKP.</w:t>
            </w:r>
          </w:p>
        </w:tc>
      </w:tr>
    </w:tbl>
    <w:p w14:paraId="26170D2E" w14:textId="77777777" w:rsidR="003663AF" w:rsidRPr="00B7760C" w:rsidRDefault="003663AF" w:rsidP="003663AF"/>
    <w:p w14:paraId="5D6155C1" w14:textId="666BAB0D" w:rsidR="003663AF" w:rsidRPr="00B7760C" w:rsidRDefault="00877691" w:rsidP="003663AF">
      <w:pPr>
        <w:pStyle w:val="AMNumberTabs"/>
        <w:keepNext/>
      </w:pPr>
      <w:r w:rsidRPr="00B7760C">
        <w:t>Sprememba</w:t>
      </w:r>
      <w:r w:rsidR="003663AF" w:rsidRPr="00B7760C">
        <w:tab/>
      </w:r>
      <w:r w:rsidR="003663AF" w:rsidRPr="00B7760C">
        <w:tab/>
        <w:t>570</w:t>
      </w:r>
    </w:p>
    <w:p w14:paraId="7A23C838" w14:textId="77777777" w:rsidR="003663AF" w:rsidRPr="00B7760C" w:rsidRDefault="003663AF" w:rsidP="003663AF">
      <w:pPr>
        <w:pStyle w:val="NormalBold12b"/>
      </w:pPr>
      <w:r w:rsidRPr="00B7760C">
        <w:t>Predlog uredbe</w:t>
      </w:r>
    </w:p>
    <w:p w14:paraId="49C4F6E4" w14:textId="77777777" w:rsidR="003663AF" w:rsidRPr="00B7760C" w:rsidRDefault="003663AF" w:rsidP="003663AF">
      <w:pPr>
        <w:pStyle w:val="NormalBold"/>
      </w:pPr>
      <w:r w:rsidRPr="00B7760C">
        <w:t>Člen 93 – odstavek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6CAF822" w14:textId="77777777" w:rsidTr="00E804B7">
        <w:trPr>
          <w:jc w:val="center"/>
        </w:trPr>
        <w:tc>
          <w:tcPr>
            <w:tcW w:w="9752" w:type="dxa"/>
            <w:gridSpan w:val="2"/>
          </w:tcPr>
          <w:p w14:paraId="24406E0F" w14:textId="77777777" w:rsidR="003663AF" w:rsidRPr="00B7760C" w:rsidRDefault="003663AF" w:rsidP="00E804B7">
            <w:pPr>
              <w:keepNext/>
            </w:pPr>
          </w:p>
        </w:tc>
      </w:tr>
      <w:tr w:rsidR="003663AF" w:rsidRPr="00B7760C" w14:paraId="42F78964" w14:textId="77777777" w:rsidTr="00E804B7">
        <w:trPr>
          <w:jc w:val="center"/>
        </w:trPr>
        <w:tc>
          <w:tcPr>
            <w:tcW w:w="4876" w:type="dxa"/>
            <w:hideMark/>
          </w:tcPr>
          <w:p w14:paraId="439E2384" w14:textId="77777777" w:rsidR="003663AF" w:rsidRPr="00B7760C" w:rsidRDefault="003663AF" w:rsidP="00E804B7">
            <w:pPr>
              <w:pStyle w:val="ColumnHeading"/>
              <w:keepNext/>
            </w:pPr>
            <w:r w:rsidRPr="00B7760C">
              <w:t>Besedilo, ki ga predlaga Komisija</w:t>
            </w:r>
          </w:p>
        </w:tc>
        <w:tc>
          <w:tcPr>
            <w:tcW w:w="4876" w:type="dxa"/>
            <w:hideMark/>
          </w:tcPr>
          <w:p w14:paraId="24C55FC3" w14:textId="4B8E11ED" w:rsidR="003663AF" w:rsidRPr="00B7760C" w:rsidRDefault="00877691" w:rsidP="00E804B7">
            <w:pPr>
              <w:pStyle w:val="ColumnHeading"/>
              <w:keepNext/>
            </w:pPr>
            <w:r w:rsidRPr="00B7760C">
              <w:t>Sprememba</w:t>
            </w:r>
          </w:p>
        </w:tc>
      </w:tr>
      <w:tr w:rsidR="003663AF" w:rsidRPr="00B7760C" w14:paraId="7B79B6BE" w14:textId="77777777" w:rsidTr="00E804B7">
        <w:trPr>
          <w:jc w:val="center"/>
        </w:trPr>
        <w:tc>
          <w:tcPr>
            <w:tcW w:w="4876" w:type="dxa"/>
            <w:hideMark/>
          </w:tcPr>
          <w:p w14:paraId="2D5E9B18" w14:textId="77777777" w:rsidR="003663AF" w:rsidRPr="00B7760C" w:rsidRDefault="003663AF" w:rsidP="00E804B7">
            <w:pPr>
              <w:pStyle w:val="Normal6"/>
            </w:pPr>
            <w:r w:rsidRPr="00B7760C">
              <w:t>Kadar se elementi strateškega načrta SKP pripravijo na regionalni ravni, države članice zagotovijo usklajenost in skladnost z elementi strateškega načrta SKP na nacionalni ravni.</w:t>
            </w:r>
          </w:p>
        </w:tc>
        <w:tc>
          <w:tcPr>
            <w:tcW w:w="4876" w:type="dxa"/>
            <w:hideMark/>
          </w:tcPr>
          <w:p w14:paraId="2170B26D" w14:textId="77777777" w:rsidR="003663AF" w:rsidRPr="00B7760C" w:rsidRDefault="003663AF" w:rsidP="00E804B7">
            <w:pPr>
              <w:pStyle w:val="Normal6"/>
              <w:rPr>
                <w:szCs w:val="24"/>
              </w:rPr>
            </w:pPr>
            <w:r w:rsidRPr="00B7760C">
              <w:t xml:space="preserve">Kadar se elementi strateškega načrta SKP pripravijo </w:t>
            </w:r>
            <w:r w:rsidRPr="00B7760C">
              <w:rPr>
                <w:b/>
                <w:i/>
              </w:rPr>
              <w:t xml:space="preserve">in/ali izvajajo </w:t>
            </w:r>
            <w:r w:rsidRPr="00B7760C">
              <w:t>na regionalni ravni</w:t>
            </w:r>
            <w:r w:rsidRPr="00B7760C">
              <w:rPr>
                <w:b/>
                <w:i/>
              </w:rPr>
              <w:t xml:space="preserve"> prek regionalnih programov intervencij</w:t>
            </w:r>
            <w:r w:rsidRPr="00B7760C">
              <w:t>, države članice zagotovijo usklajenost in skladnost z elementi strateškega načrta SKP na nacionalni ravni.</w:t>
            </w:r>
          </w:p>
        </w:tc>
      </w:tr>
    </w:tbl>
    <w:p w14:paraId="07648B3E" w14:textId="77777777" w:rsidR="003663AF" w:rsidRPr="00B7760C" w:rsidRDefault="003663AF" w:rsidP="003663AF"/>
    <w:p w14:paraId="373E7283" w14:textId="44D1535A" w:rsidR="003663AF" w:rsidRPr="00B7760C" w:rsidRDefault="00877691" w:rsidP="003663AF">
      <w:pPr>
        <w:pStyle w:val="AMNumberTabs"/>
        <w:keepNext/>
      </w:pPr>
      <w:r w:rsidRPr="00B7760C">
        <w:t>Sprememb</w:t>
      </w:r>
      <w:r w:rsidR="00D02D17" w:rsidRPr="00B7760C">
        <w:t>i</w:t>
      </w:r>
      <w:r w:rsidR="003663AF" w:rsidRPr="00B7760C">
        <w:tab/>
      </w:r>
      <w:r w:rsidR="003663AF" w:rsidRPr="00B7760C">
        <w:tab/>
        <w:t>571</w:t>
      </w:r>
      <w:r w:rsidR="00D02D17" w:rsidRPr="00B7760C">
        <w:t xml:space="preserve"> in 734 cp2</w:t>
      </w:r>
    </w:p>
    <w:p w14:paraId="71BBCCC6" w14:textId="77777777" w:rsidR="003663AF" w:rsidRPr="00B7760C" w:rsidRDefault="003663AF" w:rsidP="003663AF">
      <w:pPr>
        <w:pStyle w:val="NormalBold12b"/>
      </w:pPr>
      <w:r w:rsidRPr="00B7760C">
        <w:t>Predlog uredbe</w:t>
      </w:r>
    </w:p>
    <w:p w14:paraId="4CABC92E" w14:textId="77777777" w:rsidR="003663AF" w:rsidRPr="00B7760C" w:rsidRDefault="003663AF" w:rsidP="003663AF">
      <w:pPr>
        <w:pStyle w:val="NormalBold"/>
      </w:pPr>
      <w:r w:rsidRPr="00B7760C">
        <w:t>Člen 94 – odstavek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EB073E8" w14:textId="77777777" w:rsidTr="00E804B7">
        <w:trPr>
          <w:jc w:val="center"/>
        </w:trPr>
        <w:tc>
          <w:tcPr>
            <w:tcW w:w="9752" w:type="dxa"/>
            <w:gridSpan w:val="2"/>
          </w:tcPr>
          <w:p w14:paraId="7551D049" w14:textId="77777777" w:rsidR="003663AF" w:rsidRPr="00B7760C" w:rsidRDefault="003663AF" w:rsidP="00E804B7">
            <w:pPr>
              <w:keepNext/>
            </w:pPr>
          </w:p>
        </w:tc>
      </w:tr>
      <w:tr w:rsidR="003663AF" w:rsidRPr="00B7760C" w14:paraId="24B1B48B" w14:textId="77777777" w:rsidTr="00E804B7">
        <w:trPr>
          <w:jc w:val="center"/>
        </w:trPr>
        <w:tc>
          <w:tcPr>
            <w:tcW w:w="4876" w:type="dxa"/>
            <w:hideMark/>
          </w:tcPr>
          <w:p w14:paraId="325B80FF" w14:textId="77777777" w:rsidR="003663AF" w:rsidRPr="00B7760C" w:rsidRDefault="003663AF" w:rsidP="00E804B7">
            <w:pPr>
              <w:pStyle w:val="ColumnHeading"/>
              <w:keepNext/>
            </w:pPr>
            <w:r w:rsidRPr="00B7760C">
              <w:t>Besedilo, ki ga predlaga Komisija</w:t>
            </w:r>
          </w:p>
        </w:tc>
        <w:tc>
          <w:tcPr>
            <w:tcW w:w="4876" w:type="dxa"/>
            <w:hideMark/>
          </w:tcPr>
          <w:p w14:paraId="7B7077D2" w14:textId="0C6F98F6" w:rsidR="003663AF" w:rsidRPr="00B7760C" w:rsidRDefault="00877691" w:rsidP="00E804B7">
            <w:pPr>
              <w:pStyle w:val="ColumnHeading"/>
              <w:keepNext/>
            </w:pPr>
            <w:r w:rsidRPr="00B7760C">
              <w:t>Sprememba</w:t>
            </w:r>
          </w:p>
        </w:tc>
      </w:tr>
      <w:tr w:rsidR="003663AF" w:rsidRPr="00B7760C" w14:paraId="572CF9CA" w14:textId="77777777" w:rsidTr="00E804B7">
        <w:trPr>
          <w:jc w:val="center"/>
        </w:trPr>
        <w:tc>
          <w:tcPr>
            <w:tcW w:w="4876" w:type="dxa"/>
            <w:hideMark/>
          </w:tcPr>
          <w:p w14:paraId="5067F8B5" w14:textId="77777777" w:rsidR="003663AF" w:rsidRPr="00B7760C" w:rsidRDefault="003663AF" w:rsidP="00E804B7">
            <w:pPr>
              <w:pStyle w:val="Normal6"/>
            </w:pPr>
            <w:r w:rsidRPr="00B7760C">
              <w:t>2.</w:t>
            </w:r>
            <w:r w:rsidRPr="00B7760C">
              <w:tab/>
              <w:t xml:space="preserve">Organ države članice, odgovoren za pripravo strateškega načrta SKP, zagotovi, da so v pripravo okoljskih in podnebnih vidikov načrta </w:t>
            </w:r>
            <w:r w:rsidRPr="00B7760C">
              <w:rPr>
                <w:b/>
                <w:i/>
              </w:rPr>
              <w:t>dejansko</w:t>
            </w:r>
            <w:r w:rsidRPr="00B7760C">
              <w:t xml:space="preserve"> vključeni organi, pristojni za okoljska in podnebna vprašanja.</w:t>
            </w:r>
          </w:p>
        </w:tc>
        <w:tc>
          <w:tcPr>
            <w:tcW w:w="4876" w:type="dxa"/>
            <w:hideMark/>
          </w:tcPr>
          <w:p w14:paraId="3FBD2B25" w14:textId="77777777" w:rsidR="003663AF" w:rsidRPr="00B7760C" w:rsidRDefault="003663AF" w:rsidP="00E804B7">
            <w:pPr>
              <w:pStyle w:val="Normal6"/>
              <w:rPr>
                <w:szCs w:val="24"/>
              </w:rPr>
            </w:pPr>
            <w:r w:rsidRPr="00B7760C">
              <w:t>2.</w:t>
            </w:r>
            <w:r w:rsidRPr="00B7760C">
              <w:tab/>
              <w:t xml:space="preserve">Organ države članice, odgovoren za pripravo strateškega načrta SKP, zagotovi, da so v pripravo okoljskih in podnebnih vidikov načrta </w:t>
            </w:r>
            <w:r w:rsidRPr="00B7760C">
              <w:rPr>
                <w:b/>
                <w:i/>
              </w:rPr>
              <w:t>v celoti</w:t>
            </w:r>
            <w:r w:rsidRPr="00B7760C">
              <w:t xml:space="preserve"> vključeni</w:t>
            </w:r>
            <w:r w:rsidRPr="00B7760C">
              <w:rPr>
                <w:b/>
                <w:i/>
              </w:rPr>
              <w:t xml:space="preserve"> javni</w:t>
            </w:r>
            <w:r w:rsidRPr="00B7760C">
              <w:t xml:space="preserve"> organi, pristojni za okoljska in podnebna vprašanja.</w:t>
            </w:r>
          </w:p>
        </w:tc>
      </w:tr>
    </w:tbl>
    <w:p w14:paraId="7377A1EE" w14:textId="77777777" w:rsidR="003663AF" w:rsidRPr="00B7760C" w:rsidRDefault="003663AF" w:rsidP="003663AF"/>
    <w:p w14:paraId="4F8C28B6" w14:textId="2D777525" w:rsidR="003663AF" w:rsidRPr="00B7760C" w:rsidRDefault="00877691" w:rsidP="00C7565D">
      <w:pPr>
        <w:pStyle w:val="AMNumberTabs"/>
        <w:keepNext/>
      </w:pPr>
      <w:r w:rsidRPr="00B7760C">
        <w:t>Sprememb</w:t>
      </w:r>
      <w:r w:rsidR="00C7565D" w:rsidRPr="00B7760C">
        <w:t>i</w:t>
      </w:r>
      <w:r w:rsidR="003663AF" w:rsidRPr="00B7760C">
        <w:tab/>
      </w:r>
      <w:r w:rsidR="003663AF" w:rsidRPr="00B7760C">
        <w:tab/>
        <w:t>572</w:t>
      </w:r>
      <w:r w:rsidR="00C7565D" w:rsidRPr="00B7760C">
        <w:t xml:space="preserve"> in 734 cp3</w:t>
      </w:r>
    </w:p>
    <w:p w14:paraId="4F02B4B2" w14:textId="77777777" w:rsidR="003663AF" w:rsidRPr="00B7760C" w:rsidRDefault="003663AF" w:rsidP="003663AF">
      <w:pPr>
        <w:pStyle w:val="NormalBold12b"/>
      </w:pPr>
      <w:r w:rsidRPr="00B7760C">
        <w:t>Predlog uredbe</w:t>
      </w:r>
    </w:p>
    <w:p w14:paraId="35DADDB1" w14:textId="77777777" w:rsidR="003663AF" w:rsidRPr="00B7760C" w:rsidRDefault="003663AF" w:rsidP="003663AF">
      <w:pPr>
        <w:pStyle w:val="NormalBold"/>
      </w:pPr>
      <w:r w:rsidRPr="00B7760C">
        <w:t>Člen 94 – odstavek 3 – pododstavek 1 – uvodni del</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00E2DDC" w14:textId="77777777" w:rsidTr="00E804B7">
        <w:trPr>
          <w:jc w:val="center"/>
        </w:trPr>
        <w:tc>
          <w:tcPr>
            <w:tcW w:w="9752" w:type="dxa"/>
            <w:gridSpan w:val="2"/>
          </w:tcPr>
          <w:p w14:paraId="28779EA7" w14:textId="77777777" w:rsidR="003663AF" w:rsidRPr="00B7760C" w:rsidRDefault="003663AF" w:rsidP="00E804B7">
            <w:pPr>
              <w:keepNext/>
            </w:pPr>
          </w:p>
        </w:tc>
      </w:tr>
      <w:tr w:rsidR="003663AF" w:rsidRPr="00B7760C" w14:paraId="459D196E" w14:textId="77777777" w:rsidTr="00E804B7">
        <w:trPr>
          <w:jc w:val="center"/>
        </w:trPr>
        <w:tc>
          <w:tcPr>
            <w:tcW w:w="4876" w:type="dxa"/>
            <w:hideMark/>
          </w:tcPr>
          <w:p w14:paraId="0B020573" w14:textId="77777777" w:rsidR="003663AF" w:rsidRPr="00B7760C" w:rsidRDefault="003663AF" w:rsidP="00E804B7">
            <w:pPr>
              <w:pStyle w:val="ColumnHeading"/>
              <w:keepNext/>
            </w:pPr>
            <w:r w:rsidRPr="00B7760C">
              <w:t>Besedilo, ki ga predlaga Komisija</w:t>
            </w:r>
          </w:p>
        </w:tc>
        <w:tc>
          <w:tcPr>
            <w:tcW w:w="4876" w:type="dxa"/>
            <w:hideMark/>
          </w:tcPr>
          <w:p w14:paraId="6797CCEA" w14:textId="64A74C2F" w:rsidR="003663AF" w:rsidRPr="00B7760C" w:rsidRDefault="00877691" w:rsidP="00E804B7">
            <w:pPr>
              <w:pStyle w:val="ColumnHeading"/>
              <w:keepNext/>
            </w:pPr>
            <w:r w:rsidRPr="00B7760C">
              <w:t>Sprememba</w:t>
            </w:r>
          </w:p>
        </w:tc>
      </w:tr>
      <w:tr w:rsidR="003663AF" w:rsidRPr="00B7760C" w14:paraId="6260981F" w14:textId="77777777" w:rsidTr="00E804B7">
        <w:trPr>
          <w:jc w:val="center"/>
        </w:trPr>
        <w:tc>
          <w:tcPr>
            <w:tcW w:w="4876" w:type="dxa"/>
            <w:hideMark/>
          </w:tcPr>
          <w:p w14:paraId="36E5646F" w14:textId="77777777" w:rsidR="003663AF" w:rsidRPr="00B7760C" w:rsidRDefault="003663AF" w:rsidP="00E804B7">
            <w:pPr>
              <w:pStyle w:val="Normal6"/>
            </w:pPr>
            <w:r w:rsidRPr="00B7760C">
              <w:t>Vsaka država članica organizira partnerstvo s pristojnimi regionalnimi in lokalnimi organi. Partnerstvo vključuje vsaj naslednje partnerje:</w:t>
            </w:r>
          </w:p>
        </w:tc>
        <w:tc>
          <w:tcPr>
            <w:tcW w:w="4876" w:type="dxa"/>
            <w:hideMark/>
          </w:tcPr>
          <w:p w14:paraId="194AB724" w14:textId="77777777" w:rsidR="003663AF" w:rsidRPr="00B7760C" w:rsidRDefault="003663AF" w:rsidP="00E804B7">
            <w:pPr>
              <w:pStyle w:val="Normal6"/>
              <w:rPr>
                <w:szCs w:val="24"/>
              </w:rPr>
            </w:pPr>
            <w:r w:rsidRPr="00B7760C">
              <w:t>Vsaka država članica organizira partnerstvo s pristojnimi regionalnimi in lokalnimi organi</w:t>
            </w:r>
            <w:r w:rsidRPr="00B7760C">
              <w:rPr>
                <w:b/>
                <w:i/>
              </w:rPr>
              <w:t xml:space="preserve"> ter drugimi partnerji</w:t>
            </w:r>
            <w:r w:rsidRPr="00B7760C">
              <w:t>. Partnerstvo vključuje vsaj naslednje partnerje:</w:t>
            </w:r>
          </w:p>
        </w:tc>
      </w:tr>
    </w:tbl>
    <w:p w14:paraId="2EB8D85F" w14:textId="77777777" w:rsidR="003663AF" w:rsidRPr="00B7760C" w:rsidRDefault="003663AF" w:rsidP="003663AF"/>
    <w:p w14:paraId="045178B3" w14:textId="5AD5D0ED" w:rsidR="003663AF" w:rsidRPr="00B7760C" w:rsidRDefault="00877691" w:rsidP="00C7565D">
      <w:pPr>
        <w:pStyle w:val="AMNumberTabs"/>
        <w:keepNext/>
      </w:pPr>
      <w:r w:rsidRPr="00B7760C">
        <w:t>Sprememb</w:t>
      </w:r>
      <w:r w:rsidR="00C7565D" w:rsidRPr="00B7760C">
        <w:t>i</w:t>
      </w:r>
      <w:r w:rsidR="003663AF" w:rsidRPr="00B7760C">
        <w:tab/>
      </w:r>
      <w:r w:rsidR="003663AF" w:rsidRPr="00B7760C">
        <w:tab/>
        <w:t>573</w:t>
      </w:r>
      <w:r w:rsidR="00C7565D" w:rsidRPr="00B7760C">
        <w:t xml:space="preserve"> in 734 cp5</w:t>
      </w:r>
    </w:p>
    <w:p w14:paraId="449029BE" w14:textId="77777777" w:rsidR="003663AF" w:rsidRPr="00B7760C" w:rsidRDefault="003663AF" w:rsidP="003663AF">
      <w:pPr>
        <w:pStyle w:val="NormalBold12b"/>
      </w:pPr>
      <w:r w:rsidRPr="00B7760C">
        <w:t>Predlog uredbe</w:t>
      </w:r>
    </w:p>
    <w:p w14:paraId="699E3922" w14:textId="77777777" w:rsidR="003663AF" w:rsidRPr="00B7760C" w:rsidRDefault="003663AF" w:rsidP="003663AF">
      <w:pPr>
        <w:pStyle w:val="NormalBold"/>
      </w:pPr>
      <w:r w:rsidRPr="00B7760C">
        <w:t>Člen 94 – odstavek 3 – pododstavek 1 – točka b</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3DC9A88" w14:textId="77777777" w:rsidTr="00E804B7">
        <w:trPr>
          <w:jc w:val="center"/>
        </w:trPr>
        <w:tc>
          <w:tcPr>
            <w:tcW w:w="9752" w:type="dxa"/>
            <w:gridSpan w:val="2"/>
          </w:tcPr>
          <w:p w14:paraId="7602C8C1" w14:textId="77777777" w:rsidR="003663AF" w:rsidRPr="00B7760C" w:rsidRDefault="003663AF" w:rsidP="00E804B7">
            <w:pPr>
              <w:keepNext/>
            </w:pPr>
          </w:p>
        </w:tc>
      </w:tr>
      <w:tr w:rsidR="003663AF" w:rsidRPr="00B7760C" w14:paraId="16693DCC" w14:textId="77777777" w:rsidTr="00E804B7">
        <w:trPr>
          <w:jc w:val="center"/>
        </w:trPr>
        <w:tc>
          <w:tcPr>
            <w:tcW w:w="4876" w:type="dxa"/>
            <w:hideMark/>
          </w:tcPr>
          <w:p w14:paraId="21214E84" w14:textId="77777777" w:rsidR="003663AF" w:rsidRPr="00B7760C" w:rsidRDefault="003663AF" w:rsidP="00E804B7">
            <w:pPr>
              <w:pStyle w:val="ColumnHeading"/>
              <w:keepNext/>
            </w:pPr>
            <w:r w:rsidRPr="00B7760C">
              <w:t>Besedilo, ki ga predlaga Komisija</w:t>
            </w:r>
          </w:p>
        </w:tc>
        <w:tc>
          <w:tcPr>
            <w:tcW w:w="4876" w:type="dxa"/>
            <w:hideMark/>
          </w:tcPr>
          <w:p w14:paraId="15CDE224" w14:textId="27645864" w:rsidR="003663AF" w:rsidRPr="00B7760C" w:rsidRDefault="00877691" w:rsidP="00E804B7">
            <w:pPr>
              <w:pStyle w:val="ColumnHeading"/>
              <w:keepNext/>
            </w:pPr>
            <w:r w:rsidRPr="00B7760C">
              <w:t>Sprememba</w:t>
            </w:r>
          </w:p>
        </w:tc>
      </w:tr>
      <w:tr w:rsidR="003663AF" w:rsidRPr="00B7760C" w14:paraId="377B26CA" w14:textId="77777777" w:rsidTr="00E804B7">
        <w:trPr>
          <w:jc w:val="center"/>
        </w:trPr>
        <w:tc>
          <w:tcPr>
            <w:tcW w:w="4876" w:type="dxa"/>
            <w:hideMark/>
          </w:tcPr>
          <w:p w14:paraId="5E746FDB" w14:textId="77777777" w:rsidR="003663AF" w:rsidRPr="00B7760C" w:rsidRDefault="003663AF" w:rsidP="00E804B7">
            <w:pPr>
              <w:pStyle w:val="Normal6"/>
            </w:pPr>
            <w:r w:rsidRPr="00B7760C">
              <w:t>(b)</w:t>
            </w:r>
            <w:r w:rsidRPr="00B7760C">
              <w:tab/>
              <w:t>ekonomske in socialne partnerje;</w:t>
            </w:r>
          </w:p>
        </w:tc>
        <w:tc>
          <w:tcPr>
            <w:tcW w:w="4876" w:type="dxa"/>
            <w:hideMark/>
          </w:tcPr>
          <w:p w14:paraId="33F41FF7" w14:textId="77777777" w:rsidR="003663AF" w:rsidRPr="00B7760C" w:rsidRDefault="003663AF" w:rsidP="00E804B7">
            <w:pPr>
              <w:pStyle w:val="Normal6"/>
              <w:rPr>
                <w:szCs w:val="24"/>
              </w:rPr>
            </w:pPr>
            <w:r w:rsidRPr="00B7760C">
              <w:t>(b)</w:t>
            </w:r>
            <w:r w:rsidRPr="00B7760C">
              <w:tab/>
              <w:t>ekonomske in socialne partnerje</w:t>
            </w:r>
            <w:r w:rsidRPr="00B7760C">
              <w:rPr>
                <w:b/>
                <w:i/>
              </w:rPr>
              <w:t>, zlasti predstavnike kmetijskega sektorja, vključno z lokalnimi akcijskimi skupinami v okviru programov LEADER</w:t>
            </w:r>
            <w:r w:rsidRPr="00B7760C">
              <w:t>;</w:t>
            </w:r>
          </w:p>
        </w:tc>
      </w:tr>
    </w:tbl>
    <w:p w14:paraId="0A8BE7FB" w14:textId="77777777" w:rsidR="003663AF" w:rsidRPr="00B7760C" w:rsidRDefault="003663AF" w:rsidP="003663AF"/>
    <w:p w14:paraId="344F3E6F" w14:textId="57BCEEAF" w:rsidR="003663AF" w:rsidRPr="00B7760C" w:rsidRDefault="00877691" w:rsidP="00C7565D">
      <w:pPr>
        <w:pStyle w:val="AMNumberTabs"/>
        <w:keepNext/>
      </w:pPr>
      <w:r w:rsidRPr="00B7760C">
        <w:t>Sprememb</w:t>
      </w:r>
      <w:r w:rsidR="00C7565D" w:rsidRPr="00B7760C">
        <w:t>i</w:t>
      </w:r>
      <w:r w:rsidR="003663AF" w:rsidRPr="00B7760C">
        <w:tab/>
      </w:r>
      <w:r w:rsidR="003663AF" w:rsidRPr="00B7760C">
        <w:tab/>
        <w:t>574</w:t>
      </w:r>
      <w:r w:rsidR="00C7565D" w:rsidRPr="00B7760C">
        <w:t xml:space="preserve"> in 734 cp6</w:t>
      </w:r>
    </w:p>
    <w:p w14:paraId="5F1AEF48" w14:textId="77777777" w:rsidR="003663AF" w:rsidRPr="00B7760C" w:rsidRDefault="003663AF" w:rsidP="003663AF">
      <w:pPr>
        <w:pStyle w:val="NormalBold12b"/>
      </w:pPr>
      <w:r w:rsidRPr="00B7760C">
        <w:t>Predlog uredbe</w:t>
      </w:r>
    </w:p>
    <w:p w14:paraId="275A7786" w14:textId="77777777" w:rsidR="003663AF" w:rsidRPr="00B7760C" w:rsidRDefault="003663AF" w:rsidP="003663AF">
      <w:pPr>
        <w:pStyle w:val="NormalBold"/>
      </w:pPr>
      <w:r w:rsidRPr="00B7760C">
        <w:t>Člen 94 – odstavek 3 – pododstavek 1 – točka c</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CE42353" w14:textId="77777777" w:rsidTr="00E804B7">
        <w:trPr>
          <w:jc w:val="center"/>
        </w:trPr>
        <w:tc>
          <w:tcPr>
            <w:tcW w:w="9752" w:type="dxa"/>
            <w:gridSpan w:val="2"/>
          </w:tcPr>
          <w:p w14:paraId="54A80567" w14:textId="77777777" w:rsidR="003663AF" w:rsidRPr="00B7760C" w:rsidRDefault="003663AF" w:rsidP="00E804B7">
            <w:pPr>
              <w:keepNext/>
            </w:pPr>
          </w:p>
        </w:tc>
      </w:tr>
      <w:tr w:rsidR="003663AF" w:rsidRPr="00B7760C" w14:paraId="569D376C" w14:textId="77777777" w:rsidTr="00E804B7">
        <w:trPr>
          <w:jc w:val="center"/>
        </w:trPr>
        <w:tc>
          <w:tcPr>
            <w:tcW w:w="4876" w:type="dxa"/>
            <w:hideMark/>
          </w:tcPr>
          <w:p w14:paraId="672BF7FF" w14:textId="77777777" w:rsidR="003663AF" w:rsidRPr="00B7760C" w:rsidRDefault="003663AF" w:rsidP="00E804B7">
            <w:pPr>
              <w:pStyle w:val="ColumnHeading"/>
              <w:keepNext/>
            </w:pPr>
            <w:r w:rsidRPr="00B7760C">
              <w:t>Besedilo, ki ga predlaga Komisija</w:t>
            </w:r>
          </w:p>
        </w:tc>
        <w:tc>
          <w:tcPr>
            <w:tcW w:w="4876" w:type="dxa"/>
            <w:hideMark/>
          </w:tcPr>
          <w:p w14:paraId="1CD5F178" w14:textId="3FE90DFA" w:rsidR="003663AF" w:rsidRPr="00B7760C" w:rsidRDefault="00877691" w:rsidP="00E804B7">
            <w:pPr>
              <w:pStyle w:val="ColumnHeading"/>
              <w:keepNext/>
            </w:pPr>
            <w:r w:rsidRPr="00B7760C">
              <w:t>Sprememba</w:t>
            </w:r>
          </w:p>
        </w:tc>
      </w:tr>
      <w:tr w:rsidR="003663AF" w:rsidRPr="00B7760C" w14:paraId="6C880B61" w14:textId="77777777" w:rsidTr="00E804B7">
        <w:trPr>
          <w:jc w:val="center"/>
        </w:trPr>
        <w:tc>
          <w:tcPr>
            <w:tcW w:w="4876" w:type="dxa"/>
            <w:hideMark/>
          </w:tcPr>
          <w:p w14:paraId="6864183A" w14:textId="77777777" w:rsidR="003663AF" w:rsidRPr="00B7760C" w:rsidRDefault="003663AF" w:rsidP="00E804B7">
            <w:pPr>
              <w:pStyle w:val="Normal6"/>
            </w:pPr>
            <w:r w:rsidRPr="00B7760C">
              <w:t>(c)</w:t>
            </w:r>
            <w:r w:rsidRPr="00B7760C">
              <w:tab/>
              <w:t>ustrezne organe, ki predstavljajo civilno družbo, ter ustrezne organe, odgovorne za spodbujanje socialne vključenosti, temeljnih pravic, enakosti spolov in nediskriminacije.</w:t>
            </w:r>
          </w:p>
        </w:tc>
        <w:tc>
          <w:tcPr>
            <w:tcW w:w="4876" w:type="dxa"/>
            <w:hideMark/>
          </w:tcPr>
          <w:p w14:paraId="63025BC9" w14:textId="77777777" w:rsidR="003663AF" w:rsidRPr="00B7760C" w:rsidRDefault="003663AF" w:rsidP="00E804B7">
            <w:pPr>
              <w:pStyle w:val="Normal6"/>
              <w:rPr>
                <w:szCs w:val="24"/>
              </w:rPr>
            </w:pPr>
            <w:r w:rsidRPr="00B7760C">
              <w:t>(c)</w:t>
            </w:r>
            <w:r w:rsidRPr="00B7760C">
              <w:tab/>
              <w:t xml:space="preserve">ustrezne organe, ki predstavljajo civilno družbo, </w:t>
            </w:r>
            <w:r w:rsidRPr="00B7760C">
              <w:rPr>
                <w:b/>
                <w:i/>
              </w:rPr>
              <w:t xml:space="preserve">povezano z vsemi cilji, opredeljenimi v členu 5 in členu 6(1) </w:t>
            </w:r>
            <w:r w:rsidRPr="00B7760C">
              <w:t>ter ustrezne organe, odgovorne za spodbujanje socialne vključenosti, temeljnih pravic, enakosti spolov in nediskriminacije.</w:t>
            </w:r>
          </w:p>
        </w:tc>
      </w:tr>
    </w:tbl>
    <w:p w14:paraId="3A296E84" w14:textId="77777777" w:rsidR="003663AF" w:rsidRPr="00B7760C" w:rsidRDefault="003663AF" w:rsidP="003663AF"/>
    <w:p w14:paraId="6281958B" w14:textId="061DA092" w:rsidR="003663AF" w:rsidRPr="00B7760C" w:rsidRDefault="00877691" w:rsidP="003663AF">
      <w:pPr>
        <w:pStyle w:val="AMNumberTabs"/>
        <w:keepNext/>
      </w:pPr>
      <w:r w:rsidRPr="00B7760C">
        <w:t>Sprememb</w:t>
      </w:r>
      <w:r w:rsidR="00C7565D" w:rsidRPr="00B7760C">
        <w:t>i</w:t>
      </w:r>
      <w:r w:rsidR="003663AF" w:rsidRPr="00B7760C">
        <w:tab/>
      </w:r>
      <w:r w:rsidR="003663AF" w:rsidRPr="00B7760C">
        <w:tab/>
        <w:t>575</w:t>
      </w:r>
      <w:r w:rsidR="00C7565D" w:rsidRPr="00B7760C">
        <w:t xml:space="preserve"> in 734 cp7</w:t>
      </w:r>
    </w:p>
    <w:p w14:paraId="2052DC4D" w14:textId="77777777" w:rsidR="003663AF" w:rsidRPr="00B7760C" w:rsidRDefault="003663AF" w:rsidP="003663AF">
      <w:pPr>
        <w:pStyle w:val="NormalBold12b"/>
      </w:pPr>
      <w:r w:rsidRPr="00B7760C">
        <w:t>Predlog uredbe</w:t>
      </w:r>
    </w:p>
    <w:p w14:paraId="25DA318B" w14:textId="77777777" w:rsidR="003663AF" w:rsidRPr="00B7760C" w:rsidRDefault="003663AF" w:rsidP="003663AF">
      <w:pPr>
        <w:pStyle w:val="NormalBold"/>
      </w:pPr>
      <w:r w:rsidRPr="00B7760C">
        <w:t>Člen 94 – odstavek 3 – pododstavek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03AAB5C" w14:textId="77777777" w:rsidTr="00E804B7">
        <w:trPr>
          <w:jc w:val="center"/>
        </w:trPr>
        <w:tc>
          <w:tcPr>
            <w:tcW w:w="9752" w:type="dxa"/>
            <w:gridSpan w:val="2"/>
          </w:tcPr>
          <w:p w14:paraId="3EAB647B" w14:textId="77777777" w:rsidR="003663AF" w:rsidRPr="00B7760C" w:rsidRDefault="003663AF" w:rsidP="00E804B7">
            <w:pPr>
              <w:keepNext/>
            </w:pPr>
          </w:p>
        </w:tc>
      </w:tr>
      <w:tr w:rsidR="003663AF" w:rsidRPr="00B7760C" w14:paraId="09130272" w14:textId="77777777" w:rsidTr="00E804B7">
        <w:trPr>
          <w:jc w:val="center"/>
        </w:trPr>
        <w:tc>
          <w:tcPr>
            <w:tcW w:w="4876" w:type="dxa"/>
            <w:hideMark/>
          </w:tcPr>
          <w:p w14:paraId="75CCB8BE" w14:textId="77777777" w:rsidR="003663AF" w:rsidRPr="00B7760C" w:rsidRDefault="003663AF" w:rsidP="00E804B7">
            <w:pPr>
              <w:pStyle w:val="ColumnHeading"/>
              <w:keepNext/>
            </w:pPr>
            <w:r w:rsidRPr="00B7760C">
              <w:t>Besedilo, ki ga predlaga Komisija</w:t>
            </w:r>
          </w:p>
        </w:tc>
        <w:tc>
          <w:tcPr>
            <w:tcW w:w="4876" w:type="dxa"/>
            <w:hideMark/>
          </w:tcPr>
          <w:p w14:paraId="49D84670" w14:textId="63DE8A32" w:rsidR="003663AF" w:rsidRPr="00B7760C" w:rsidRDefault="00877691" w:rsidP="00E804B7">
            <w:pPr>
              <w:pStyle w:val="ColumnHeading"/>
              <w:keepNext/>
            </w:pPr>
            <w:r w:rsidRPr="00B7760C">
              <w:t>Sprememba</w:t>
            </w:r>
          </w:p>
        </w:tc>
      </w:tr>
      <w:tr w:rsidR="003663AF" w:rsidRPr="00B7760C" w14:paraId="6FB0201D" w14:textId="77777777" w:rsidTr="00E804B7">
        <w:trPr>
          <w:jc w:val="center"/>
        </w:trPr>
        <w:tc>
          <w:tcPr>
            <w:tcW w:w="4876" w:type="dxa"/>
            <w:hideMark/>
          </w:tcPr>
          <w:p w14:paraId="39517507" w14:textId="77777777" w:rsidR="003663AF" w:rsidRPr="00B7760C" w:rsidRDefault="003663AF" w:rsidP="00E804B7">
            <w:pPr>
              <w:pStyle w:val="Normal6"/>
            </w:pPr>
            <w:r w:rsidRPr="00B7760C">
              <w:t>Države članice navedene partnerje vključijo v pripravo strateških načrtov SKP.</w:t>
            </w:r>
          </w:p>
        </w:tc>
        <w:tc>
          <w:tcPr>
            <w:tcW w:w="4876" w:type="dxa"/>
            <w:hideMark/>
          </w:tcPr>
          <w:p w14:paraId="05036E6E" w14:textId="77777777" w:rsidR="003663AF" w:rsidRPr="00B7760C" w:rsidRDefault="003663AF" w:rsidP="00E804B7">
            <w:pPr>
              <w:pStyle w:val="Normal6"/>
              <w:rPr>
                <w:szCs w:val="24"/>
              </w:rPr>
            </w:pPr>
            <w:r w:rsidRPr="00B7760C">
              <w:t xml:space="preserve">Države članice navedene partnerje </w:t>
            </w:r>
            <w:r w:rsidRPr="00B7760C">
              <w:rPr>
                <w:b/>
                <w:i/>
              </w:rPr>
              <w:t>v celoti</w:t>
            </w:r>
            <w:r w:rsidRPr="00B7760C">
              <w:t xml:space="preserve"> vključijo v pripravo strateških načrtov SKP.</w:t>
            </w:r>
          </w:p>
        </w:tc>
      </w:tr>
    </w:tbl>
    <w:p w14:paraId="52CCF48A" w14:textId="77777777" w:rsidR="003663AF" w:rsidRPr="00B7760C" w:rsidRDefault="003663AF" w:rsidP="003663AF"/>
    <w:p w14:paraId="1BCE43A7" w14:textId="39A5B138" w:rsidR="003663AF" w:rsidRPr="00B7760C" w:rsidRDefault="00877691" w:rsidP="00C7565D">
      <w:pPr>
        <w:pStyle w:val="AMNumberTabs"/>
        <w:keepNext/>
      </w:pPr>
      <w:r w:rsidRPr="00B7760C">
        <w:t>Sprememb</w:t>
      </w:r>
      <w:r w:rsidR="00C7565D" w:rsidRPr="00B7760C">
        <w:t>i</w:t>
      </w:r>
      <w:r w:rsidR="003663AF" w:rsidRPr="00B7760C">
        <w:tab/>
      </w:r>
      <w:r w:rsidR="003663AF" w:rsidRPr="00B7760C">
        <w:tab/>
        <w:t>576</w:t>
      </w:r>
      <w:r w:rsidR="00C7565D" w:rsidRPr="00B7760C">
        <w:t xml:space="preserve"> in 734 cp9</w:t>
      </w:r>
    </w:p>
    <w:p w14:paraId="53061843" w14:textId="77777777" w:rsidR="003663AF" w:rsidRPr="00B7760C" w:rsidRDefault="003663AF" w:rsidP="003663AF">
      <w:pPr>
        <w:pStyle w:val="NormalBold12b"/>
      </w:pPr>
      <w:r w:rsidRPr="00B7760C">
        <w:t>Predlog uredbe</w:t>
      </w:r>
    </w:p>
    <w:p w14:paraId="2BDD9DD4" w14:textId="77777777" w:rsidR="003663AF" w:rsidRPr="00B7760C" w:rsidRDefault="003663AF" w:rsidP="003663AF">
      <w:pPr>
        <w:pStyle w:val="NormalBold"/>
      </w:pPr>
      <w:r w:rsidRPr="00B7760C">
        <w:t>Člen 94 – odstavek 4</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9813C96" w14:textId="77777777" w:rsidTr="00E804B7">
        <w:trPr>
          <w:jc w:val="center"/>
        </w:trPr>
        <w:tc>
          <w:tcPr>
            <w:tcW w:w="9752" w:type="dxa"/>
            <w:gridSpan w:val="2"/>
          </w:tcPr>
          <w:p w14:paraId="6FFC9F89" w14:textId="77777777" w:rsidR="003663AF" w:rsidRPr="00B7760C" w:rsidRDefault="003663AF" w:rsidP="00E804B7">
            <w:pPr>
              <w:keepNext/>
            </w:pPr>
          </w:p>
        </w:tc>
      </w:tr>
      <w:tr w:rsidR="003663AF" w:rsidRPr="00B7760C" w14:paraId="348B7D93" w14:textId="77777777" w:rsidTr="00E804B7">
        <w:trPr>
          <w:jc w:val="center"/>
        </w:trPr>
        <w:tc>
          <w:tcPr>
            <w:tcW w:w="4876" w:type="dxa"/>
            <w:hideMark/>
          </w:tcPr>
          <w:p w14:paraId="7DFE1D08" w14:textId="77777777" w:rsidR="003663AF" w:rsidRPr="00B7760C" w:rsidRDefault="003663AF" w:rsidP="00E804B7">
            <w:pPr>
              <w:pStyle w:val="ColumnHeading"/>
              <w:keepNext/>
            </w:pPr>
            <w:r w:rsidRPr="00B7760C">
              <w:t>Besedilo, ki ga predlaga Komisija</w:t>
            </w:r>
          </w:p>
        </w:tc>
        <w:tc>
          <w:tcPr>
            <w:tcW w:w="4876" w:type="dxa"/>
            <w:hideMark/>
          </w:tcPr>
          <w:p w14:paraId="18ACB43E" w14:textId="22AD0392" w:rsidR="003663AF" w:rsidRPr="00B7760C" w:rsidRDefault="00877691" w:rsidP="00E804B7">
            <w:pPr>
              <w:pStyle w:val="ColumnHeading"/>
              <w:keepNext/>
            </w:pPr>
            <w:r w:rsidRPr="00B7760C">
              <w:t>Sprememba</w:t>
            </w:r>
          </w:p>
        </w:tc>
      </w:tr>
      <w:tr w:rsidR="003663AF" w:rsidRPr="00B7760C" w14:paraId="45297038" w14:textId="77777777" w:rsidTr="00E804B7">
        <w:trPr>
          <w:jc w:val="center"/>
        </w:trPr>
        <w:tc>
          <w:tcPr>
            <w:tcW w:w="4876" w:type="dxa"/>
            <w:hideMark/>
          </w:tcPr>
          <w:p w14:paraId="665D3C14" w14:textId="77777777" w:rsidR="003663AF" w:rsidRPr="00B7760C" w:rsidRDefault="003663AF" w:rsidP="00E804B7">
            <w:pPr>
              <w:pStyle w:val="Normal6"/>
            </w:pPr>
            <w:r w:rsidRPr="00B7760C">
              <w:t>4.</w:t>
            </w:r>
            <w:r w:rsidRPr="00B7760C">
              <w:tab/>
              <w:t xml:space="preserve">Države članice in Komisija sodelujejo za zagotovitev učinkovitega usklajevanja pri izvajanju strateških načrtov SKP in pri tem upoštevajo </w:t>
            </w:r>
            <w:r w:rsidRPr="00B7760C">
              <w:rPr>
                <w:b/>
                <w:i/>
              </w:rPr>
              <w:t>načeli</w:t>
            </w:r>
            <w:r w:rsidRPr="00B7760C">
              <w:t xml:space="preserve"> sorazmernosti </w:t>
            </w:r>
            <w:r w:rsidRPr="00B7760C">
              <w:rPr>
                <w:b/>
                <w:i/>
              </w:rPr>
              <w:t xml:space="preserve">ter </w:t>
            </w:r>
            <w:r w:rsidRPr="00B7760C">
              <w:t>deljenega upravljanja.</w:t>
            </w:r>
          </w:p>
        </w:tc>
        <w:tc>
          <w:tcPr>
            <w:tcW w:w="4876" w:type="dxa"/>
            <w:hideMark/>
          </w:tcPr>
          <w:p w14:paraId="21D6B6A4" w14:textId="77777777" w:rsidR="003663AF" w:rsidRPr="00B7760C" w:rsidRDefault="003663AF" w:rsidP="00E804B7">
            <w:pPr>
              <w:pStyle w:val="Normal6"/>
              <w:rPr>
                <w:szCs w:val="24"/>
              </w:rPr>
            </w:pPr>
            <w:r w:rsidRPr="00B7760C">
              <w:t>4.</w:t>
            </w:r>
            <w:r w:rsidRPr="00B7760C">
              <w:tab/>
              <w:t xml:space="preserve">Države članice in Komisija sodelujejo za zagotovitev učinkovitega usklajevanja pri izvajanju strateških načrtov SKP in pri tem upoštevajo </w:t>
            </w:r>
            <w:r w:rsidRPr="00B7760C">
              <w:rPr>
                <w:b/>
                <w:i/>
              </w:rPr>
              <w:t>načela</w:t>
            </w:r>
            <w:r w:rsidRPr="00B7760C">
              <w:t xml:space="preserve"> sorazmernosti</w:t>
            </w:r>
            <w:r w:rsidRPr="00B7760C">
              <w:rPr>
                <w:b/>
                <w:i/>
              </w:rPr>
              <w:t xml:space="preserve">, </w:t>
            </w:r>
            <w:r w:rsidRPr="00B7760C">
              <w:t xml:space="preserve">deljenega upravljanja </w:t>
            </w:r>
            <w:r w:rsidRPr="00B7760C">
              <w:rPr>
                <w:b/>
                <w:i/>
              </w:rPr>
              <w:t>ter pravilnega delovanja notranjega trga</w:t>
            </w:r>
            <w:r w:rsidRPr="00B7760C">
              <w:t>.</w:t>
            </w:r>
          </w:p>
        </w:tc>
      </w:tr>
    </w:tbl>
    <w:p w14:paraId="61C2E87D" w14:textId="77777777" w:rsidR="003663AF" w:rsidRPr="00B7760C" w:rsidRDefault="003663AF" w:rsidP="003663AF"/>
    <w:p w14:paraId="0D5DDC94" w14:textId="248C8351" w:rsidR="003663AF" w:rsidRPr="00B7760C" w:rsidRDefault="00877691" w:rsidP="003663AF">
      <w:pPr>
        <w:pStyle w:val="AMNumberTabs"/>
        <w:keepNext/>
      </w:pPr>
      <w:r w:rsidRPr="00B7760C">
        <w:t>Sprememb</w:t>
      </w:r>
      <w:r w:rsidR="00C7565D" w:rsidRPr="00B7760C">
        <w:t>e</w:t>
      </w:r>
      <w:r w:rsidR="003663AF" w:rsidRPr="00B7760C">
        <w:tab/>
      </w:r>
      <w:r w:rsidR="003663AF" w:rsidRPr="00B7760C">
        <w:tab/>
        <w:t>577</w:t>
      </w:r>
      <w:r w:rsidR="00C7565D" w:rsidRPr="00B7760C">
        <w:t>, 970 in 1312 cp7</w:t>
      </w:r>
    </w:p>
    <w:p w14:paraId="64E3D315" w14:textId="77777777" w:rsidR="003663AF" w:rsidRPr="00B7760C" w:rsidRDefault="003663AF" w:rsidP="003663AF">
      <w:pPr>
        <w:pStyle w:val="NormalBold12b"/>
      </w:pPr>
      <w:r w:rsidRPr="00B7760C">
        <w:t>Predlog uredbe</w:t>
      </w:r>
    </w:p>
    <w:p w14:paraId="1325CB1C" w14:textId="77777777" w:rsidR="003663AF" w:rsidRPr="00B7760C" w:rsidRDefault="003663AF" w:rsidP="003663AF">
      <w:pPr>
        <w:pStyle w:val="NormalBold"/>
      </w:pPr>
      <w:r w:rsidRPr="00B7760C">
        <w:t>Člen 94 – odstavek 4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A531DA0" w14:textId="77777777" w:rsidTr="00E804B7">
        <w:trPr>
          <w:jc w:val="center"/>
        </w:trPr>
        <w:tc>
          <w:tcPr>
            <w:tcW w:w="9752" w:type="dxa"/>
            <w:gridSpan w:val="2"/>
          </w:tcPr>
          <w:p w14:paraId="2BEDBC07" w14:textId="77777777" w:rsidR="003663AF" w:rsidRPr="00B7760C" w:rsidRDefault="003663AF" w:rsidP="00E804B7">
            <w:pPr>
              <w:keepNext/>
            </w:pPr>
          </w:p>
        </w:tc>
      </w:tr>
      <w:tr w:rsidR="003663AF" w:rsidRPr="00B7760C" w14:paraId="265CFF5A" w14:textId="77777777" w:rsidTr="00E804B7">
        <w:trPr>
          <w:jc w:val="center"/>
        </w:trPr>
        <w:tc>
          <w:tcPr>
            <w:tcW w:w="4876" w:type="dxa"/>
            <w:hideMark/>
          </w:tcPr>
          <w:p w14:paraId="41A46F19" w14:textId="77777777" w:rsidR="003663AF" w:rsidRPr="00B7760C" w:rsidRDefault="003663AF" w:rsidP="00E804B7">
            <w:pPr>
              <w:pStyle w:val="ColumnHeading"/>
              <w:keepNext/>
            </w:pPr>
            <w:r w:rsidRPr="00B7760C">
              <w:t>Besedilo, ki ga predlaga Komisija</w:t>
            </w:r>
          </w:p>
        </w:tc>
        <w:tc>
          <w:tcPr>
            <w:tcW w:w="4876" w:type="dxa"/>
            <w:hideMark/>
          </w:tcPr>
          <w:p w14:paraId="5C46E21B" w14:textId="4E430FC2" w:rsidR="003663AF" w:rsidRPr="00B7760C" w:rsidRDefault="00877691" w:rsidP="00E804B7">
            <w:pPr>
              <w:pStyle w:val="ColumnHeading"/>
              <w:keepNext/>
            </w:pPr>
            <w:r w:rsidRPr="00B7760C">
              <w:t>Sprememba</w:t>
            </w:r>
          </w:p>
        </w:tc>
      </w:tr>
      <w:tr w:rsidR="003663AF" w:rsidRPr="00B7760C" w14:paraId="2E58A908" w14:textId="77777777" w:rsidTr="00E804B7">
        <w:trPr>
          <w:jc w:val="center"/>
        </w:trPr>
        <w:tc>
          <w:tcPr>
            <w:tcW w:w="4876" w:type="dxa"/>
          </w:tcPr>
          <w:p w14:paraId="58BCD57E" w14:textId="77777777" w:rsidR="003663AF" w:rsidRPr="00B7760C" w:rsidRDefault="003663AF" w:rsidP="00E804B7">
            <w:pPr>
              <w:pStyle w:val="Normal6"/>
            </w:pPr>
          </w:p>
        </w:tc>
        <w:tc>
          <w:tcPr>
            <w:tcW w:w="4876" w:type="dxa"/>
            <w:hideMark/>
          </w:tcPr>
          <w:p w14:paraId="5F572CA5" w14:textId="77777777" w:rsidR="003663AF" w:rsidRPr="00B7760C" w:rsidRDefault="003663AF" w:rsidP="00E804B7">
            <w:pPr>
              <w:pStyle w:val="Normal6"/>
              <w:rPr>
                <w:szCs w:val="24"/>
              </w:rPr>
            </w:pPr>
            <w:r w:rsidRPr="00B7760C">
              <w:rPr>
                <w:b/>
                <w:i/>
              </w:rPr>
              <w:t>4a.</w:t>
            </w:r>
            <w:r w:rsidRPr="00B7760C">
              <w:rPr>
                <w:b/>
                <w:i/>
              </w:rPr>
              <w:tab/>
              <w:t>Na Komisijo se prenese pooblastilo za sprejemanje delegiranih aktov v skladu s členom 138 za določitev kodeksa ravnanja za podporo državam članicam pri organiziranju partnerstva iz odstavka 3. V kodeksu ravnanja se določi okvir, v katerem države članice v skladu s svojo nacionalno zakonodajo in regionalnimi pristojnostmi izvajajo načelo partnerstva.</w:t>
            </w:r>
          </w:p>
        </w:tc>
      </w:tr>
    </w:tbl>
    <w:p w14:paraId="1A5971BF" w14:textId="77777777" w:rsidR="003663AF" w:rsidRPr="00B7760C" w:rsidRDefault="003663AF" w:rsidP="003663AF"/>
    <w:p w14:paraId="746D7E0E" w14:textId="7DC060F6" w:rsidR="003663AF" w:rsidRPr="00B7760C" w:rsidRDefault="00877691" w:rsidP="003663AF">
      <w:pPr>
        <w:pStyle w:val="AMNumberTabs"/>
        <w:keepNext/>
      </w:pPr>
      <w:r w:rsidRPr="00B7760C">
        <w:t>Sprememba</w:t>
      </w:r>
      <w:r w:rsidR="003663AF" w:rsidRPr="00B7760C">
        <w:tab/>
      </w:r>
      <w:r w:rsidR="003663AF" w:rsidRPr="00B7760C">
        <w:tab/>
        <w:t>578</w:t>
      </w:r>
    </w:p>
    <w:p w14:paraId="2789DED7" w14:textId="77777777" w:rsidR="003663AF" w:rsidRPr="00B7760C" w:rsidRDefault="003663AF" w:rsidP="003663AF">
      <w:pPr>
        <w:pStyle w:val="NormalBold12b"/>
      </w:pPr>
      <w:r w:rsidRPr="00B7760C">
        <w:t>Predlog uredbe</w:t>
      </w:r>
    </w:p>
    <w:p w14:paraId="6F36AC67" w14:textId="77777777" w:rsidR="003663AF" w:rsidRPr="00B7760C" w:rsidRDefault="003663AF" w:rsidP="003663AF">
      <w:pPr>
        <w:pStyle w:val="NormalBold"/>
      </w:pPr>
      <w:r w:rsidRPr="00B7760C">
        <w:t>Člen 95 – odstavek 1 – točka e</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ECAF0B9" w14:textId="77777777" w:rsidTr="00E804B7">
        <w:trPr>
          <w:jc w:val="center"/>
        </w:trPr>
        <w:tc>
          <w:tcPr>
            <w:tcW w:w="9752" w:type="dxa"/>
            <w:gridSpan w:val="2"/>
          </w:tcPr>
          <w:p w14:paraId="1F80E481" w14:textId="77777777" w:rsidR="003663AF" w:rsidRPr="00B7760C" w:rsidRDefault="003663AF" w:rsidP="00E804B7">
            <w:pPr>
              <w:keepNext/>
            </w:pPr>
          </w:p>
        </w:tc>
      </w:tr>
      <w:tr w:rsidR="003663AF" w:rsidRPr="00B7760C" w14:paraId="6D11B873" w14:textId="77777777" w:rsidTr="00E804B7">
        <w:trPr>
          <w:jc w:val="center"/>
        </w:trPr>
        <w:tc>
          <w:tcPr>
            <w:tcW w:w="4876" w:type="dxa"/>
            <w:hideMark/>
          </w:tcPr>
          <w:p w14:paraId="3A81A41A" w14:textId="77777777" w:rsidR="003663AF" w:rsidRPr="00B7760C" w:rsidRDefault="003663AF" w:rsidP="00E804B7">
            <w:pPr>
              <w:pStyle w:val="ColumnHeading"/>
              <w:keepNext/>
            </w:pPr>
            <w:r w:rsidRPr="00B7760C">
              <w:t>Besedilo, ki ga predlaga Komisija</w:t>
            </w:r>
          </w:p>
        </w:tc>
        <w:tc>
          <w:tcPr>
            <w:tcW w:w="4876" w:type="dxa"/>
            <w:hideMark/>
          </w:tcPr>
          <w:p w14:paraId="1A814A72" w14:textId="5854B540" w:rsidR="003663AF" w:rsidRPr="00B7760C" w:rsidRDefault="00877691" w:rsidP="00E804B7">
            <w:pPr>
              <w:pStyle w:val="ColumnHeading"/>
              <w:keepNext/>
            </w:pPr>
            <w:r w:rsidRPr="00B7760C">
              <w:t>Sprememba</w:t>
            </w:r>
          </w:p>
        </w:tc>
      </w:tr>
      <w:tr w:rsidR="003663AF" w:rsidRPr="00B7760C" w14:paraId="23EB46A0" w14:textId="77777777" w:rsidTr="00E804B7">
        <w:trPr>
          <w:jc w:val="center"/>
        </w:trPr>
        <w:tc>
          <w:tcPr>
            <w:tcW w:w="4876" w:type="dxa"/>
            <w:hideMark/>
          </w:tcPr>
          <w:p w14:paraId="5BDE0717" w14:textId="77777777" w:rsidR="003663AF" w:rsidRPr="00B7760C" w:rsidRDefault="003663AF" w:rsidP="00E804B7">
            <w:pPr>
              <w:pStyle w:val="Normal6"/>
            </w:pPr>
            <w:r w:rsidRPr="00B7760C">
              <w:t>(e)</w:t>
            </w:r>
            <w:r w:rsidRPr="00B7760C">
              <w:tab/>
            </w:r>
            <w:r w:rsidRPr="00B7760C">
              <w:rPr>
                <w:b/>
                <w:i/>
              </w:rPr>
              <w:t>ciljni</w:t>
            </w:r>
            <w:r w:rsidRPr="00B7760C">
              <w:t xml:space="preserve"> in finančni načrt;</w:t>
            </w:r>
          </w:p>
        </w:tc>
        <w:tc>
          <w:tcPr>
            <w:tcW w:w="4876" w:type="dxa"/>
            <w:hideMark/>
          </w:tcPr>
          <w:p w14:paraId="6FC2EC2C" w14:textId="77777777" w:rsidR="003663AF" w:rsidRPr="00B7760C" w:rsidRDefault="003663AF" w:rsidP="00E804B7">
            <w:pPr>
              <w:pStyle w:val="Normal6"/>
              <w:rPr>
                <w:szCs w:val="24"/>
              </w:rPr>
            </w:pPr>
            <w:r w:rsidRPr="00B7760C">
              <w:t>(e)</w:t>
            </w:r>
            <w:r w:rsidRPr="00B7760C">
              <w:tab/>
            </w:r>
            <w:r w:rsidRPr="00B7760C">
              <w:rPr>
                <w:b/>
                <w:i/>
              </w:rPr>
              <w:t>načrt ciljnih vrednosti</w:t>
            </w:r>
            <w:r w:rsidRPr="00B7760C">
              <w:t xml:space="preserve"> in finančni načrt</w:t>
            </w:r>
            <w:r w:rsidRPr="00B7760C">
              <w:rPr>
                <w:b/>
                <w:i/>
              </w:rPr>
              <w:t>, po potrebi tudi načrt za regionalne programe intervencij</w:t>
            </w:r>
            <w:r w:rsidRPr="00B7760C">
              <w:t>;</w:t>
            </w:r>
          </w:p>
        </w:tc>
      </w:tr>
    </w:tbl>
    <w:p w14:paraId="14013EAC" w14:textId="77777777" w:rsidR="003663AF" w:rsidRPr="00B7760C" w:rsidRDefault="003663AF" w:rsidP="003663AF"/>
    <w:p w14:paraId="0ECDF819" w14:textId="44BA4A11" w:rsidR="003663AF" w:rsidRPr="00B7760C" w:rsidRDefault="00877691" w:rsidP="003663AF">
      <w:pPr>
        <w:pStyle w:val="AMNumberTabs"/>
        <w:keepNext/>
      </w:pPr>
      <w:r w:rsidRPr="00B7760C">
        <w:t>Sprememba</w:t>
      </w:r>
      <w:r w:rsidR="003663AF" w:rsidRPr="00B7760C">
        <w:tab/>
      </w:r>
      <w:r w:rsidR="003663AF" w:rsidRPr="00B7760C">
        <w:tab/>
        <w:t>579</w:t>
      </w:r>
    </w:p>
    <w:p w14:paraId="0EB37F9F" w14:textId="77777777" w:rsidR="003663AF" w:rsidRPr="00B7760C" w:rsidRDefault="003663AF" w:rsidP="003663AF">
      <w:pPr>
        <w:pStyle w:val="NormalBold12b"/>
      </w:pPr>
      <w:r w:rsidRPr="00B7760C">
        <w:t>Predlog uredbe</w:t>
      </w:r>
    </w:p>
    <w:p w14:paraId="1733B481" w14:textId="77777777" w:rsidR="003663AF" w:rsidRPr="00B7760C" w:rsidRDefault="003663AF" w:rsidP="003663AF">
      <w:pPr>
        <w:pStyle w:val="NormalBold"/>
      </w:pPr>
      <w:r w:rsidRPr="00B7760C">
        <w:t>Člen 95 – odstavek 2 – točka c</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A45EAC9" w14:textId="77777777" w:rsidTr="00E804B7">
        <w:trPr>
          <w:jc w:val="center"/>
        </w:trPr>
        <w:tc>
          <w:tcPr>
            <w:tcW w:w="9752" w:type="dxa"/>
            <w:gridSpan w:val="2"/>
          </w:tcPr>
          <w:p w14:paraId="35A0861E" w14:textId="77777777" w:rsidR="003663AF" w:rsidRPr="00B7760C" w:rsidRDefault="003663AF" w:rsidP="00E804B7">
            <w:pPr>
              <w:keepNext/>
            </w:pPr>
          </w:p>
        </w:tc>
      </w:tr>
      <w:tr w:rsidR="003663AF" w:rsidRPr="00B7760C" w14:paraId="3A6529A9" w14:textId="77777777" w:rsidTr="00E804B7">
        <w:trPr>
          <w:jc w:val="center"/>
        </w:trPr>
        <w:tc>
          <w:tcPr>
            <w:tcW w:w="4876" w:type="dxa"/>
            <w:hideMark/>
          </w:tcPr>
          <w:p w14:paraId="174D2293" w14:textId="77777777" w:rsidR="003663AF" w:rsidRPr="00B7760C" w:rsidRDefault="003663AF" w:rsidP="00E804B7">
            <w:pPr>
              <w:pStyle w:val="ColumnHeading"/>
              <w:keepNext/>
            </w:pPr>
            <w:r w:rsidRPr="00B7760C">
              <w:t>Besedilo, ki ga predlaga Komisija</w:t>
            </w:r>
          </w:p>
        </w:tc>
        <w:tc>
          <w:tcPr>
            <w:tcW w:w="4876" w:type="dxa"/>
            <w:hideMark/>
          </w:tcPr>
          <w:p w14:paraId="0534170E" w14:textId="6D2E38F1" w:rsidR="003663AF" w:rsidRPr="00B7760C" w:rsidRDefault="00877691" w:rsidP="00E804B7">
            <w:pPr>
              <w:pStyle w:val="ColumnHeading"/>
              <w:keepNext/>
            </w:pPr>
            <w:r w:rsidRPr="00B7760C">
              <w:t>Sprememba</w:t>
            </w:r>
          </w:p>
        </w:tc>
      </w:tr>
      <w:tr w:rsidR="003663AF" w:rsidRPr="00B7760C" w14:paraId="39184717" w14:textId="77777777" w:rsidTr="00E804B7">
        <w:trPr>
          <w:jc w:val="center"/>
        </w:trPr>
        <w:tc>
          <w:tcPr>
            <w:tcW w:w="4876" w:type="dxa"/>
            <w:hideMark/>
          </w:tcPr>
          <w:p w14:paraId="55FC0D5D" w14:textId="77777777" w:rsidR="003663AF" w:rsidRPr="00B7760C" w:rsidRDefault="003663AF" w:rsidP="00E804B7">
            <w:pPr>
              <w:pStyle w:val="Normal6"/>
            </w:pPr>
            <w:r w:rsidRPr="00B7760C">
              <w:t>(c)</w:t>
            </w:r>
            <w:r w:rsidRPr="00B7760C">
              <w:tab/>
              <w:t>Prilogo III o posvetovanju s partnerji;</w:t>
            </w:r>
          </w:p>
        </w:tc>
        <w:tc>
          <w:tcPr>
            <w:tcW w:w="4876" w:type="dxa"/>
            <w:hideMark/>
          </w:tcPr>
          <w:p w14:paraId="419981E0" w14:textId="77777777" w:rsidR="003663AF" w:rsidRPr="00B7760C" w:rsidRDefault="003663AF" w:rsidP="00E804B7">
            <w:pPr>
              <w:pStyle w:val="Normal6"/>
              <w:rPr>
                <w:szCs w:val="24"/>
              </w:rPr>
            </w:pPr>
            <w:r w:rsidRPr="00B7760C">
              <w:t>(c)</w:t>
            </w:r>
            <w:r w:rsidRPr="00B7760C">
              <w:tab/>
              <w:t>Prilogo III o posvetovanju s partnerji</w:t>
            </w:r>
            <w:r w:rsidRPr="00B7760C">
              <w:rPr>
                <w:b/>
                <w:i/>
              </w:rPr>
              <w:t>, povzetek pripomb, ki so jih predložili pristojni regionalni in lokalni organi ter partnerji iz člena 94(3)</w:t>
            </w:r>
            <w:r w:rsidRPr="00B7760C">
              <w:t>;</w:t>
            </w:r>
          </w:p>
        </w:tc>
      </w:tr>
    </w:tbl>
    <w:p w14:paraId="736C1997" w14:textId="77777777" w:rsidR="003663AF" w:rsidRPr="00B7760C" w:rsidRDefault="003663AF" w:rsidP="003663AF"/>
    <w:p w14:paraId="151EA6B3" w14:textId="214B6EF0" w:rsidR="003663AF" w:rsidRPr="00B7760C" w:rsidRDefault="00877691" w:rsidP="003663AF">
      <w:pPr>
        <w:pStyle w:val="AMNumberTabs"/>
        <w:keepNext/>
      </w:pPr>
      <w:r w:rsidRPr="00B7760C">
        <w:t>Sprememba</w:t>
      </w:r>
      <w:r w:rsidR="003663AF" w:rsidRPr="00B7760C">
        <w:tab/>
      </w:r>
      <w:r w:rsidR="003663AF" w:rsidRPr="00B7760C">
        <w:tab/>
        <w:t>580</w:t>
      </w:r>
    </w:p>
    <w:p w14:paraId="53EDE9C8" w14:textId="77777777" w:rsidR="003663AF" w:rsidRPr="00B7760C" w:rsidRDefault="003663AF" w:rsidP="003663AF">
      <w:pPr>
        <w:pStyle w:val="NormalBold12b"/>
      </w:pPr>
      <w:r w:rsidRPr="00B7760C">
        <w:t>Predlog uredbe</w:t>
      </w:r>
    </w:p>
    <w:p w14:paraId="692E85CE" w14:textId="77777777" w:rsidR="003663AF" w:rsidRPr="00B7760C" w:rsidRDefault="003663AF" w:rsidP="003663AF">
      <w:pPr>
        <w:pStyle w:val="NormalBold"/>
      </w:pPr>
      <w:r w:rsidRPr="00B7760C">
        <w:t>Člen 95 – odstavek 2 – točka d</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2D323B5" w14:textId="77777777" w:rsidTr="00E804B7">
        <w:trPr>
          <w:jc w:val="center"/>
        </w:trPr>
        <w:tc>
          <w:tcPr>
            <w:tcW w:w="9752" w:type="dxa"/>
            <w:gridSpan w:val="2"/>
          </w:tcPr>
          <w:p w14:paraId="38D01C1C" w14:textId="77777777" w:rsidR="003663AF" w:rsidRPr="00B7760C" w:rsidRDefault="003663AF" w:rsidP="00E804B7">
            <w:pPr>
              <w:keepNext/>
            </w:pPr>
          </w:p>
        </w:tc>
      </w:tr>
      <w:tr w:rsidR="003663AF" w:rsidRPr="00B7760C" w14:paraId="58BFC4B5" w14:textId="77777777" w:rsidTr="00E804B7">
        <w:trPr>
          <w:jc w:val="center"/>
        </w:trPr>
        <w:tc>
          <w:tcPr>
            <w:tcW w:w="4876" w:type="dxa"/>
            <w:hideMark/>
          </w:tcPr>
          <w:p w14:paraId="190D9FD0" w14:textId="77777777" w:rsidR="003663AF" w:rsidRPr="00B7760C" w:rsidRDefault="003663AF" w:rsidP="00E804B7">
            <w:pPr>
              <w:pStyle w:val="ColumnHeading"/>
              <w:keepNext/>
            </w:pPr>
            <w:r w:rsidRPr="00B7760C">
              <w:t>Besedilo, ki ga predlaga Komisija</w:t>
            </w:r>
          </w:p>
        </w:tc>
        <w:tc>
          <w:tcPr>
            <w:tcW w:w="4876" w:type="dxa"/>
            <w:hideMark/>
          </w:tcPr>
          <w:p w14:paraId="3AB8A5DC" w14:textId="65EBAA8D" w:rsidR="003663AF" w:rsidRPr="00B7760C" w:rsidRDefault="00877691" w:rsidP="00E804B7">
            <w:pPr>
              <w:pStyle w:val="ColumnHeading"/>
              <w:keepNext/>
            </w:pPr>
            <w:r w:rsidRPr="00B7760C">
              <w:t>Sprememba</w:t>
            </w:r>
          </w:p>
        </w:tc>
      </w:tr>
      <w:tr w:rsidR="003663AF" w:rsidRPr="00B7760C" w14:paraId="628D86AE" w14:textId="77777777" w:rsidTr="00E804B7">
        <w:trPr>
          <w:jc w:val="center"/>
        </w:trPr>
        <w:tc>
          <w:tcPr>
            <w:tcW w:w="4876" w:type="dxa"/>
            <w:hideMark/>
          </w:tcPr>
          <w:p w14:paraId="4FEA4126" w14:textId="77777777" w:rsidR="003663AF" w:rsidRPr="00B7760C" w:rsidRDefault="003663AF" w:rsidP="00E804B7">
            <w:pPr>
              <w:pStyle w:val="Normal6"/>
            </w:pPr>
            <w:r w:rsidRPr="00B7760C">
              <w:t>(d)</w:t>
            </w:r>
            <w:r w:rsidRPr="00B7760C">
              <w:tab/>
              <w:t>Prilogo IV o na kmetijsko rastlino vezanem plačilu za bombaž;</w:t>
            </w:r>
          </w:p>
        </w:tc>
        <w:tc>
          <w:tcPr>
            <w:tcW w:w="4876" w:type="dxa"/>
            <w:hideMark/>
          </w:tcPr>
          <w:p w14:paraId="68D23022" w14:textId="77777777" w:rsidR="003663AF" w:rsidRPr="00B7760C" w:rsidRDefault="003663AF" w:rsidP="00E804B7">
            <w:pPr>
              <w:pStyle w:val="Normal6"/>
              <w:rPr>
                <w:szCs w:val="24"/>
              </w:rPr>
            </w:pPr>
            <w:r w:rsidRPr="00B7760C">
              <w:t>(d)</w:t>
            </w:r>
            <w:r w:rsidRPr="00B7760C">
              <w:tab/>
            </w:r>
            <w:r w:rsidRPr="00B7760C">
              <w:rPr>
                <w:b/>
                <w:i/>
              </w:rPr>
              <w:t>po potrebi</w:t>
            </w:r>
            <w:r w:rsidRPr="00B7760C">
              <w:t xml:space="preserve"> Prilogo IV o na kmetijsko rastlino vezanem plačilu za bombaž;</w:t>
            </w:r>
          </w:p>
        </w:tc>
      </w:tr>
    </w:tbl>
    <w:p w14:paraId="6A74A47D" w14:textId="77777777" w:rsidR="003663AF" w:rsidRPr="00B7760C" w:rsidRDefault="003663AF" w:rsidP="003663AF"/>
    <w:p w14:paraId="17D7431A" w14:textId="1CFADA5C" w:rsidR="003663AF" w:rsidRPr="00B7760C" w:rsidRDefault="00877691" w:rsidP="003663AF">
      <w:pPr>
        <w:pStyle w:val="AMNumberTabs"/>
        <w:keepNext/>
      </w:pPr>
      <w:r w:rsidRPr="00B7760C">
        <w:t>Sprememba</w:t>
      </w:r>
      <w:r w:rsidR="003663AF" w:rsidRPr="00B7760C">
        <w:tab/>
      </w:r>
      <w:r w:rsidR="003663AF" w:rsidRPr="00B7760C">
        <w:tab/>
        <w:t>581</w:t>
      </w:r>
    </w:p>
    <w:p w14:paraId="3836014E" w14:textId="77777777" w:rsidR="003663AF" w:rsidRPr="00B7760C" w:rsidRDefault="003663AF" w:rsidP="003663AF">
      <w:pPr>
        <w:pStyle w:val="NormalBold12b"/>
      </w:pPr>
      <w:r w:rsidRPr="00B7760C">
        <w:t>Predlog uredbe</w:t>
      </w:r>
    </w:p>
    <w:p w14:paraId="0ADCE468" w14:textId="77777777" w:rsidR="003663AF" w:rsidRPr="00B7760C" w:rsidRDefault="003663AF" w:rsidP="003663AF">
      <w:pPr>
        <w:pStyle w:val="NormalBold"/>
      </w:pPr>
      <w:r w:rsidRPr="00B7760C">
        <w:t>Člen 95 – odstavek 2 – točka e</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F57FA40" w14:textId="77777777" w:rsidTr="00E804B7">
        <w:trPr>
          <w:jc w:val="center"/>
        </w:trPr>
        <w:tc>
          <w:tcPr>
            <w:tcW w:w="9752" w:type="dxa"/>
            <w:gridSpan w:val="2"/>
          </w:tcPr>
          <w:p w14:paraId="57331FCE" w14:textId="77777777" w:rsidR="003663AF" w:rsidRPr="00B7760C" w:rsidRDefault="003663AF" w:rsidP="00E804B7">
            <w:pPr>
              <w:keepNext/>
            </w:pPr>
          </w:p>
        </w:tc>
      </w:tr>
      <w:tr w:rsidR="003663AF" w:rsidRPr="00B7760C" w14:paraId="3C715A21" w14:textId="77777777" w:rsidTr="00E804B7">
        <w:trPr>
          <w:jc w:val="center"/>
        </w:trPr>
        <w:tc>
          <w:tcPr>
            <w:tcW w:w="4876" w:type="dxa"/>
            <w:hideMark/>
          </w:tcPr>
          <w:p w14:paraId="4D284FFA" w14:textId="77777777" w:rsidR="003663AF" w:rsidRPr="00B7760C" w:rsidRDefault="003663AF" w:rsidP="00E804B7">
            <w:pPr>
              <w:pStyle w:val="ColumnHeading"/>
              <w:keepNext/>
            </w:pPr>
            <w:r w:rsidRPr="00B7760C">
              <w:t>Besedilo, ki ga predlaga Komisija</w:t>
            </w:r>
          </w:p>
        </w:tc>
        <w:tc>
          <w:tcPr>
            <w:tcW w:w="4876" w:type="dxa"/>
            <w:hideMark/>
          </w:tcPr>
          <w:p w14:paraId="1E9104C9" w14:textId="5E97CDEB" w:rsidR="003663AF" w:rsidRPr="00B7760C" w:rsidRDefault="00877691" w:rsidP="00E804B7">
            <w:pPr>
              <w:pStyle w:val="ColumnHeading"/>
              <w:keepNext/>
            </w:pPr>
            <w:r w:rsidRPr="00B7760C">
              <w:t>Sprememba</w:t>
            </w:r>
          </w:p>
        </w:tc>
      </w:tr>
      <w:tr w:rsidR="003663AF" w:rsidRPr="00B7760C" w14:paraId="723DE934" w14:textId="77777777" w:rsidTr="00E804B7">
        <w:trPr>
          <w:jc w:val="center"/>
        </w:trPr>
        <w:tc>
          <w:tcPr>
            <w:tcW w:w="4876" w:type="dxa"/>
            <w:hideMark/>
          </w:tcPr>
          <w:p w14:paraId="639B65EC" w14:textId="77777777" w:rsidR="003663AF" w:rsidRPr="00B7760C" w:rsidRDefault="003663AF" w:rsidP="00E804B7">
            <w:pPr>
              <w:pStyle w:val="Normal6"/>
            </w:pPr>
            <w:r w:rsidRPr="00B7760C">
              <w:t>(e)</w:t>
            </w:r>
            <w:r w:rsidRPr="00B7760C">
              <w:tab/>
              <w:t>Prilogo V o dodatnem nacionalnem financiranju v okviru strateškega načrta SKP.</w:t>
            </w:r>
          </w:p>
        </w:tc>
        <w:tc>
          <w:tcPr>
            <w:tcW w:w="4876" w:type="dxa"/>
            <w:hideMark/>
          </w:tcPr>
          <w:p w14:paraId="5BA208F1" w14:textId="77777777" w:rsidR="003663AF" w:rsidRPr="00B7760C" w:rsidRDefault="003663AF" w:rsidP="00E804B7">
            <w:pPr>
              <w:pStyle w:val="Normal6"/>
              <w:rPr>
                <w:szCs w:val="24"/>
              </w:rPr>
            </w:pPr>
            <w:r w:rsidRPr="00B7760C">
              <w:t>(e)</w:t>
            </w:r>
            <w:r w:rsidRPr="00B7760C">
              <w:tab/>
              <w:t xml:space="preserve">Prilogo V </w:t>
            </w:r>
            <w:r w:rsidRPr="00B7760C">
              <w:rPr>
                <w:b/>
                <w:i/>
              </w:rPr>
              <w:t xml:space="preserve">o državni pomoči iz strateškega načrta, ki ni izvzet iz uporabe členov 107, 108 in 109 PDEU v skladu s členom 131(4), in </w:t>
            </w:r>
            <w:r w:rsidRPr="00B7760C">
              <w:t>o dodatnem nacionalnem financiranju</w:t>
            </w:r>
            <w:r w:rsidRPr="00B7760C">
              <w:rPr>
                <w:b/>
                <w:i/>
              </w:rPr>
              <w:t xml:space="preserve"> prek vseh razvojnih intervencij</w:t>
            </w:r>
            <w:r w:rsidRPr="00B7760C">
              <w:t xml:space="preserve"> v okviru strateškega načrta SKP.</w:t>
            </w:r>
          </w:p>
        </w:tc>
      </w:tr>
    </w:tbl>
    <w:p w14:paraId="4C28600F" w14:textId="77777777" w:rsidR="003663AF" w:rsidRPr="00B7760C" w:rsidRDefault="003663AF" w:rsidP="003663AF"/>
    <w:p w14:paraId="43F9F624" w14:textId="00C389B1" w:rsidR="003663AF" w:rsidRPr="00B7760C" w:rsidRDefault="00877691" w:rsidP="003663AF">
      <w:pPr>
        <w:pStyle w:val="AMNumberTabs"/>
        <w:keepNext/>
      </w:pPr>
      <w:r w:rsidRPr="00B7760C">
        <w:t>Sprememba</w:t>
      </w:r>
      <w:r w:rsidR="003663AF" w:rsidRPr="00B7760C">
        <w:tab/>
      </w:r>
      <w:r w:rsidR="003663AF" w:rsidRPr="00B7760C">
        <w:tab/>
        <w:t>582</w:t>
      </w:r>
    </w:p>
    <w:p w14:paraId="6764A2FC" w14:textId="77777777" w:rsidR="003663AF" w:rsidRPr="00B7760C" w:rsidRDefault="003663AF" w:rsidP="003663AF">
      <w:pPr>
        <w:pStyle w:val="NormalBold12b"/>
      </w:pPr>
      <w:r w:rsidRPr="00B7760C">
        <w:t>Predlog uredbe</w:t>
      </w:r>
    </w:p>
    <w:p w14:paraId="1ACD8A92" w14:textId="77777777" w:rsidR="003663AF" w:rsidRPr="00B7760C" w:rsidRDefault="003663AF" w:rsidP="003663AF">
      <w:pPr>
        <w:pStyle w:val="NormalBold"/>
      </w:pPr>
      <w:r w:rsidRPr="00B7760C">
        <w:t>Člen 95 – odstavek 2 – točka e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A92449D" w14:textId="77777777" w:rsidTr="00E804B7">
        <w:trPr>
          <w:jc w:val="center"/>
        </w:trPr>
        <w:tc>
          <w:tcPr>
            <w:tcW w:w="9752" w:type="dxa"/>
            <w:gridSpan w:val="2"/>
          </w:tcPr>
          <w:p w14:paraId="5A49C187" w14:textId="77777777" w:rsidR="003663AF" w:rsidRPr="00B7760C" w:rsidRDefault="003663AF" w:rsidP="00E804B7">
            <w:pPr>
              <w:keepNext/>
            </w:pPr>
          </w:p>
        </w:tc>
      </w:tr>
      <w:tr w:rsidR="003663AF" w:rsidRPr="00B7760C" w14:paraId="3FCD17B5" w14:textId="77777777" w:rsidTr="00E804B7">
        <w:trPr>
          <w:jc w:val="center"/>
        </w:trPr>
        <w:tc>
          <w:tcPr>
            <w:tcW w:w="4876" w:type="dxa"/>
            <w:hideMark/>
          </w:tcPr>
          <w:p w14:paraId="385F1C71" w14:textId="77777777" w:rsidR="003663AF" w:rsidRPr="00B7760C" w:rsidRDefault="003663AF" w:rsidP="00E804B7">
            <w:pPr>
              <w:pStyle w:val="ColumnHeading"/>
              <w:keepNext/>
            </w:pPr>
            <w:r w:rsidRPr="00B7760C">
              <w:t>Besedilo, ki ga predlaga Komisija</w:t>
            </w:r>
          </w:p>
        </w:tc>
        <w:tc>
          <w:tcPr>
            <w:tcW w:w="4876" w:type="dxa"/>
            <w:hideMark/>
          </w:tcPr>
          <w:p w14:paraId="33D2F9FC" w14:textId="6885EC31" w:rsidR="003663AF" w:rsidRPr="00B7760C" w:rsidRDefault="00877691" w:rsidP="00E804B7">
            <w:pPr>
              <w:pStyle w:val="ColumnHeading"/>
              <w:keepNext/>
            </w:pPr>
            <w:r w:rsidRPr="00B7760C">
              <w:t>Sprememba</w:t>
            </w:r>
          </w:p>
        </w:tc>
      </w:tr>
      <w:tr w:rsidR="003663AF" w:rsidRPr="00B7760C" w14:paraId="014F2DEF" w14:textId="77777777" w:rsidTr="00E804B7">
        <w:trPr>
          <w:jc w:val="center"/>
        </w:trPr>
        <w:tc>
          <w:tcPr>
            <w:tcW w:w="4876" w:type="dxa"/>
          </w:tcPr>
          <w:p w14:paraId="3A134875" w14:textId="77777777" w:rsidR="003663AF" w:rsidRPr="00B7760C" w:rsidRDefault="003663AF" w:rsidP="00E804B7">
            <w:pPr>
              <w:pStyle w:val="Normal6"/>
            </w:pPr>
          </w:p>
        </w:tc>
        <w:tc>
          <w:tcPr>
            <w:tcW w:w="4876" w:type="dxa"/>
            <w:hideMark/>
          </w:tcPr>
          <w:p w14:paraId="10CF71D8" w14:textId="77777777" w:rsidR="003663AF" w:rsidRPr="00B7760C" w:rsidRDefault="003663AF" w:rsidP="00E804B7">
            <w:pPr>
              <w:pStyle w:val="Normal6"/>
              <w:rPr>
                <w:szCs w:val="24"/>
              </w:rPr>
            </w:pPr>
            <w:r w:rsidRPr="00B7760C">
              <w:rPr>
                <w:b/>
                <w:i/>
              </w:rPr>
              <w:t>(ea)</w:t>
            </w:r>
            <w:r w:rsidRPr="00B7760C">
              <w:rPr>
                <w:b/>
                <w:i/>
              </w:rPr>
              <w:tab/>
              <w:t>Prilogo VI o shemah za podnebje, okolje in dobrobit živali iz člena 28;</w:t>
            </w:r>
          </w:p>
        </w:tc>
      </w:tr>
    </w:tbl>
    <w:p w14:paraId="55A1E1B8" w14:textId="77777777" w:rsidR="003663AF" w:rsidRPr="00B7760C" w:rsidRDefault="003663AF" w:rsidP="003663AF"/>
    <w:p w14:paraId="3E5D3D04" w14:textId="74C30A09" w:rsidR="003663AF" w:rsidRPr="00B7760C" w:rsidRDefault="00877691" w:rsidP="003663AF">
      <w:pPr>
        <w:pStyle w:val="AMNumberTabs"/>
        <w:keepNext/>
      </w:pPr>
      <w:r w:rsidRPr="00B7760C">
        <w:t>Sprememba</w:t>
      </w:r>
      <w:r w:rsidR="003663AF" w:rsidRPr="00B7760C">
        <w:tab/>
      </w:r>
      <w:r w:rsidR="003663AF" w:rsidRPr="00B7760C">
        <w:tab/>
        <w:t>583</w:t>
      </w:r>
    </w:p>
    <w:p w14:paraId="19FA9A59" w14:textId="77777777" w:rsidR="003663AF" w:rsidRPr="00B7760C" w:rsidRDefault="003663AF" w:rsidP="003663AF">
      <w:pPr>
        <w:pStyle w:val="NormalBold12b"/>
      </w:pPr>
      <w:r w:rsidRPr="00B7760C">
        <w:t>Predlog uredbe</w:t>
      </w:r>
    </w:p>
    <w:p w14:paraId="3DFFFE48" w14:textId="77777777" w:rsidR="003663AF" w:rsidRPr="00B7760C" w:rsidRDefault="003663AF" w:rsidP="003663AF">
      <w:pPr>
        <w:pStyle w:val="NormalBold"/>
      </w:pPr>
      <w:r w:rsidRPr="00B7760C">
        <w:t>Člen 95 – odstavek 2 – točka e b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23DBBCC" w14:textId="77777777" w:rsidTr="00E804B7">
        <w:trPr>
          <w:jc w:val="center"/>
        </w:trPr>
        <w:tc>
          <w:tcPr>
            <w:tcW w:w="9752" w:type="dxa"/>
            <w:gridSpan w:val="2"/>
          </w:tcPr>
          <w:p w14:paraId="20CAE19B" w14:textId="77777777" w:rsidR="003663AF" w:rsidRPr="00B7760C" w:rsidRDefault="003663AF" w:rsidP="00E804B7">
            <w:pPr>
              <w:keepNext/>
            </w:pPr>
          </w:p>
        </w:tc>
      </w:tr>
      <w:tr w:rsidR="003663AF" w:rsidRPr="00B7760C" w14:paraId="4B24B78E" w14:textId="77777777" w:rsidTr="00E804B7">
        <w:trPr>
          <w:jc w:val="center"/>
        </w:trPr>
        <w:tc>
          <w:tcPr>
            <w:tcW w:w="4876" w:type="dxa"/>
            <w:hideMark/>
          </w:tcPr>
          <w:p w14:paraId="355A3556" w14:textId="77777777" w:rsidR="003663AF" w:rsidRPr="00B7760C" w:rsidRDefault="003663AF" w:rsidP="00E804B7">
            <w:pPr>
              <w:pStyle w:val="ColumnHeading"/>
              <w:keepNext/>
            </w:pPr>
            <w:r w:rsidRPr="00B7760C">
              <w:t>Besedilo, ki ga predlaga Komisija</w:t>
            </w:r>
          </w:p>
        </w:tc>
        <w:tc>
          <w:tcPr>
            <w:tcW w:w="4876" w:type="dxa"/>
            <w:hideMark/>
          </w:tcPr>
          <w:p w14:paraId="60BCEEDE" w14:textId="7964F8B2" w:rsidR="003663AF" w:rsidRPr="00B7760C" w:rsidRDefault="00877691" w:rsidP="00E804B7">
            <w:pPr>
              <w:pStyle w:val="ColumnHeading"/>
              <w:keepNext/>
            </w:pPr>
            <w:r w:rsidRPr="00B7760C">
              <w:t>Sprememba</w:t>
            </w:r>
          </w:p>
        </w:tc>
      </w:tr>
      <w:tr w:rsidR="003663AF" w:rsidRPr="00B7760C" w14:paraId="286F68F0" w14:textId="77777777" w:rsidTr="00E804B7">
        <w:trPr>
          <w:jc w:val="center"/>
        </w:trPr>
        <w:tc>
          <w:tcPr>
            <w:tcW w:w="4876" w:type="dxa"/>
          </w:tcPr>
          <w:p w14:paraId="5AA2948E" w14:textId="77777777" w:rsidR="003663AF" w:rsidRPr="00B7760C" w:rsidRDefault="003663AF" w:rsidP="00E804B7">
            <w:pPr>
              <w:pStyle w:val="Normal6"/>
            </w:pPr>
          </w:p>
        </w:tc>
        <w:tc>
          <w:tcPr>
            <w:tcW w:w="4876" w:type="dxa"/>
            <w:hideMark/>
          </w:tcPr>
          <w:p w14:paraId="2A2A00DA" w14:textId="77BFF17A" w:rsidR="003663AF" w:rsidRPr="00B7760C" w:rsidRDefault="003663AF" w:rsidP="00EF2FD5">
            <w:pPr>
              <w:pStyle w:val="Normal6"/>
              <w:rPr>
                <w:szCs w:val="24"/>
              </w:rPr>
            </w:pPr>
            <w:r w:rsidRPr="00B7760C">
              <w:rPr>
                <w:b/>
                <w:i/>
              </w:rPr>
              <w:t>(eb)</w:t>
            </w:r>
            <w:r w:rsidRPr="00B7760C">
              <w:rPr>
                <w:b/>
                <w:i/>
              </w:rPr>
              <w:tab/>
              <w:t>Prilogo VII o regionalnih programih intervencij ter</w:t>
            </w:r>
          </w:p>
        </w:tc>
      </w:tr>
    </w:tbl>
    <w:p w14:paraId="55198C70" w14:textId="77777777" w:rsidR="003663AF" w:rsidRPr="00B7760C" w:rsidRDefault="003663AF" w:rsidP="003663AF"/>
    <w:p w14:paraId="502D88F1" w14:textId="31A5C791" w:rsidR="003663AF" w:rsidRPr="00B7760C" w:rsidRDefault="00877691" w:rsidP="003663AF">
      <w:pPr>
        <w:pStyle w:val="AMNumberTabs"/>
        <w:keepNext/>
      </w:pPr>
      <w:r w:rsidRPr="00B7760C">
        <w:t>Sprememba</w:t>
      </w:r>
      <w:r w:rsidR="003663AF" w:rsidRPr="00B7760C">
        <w:tab/>
      </w:r>
      <w:r w:rsidR="003663AF" w:rsidRPr="00B7760C">
        <w:tab/>
        <w:t>584</w:t>
      </w:r>
    </w:p>
    <w:p w14:paraId="7DEB60BC" w14:textId="77777777" w:rsidR="003663AF" w:rsidRPr="00B7760C" w:rsidRDefault="003663AF" w:rsidP="003663AF">
      <w:pPr>
        <w:pStyle w:val="NormalBold12b"/>
      </w:pPr>
      <w:r w:rsidRPr="00B7760C">
        <w:t>Predlog uredbe</w:t>
      </w:r>
    </w:p>
    <w:p w14:paraId="49EB0EAC" w14:textId="77777777" w:rsidR="003663AF" w:rsidRPr="00B7760C" w:rsidRDefault="003663AF" w:rsidP="003663AF">
      <w:pPr>
        <w:pStyle w:val="NormalBold"/>
      </w:pPr>
      <w:r w:rsidRPr="00B7760C">
        <w:t>Člen 95 – odstavek 2 – točka e c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915DC34" w14:textId="77777777" w:rsidTr="00E804B7">
        <w:trPr>
          <w:jc w:val="center"/>
        </w:trPr>
        <w:tc>
          <w:tcPr>
            <w:tcW w:w="9752" w:type="dxa"/>
            <w:gridSpan w:val="2"/>
          </w:tcPr>
          <w:p w14:paraId="599EB86C" w14:textId="77777777" w:rsidR="003663AF" w:rsidRPr="00B7760C" w:rsidRDefault="003663AF" w:rsidP="00E804B7">
            <w:pPr>
              <w:keepNext/>
            </w:pPr>
          </w:p>
        </w:tc>
      </w:tr>
      <w:tr w:rsidR="003663AF" w:rsidRPr="00B7760C" w14:paraId="1BBA1BCB" w14:textId="77777777" w:rsidTr="00E804B7">
        <w:trPr>
          <w:jc w:val="center"/>
        </w:trPr>
        <w:tc>
          <w:tcPr>
            <w:tcW w:w="4876" w:type="dxa"/>
            <w:hideMark/>
          </w:tcPr>
          <w:p w14:paraId="16AD8FFC" w14:textId="77777777" w:rsidR="003663AF" w:rsidRPr="00B7760C" w:rsidRDefault="003663AF" w:rsidP="00E804B7">
            <w:pPr>
              <w:pStyle w:val="ColumnHeading"/>
              <w:keepNext/>
            </w:pPr>
            <w:r w:rsidRPr="00B7760C">
              <w:t>Besedilo, ki ga predlaga Komisija</w:t>
            </w:r>
          </w:p>
        </w:tc>
        <w:tc>
          <w:tcPr>
            <w:tcW w:w="4876" w:type="dxa"/>
            <w:hideMark/>
          </w:tcPr>
          <w:p w14:paraId="1B7968E7" w14:textId="3FE5C5BD" w:rsidR="003663AF" w:rsidRPr="00B7760C" w:rsidRDefault="00877691" w:rsidP="00E804B7">
            <w:pPr>
              <w:pStyle w:val="ColumnHeading"/>
              <w:keepNext/>
            </w:pPr>
            <w:r w:rsidRPr="00B7760C">
              <w:t>Sprememba</w:t>
            </w:r>
          </w:p>
        </w:tc>
      </w:tr>
      <w:tr w:rsidR="003663AF" w:rsidRPr="00B7760C" w14:paraId="586FA90F" w14:textId="77777777" w:rsidTr="00E804B7">
        <w:trPr>
          <w:jc w:val="center"/>
        </w:trPr>
        <w:tc>
          <w:tcPr>
            <w:tcW w:w="4876" w:type="dxa"/>
          </w:tcPr>
          <w:p w14:paraId="4DC90539" w14:textId="77777777" w:rsidR="003663AF" w:rsidRPr="00B7760C" w:rsidRDefault="003663AF" w:rsidP="00E804B7">
            <w:pPr>
              <w:pStyle w:val="Normal6"/>
            </w:pPr>
          </w:p>
        </w:tc>
        <w:tc>
          <w:tcPr>
            <w:tcW w:w="4876" w:type="dxa"/>
            <w:hideMark/>
          </w:tcPr>
          <w:p w14:paraId="33DA4AAD" w14:textId="77777777" w:rsidR="003663AF" w:rsidRPr="00B7760C" w:rsidRDefault="003663AF" w:rsidP="00E804B7">
            <w:pPr>
              <w:pStyle w:val="Normal6"/>
              <w:rPr>
                <w:szCs w:val="24"/>
              </w:rPr>
            </w:pPr>
            <w:r w:rsidRPr="00B7760C">
              <w:rPr>
                <w:b/>
                <w:i/>
              </w:rPr>
              <w:t>(ec)</w:t>
            </w:r>
            <w:r w:rsidRPr="00B7760C">
              <w:rPr>
                <w:b/>
                <w:i/>
              </w:rPr>
              <w:tab/>
              <w:t>Prilogo VIII o elementih strateških načrtov, ki prispevajo k večji konkurenčnosti.</w:t>
            </w:r>
          </w:p>
        </w:tc>
      </w:tr>
    </w:tbl>
    <w:p w14:paraId="4EB598F6" w14:textId="77777777" w:rsidR="003663AF" w:rsidRPr="00B7760C" w:rsidRDefault="003663AF" w:rsidP="003663AF"/>
    <w:p w14:paraId="27BA0084" w14:textId="6CDFC91C" w:rsidR="003663AF" w:rsidRPr="00B7760C" w:rsidRDefault="00877691" w:rsidP="003663AF">
      <w:pPr>
        <w:pStyle w:val="AMNumberTabs"/>
        <w:keepNext/>
      </w:pPr>
      <w:r w:rsidRPr="00B7760C">
        <w:t>Sprememba</w:t>
      </w:r>
      <w:r w:rsidR="003663AF" w:rsidRPr="00B7760C">
        <w:tab/>
      </w:r>
      <w:r w:rsidR="003663AF" w:rsidRPr="00B7760C">
        <w:tab/>
        <w:t>585</w:t>
      </w:r>
    </w:p>
    <w:p w14:paraId="25B2980E" w14:textId="77777777" w:rsidR="003663AF" w:rsidRPr="00B7760C" w:rsidRDefault="003663AF" w:rsidP="003663AF">
      <w:pPr>
        <w:pStyle w:val="NormalBold12b"/>
      </w:pPr>
      <w:r w:rsidRPr="00B7760C">
        <w:t>Predlog uredbe</w:t>
      </w:r>
    </w:p>
    <w:p w14:paraId="4F800B3B" w14:textId="77777777" w:rsidR="003663AF" w:rsidRPr="00B7760C" w:rsidRDefault="003663AF" w:rsidP="003663AF">
      <w:pPr>
        <w:pStyle w:val="NormalBold"/>
      </w:pPr>
      <w:r w:rsidRPr="00B7760C">
        <w:t>Člen 96 – odstavek 1 – točka b</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2A14234" w14:textId="77777777" w:rsidTr="00E804B7">
        <w:trPr>
          <w:jc w:val="center"/>
        </w:trPr>
        <w:tc>
          <w:tcPr>
            <w:tcW w:w="9752" w:type="dxa"/>
            <w:gridSpan w:val="2"/>
          </w:tcPr>
          <w:p w14:paraId="7E3BAE79" w14:textId="77777777" w:rsidR="003663AF" w:rsidRPr="00B7760C" w:rsidRDefault="003663AF" w:rsidP="00E804B7">
            <w:pPr>
              <w:keepNext/>
            </w:pPr>
          </w:p>
        </w:tc>
      </w:tr>
      <w:tr w:rsidR="003663AF" w:rsidRPr="00B7760C" w14:paraId="2C3404C6" w14:textId="77777777" w:rsidTr="00E804B7">
        <w:trPr>
          <w:jc w:val="center"/>
        </w:trPr>
        <w:tc>
          <w:tcPr>
            <w:tcW w:w="4876" w:type="dxa"/>
            <w:hideMark/>
          </w:tcPr>
          <w:p w14:paraId="0F75B49D" w14:textId="77777777" w:rsidR="003663AF" w:rsidRPr="00B7760C" w:rsidRDefault="003663AF" w:rsidP="00E804B7">
            <w:pPr>
              <w:pStyle w:val="ColumnHeading"/>
              <w:keepNext/>
            </w:pPr>
            <w:r w:rsidRPr="00B7760C">
              <w:t>Besedilo, ki ga predlaga Komisija</w:t>
            </w:r>
          </w:p>
        </w:tc>
        <w:tc>
          <w:tcPr>
            <w:tcW w:w="4876" w:type="dxa"/>
            <w:hideMark/>
          </w:tcPr>
          <w:p w14:paraId="319E97D8" w14:textId="60333520" w:rsidR="003663AF" w:rsidRPr="00B7760C" w:rsidRDefault="00877691" w:rsidP="00E804B7">
            <w:pPr>
              <w:pStyle w:val="ColumnHeading"/>
              <w:keepNext/>
            </w:pPr>
            <w:r w:rsidRPr="00B7760C">
              <w:t>Sprememba</w:t>
            </w:r>
          </w:p>
        </w:tc>
      </w:tr>
      <w:tr w:rsidR="003663AF" w:rsidRPr="00B7760C" w14:paraId="008F8CD0" w14:textId="77777777" w:rsidTr="00E804B7">
        <w:trPr>
          <w:jc w:val="center"/>
        </w:trPr>
        <w:tc>
          <w:tcPr>
            <w:tcW w:w="4876" w:type="dxa"/>
            <w:hideMark/>
          </w:tcPr>
          <w:p w14:paraId="62A7E875" w14:textId="77777777" w:rsidR="003663AF" w:rsidRPr="00B7760C" w:rsidRDefault="003663AF" w:rsidP="00E804B7">
            <w:pPr>
              <w:pStyle w:val="Normal6"/>
            </w:pPr>
            <w:r w:rsidRPr="00B7760C">
              <w:t>(b)</w:t>
            </w:r>
            <w:r w:rsidRPr="00B7760C">
              <w:tab/>
              <w:t>opredelitev potreb za vsak specifični cilj iz člena 6 na podlagi dokazov iz analize SWOT. Opišejo se vse potrebe ne glede na to, ali jih strateški načrt SKP obravnava ali ne;</w:t>
            </w:r>
          </w:p>
        </w:tc>
        <w:tc>
          <w:tcPr>
            <w:tcW w:w="4876" w:type="dxa"/>
            <w:hideMark/>
          </w:tcPr>
          <w:p w14:paraId="5E8DCA1C" w14:textId="77777777" w:rsidR="003663AF" w:rsidRPr="00B7760C" w:rsidRDefault="003663AF" w:rsidP="00E804B7">
            <w:pPr>
              <w:pStyle w:val="Normal6"/>
              <w:rPr>
                <w:szCs w:val="24"/>
              </w:rPr>
            </w:pPr>
            <w:r w:rsidRPr="00B7760C">
              <w:t>(b)</w:t>
            </w:r>
            <w:r w:rsidRPr="00B7760C">
              <w:tab/>
              <w:t>opredelitev potreb za vsak specifični cilj iz člena 6</w:t>
            </w:r>
            <w:r w:rsidRPr="00B7760C">
              <w:rPr>
                <w:b/>
                <w:i/>
              </w:rPr>
              <w:t>, vključno z dobrobitjo živali,</w:t>
            </w:r>
            <w:r w:rsidRPr="00B7760C">
              <w:t xml:space="preserve"> na podlagi dokazov iz analize SWOT. Opišejo se vse potrebe ne glede na to, ali jih strateški načrt SKP obravnava ali ne;</w:t>
            </w:r>
          </w:p>
        </w:tc>
      </w:tr>
    </w:tbl>
    <w:p w14:paraId="1E19A59C" w14:textId="77777777" w:rsidR="003663AF" w:rsidRPr="00B7760C" w:rsidRDefault="003663AF" w:rsidP="003663AF"/>
    <w:p w14:paraId="58F3254B" w14:textId="2789F381" w:rsidR="003663AF" w:rsidRPr="00B7760C" w:rsidRDefault="00877691" w:rsidP="003663AF">
      <w:pPr>
        <w:pStyle w:val="AMNumberTabs"/>
        <w:keepNext/>
      </w:pPr>
      <w:r w:rsidRPr="00B7760C">
        <w:t>Sprememba</w:t>
      </w:r>
      <w:r w:rsidR="003663AF" w:rsidRPr="00B7760C">
        <w:tab/>
      </w:r>
      <w:r w:rsidR="003663AF" w:rsidRPr="00B7760C">
        <w:tab/>
        <w:t>586</w:t>
      </w:r>
    </w:p>
    <w:p w14:paraId="02EA8880" w14:textId="77777777" w:rsidR="003663AF" w:rsidRPr="00B7760C" w:rsidRDefault="003663AF" w:rsidP="003663AF">
      <w:pPr>
        <w:pStyle w:val="NormalBold12b"/>
      </w:pPr>
      <w:r w:rsidRPr="00B7760C">
        <w:t>Predlog uredbe</w:t>
      </w:r>
    </w:p>
    <w:p w14:paraId="7A8354FD" w14:textId="77777777" w:rsidR="003663AF" w:rsidRPr="00B7760C" w:rsidRDefault="003663AF" w:rsidP="003663AF">
      <w:pPr>
        <w:pStyle w:val="NormalBold"/>
      </w:pPr>
      <w:r w:rsidRPr="00B7760C">
        <w:t>Člen 96 – odstavek 1 – točka d</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A7C1918" w14:textId="77777777" w:rsidTr="00E804B7">
        <w:trPr>
          <w:jc w:val="center"/>
        </w:trPr>
        <w:tc>
          <w:tcPr>
            <w:tcW w:w="9752" w:type="dxa"/>
            <w:gridSpan w:val="2"/>
          </w:tcPr>
          <w:p w14:paraId="1B605A7C" w14:textId="77777777" w:rsidR="003663AF" w:rsidRPr="00B7760C" w:rsidRDefault="003663AF" w:rsidP="00E804B7">
            <w:pPr>
              <w:keepNext/>
            </w:pPr>
          </w:p>
        </w:tc>
      </w:tr>
      <w:tr w:rsidR="003663AF" w:rsidRPr="00B7760C" w14:paraId="7C63A2F1" w14:textId="77777777" w:rsidTr="00E804B7">
        <w:trPr>
          <w:jc w:val="center"/>
        </w:trPr>
        <w:tc>
          <w:tcPr>
            <w:tcW w:w="4876" w:type="dxa"/>
            <w:hideMark/>
          </w:tcPr>
          <w:p w14:paraId="65DB8396" w14:textId="77777777" w:rsidR="003663AF" w:rsidRPr="00B7760C" w:rsidRDefault="003663AF" w:rsidP="00E804B7">
            <w:pPr>
              <w:pStyle w:val="ColumnHeading"/>
              <w:keepNext/>
            </w:pPr>
            <w:r w:rsidRPr="00B7760C">
              <w:t>Besedilo, ki ga predlaga Komisija</w:t>
            </w:r>
          </w:p>
        </w:tc>
        <w:tc>
          <w:tcPr>
            <w:tcW w:w="4876" w:type="dxa"/>
            <w:hideMark/>
          </w:tcPr>
          <w:p w14:paraId="3153F17A" w14:textId="724F5E66" w:rsidR="003663AF" w:rsidRPr="00B7760C" w:rsidRDefault="00877691" w:rsidP="00E804B7">
            <w:pPr>
              <w:pStyle w:val="ColumnHeading"/>
              <w:keepNext/>
            </w:pPr>
            <w:r w:rsidRPr="00B7760C">
              <w:t>Sprememba</w:t>
            </w:r>
          </w:p>
        </w:tc>
      </w:tr>
      <w:tr w:rsidR="003663AF" w:rsidRPr="00B7760C" w14:paraId="562E7E38" w14:textId="77777777" w:rsidTr="00E804B7">
        <w:trPr>
          <w:jc w:val="center"/>
        </w:trPr>
        <w:tc>
          <w:tcPr>
            <w:tcW w:w="4876" w:type="dxa"/>
            <w:hideMark/>
          </w:tcPr>
          <w:p w14:paraId="156EFEA6" w14:textId="77777777" w:rsidR="003663AF" w:rsidRPr="00B7760C" w:rsidRDefault="003663AF" w:rsidP="00E804B7">
            <w:pPr>
              <w:pStyle w:val="Normal6"/>
            </w:pPr>
            <w:r w:rsidRPr="00B7760C">
              <w:t>(d)</w:t>
            </w:r>
            <w:r w:rsidRPr="00B7760C">
              <w:tab/>
              <w:t>po potrebi analizo specifičnih potreb ranljivih geografskih območjih, kot so najbolj oddaljene regije;</w:t>
            </w:r>
          </w:p>
        </w:tc>
        <w:tc>
          <w:tcPr>
            <w:tcW w:w="4876" w:type="dxa"/>
            <w:hideMark/>
          </w:tcPr>
          <w:p w14:paraId="5E2BECF6" w14:textId="77777777" w:rsidR="003663AF" w:rsidRPr="00B7760C" w:rsidRDefault="003663AF" w:rsidP="00E804B7">
            <w:pPr>
              <w:pStyle w:val="Normal6"/>
              <w:rPr>
                <w:szCs w:val="24"/>
              </w:rPr>
            </w:pPr>
            <w:r w:rsidRPr="00B7760C">
              <w:t>(d)</w:t>
            </w:r>
            <w:r w:rsidRPr="00B7760C">
              <w:tab/>
              <w:t xml:space="preserve">po potrebi analizo specifičnih potreb </w:t>
            </w:r>
            <w:r w:rsidRPr="00B7760C">
              <w:rPr>
                <w:b/>
                <w:i/>
              </w:rPr>
              <w:t xml:space="preserve">izoliranih ali </w:t>
            </w:r>
            <w:r w:rsidRPr="00B7760C">
              <w:t>ranljivih geografskih območij, kot so najbolj oddaljene</w:t>
            </w:r>
            <w:r w:rsidRPr="00B7760C">
              <w:rPr>
                <w:b/>
                <w:i/>
              </w:rPr>
              <w:t>, gorske in otoške</w:t>
            </w:r>
            <w:r w:rsidRPr="00B7760C">
              <w:t xml:space="preserve"> regije;</w:t>
            </w:r>
          </w:p>
        </w:tc>
      </w:tr>
    </w:tbl>
    <w:p w14:paraId="50AD16EA" w14:textId="77777777" w:rsidR="003663AF" w:rsidRPr="00B7760C" w:rsidRDefault="003663AF" w:rsidP="003663AF"/>
    <w:p w14:paraId="1B54F06B" w14:textId="1DDF3748" w:rsidR="003663AF" w:rsidRPr="00B7760C" w:rsidRDefault="00877691" w:rsidP="003663AF">
      <w:pPr>
        <w:pStyle w:val="AMNumberTabs"/>
        <w:keepNext/>
      </w:pPr>
      <w:r w:rsidRPr="00B7760C">
        <w:t>Sprememba</w:t>
      </w:r>
      <w:r w:rsidR="003663AF" w:rsidRPr="00B7760C">
        <w:tab/>
      </w:r>
      <w:r w:rsidR="003663AF" w:rsidRPr="00B7760C">
        <w:tab/>
        <w:t>587</w:t>
      </w:r>
    </w:p>
    <w:p w14:paraId="2497F172" w14:textId="77777777" w:rsidR="003663AF" w:rsidRPr="00B7760C" w:rsidRDefault="003663AF" w:rsidP="003663AF">
      <w:pPr>
        <w:pStyle w:val="NormalBold12b"/>
      </w:pPr>
      <w:r w:rsidRPr="00B7760C">
        <w:t>Predlog uredbe</w:t>
      </w:r>
    </w:p>
    <w:p w14:paraId="74165B35" w14:textId="77777777" w:rsidR="003663AF" w:rsidRPr="00B7760C" w:rsidRDefault="003663AF" w:rsidP="003663AF">
      <w:pPr>
        <w:pStyle w:val="NormalBold"/>
      </w:pPr>
      <w:r w:rsidRPr="00B7760C">
        <w:t>Člen 96 – odstavek 1 – točka e</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76AAF34" w14:textId="77777777" w:rsidTr="00E804B7">
        <w:trPr>
          <w:jc w:val="center"/>
        </w:trPr>
        <w:tc>
          <w:tcPr>
            <w:tcW w:w="9752" w:type="dxa"/>
            <w:gridSpan w:val="2"/>
          </w:tcPr>
          <w:p w14:paraId="18B5F452" w14:textId="77777777" w:rsidR="003663AF" w:rsidRPr="00B7760C" w:rsidRDefault="003663AF" w:rsidP="00E804B7">
            <w:pPr>
              <w:keepNext/>
            </w:pPr>
          </w:p>
        </w:tc>
      </w:tr>
      <w:tr w:rsidR="003663AF" w:rsidRPr="00B7760C" w14:paraId="19BDC7B8" w14:textId="77777777" w:rsidTr="00E804B7">
        <w:trPr>
          <w:jc w:val="center"/>
        </w:trPr>
        <w:tc>
          <w:tcPr>
            <w:tcW w:w="4876" w:type="dxa"/>
            <w:hideMark/>
          </w:tcPr>
          <w:p w14:paraId="72D02751" w14:textId="77777777" w:rsidR="003663AF" w:rsidRPr="00B7760C" w:rsidRDefault="003663AF" w:rsidP="00E804B7">
            <w:pPr>
              <w:pStyle w:val="ColumnHeading"/>
              <w:keepNext/>
            </w:pPr>
            <w:r w:rsidRPr="00B7760C">
              <w:t>Besedilo, ki ga predlaga Komisija</w:t>
            </w:r>
          </w:p>
        </w:tc>
        <w:tc>
          <w:tcPr>
            <w:tcW w:w="4876" w:type="dxa"/>
            <w:hideMark/>
          </w:tcPr>
          <w:p w14:paraId="36814EEE" w14:textId="175898EE" w:rsidR="003663AF" w:rsidRPr="00B7760C" w:rsidRDefault="00877691" w:rsidP="00E804B7">
            <w:pPr>
              <w:pStyle w:val="ColumnHeading"/>
              <w:keepNext/>
            </w:pPr>
            <w:r w:rsidRPr="00B7760C">
              <w:t>Sprememba</w:t>
            </w:r>
          </w:p>
        </w:tc>
      </w:tr>
      <w:tr w:rsidR="003663AF" w:rsidRPr="00B7760C" w14:paraId="00F7F4D2" w14:textId="77777777" w:rsidTr="00E804B7">
        <w:trPr>
          <w:jc w:val="center"/>
        </w:trPr>
        <w:tc>
          <w:tcPr>
            <w:tcW w:w="4876" w:type="dxa"/>
            <w:hideMark/>
          </w:tcPr>
          <w:p w14:paraId="20A3ADB8" w14:textId="77777777" w:rsidR="003663AF" w:rsidRPr="00B7760C" w:rsidRDefault="003663AF" w:rsidP="00E804B7">
            <w:pPr>
              <w:pStyle w:val="Normal6"/>
            </w:pPr>
            <w:r w:rsidRPr="00B7760C">
              <w:t>(e)</w:t>
            </w:r>
            <w:r w:rsidRPr="00B7760C">
              <w:tab/>
              <w:t xml:space="preserve">prioritizacijo in razvrščanje potreb </w:t>
            </w:r>
            <w:r w:rsidRPr="00B7760C">
              <w:rPr>
                <w:b/>
                <w:i/>
              </w:rPr>
              <w:t>skupaj s tehtno utemeljitvijo sprejetih odločitev</w:t>
            </w:r>
            <w:r w:rsidRPr="00B7760C">
              <w:t xml:space="preserve"> ter po potrebi </w:t>
            </w:r>
            <w:r w:rsidRPr="00B7760C">
              <w:rPr>
                <w:b/>
                <w:i/>
              </w:rPr>
              <w:t>razlog</w:t>
            </w:r>
            <w:r w:rsidRPr="00B7760C">
              <w:t xml:space="preserve"> za to, da strateški načrt SKP </w:t>
            </w:r>
            <w:r w:rsidRPr="00B7760C">
              <w:rPr>
                <w:b/>
                <w:i/>
              </w:rPr>
              <w:t>določenih</w:t>
            </w:r>
            <w:r w:rsidRPr="00B7760C">
              <w:t xml:space="preserve"> opredeljenih potreb ne obravnava ali jih obravnava le delno</w:t>
            </w:r>
            <w:r w:rsidRPr="00B7760C">
              <w:rPr>
                <w:b/>
                <w:i/>
              </w:rPr>
              <w:t>.</w:t>
            </w:r>
          </w:p>
        </w:tc>
        <w:tc>
          <w:tcPr>
            <w:tcW w:w="4876" w:type="dxa"/>
            <w:hideMark/>
          </w:tcPr>
          <w:p w14:paraId="424C3772" w14:textId="77777777" w:rsidR="003663AF" w:rsidRPr="00B7760C" w:rsidRDefault="003663AF" w:rsidP="00E804B7">
            <w:pPr>
              <w:pStyle w:val="Normal6"/>
              <w:rPr>
                <w:szCs w:val="24"/>
              </w:rPr>
            </w:pPr>
            <w:r w:rsidRPr="00B7760C">
              <w:t>(e)</w:t>
            </w:r>
            <w:r w:rsidRPr="00B7760C">
              <w:tab/>
              <w:t xml:space="preserve">prioritizacijo in razvrščanje potreb </w:t>
            </w:r>
            <w:r w:rsidRPr="00B7760C">
              <w:rPr>
                <w:b/>
                <w:i/>
              </w:rPr>
              <w:t>v skladu s sprejetimi odločitvami</w:t>
            </w:r>
            <w:r w:rsidRPr="00B7760C">
              <w:t xml:space="preserve"> ter po potrebi </w:t>
            </w:r>
            <w:r w:rsidRPr="00B7760C">
              <w:rPr>
                <w:b/>
                <w:i/>
              </w:rPr>
              <w:t>utemeljitev razlogov</w:t>
            </w:r>
            <w:r w:rsidRPr="00B7760C">
              <w:t xml:space="preserve"> za to, da strateški načrt SKP </w:t>
            </w:r>
            <w:r w:rsidRPr="00B7760C">
              <w:rPr>
                <w:b/>
                <w:i/>
              </w:rPr>
              <w:t>nekaterih</w:t>
            </w:r>
            <w:r w:rsidRPr="00B7760C">
              <w:t xml:space="preserve"> opredeljenih potreb ne obravnava ali jih obravnava le delno</w:t>
            </w:r>
            <w:r w:rsidRPr="00B7760C">
              <w:rPr>
                <w:b/>
                <w:i/>
              </w:rPr>
              <w:t>;</w:t>
            </w:r>
          </w:p>
        </w:tc>
      </w:tr>
    </w:tbl>
    <w:p w14:paraId="4377DF0D" w14:textId="77777777" w:rsidR="003663AF" w:rsidRPr="00B7760C" w:rsidRDefault="003663AF" w:rsidP="003663AF"/>
    <w:p w14:paraId="68B4C97E" w14:textId="3CEF98C9" w:rsidR="003663AF" w:rsidRPr="00B7760C" w:rsidRDefault="00877691" w:rsidP="003663AF">
      <w:pPr>
        <w:pStyle w:val="AMNumberTabs"/>
        <w:keepNext/>
      </w:pPr>
      <w:r w:rsidRPr="00B7760C">
        <w:t>Sprememba</w:t>
      </w:r>
      <w:r w:rsidR="003663AF" w:rsidRPr="00B7760C">
        <w:tab/>
      </w:r>
      <w:r w:rsidR="003663AF" w:rsidRPr="00B7760C">
        <w:tab/>
        <w:t>588</w:t>
      </w:r>
    </w:p>
    <w:p w14:paraId="7AA2CEEC" w14:textId="77777777" w:rsidR="003663AF" w:rsidRPr="00B7760C" w:rsidRDefault="003663AF" w:rsidP="003663AF">
      <w:pPr>
        <w:pStyle w:val="NormalBold12b"/>
      </w:pPr>
      <w:r w:rsidRPr="00B7760C">
        <w:t>Predlog uredbe</w:t>
      </w:r>
    </w:p>
    <w:p w14:paraId="52E92001" w14:textId="77777777" w:rsidR="003663AF" w:rsidRPr="00B7760C" w:rsidRDefault="003663AF" w:rsidP="003663AF">
      <w:pPr>
        <w:pStyle w:val="NormalBold"/>
      </w:pPr>
      <w:r w:rsidRPr="00B7760C">
        <w:t>Člen 96 – odstavek 1 – točka e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52F5D43" w14:textId="77777777" w:rsidTr="00E804B7">
        <w:trPr>
          <w:jc w:val="center"/>
        </w:trPr>
        <w:tc>
          <w:tcPr>
            <w:tcW w:w="9752" w:type="dxa"/>
            <w:gridSpan w:val="2"/>
          </w:tcPr>
          <w:p w14:paraId="547DB256" w14:textId="77777777" w:rsidR="003663AF" w:rsidRPr="00B7760C" w:rsidRDefault="003663AF" w:rsidP="00E804B7">
            <w:pPr>
              <w:keepNext/>
            </w:pPr>
          </w:p>
        </w:tc>
      </w:tr>
      <w:tr w:rsidR="003663AF" w:rsidRPr="00B7760C" w14:paraId="6AE77C51" w14:textId="77777777" w:rsidTr="00E804B7">
        <w:trPr>
          <w:jc w:val="center"/>
        </w:trPr>
        <w:tc>
          <w:tcPr>
            <w:tcW w:w="4876" w:type="dxa"/>
            <w:hideMark/>
          </w:tcPr>
          <w:p w14:paraId="3519D33E" w14:textId="77777777" w:rsidR="003663AF" w:rsidRPr="00B7760C" w:rsidRDefault="003663AF" w:rsidP="00E804B7">
            <w:pPr>
              <w:pStyle w:val="ColumnHeading"/>
              <w:keepNext/>
            </w:pPr>
            <w:r w:rsidRPr="00B7760C">
              <w:t>Besedilo, ki ga predlaga Komisija</w:t>
            </w:r>
          </w:p>
        </w:tc>
        <w:tc>
          <w:tcPr>
            <w:tcW w:w="4876" w:type="dxa"/>
            <w:hideMark/>
          </w:tcPr>
          <w:p w14:paraId="3AC9CDC3" w14:textId="4EC524F2" w:rsidR="003663AF" w:rsidRPr="00B7760C" w:rsidRDefault="00877691" w:rsidP="00E804B7">
            <w:pPr>
              <w:pStyle w:val="ColumnHeading"/>
              <w:keepNext/>
            </w:pPr>
            <w:r w:rsidRPr="00B7760C">
              <w:t>Sprememba</w:t>
            </w:r>
          </w:p>
        </w:tc>
      </w:tr>
      <w:tr w:rsidR="003663AF" w:rsidRPr="00B7760C" w14:paraId="76238C4D" w14:textId="77777777" w:rsidTr="00E804B7">
        <w:trPr>
          <w:jc w:val="center"/>
        </w:trPr>
        <w:tc>
          <w:tcPr>
            <w:tcW w:w="4876" w:type="dxa"/>
          </w:tcPr>
          <w:p w14:paraId="4D991E65" w14:textId="77777777" w:rsidR="003663AF" w:rsidRPr="00B7760C" w:rsidRDefault="003663AF" w:rsidP="00E804B7">
            <w:pPr>
              <w:pStyle w:val="Normal6"/>
            </w:pPr>
          </w:p>
        </w:tc>
        <w:tc>
          <w:tcPr>
            <w:tcW w:w="4876" w:type="dxa"/>
            <w:hideMark/>
          </w:tcPr>
          <w:p w14:paraId="062FE2FC" w14:textId="77777777" w:rsidR="003663AF" w:rsidRPr="00B7760C" w:rsidRDefault="003663AF" w:rsidP="00E804B7">
            <w:pPr>
              <w:pStyle w:val="Normal6"/>
              <w:rPr>
                <w:szCs w:val="24"/>
              </w:rPr>
            </w:pPr>
            <w:r w:rsidRPr="00B7760C">
              <w:rPr>
                <w:b/>
                <w:i/>
              </w:rPr>
              <w:t>(ea)</w:t>
            </w:r>
            <w:r w:rsidRPr="00B7760C">
              <w:rPr>
                <w:b/>
                <w:i/>
              </w:rPr>
              <w:tab/>
              <w:t>povzetek področij, za katera ni osnovnih informacij ali informacije ne zadostujejo za popoln opis aktualnega stanja v zvezi s specifičnimi cilji iz člena 6 in za spremljanje teh ciljev.</w:t>
            </w:r>
          </w:p>
        </w:tc>
      </w:tr>
    </w:tbl>
    <w:p w14:paraId="4CCA4D00" w14:textId="77777777" w:rsidR="003663AF" w:rsidRPr="00B7760C" w:rsidRDefault="003663AF" w:rsidP="003663AF"/>
    <w:p w14:paraId="07F8C98D" w14:textId="7C272E27" w:rsidR="003663AF" w:rsidRPr="00B7760C" w:rsidRDefault="00877691" w:rsidP="003663AF">
      <w:pPr>
        <w:pStyle w:val="AMNumberTabs"/>
        <w:keepNext/>
      </w:pPr>
      <w:r w:rsidRPr="00B7760C">
        <w:t>Sprememba</w:t>
      </w:r>
      <w:r w:rsidR="003663AF" w:rsidRPr="00B7760C">
        <w:tab/>
      </w:r>
      <w:r w:rsidR="003663AF" w:rsidRPr="00B7760C">
        <w:tab/>
        <w:t>589</w:t>
      </w:r>
    </w:p>
    <w:p w14:paraId="6E58E3D0" w14:textId="77777777" w:rsidR="003663AF" w:rsidRPr="00B7760C" w:rsidRDefault="003663AF" w:rsidP="003663AF">
      <w:pPr>
        <w:pStyle w:val="NormalBold12b"/>
      </w:pPr>
      <w:r w:rsidRPr="00B7760C">
        <w:t>Predlog uredbe</w:t>
      </w:r>
    </w:p>
    <w:p w14:paraId="6328883D" w14:textId="77777777" w:rsidR="003663AF" w:rsidRPr="00B7760C" w:rsidRDefault="003663AF" w:rsidP="003663AF">
      <w:pPr>
        <w:pStyle w:val="NormalBold"/>
      </w:pPr>
      <w:r w:rsidRPr="00B7760C">
        <w:t>Člen 96 – odstavek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7C77F56" w14:textId="77777777" w:rsidTr="00E804B7">
        <w:trPr>
          <w:jc w:val="center"/>
        </w:trPr>
        <w:tc>
          <w:tcPr>
            <w:tcW w:w="9752" w:type="dxa"/>
            <w:gridSpan w:val="2"/>
          </w:tcPr>
          <w:p w14:paraId="24FF78BC" w14:textId="77777777" w:rsidR="003663AF" w:rsidRPr="00B7760C" w:rsidRDefault="003663AF" w:rsidP="00E804B7">
            <w:pPr>
              <w:keepNext/>
            </w:pPr>
          </w:p>
        </w:tc>
      </w:tr>
      <w:tr w:rsidR="003663AF" w:rsidRPr="00B7760C" w14:paraId="4FF5C6D1" w14:textId="77777777" w:rsidTr="00E804B7">
        <w:trPr>
          <w:jc w:val="center"/>
        </w:trPr>
        <w:tc>
          <w:tcPr>
            <w:tcW w:w="4876" w:type="dxa"/>
            <w:hideMark/>
          </w:tcPr>
          <w:p w14:paraId="3B6D0B8A" w14:textId="77777777" w:rsidR="003663AF" w:rsidRPr="00B7760C" w:rsidRDefault="003663AF" w:rsidP="00E804B7">
            <w:pPr>
              <w:pStyle w:val="ColumnHeading"/>
              <w:keepNext/>
            </w:pPr>
            <w:r w:rsidRPr="00B7760C">
              <w:t>Besedilo, ki ga predlaga Komisija</w:t>
            </w:r>
          </w:p>
        </w:tc>
        <w:tc>
          <w:tcPr>
            <w:tcW w:w="4876" w:type="dxa"/>
            <w:hideMark/>
          </w:tcPr>
          <w:p w14:paraId="61608C5D" w14:textId="062290FF" w:rsidR="003663AF" w:rsidRPr="00B7760C" w:rsidRDefault="00877691" w:rsidP="00E804B7">
            <w:pPr>
              <w:pStyle w:val="ColumnHeading"/>
              <w:keepNext/>
            </w:pPr>
            <w:r w:rsidRPr="00B7760C">
              <w:t>Sprememba</w:t>
            </w:r>
          </w:p>
        </w:tc>
      </w:tr>
      <w:tr w:rsidR="003663AF" w:rsidRPr="00B7760C" w14:paraId="074D418E" w14:textId="77777777" w:rsidTr="00E804B7">
        <w:trPr>
          <w:jc w:val="center"/>
        </w:trPr>
        <w:tc>
          <w:tcPr>
            <w:tcW w:w="4876" w:type="dxa"/>
            <w:hideMark/>
          </w:tcPr>
          <w:p w14:paraId="22D92382" w14:textId="77777777" w:rsidR="003663AF" w:rsidRPr="00B7760C" w:rsidRDefault="003663AF" w:rsidP="00E804B7">
            <w:pPr>
              <w:pStyle w:val="Normal6"/>
            </w:pPr>
            <w:r w:rsidRPr="00B7760C">
              <w:t>Države članice za to oceno uporabijo najnovejše in najzanesljivejše podatke.</w:t>
            </w:r>
          </w:p>
        </w:tc>
        <w:tc>
          <w:tcPr>
            <w:tcW w:w="4876" w:type="dxa"/>
            <w:hideMark/>
          </w:tcPr>
          <w:p w14:paraId="7F33F50F" w14:textId="77777777" w:rsidR="003663AF" w:rsidRPr="00B7760C" w:rsidRDefault="003663AF" w:rsidP="00E804B7">
            <w:pPr>
              <w:pStyle w:val="Normal6"/>
              <w:rPr>
                <w:szCs w:val="24"/>
              </w:rPr>
            </w:pPr>
            <w:r w:rsidRPr="00B7760C">
              <w:t xml:space="preserve">Države članice za to oceno uporabijo najnovejše in najzanesljivejše podatke </w:t>
            </w:r>
            <w:r w:rsidRPr="00B7760C">
              <w:rPr>
                <w:b/>
                <w:i/>
              </w:rPr>
              <w:t>ter po potrebi uporabljajo podatke, razčlenjene po spolu</w:t>
            </w:r>
            <w:r w:rsidRPr="00B7760C">
              <w:t>.</w:t>
            </w:r>
          </w:p>
        </w:tc>
      </w:tr>
    </w:tbl>
    <w:p w14:paraId="39D896DD" w14:textId="77777777" w:rsidR="003663AF" w:rsidRPr="00B7760C" w:rsidRDefault="003663AF" w:rsidP="003663AF"/>
    <w:p w14:paraId="4520718E" w14:textId="77213FCE" w:rsidR="003663AF" w:rsidRPr="00B7760C" w:rsidRDefault="00877691" w:rsidP="003663AF">
      <w:pPr>
        <w:pStyle w:val="AMNumberTabs"/>
        <w:keepNext/>
      </w:pPr>
      <w:r w:rsidRPr="00B7760C">
        <w:t>Sprememba</w:t>
      </w:r>
      <w:r w:rsidR="003663AF" w:rsidRPr="00B7760C">
        <w:tab/>
      </w:r>
      <w:r w:rsidR="003663AF" w:rsidRPr="00B7760C">
        <w:tab/>
        <w:t>590</w:t>
      </w:r>
    </w:p>
    <w:p w14:paraId="08B12330" w14:textId="77777777" w:rsidR="003663AF" w:rsidRPr="00B7760C" w:rsidRDefault="003663AF" w:rsidP="003663AF">
      <w:pPr>
        <w:pStyle w:val="NormalBold12b"/>
      </w:pPr>
      <w:r w:rsidRPr="00B7760C">
        <w:t>Predlog uredbe</w:t>
      </w:r>
    </w:p>
    <w:p w14:paraId="0E9FB0AC" w14:textId="77777777" w:rsidR="003663AF" w:rsidRPr="00B7760C" w:rsidRDefault="003663AF" w:rsidP="003663AF">
      <w:pPr>
        <w:pStyle w:val="NormalBold"/>
      </w:pPr>
      <w:r w:rsidRPr="00B7760C">
        <w:t>Člen 97 – odstavek 2 – točka a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F084D50" w14:textId="77777777" w:rsidTr="00E804B7">
        <w:trPr>
          <w:jc w:val="center"/>
        </w:trPr>
        <w:tc>
          <w:tcPr>
            <w:tcW w:w="9752" w:type="dxa"/>
            <w:gridSpan w:val="2"/>
          </w:tcPr>
          <w:p w14:paraId="1F496DDC" w14:textId="77777777" w:rsidR="003663AF" w:rsidRPr="00B7760C" w:rsidRDefault="003663AF" w:rsidP="00E804B7">
            <w:pPr>
              <w:keepNext/>
            </w:pPr>
          </w:p>
        </w:tc>
      </w:tr>
      <w:tr w:rsidR="003663AF" w:rsidRPr="00B7760C" w14:paraId="575189B8" w14:textId="77777777" w:rsidTr="00E804B7">
        <w:trPr>
          <w:jc w:val="center"/>
        </w:trPr>
        <w:tc>
          <w:tcPr>
            <w:tcW w:w="4876" w:type="dxa"/>
            <w:hideMark/>
          </w:tcPr>
          <w:p w14:paraId="5C8ADF56" w14:textId="77777777" w:rsidR="003663AF" w:rsidRPr="00B7760C" w:rsidRDefault="003663AF" w:rsidP="00E804B7">
            <w:pPr>
              <w:pStyle w:val="ColumnHeading"/>
              <w:keepNext/>
            </w:pPr>
            <w:r w:rsidRPr="00B7760C">
              <w:t>Besedilo, ki ga predlaga Komisija</w:t>
            </w:r>
          </w:p>
        </w:tc>
        <w:tc>
          <w:tcPr>
            <w:tcW w:w="4876" w:type="dxa"/>
            <w:hideMark/>
          </w:tcPr>
          <w:p w14:paraId="56A6C7F3" w14:textId="5199B261" w:rsidR="003663AF" w:rsidRPr="00B7760C" w:rsidRDefault="00877691" w:rsidP="00E804B7">
            <w:pPr>
              <w:pStyle w:val="ColumnHeading"/>
              <w:keepNext/>
            </w:pPr>
            <w:r w:rsidRPr="00B7760C">
              <w:t>Sprememba</w:t>
            </w:r>
          </w:p>
        </w:tc>
      </w:tr>
      <w:tr w:rsidR="003663AF" w:rsidRPr="00B7760C" w14:paraId="32D7E8AA" w14:textId="77777777" w:rsidTr="00E804B7">
        <w:trPr>
          <w:jc w:val="center"/>
        </w:trPr>
        <w:tc>
          <w:tcPr>
            <w:tcW w:w="4876" w:type="dxa"/>
          </w:tcPr>
          <w:p w14:paraId="6E1D4CE1" w14:textId="77777777" w:rsidR="003663AF" w:rsidRPr="00B7760C" w:rsidRDefault="003663AF" w:rsidP="00E804B7">
            <w:pPr>
              <w:pStyle w:val="Normal6"/>
            </w:pPr>
          </w:p>
        </w:tc>
        <w:tc>
          <w:tcPr>
            <w:tcW w:w="4876" w:type="dxa"/>
            <w:hideMark/>
          </w:tcPr>
          <w:p w14:paraId="751B494C" w14:textId="77777777" w:rsidR="003663AF" w:rsidRPr="00B7760C" w:rsidRDefault="003663AF" w:rsidP="00E804B7">
            <w:pPr>
              <w:pStyle w:val="Normal6"/>
              <w:rPr>
                <w:szCs w:val="24"/>
              </w:rPr>
            </w:pPr>
            <w:r w:rsidRPr="00B7760C">
              <w:rPr>
                <w:b/>
                <w:i/>
              </w:rPr>
              <w:t>(aa)</w:t>
            </w:r>
            <w:r w:rsidRPr="00B7760C">
              <w:rPr>
                <w:b/>
                <w:i/>
              </w:rPr>
              <w:tab/>
              <w:t>razlaga družbene in gospodarske strukture strateškega načrta SKP, kjer je opisano dopolnjevanje med različnimi intervencijami in njihovi osnovni pogoji ter specifični cilji, povezani z gospodarskim razvojem kmetijstva in podeželja iz točk (a), (b), (c), (g), (h) in (i) člena 6(1);</w:t>
            </w:r>
          </w:p>
        </w:tc>
      </w:tr>
    </w:tbl>
    <w:p w14:paraId="20058592" w14:textId="77777777" w:rsidR="003663AF" w:rsidRPr="00B7760C" w:rsidRDefault="003663AF" w:rsidP="003663AF"/>
    <w:p w14:paraId="0EE1F447" w14:textId="105D067D" w:rsidR="003663AF" w:rsidRPr="00B7760C" w:rsidRDefault="00877691" w:rsidP="003663AF">
      <w:pPr>
        <w:pStyle w:val="AMNumberTabs"/>
        <w:keepNext/>
      </w:pPr>
      <w:r w:rsidRPr="00B7760C">
        <w:t>Sprememba</w:t>
      </w:r>
      <w:r w:rsidR="003663AF" w:rsidRPr="00B7760C">
        <w:tab/>
      </w:r>
      <w:r w:rsidR="003663AF" w:rsidRPr="00B7760C">
        <w:tab/>
        <w:t>591</w:t>
      </w:r>
    </w:p>
    <w:p w14:paraId="0D651127" w14:textId="77777777" w:rsidR="003663AF" w:rsidRPr="00B7760C" w:rsidRDefault="003663AF" w:rsidP="003663AF">
      <w:pPr>
        <w:pStyle w:val="NormalBold12b"/>
      </w:pPr>
      <w:r w:rsidRPr="00B7760C">
        <w:t>Predlog uredbe</w:t>
      </w:r>
    </w:p>
    <w:p w14:paraId="794FB1F9" w14:textId="77777777" w:rsidR="003663AF" w:rsidRPr="00B7760C" w:rsidRDefault="003663AF" w:rsidP="003663AF">
      <w:pPr>
        <w:pStyle w:val="NormalBold"/>
      </w:pPr>
      <w:r w:rsidRPr="00B7760C">
        <w:t>Člen 97 – odstavek 2 – točka b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65E873C" w14:textId="77777777" w:rsidTr="00E804B7">
        <w:trPr>
          <w:jc w:val="center"/>
        </w:trPr>
        <w:tc>
          <w:tcPr>
            <w:tcW w:w="9752" w:type="dxa"/>
            <w:gridSpan w:val="2"/>
          </w:tcPr>
          <w:p w14:paraId="016B8F21" w14:textId="77777777" w:rsidR="003663AF" w:rsidRPr="00B7760C" w:rsidRDefault="003663AF" w:rsidP="00E804B7">
            <w:pPr>
              <w:keepNext/>
            </w:pPr>
          </w:p>
        </w:tc>
      </w:tr>
      <w:tr w:rsidR="003663AF" w:rsidRPr="00B7760C" w14:paraId="76615B79" w14:textId="77777777" w:rsidTr="00E804B7">
        <w:trPr>
          <w:jc w:val="center"/>
        </w:trPr>
        <w:tc>
          <w:tcPr>
            <w:tcW w:w="4876" w:type="dxa"/>
            <w:hideMark/>
          </w:tcPr>
          <w:p w14:paraId="4376BCA6" w14:textId="77777777" w:rsidR="003663AF" w:rsidRPr="00B7760C" w:rsidRDefault="003663AF" w:rsidP="00E804B7">
            <w:pPr>
              <w:pStyle w:val="ColumnHeading"/>
              <w:keepNext/>
            </w:pPr>
            <w:r w:rsidRPr="00B7760C">
              <w:t>Besedilo, ki ga predlaga Komisija</w:t>
            </w:r>
          </w:p>
        </w:tc>
        <w:tc>
          <w:tcPr>
            <w:tcW w:w="4876" w:type="dxa"/>
            <w:hideMark/>
          </w:tcPr>
          <w:p w14:paraId="3D3005F5" w14:textId="5BCE9551" w:rsidR="003663AF" w:rsidRPr="00B7760C" w:rsidRDefault="00877691" w:rsidP="00E804B7">
            <w:pPr>
              <w:pStyle w:val="ColumnHeading"/>
              <w:keepNext/>
            </w:pPr>
            <w:r w:rsidRPr="00B7760C">
              <w:t>Sprememba</w:t>
            </w:r>
          </w:p>
        </w:tc>
      </w:tr>
      <w:tr w:rsidR="003663AF" w:rsidRPr="00B7760C" w14:paraId="67392374" w14:textId="77777777" w:rsidTr="00E804B7">
        <w:trPr>
          <w:jc w:val="center"/>
        </w:trPr>
        <w:tc>
          <w:tcPr>
            <w:tcW w:w="4876" w:type="dxa"/>
          </w:tcPr>
          <w:p w14:paraId="0FFF1823" w14:textId="77777777" w:rsidR="003663AF" w:rsidRPr="00B7760C" w:rsidRDefault="003663AF" w:rsidP="00E804B7">
            <w:pPr>
              <w:pStyle w:val="Normal6"/>
            </w:pPr>
          </w:p>
        </w:tc>
        <w:tc>
          <w:tcPr>
            <w:tcW w:w="4876" w:type="dxa"/>
            <w:hideMark/>
          </w:tcPr>
          <w:p w14:paraId="484DAED6" w14:textId="77777777" w:rsidR="003663AF" w:rsidRPr="00B7760C" w:rsidRDefault="003663AF" w:rsidP="00E804B7">
            <w:pPr>
              <w:pStyle w:val="Normal6"/>
              <w:rPr>
                <w:szCs w:val="24"/>
              </w:rPr>
            </w:pPr>
            <w:r w:rsidRPr="00B7760C">
              <w:rPr>
                <w:b/>
                <w:i/>
              </w:rPr>
              <w:t>(ba)</w:t>
            </w:r>
            <w:r w:rsidRPr="00B7760C">
              <w:rPr>
                <w:b/>
                <w:i/>
              </w:rPr>
              <w:tab/>
              <w:t>po potrebi splošna vizija, kako strateški načrt SKP obravnava potrebe kmetijskih sistemov z visoko naravno vrednostjo, vključno z vidiki, povezanimi z družbeno-gospodarsko vzdržnostjo;</w:t>
            </w:r>
          </w:p>
        </w:tc>
      </w:tr>
    </w:tbl>
    <w:p w14:paraId="1611FF92" w14:textId="77777777" w:rsidR="003663AF" w:rsidRPr="00B7760C" w:rsidRDefault="003663AF" w:rsidP="003663AF"/>
    <w:p w14:paraId="4B864321" w14:textId="1F432F33" w:rsidR="003663AF" w:rsidRPr="00B7760C" w:rsidRDefault="00877691" w:rsidP="003663AF">
      <w:pPr>
        <w:pStyle w:val="AMNumberTabs"/>
        <w:keepNext/>
      </w:pPr>
      <w:r w:rsidRPr="00B7760C">
        <w:t>Sprememba</w:t>
      </w:r>
      <w:r w:rsidR="003663AF" w:rsidRPr="00B7760C">
        <w:tab/>
      </w:r>
      <w:r w:rsidR="003663AF" w:rsidRPr="00B7760C">
        <w:tab/>
        <w:t>592</w:t>
      </w:r>
    </w:p>
    <w:p w14:paraId="78CA2094" w14:textId="77777777" w:rsidR="003663AF" w:rsidRPr="00B7760C" w:rsidRDefault="003663AF" w:rsidP="003663AF">
      <w:pPr>
        <w:pStyle w:val="NormalBold12b"/>
      </w:pPr>
      <w:r w:rsidRPr="00B7760C">
        <w:t>Predlog uredbe</w:t>
      </w:r>
    </w:p>
    <w:p w14:paraId="7D50B490" w14:textId="77777777" w:rsidR="003663AF" w:rsidRPr="00B7760C" w:rsidRDefault="003663AF" w:rsidP="003663AF">
      <w:pPr>
        <w:pStyle w:val="NormalBold"/>
      </w:pPr>
      <w:r w:rsidRPr="00B7760C">
        <w:t>Člen 97 – odstavek 2 – točka c</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F2023BB" w14:textId="77777777" w:rsidTr="00E804B7">
        <w:trPr>
          <w:jc w:val="center"/>
        </w:trPr>
        <w:tc>
          <w:tcPr>
            <w:tcW w:w="9752" w:type="dxa"/>
            <w:gridSpan w:val="2"/>
          </w:tcPr>
          <w:p w14:paraId="1C2C009C" w14:textId="77777777" w:rsidR="003663AF" w:rsidRPr="00B7760C" w:rsidRDefault="003663AF" w:rsidP="00E804B7">
            <w:pPr>
              <w:keepNext/>
            </w:pPr>
          </w:p>
        </w:tc>
      </w:tr>
      <w:tr w:rsidR="003663AF" w:rsidRPr="00B7760C" w14:paraId="52DE7A98" w14:textId="77777777" w:rsidTr="00E804B7">
        <w:trPr>
          <w:jc w:val="center"/>
        </w:trPr>
        <w:tc>
          <w:tcPr>
            <w:tcW w:w="4876" w:type="dxa"/>
            <w:hideMark/>
          </w:tcPr>
          <w:p w14:paraId="6F07AC93" w14:textId="77777777" w:rsidR="003663AF" w:rsidRPr="00B7760C" w:rsidRDefault="003663AF" w:rsidP="00E804B7">
            <w:pPr>
              <w:pStyle w:val="ColumnHeading"/>
              <w:keepNext/>
            </w:pPr>
            <w:r w:rsidRPr="00B7760C">
              <w:t>Besedilo, ki ga predlaga Komisija</w:t>
            </w:r>
          </w:p>
        </w:tc>
        <w:tc>
          <w:tcPr>
            <w:tcW w:w="4876" w:type="dxa"/>
            <w:hideMark/>
          </w:tcPr>
          <w:p w14:paraId="147475F8" w14:textId="6F768B25" w:rsidR="003663AF" w:rsidRPr="00B7760C" w:rsidRDefault="00877691" w:rsidP="00E804B7">
            <w:pPr>
              <w:pStyle w:val="ColumnHeading"/>
              <w:keepNext/>
            </w:pPr>
            <w:r w:rsidRPr="00B7760C">
              <w:t>Sprememba</w:t>
            </w:r>
          </w:p>
        </w:tc>
      </w:tr>
      <w:tr w:rsidR="003663AF" w:rsidRPr="00B7760C" w14:paraId="4A3A5049" w14:textId="77777777" w:rsidTr="00E804B7">
        <w:trPr>
          <w:jc w:val="center"/>
        </w:trPr>
        <w:tc>
          <w:tcPr>
            <w:tcW w:w="4876" w:type="dxa"/>
            <w:hideMark/>
          </w:tcPr>
          <w:p w14:paraId="3C11E858" w14:textId="77777777" w:rsidR="003663AF" w:rsidRPr="00B7760C" w:rsidRDefault="003663AF" w:rsidP="00E804B7">
            <w:pPr>
              <w:pStyle w:val="Normal6"/>
            </w:pPr>
            <w:r w:rsidRPr="00B7760C">
              <w:t>(c)</w:t>
            </w:r>
            <w:r w:rsidRPr="00B7760C">
              <w:tab/>
              <w:t xml:space="preserve">v zvezi s </w:t>
            </w:r>
            <w:r w:rsidRPr="00B7760C">
              <w:rPr>
                <w:b/>
                <w:i/>
              </w:rPr>
              <w:t xml:space="preserve">specifičnim </w:t>
            </w:r>
            <w:r w:rsidRPr="00B7760C">
              <w:t xml:space="preserve">ciljem „privabljanje mladih kmetov in spodbujanje razvoja podjetij“ </w:t>
            </w:r>
            <w:r w:rsidRPr="00B7760C">
              <w:rPr>
                <w:b/>
                <w:i/>
              </w:rPr>
              <w:t>iz točke</w:t>
            </w:r>
            <w:r w:rsidRPr="00B7760C">
              <w:t xml:space="preserve"> (g) člena 6(1) se predstavi pregled intervencij in posebnih pogojev v zvezi s strateškim načrtom SKP, kot so intervencije in posebni pogoji, določeni v členu 22(4), členih 27 in 69 ter členu 71(7). Države članice se pri predstavitvi finančnega načrta v zvezi z vrstami intervencij iz členov 27 in 69 sklicujejo zlasti na člen 86(5). V pregledu je pojasnjeno tudi medsebojno delovanje z nacionalnimi instrumenti, da bi se izboljšala usklajenost med ukrepi Unije in nacionalnimi ukrepi na tem področju;</w:t>
            </w:r>
          </w:p>
        </w:tc>
        <w:tc>
          <w:tcPr>
            <w:tcW w:w="4876" w:type="dxa"/>
            <w:hideMark/>
          </w:tcPr>
          <w:p w14:paraId="160B4A9E" w14:textId="77777777" w:rsidR="003663AF" w:rsidRPr="00B7760C" w:rsidRDefault="003663AF" w:rsidP="00E804B7">
            <w:pPr>
              <w:pStyle w:val="Normal6"/>
              <w:rPr>
                <w:szCs w:val="24"/>
              </w:rPr>
            </w:pPr>
            <w:r w:rsidRPr="00B7760C">
              <w:t>(c)</w:t>
            </w:r>
            <w:r w:rsidRPr="00B7760C">
              <w:tab/>
              <w:t xml:space="preserve">v zvezi s ciljem „privabljanje mladih kmetov in spodbujanje razvoja podjetij“ </w:t>
            </w:r>
            <w:r w:rsidRPr="00B7760C">
              <w:rPr>
                <w:b/>
                <w:i/>
              </w:rPr>
              <w:t>v skladu s točko</w:t>
            </w:r>
            <w:r w:rsidRPr="00B7760C">
              <w:t xml:space="preserve"> (g) člena 6(1) se predstavi pregled intervencij in posebnih pogojev v zvezi s strateškim načrtom SKP, kot so intervencije in posebni pogoji, določeni v členu 22(4), členih 27 in 69 ter členu 71(7). Države članice se pri predstavitvi finančnega načrta v zvezi z vrstami intervencij iz členov 27 in 69 sklicujejo zlasti na člen 86(5). V pregledu je pojasnjeno tudi medsebojno delovanje z nacionalnimi instrumenti, da bi se izboljšala usklajenost med ukrepi Unije in nacionalnimi ukrepi na tem področju;</w:t>
            </w:r>
          </w:p>
        </w:tc>
      </w:tr>
    </w:tbl>
    <w:p w14:paraId="3A26E5E6" w14:textId="77777777" w:rsidR="003663AF" w:rsidRPr="00B7760C" w:rsidRDefault="003663AF" w:rsidP="003663AF"/>
    <w:p w14:paraId="014E792F" w14:textId="31C4FF8E" w:rsidR="003663AF" w:rsidRPr="00B7760C" w:rsidRDefault="00877691" w:rsidP="003663AF">
      <w:pPr>
        <w:pStyle w:val="AMNumberTabs"/>
        <w:keepNext/>
      </w:pPr>
      <w:r w:rsidRPr="00B7760C">
        <w:t>Sprememba</w:t>
      </w:r>
      <w:r w:rsidR="003663AF" w:rsidRPr="00B7760C">
        <w:tab/>
      </w:r>
      <w:r w:rsidR="003663AF" w:rsidRPr="00B7760C">
        <w:tab/>
        <w:t>593</w:t>
      </w:r>
    </w:p>
    <w:p w14:paraId="3A8B9E45" w14:textId="77777777" w:rsidR="003663AF" w:rsidRPr="00B7760C" w:rsidRDefault="003663AF" w:rsidP="003663AF">
      <w:pPr>
        <w:pStyle w:val="NormalBold12b"/>
      </w:pPr>
      <w:r w:rsidRPr="00B7760C">
        <w:t>Predlog uredbe</w:t>
      </w:r>
    </w:p>
    <w:p w14:paraId="19439EA0" w14:textId="77777777" w:rsidR="003663AF" w:rsidRPr="00B7760C" w:rsidRDefault="003663AF" w:rsidP="003663AF">
      <w:pPr>
        <w:pStyle w:val="NormalBold"/>
      </w:pPr>
      <w:r w:rsidRPr="00B7760C">
        <w:t>Člen 97 – odstavek 2 – točka f</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173B7FC" w14:textId="77777777" w:rsidTr="00E804B7">
        <w:trPr>
          <w:jc w:val="center"/>
        </w:trPr>
        <w:tc>
          <w:tcPr>
            <w:tcW w:w="9752" w:type="dxa"/>
            <w:gridSpan w:val="2"/>
          </w:tcPr>
          <w:p w14:paraId="52293219" w14:textId="77777777" w:rsidR="003663AF" w:rsidRPr="00B7760C" w:rsidRDefault="003663AF" w:rsidP="00E804B7">
            <w:pPr>
              <w:keepNext/>
            </w:pPr>
          </w:p>
        </w:tc>
      </w:tr>
      <w:tr w:rsidR="003663AF" w:rsidRPr="00B7760C" w14:paraId="74B6AC9A" w14:textId="77777777" w:rsidTr="00E804B7">
        <w:trPr>
          <w:jc w:val="center"/>
        </w:trPr>
        <w:tc>
          <w:tcPr>
            <w:tcW w:w="4876" w:type="dxa"/>
            <w:hideMark/>
          </w:tcPr>
          <w:p w14:paraId="1F65FC4A" w14:textId="77777777" w:rsidR="003663AF" w:rsidRPr="00B7760C" w:rsidRDefault="003663AF" w:rsidP="00E804B7">
            <w:pPr>
              <w:pStyle w:val="ColumnHeading"/>
              <w:keepNext/>
            </w:pPr>
            <w:r w:rsidRPr="00B7760C">
              <w:t>Besedilo, ki ga predlaga Komisija</w:t>
            </w:r>
          </w:p>
        </w:tc>
        <w:tc>
          <w:tcPr>
            <w:tcW w:w="4876" w:type="dxa"/>
            <w:hideMark/>
          </w:tcPr>
          <w:p w14:paraId="268C7023" w14:textId="6D8CC0D3" w:rsidR="003663AF" w:rsidRPr="00B7760C" w:rsidRDefault="00877691" w:rsidP="00E804B7">
            <w:pPr>
              <w:pStyle w:val="ColumnHeading"/>
              <w:keepNext/>
            </w:pPr>
            <w:r w:rsidRPr="00B7760C">
              <w:t>Sprememba</w:t>
            </w:r>
          </w:p>
        </w:tc>
      </w:tr>
      <w:tr w:rsidR="003663AF" w:rsidRPr="00B7760C" w14:paraId="114A1A9E" w14:textId="77777777" w:rsidTr="00E804B7">
        <w:trPr>
          <w:jc w:val="center"/>
        </w:trPr>
        <w:tc>
          <w:tcPr>
            <w:tcW w:w="4876" w:type="dxa"/>
          </w:tcPr>
          <w:p w14:paraId="1F089180" w14:textId="77777777" w:rsidR="003663AF" w:rsidRPr="00B7760C" w:rsidRDefault="003663AF" w:rsidP="00E804B7">
            <w:pPr>
              <w:pStyle w:val="Normal6"/>
            </w:pPr>
            <w:r w:rsidRPr="00B7760C">
              <w:t>(f)</w:t>
            </w:r>
            <w:r w:rsidRPr="00B7760C">
              <w:rPr>
                <w:b/>
                <w:i/>
              </w:rPr>
              <w:tab/>
            </w:r>
            <w:r w:rsidRPr="00B7760C">
              <w:t>opis medsebojnega delovanja med nacionalnimi in regionalnimi intervencijami, vključno s porazdelitvijo dodeljenih finančnih sredstev na ukrep in na sklad</w:t>
            </w:r>
            <w:r w:rsidRPr="00B7760C">
              <w:rPr>
                <w:b/>
                <w:i/>
              </w:rPr>
              <w:t>.</w:t>
            </w:r>
          </w:p>
        </w:tc>
        <w:tc>
          <w:tcPr>
            <w:tcW w:w="4876" w:type="dxa"/>
          </w:tcPr>
          <w:p w14:paraId="26C2913A" w14:textId="77777777" w:rsidR="003663AF" w:rsidRPr="00B7760C" w:rsidRDefault="003663AF" w:rsidP="00E804B7">
            <w:pPr>
              <w:pStyle w:val="Normal6"/>
              <w:rPr>
                <w:szCs w:val="24"/>
              </w:rPr>
            </w:pPr>
            <w:r w:rsidRPr="00B7760C">
              <w:t>(f)</w:t>
            </w:r>
            <w:r w:rsidRPr="00B7760C">
              <w:rPr>
                <w:b/>
                <w:i/>
              </w:rPr>
              <w:tab/>
            </w:r>
            <w:r w:rsidRPr="00B7760C">
              <w:t>opis medsebojnega delovanja med nacionalnimi in regionalnimi intervencijami, vključno s porazdelitvijo dodeljenih finančnih sredstev na ukrep in na sklad</w:t>
            </w:r>
            <w:r w:rsidRPr="00B7760C">
              <w:rPr>
                <w:b/>
                <w:i/>
              </w:rPr>
              <w:t>;</w:t>
            </w:r>
            <w:r w:rsidRPr="00B7760C">
              <w:t xml:space="preserve"> </w:t>
            </w:r>
            <w:r w:rsidRPr="00B7760C">
              <w:rPr>
                <w:b/>
                <w:i/>
              </w:rPr>
              <w:t>ter</w:t>
            </w:r>
          </w:p>
        </w:tc>
      </w:tr>
    </w:tbl>
    <w:p w14:paraId="0B459E03" w14:textId="77777777" w:rsidR="00C7565D" w:rsidRPr="00B7760C" w:rsidRDefault="00C7565D" w:rsidP="003663AF"/>
    <w:p w14:paraId="0AACBC92" w14:textId="77777777" w:rsidR="003663AF" w:rsidRPr="00B7760C" w:rsidRDefault="003663AF" w:rsidP="003663AF">
      <w:pPr>
        <w:pStyle w:val="Normal6"/>
      </w:pPr>
    </w:p>
    <w:p w14:paraId="1FCADBDF" w14:textId="4BCE617A" w:rsidR="003663AF" w:rsidRPr="00B7760C" w:rsidRDefault="00877691" w:rsidP="003663AF">
      <w:pPr>
        <w:pStyle w:val="AMNumberTabs"/>
        <w:keepNext/>
      </w:pPr>
      <w:r w:rsidRPr="00B7760C">
        <w:t>Sprememba</w:t>
      </w:r>
      <w:r w:rsidR="003663AF" w:rsidRPr="00B7760C">
        <w:tab/>
      </w:r>
      <w:r w:rsidR="003663AF" w:rsidRPr="00B7760C">
        <w:tab/>
        <w:t>594</w:t>
      </w:r>
    </w:p>
    <w:p w14:paraId="4461C1A5" w14:textId="77777777" w:rsidR="003663AF" w:rsidRPr="00B7760C" w:rsidRDefault="003663AF" w:rsidP="003663AF">
      <w:pPr>
        <w:pStyle w:val="NormalBold12b"/>
      </w:pPr>
      <w:r w:rsidRPr="00B7760C">
        <w:t>Predlog uredbe</w:t>
      </w:r>
    </w:p>
    <w:p w14:paraId="754EA34A" w14:textId="77777777" w:rsidR="003663AF" w:rsidRPr="00B7760C" w:rsidRDefault="003663AF" w:rsidP="003663AF">
      <w:pPr>
        <w:pStyle w:val="NormalBold"/>
      </w:pPr>
      <w:r w:rsidRPr="00B7760C">
        <w:t>Člen 97 – odstavek 2 – točka f a (novo)</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CD68DBC" w14:textId="77777777" w:rsidTr="00202E2D">
        <w:trPr>
          <w:jc w:val="center"/>
        </w:trPr>
        <w:tc>
          <w:tcPr>
            <w:tcW w:w="9752" w:type="dxa"/>
            <w:gridSpan w:val="2"/>
          </w:tcPr>
          <w:p w14:paraId="64DB519B" w14:textId="77777777" w:rsidR="003663AF" w:rsidRPr="00B7760C" w:rsidRDefault="003663AF" w:rsidP="00E804B7">
            <w:pPr>
              <w:keepNext/>
            </w:pPr>
          </w:p>
        </w:tc>
      </w:tr>
      <w:tr w:rsidR="003663AF" w:rsidRPr="00B7760C" w14:paraId="4FAA1368" w14:textId="77777777" w:rsidTr="00202E2D">
        <w:trPr>
          <w:jc w:val="center"/>
        </w:trPr>
        <w:tc>
          <w:tcPr>
            <w:tcW w:w="4876" w:type="dxa"/>
            <w:hideMark/>
          </w:tcPr>
          <w:p w14:paraId="5E084AC0" w14:textId="77777777" w:rsidR="003663AF" w:rsidRPr="00B7760C" w:rsidRDefault="003663AF" w:rsidP="00E804B7">
            <w:pPr>
              <w:pStyle w:val="ColumnHeading"/>
              <w:keepNext/>
            </w:pPr>
            <w:r w:rsidRPr="00B7760C">
              <w:t>Besedilo, ki ga predlaga Komisija</w:t>
            </w:r>
          </w:p>
        </w:tc>
        <w:tc>
          <w:tcPr>
            <w:tcW w:w="4876" w:type="dxa"/>
            <w:hideMark/>
          </w:tcPr>
          <w:p w14:paraId="7F287F56" w14:textId="477E64DB" w:rsidR="003663AF" w:rsidRPr="00B7760C" w:rsidRDefault="00877691" w:rsidP="00E804B7">
            <w:pPr>
              <w:pStyle w:val="ColumnHeading"/>
              <w:keepNext/>
            </w:pPr>
            <w:r w:rsidRPr="00B7760C">
              <w:t>Sprememba</w:t>
            </w:r>
          </w:p>
        </w:tc>
      </w:tr>
      <w:tr w:rsidR="003663AF" w:rsidRPr="00B7760C" w14:paraId="1C109EE8" w14:textId="77777777" w:rsidTr="00202E2D">
        <w:trPr>
          <w:jc w:val="center"/>
        </w:trPr>
        <w:tc>
          <w:tcPr>
            <w:tcW w:w="4876" w:type="dxa"/>
          </w:tcPr>
          <w:p w14:paraId="4AB75EB6" w14:textId="77777777" w:rsidR="003663AF" w:rsidRPr="00B7760C" w:rsidRDefault="003663AF" w:rsidP="00E804B7">
            <w:pPr>
              <w:pStyle w:val="Normal6"/>
            </w:pPr>
          </w:p>
        </w:tc>
        <w:tc>
          <w:tcPr>
            <w:tcW w:w="4876" w:type="dxa"/>
            <w:hideMark/>
          </w:tcPr>
          <w:p w14:paraId="77B95577" w14:textId="77777777" w:rsidR="003663AF" w:rsidRPr="00B7760C" w:rsidRDefault="003663AF" w:rsidP="00E804B7">
            <w:pPr>
              <w:pStyle w:val="Normal6"/>
              <w:rPr>
                <w:szCs w:val="24"/>
              </w:rPr>
            </w:pPr>
            <w:r w:rsidRPr="00B7760C">
              <w:rPr>
                <w:b/>
                <w:i/>
              </w:rPr>
              <w:t>(fa)</w:t>
            </w:r>
            <w:r w:rsidRPr="00B7760C">
              <w:rPr>
                <w:b/>
                <w:i/>
              </w:rPr>
              <w:tab/>
              <w:t>pojasnilo, kako naj bi strateški načrt SKP prispeval k cilju izboljšanja zdravja in dobrega počutja živali ter zmanjšanja protimikrobne odpornosti. Države članice se zlasti sklicujejo na vrste intervencij iz členov 28 in 65.</w:t>
            </w:r>
          </w:p>
        </w:tc>
      </w:tr>
    </w:tbl>
    <w:p w14:paraId="30DD54AB" w14:textId="77777777" w:rsidR="00202E2D" w:rsidRPr="00B7760C" w:rsidRDefault="00202E2D" w:rsidP="00202E2D"/>
    <w:p w14:paraId="36060142" w14:textId="77777777" w:rsidR="00202E2D" w:rsidRPr="00B7760C" w:rsidRDefault="00202E2D" w:rsidP="00202E2D">
      <w:pPr>
        <w:pStyle w:val="AmNumberTabs0"/>
      </w:pPr>
      <w:r w:rsidRPr="00B7760C">
        <w:t>Sprememba</w:t>
      </w:r>
      <w:r w:rsidRPr="00B7760C">
        <w:tab/>
      </w:r>
      <w:r w:rsidRPr="00B7760C">
        <w:tab/>
        <w:t>1112</w:t>
      </w:r>
    </w:p>
    <w:p w14:paraId="1F6B125A" w14:textId="77777777" w:rsidR="00202E2D" w:rsidRPr="00B7760C" w:rsidRDefault="00202E2D" w:rsidP="00202E2D">
      <w:pPr>
        <w:pStyle w:val="NormalBold12b"/>
      </w:pPr>
      <w:r w:rsidRPr="00B7760C">
        <w:t>Predlog uredbe</w:t>
      </w:r>
    </w:p>
    <w:p w14:paraId="69ABC436" w14:textId="2E16E2F8" w:rsidR="00202E2D" w:rsidRPr="00B7760C" w:rsidRDefault="00202E2D" w:rsidP="00202E2D">
      <w:pPr>
        <w:pStyle w:val="NormalBold"/>
      </w:pPr>
      <w:r w:rsidRPr="00B7760C">
        <w:t>Člen 97 – odstavek 2 – točka f b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02E2D" w:rsidRPr="00B7760C" w14:paraId="11CBA2C6" w14:textId="77777777" w:rsidTr="006A3A9D">
        <w:trPr>
          <w:trHeight w:hRule="exact" w:val="240"/>
          <w:jc w:val="center"/>
        </w:trPr>
        <w:tc>
          <w:tcPr>
            <w:tcW w:w="9752" w:type="dxa"/>
            <w:gridSpan w:val="2"/>
          </w:tcPr>
          <w:p w14:paraId="7D932A53" w14:textId="77777777" w:rsidR="00202E2D" w:rsidRPr="00B7760C" w:rsidRDefault="00202E2D" w:rsidP="006A3A9D"/>
        </w:tc>
      </w:tr>
      <w:tr w:rsidR="00202E2D" w:rsidRPr="00B7760C" w14:paraId="57C50F17" w14:textId="77777777" w:rsidTr="006A3A9D">
        <w:trPr>
          <w:trHeight w:val="240"/>
          <w:jc w:val="center"/>
        </w:trPr>
        <w:tc>
          <w:tcPr>
            <w:tcW w:w="4876" w:type="dxa"/>
          </w:tcPr>
          <w:p w14:paraId="4C3039B4" w14:textId="77777777" w:rsidR="00202E2D" w:rsidRPr="00B7760C" w:rsidRDefault="00202E2D" w:rsidP="006A3A9D">
            <w:pPr>
              <w:pStyle w:val="AmColumnHeading"/>
            </w:pPr>
            <w:r w:rsidRPr="00B7760C">
              <w:t>Besedilo, ki ga predlaga Komisija</w:t>
            </w:r>
          </w:p>
        </w:tc>
        <w:tc>
          <w:tcPr>
            <w:tcW w:w="4876" w:type="dxa"/>
          </w:tcPr>
          <w:p w14:paraId="71229BEF" w14:textId="77777777" w:rsidR="00202E2D" w:rsidRPr="00B7760C" w:rsidRDefault="00202E2D" w:rsidP="006A3A9D">
            <w:pPr>
              <w:pStyle w:val="AmColumnHeading"/>
            </w:pPr>
            <w:r w:rsidRPr="00B7760C">
              <w:t>Sprememba</w:t>
            </w:r>
          </w:p>
        </w:tc>
      </w:tr>
      <w:tr w:rsidR="00202E2D" w:rsidRPr="00B7760C" w14:paraId="4CB8EFCD" w14:textId="77777777" w:rsidTr="006A3A9D">
        <w:trPr>
          <w:jc w:val="center"/>
        </w:trPr>
        <w:tc>
          <w:tcPr>
            <w:tcW w:w="4876" w:type="dxa"/>
          </w:tcPr>
          <w:p w14:paraId="3DE0DB85" w14:textId="77777777" w:rsidR="00202E2D" w:rsidRPr="00B7760C" w:rsidRDefault="00202E2D" w:rsidP="006A3A9D">
            <w:pPr>
              <w:pStyle w:val="Normal6a"/>
            </w:pPr>
          </w:p>
        </w:tc>
        <w:tc>
          <w:tcPr>
            <w:tcW w:w="4876" w:type="dxa"/>
          </w:tcPr>
          <w:p w14:paraId="765241F3" w14:textId="1BB34A98" w:rsidR="00202E2D" w:rsidRPr="00B7760C" w:rsidRDefault="00202E2D" w:rsidP="00202E2D">
            <w:pPr>
              <w:pStyle w:val="Normal6a"/>
            </w:pPr>
            <w:r w:rsidRPr="00B7760C">
              <w:rPr>
                <w:b/>
                <w:i/>
              </w:rPr>
              <w:t>(fb)</w:t>
            </w:r>
            <w:r w:rsidRPr="00B7760C">
              <w:tab/>
            </w:r>
            <w:r w:rsidRPr="00B7760C">
              <w:rPr>
                <w:b/>
                <w:i/>
              </w:rPr>
              <w:t>razlaga, kako naj bi intervencije za specifične cilje iz člena 6(1) prispevale k poenostavitvi za končne upravičence in zmanjšanju upravnega bremena.</w:t>
            </w:r>
          </w:p>
        </w:tc>
      </w:tr>
    </w:tbl>
    <w:p w14:paraId="44ACFAAE" w14:textId="77777777" w:rsidR="003663AF" w:rsidRPr="00B7760C" w:rsidRDefault="003663AF" w:rsidP="003663AF"/>
    <w:p w14:paraId="3B19BB3B" w14:textId="56EFEFBD" w:rsidR="003663AF" w:rsidRPr="00B7760C" w:rsidRDefault="00877691" w:rsidP="003663AF">
      <w:pPr>
        <w:pStyle w:val="AMNumberTabs"/>
        <w:keepNext/>
      </w:pPr>
      <w:r w:rsidRPr="00B7760C">
        <w:t>Sprememba</w:t>
      </w:r>
      <w:r w:rsidR="003663AF" w:rsidRPr="00B7760C">
        <w:tab/>
      </w:r>
      <w:r w:rsidR="003663AF" w:rsidRPr="00B7760C">
        <w:tab/>
        <w:t>595</w:t>
      </w:r>
    </w:p>
    <w:p w14:paraId="65308DFD" w14:textId="77777777" w:rsidR="003663AF" w:rsidRPr="00B7760C" w:rsidRDefault="003663AF" w:rsidP="003663AF">
      <w:pPr>
        <w:pStyle w:val="NormalBold12b"/>
      </w:pPr>
      <w:r w:rsidRPr="00B7760C">
        <w:t>Predlog uredbe</w:t>
      </w:r>
    </w:p>
    <w:p w14:paraId="12C40EA9" w14:textId="77777777" w:rsidR="003663AF" w:rsidRPr="00B7760C" w:rsidRDefault="003663AF" w:rsidP="003663AF">
      <w:pPr>
        <w:pStyle w:val="NormalBold"/>
      </w:pPr>
      <w:r w:rsidRPr="00B7760C">
        <w:t>Člen 98 – naslov</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A4C9B7F" w14:textId="77777777" w:rsidTr="00E804B7">
        <w:trPr>
          <w:jc w:val="center"/>
        </w:trPr>
        <w:tc>
          <w:tcPr>
            <w:tcW w:w="9752" w:type="dxa"/>
            <w:gridSpan w:val="2"/>
          </w:tcPr>
          <w:p w14:paraId="06732484" w14:textId="77777777" w:rsidR="003663AF" w:rsidRPr="00B7760C" w:rsidRDefault="003663AF" w:rsidP="00E804B7">
            <w:pPr>
              <w:keepNext/>
            </w:pPr>
          </w:p>
        </w:tc>
      </w:tr>
      <w:tr w:rsidR="003663AF" w:rsidRPr="00B7760C" w14:paraId="4C626965" w14:textId="77777777" w:rsidTr="00E804B7">
        <w:trPr>
          <w:jc w:val="center"/>
        </w:trPr>
        <w:tc>
          <w:tcPr>
            <w:tcW w:w="4876" w:type="dxa"/>
            <w:hideMark/>
          </w:tcPr>
          <w:p w14:paraId="37F60BD0" w14:textId="77777777" w:rsidR="003663AF" w:rsidRPr="00B7760C" w:rsidRDefault="003663AF" w:rsidP="00E804B7">
            <w:pPr>
              <w:pStyle w:val="ColumnHeading"/>
              <w:keepNext/>
            </w:pPr>
            <w:r w:rsidRPr="00B7760C">
              <w:t>Besedilo, ki ga predlaga Komisija</w:t>
            </w:r>
          </w:p>
        </w:tc>
        <w:tc>
          <w:tcPr>
            <w:tcW w:w="4876" w:type="dxa"/>
            <w:hideMark/>
          </w:tcPr>
          <w:p w14:paraId="752FF8A3" w14:textId="4DCCF8C1" w:rsidR="003663AF" w:rsidRPr="00B7760C" w:rsidRDefault="00877691" w:rsidP="00E804B7">
            <w:pPr>
              <w:pStyle w:val="ColumnHeading"/>
              <w:keepNext/>
            </w:pPr>
            <w:r w:rsidRPr="00B7760C">
              <w:t>Sprememba</w:t>
            </w:r>
          </w:p>
        </w:tc>
      </w:tr>
      <w:tr w:rsidR="003663AF" w:rsidRPr="00B7760C" w14:paraId="644FACBE" w14:textId="77777777" w:rsidTr="00E804B7">
        <w:trPr>
          <w:jc w:val="center"/>
        </w:trPr>
        <w:tc>
          <w:tcPr>
            <w:tcW w:w="4876" w:type="dxa"/>
            <w:hideMark/>
          </w:tcPr>
          <w:p w14:paraId="76721BFC" w14:textId="77777777" w:rsidR="003663AF" w:rsidRPr="00B7760C" w:rsidRDefault="003663AF" w:rsidP="00E804B7">
            <w:pPr>
              <w:pStyle w:val="Normal6"/>
            </w:pPr>
            <w:r w:rsidRPr="00B7760C">
              <w:t xml:space="preserve">Elementi, ki so skupni več intervencijam </w:t>
            </w:r>
          </w:p>
        </w:tc>
        <w:tc>
          <w:tcPr>
            <w:tcW w:w="4876" w:type="dxa"/>
            <w:hideMark/>
          </w:tcPr>
          <w:p w14:paraId="12A879A7" w14:textId="77777777" w:rsidR="003663AF" w:rsidRPr="00B7760C" w:rsidRDefault="003663AF" w:rsidP="00E804B7">
            <w:pPr>
              <w:pStyle w:val="Normal6"/>
              <w:rPr>
                <w:szCs w:val="24"/>
              </w:rPr>
            </w:pPr>
            <w:r w:rsidRPr="00B7760C">
              <w:t xml:space="preserve">Elementi, ki so skupni več intervencijam </w:t>
            </w:r>
            <w:r w:rsidRPr="00B7760C">
              <w:rPr>
                <w:b/>
                <w:i/>
              </w:rPr>
              <w:t>v strateških načrtih</w:t>
            </w:r>
          </w:p>
        </w:tc>
      </w:tr>
    </w:tbl>
    <w:p w14:paraId="5FA2F440" w14:textId="5B07D633" w:rsidR="003663AF" w:rsidRPr="00B7760C" w:rsidRDefault="003663AF" w:rsidP="003663AF"/>
    <w:p w14:paraId="6CB58228" w14:textId="50B31BC4" w:rsidR="00C7565D" w:rsidRPr="00B7760C" w:rsidRDefault="00C7565D" w:rsidP="00C7565D">
      <w:pPr>
        <w:pStyle w:val="AmNumberTabs0"/>
      </w:pPr>
      <w:r w:rsidRPr="00B7760C">
        <w:t>Sprememba</w:t>
      </w:r>
      <w:r w:rsidRPr="00B7760C">
        <w:tab/>
      </w:r>
      <w:r w:rsidRPr="00B7760C">
        <w:tab/>
        <w:t>1113</w:t>
      </w:r>
    </w:p>
    <w:p w14:paraId="0A4F2EB2" w14:textId="77777777" w:rsidR="00C7565D" w:rsidRPr="00B7760C" w:rsidRDefault="00C7565D" w:rsidP="00C7565D">
      <w:pPr>
        <w:pStyle w:val="NormalBold12b"/>
      </w:pPr>
      <w:r w:rsidRPr="00B7760C">
        <w:t>Predlog uredbe</w:t>
      </w:r>
    </w:p>
    <w:p w14:paraId="1ABF2760" w14:textId="77777777" w:rsidR="00C7565D" w:rsidRPr="00B7760C" w:rsidRDefault="00C7565D" w:rsidP="00C7565D">
      <w:pPr>
        <w:pStyle w:val="NormalBold"/>
      </w:pPr>
      <w:r w:rsidRPr="00B7760C">
        <w:t>Člen 98 – odstavek 1 – točka b – točka ii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7565D" w:rsidRPr="00B7760C" w14:paraId="3554A5FE" w14:textId="77777777" w:rsidTr="00C7565D">
        <w:trPr>
          <w:trHeight w:hRule="exact" w:val="240"/>
          <w:jc w:val="center"/>
        </w:trPr>
        <w:tc>
          <w:tcPr>
            <w:tcW w:w="9752" w:type="dxa"/>
            <w:gridSpan w:val="2"/>
          </w:tcPr>
          <w:p w14:paraId="32565702" w14:textId="77777777" w:rsidR="00C7565D" w:rsidRPr="00B7760C" w:rsidRDefault="00C7565D" w:rsidP="00C7565D"/>
        </w:tc>
      </w:tr>
      <w:tr w:rsidR="00C7565D" w:rsidRPr="00B7760C" w14:paraId="30DE00D1" w14:textId="77777777" w:rsidTr="00C7565D">
        <w:trPr>
          <w:trHeight w:val="240"/>
          <w:jc w:val="center"/>
        </w:trPr>
        <w:tc>
          <w:tcPr>
            <w:tcW w:w="4876" w:type="dxa"/>
          </w:tcPr>
          <w:p w14:paraId="0B70D8F1" w14:textId="77777777" w:rsidR="00C7565D" w:rsidRPr="00B7760C" w:rsidRDefault="00C7565D" w:rsidP="00C7565D">
            <w:pPr>
              <w:pStyle w:val="AmColumnHeading"/>
            </w:pPr>
            <w:r w:rsidRPr="00B7760C">
              <w:t>Besedilo, ki ga predlaga Komisija</w:t>
            </w:r>
          </w:p>
        </w:tc>
        <w:tc>
          <w:tcPr>
            <w:tcW w:w="4876" w:type="dxa"/>
          </w:tcPr>
          <w:p w14:paraId="033F5CF6" w14:textId="4CB1FA97" w:rsidR="00C7565D" w:rsidRPr="00B7760C" w:rsidRDefault="00C7565D" w:rsidP="00C7565D">
            <w:pPr>
              <w:pStyle w:val="AmColumnHeading"/>
            </w:pPr>
            <w:r w:rsidRPr="00B7760C">
              <w:t>Sprememba</w:t>
            </w:r>
          </w:p>
        </w:tc>
      </w:tr>
      <w:tr w:rsidR="00C7565D" w:rsidRPr="00B7760C" w14:paraId="7052FEDC" w14:textId="77777777" w:rsidTr="00C7565D">
        <w:trPr>
          <w:jc w:val="center"/>
        </w:trPr>
        <w:tc>
          <w:tcPr>
            <w:tcW w:w="4876" w:type="dxa"/>
          </w:tcPr>
          <w:p w14:paraId="4FD2154A" w14:textId="77777777" w:rsidR="00C7565D" w:rsidRPr="00B7760C" w:rsidRDefault="00C7565D" w:rsidP="00C7565D">
            <w:pPr>
              <w:pStyle w:val="Normal6a"/>
            </w:pPr>
          </w:p>
        </w:tc>
        <w:tc>
          <w:tcPr>
            <w:tcW w:w="4876" w:type="dxa"/>
          </w:tcPr>
          <w:p w14:paraId="49878DAD" w14:textId="77777777" w:rsidR="00C7565D" w:rsidRPr="00B7760C" w:rsidRDefault="00C7565D" w:rsidP="00C7565D">
            <w:pPr>
              <w:pStyle w:val="Normal6a"/>
            </w:pPr>
            <w:r w:rsidRPr="00B7760C">
              <w:rPr>
                <w:b/>
                <w:i/>
              </w:rPr>
              <w:t>(iia)</w:t>
            </w:r>
            <w:r w:rsidRPr="00B7760C">
              <w:tab/>
            </w:r>
            <w:r w:rsidRPr="00B7760C">
              <w:rPr>
                <w:b/>
                <w:i/>
              </w:rPr>
              <w:t>opis skupnega prispevka, povezanega s poenostavitvijo ter zmanjšanjem regulativnega in upravnega bremena za končne upravičence.</w:t>
            </w:r>
          </w:p>
        </w:tc>
      </w:tr>
    </w:tbl>
    <w:p w14:paraId="56B15923" w14:textId="777399DA" w:rsidR="00C7565D" w:rsidRPr="00B7760C" w:rsidRDefault="00C7565D" w:rsidP="003663AF"/>
    <w:p w14:paraId="08B992CE" w14:textId="75228018" w:rsidR="00DD0F2B" w:rsidRPr="00B7760C" w:rsidRDefault="00DD0F2B" w:rsidP="00DD0F2B">
      <w:pPr>
        <w:pStyle w:val="AmNumberTabs0"/>
      </w:pPr>
      <w:r w:rsidRPr="00B7760C">
        <w:t>Sprememba</w:t>
      </w:r>
      <w:r w:rsidRPr="00B7760C">
        <w:tab/>
      </w:r>
      <w:r w:rsidRPr="00B7760C">
        <w:tab/>
        <w:t>835</w:t>
      </w:r>
    </w:p>
    <w:p w14:paraId="5241A4ED" w14:textId="77777777" w:rsidR="00DD0F2B" w:rsidRPr="00B7760C" w:rsidRDefault="00DD0F2B" w:rsidP="00DD0F2B">
      <w:pPr>
        <w:pStyle w:val="NormalBold12b"/>
      </w:pPr>
      <w:r w:rsidRPr="00B7760C">
        <w:t>Predlog uredbe</w:t>
      </w:r>
    </w:p>
    <w:p w14:paraId="3B610BDD" w14:textId="77777777" w:rsidR="00DD0F2B" w:rsidRPr="00B7760C" w:rsidRDefault="00DD0F2B" w:rsidP="00DD0F2B">
      <w:pPr>
        <w:pStyle w:val="NormalBold"/>
      </w:pPr>
      <w:r w:rsidRPr="00B7760C">
        <w:t>Člen 98 – odstavek 1 – točka b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DD0F2B" w:rsidRPr="00B7760C" w14:paraId="44CBD07B" w14:textId="77777777" w:rsidTr="00517642">
        <w:trPr>
          <w:trHeight w:hRule="exact" w:val="240"/>
          <w:jc w:val="center"/>
        </w:trPr>
        <w:tc>
          <w:tcPr>
            <w:tcW w:w="9752" w:type="dxa"/>
            <w:gridSpan w:val="2"/>
          </w:tcPr>
          <w:p w14:paraId="1510E91E" w14:textId="77777777" w:rsidR="00DD0F2B" w:rsidRPr="00B7760C" w:rsidRDefault="00DD0F2B" w:rsidP="00517642"/>
        </w:tc>
      </w:tr>
      <w:tr w:rsidR="00DD0F2B" w:rsidRPr="00B7760C" w14:paraId="431E9DD2" w14:textId="77777777" w:rsidTr="00517642">
        <w:trPr>
          <w:trHeight w:val="240"/>
          <w:jc w:val="center"/>
        </w:trPr>
        <w:tc>
          <w:tcPr>
            <w:tcW w:w="4876" w:type="dxa"/>
          </w:tcPr>
          <w:p w14:paraId="5A09DB72" w14:textId="77777777" w:rsidR="00DD0F2B" w:rsidRPr="00B7760C" w:rsidRDefault="00DD0F2B" w:rsidP="00517642">
            <w:pPr>
              <w:pStyle w:val="AmColumnHeading"/>
            </w:pPr>
            <w:r w:rsidRPr="00B7760C">
              <w:t>Besedilo, ki ga predlaga Komisija</w:t>
            </w:r>
          </w:p>
        </w:tc>
        <w:tc>
          <w:tcPr>
            <w:tcW w:w="4876" w:type="dxa"/>
          </w:tcPr>
          <w:p w14:paraId="4734794F" w14:textId="3B7E488E" w:rsidR="00DD0F2B" w:rsidRPr="00B7760C" w:rsidRDefault="00DD0F2B" w:rsidP="00517642">
            <w:pPr>
              <w:pStyle w:val="AmColumnHeading"/>
            </w:pPr>
            <w:r w:rsidRPr="00B7760C">
              <w:t>Sprememba</w:t>
            </w:r>
          </w:p>
        </w:tc>
      </w:tr>
      <w:tr w:rsidR="00DD0F2B" w:rsidRPr="00B7760C" w14:paraId="2C240269" w14:textId="77777777" w:rsidTr="00517642">
        <w:trPr>
          <w:jc w:val="center"/>
        </w:trPr>
        <w:tc>
          <w:tcPr>
            <w:tcW w:w="4876" w:type="dxa"/>
          </w:tcPr>
          <w:p w14:paraId="08995E21" w14:textId="77777777" w:rsidR="00DD0F2B" w:rsidRPr="00B7760C" w:rsidRDefault="00DD0F2B" w:rsidP="00517642">
            <w:pPr>
              <w:pStyle w:val="Normal6a"/>
            </w:pPr>
          </w:p>
        </w:tc>
        <w:tc>
          <w:tcPr>
            <w:tcW w:w="4876" w:type="dxa"/>
          </w:tcPr>
          <w:p w14:paraId="7EBCCD7C" w14:textId="77777777" w:rsidR="00DD0F2B" w:rsidRPr="00B7760C" w:rsidRDefault="00DD0F2B" w:rsidP="00517642">
            <w:pPr>
              <w:pStyle w:val="Normal6a"/>
            </w:pPr>
            <w:r w:rsidRPr="00B7760C">
              <w:rPr>
                <w:b/>
                <w:i/>
              </w:rPr>
              <w:t>(ba)</w:t>
            </w:r>
            <w:r w:rsidRPr="00B7760C">
              <w:tab/>
            </w:r>
            <w:r w:rsidRPr="00B7760C">
              <w:rPr>
                <w:b/>
                <w:i/>
              </w:rPr>
              <w:t>razlaga, kako bo strateški načrt SKP podpiral ekološko kmetijstvo, da bi prispevali k usklajenosti proizvodnje z vse večjim povpraševanjem po ekoloških kmetijskih proizvodih iz člena 13a.</w:t>
            </w:r>
          </w:p>
        </w:tc>
      </w:tr>
    </w:tbl>
    <w:p w14:paraId="28E2328A" w14:textId="77777777" w:rsidR="00DD0F2B" w:rsidRPr="00B7760C" w:rsidRDefault="00DD0F2B" w:rsidP="003663AF"/>
    <w:p w14:paraId="0981256D" w14:textId="20296E37" w:rsidR="003663AF" w:rsidRPr="00B7760C" w:rsidRDefault="00877691" w:rsidP="003663AF">
      <w:pPr>
        <w:pStyle w:val="AMNumberTabs"/>
        <w:keepNext/>
      </w:pPr>
      <w:r w:rsidRPr="00B7760C">
        <w:t>Sprememba</w:t>
      </w:r>
      <w:r w:rsidR="003663AF" w:rsidRPr="00B7760C">
        <w:tab/>
      </w:r>
      <w:r w:rsidR="003663AF" w:rsidRPr="00B7760C">
        <w:tab/>
        <w:t>596</w:t>
      </w:r>
    </w:p>
    <w:p w14:paraId="3A8588D6" w14:textId="77777777" w:rsidR="003663AF" w:rsidRPr="00B7760C" w:rsidRDefault="003663AF" w:rsidP="003663AF">
      <w:pPr>
        <w:pStyle w:val="NormalBold12b"/>
      </w:pPr>
      <w:r w:rsidRPr="00B7760C">
        <w:t>Predlog uredbe</w:t>
      </w:r>
    </w:p>
    <w:p w14:paraId="2FDF4319" w14:textId="77777777" w:rsidR="003663AF" w:rsidRPr="00B7760C" w:rsidRDefault="003663AF" w:rsidP="003663AF">
      <w:pPr>
        <w:pStyle w:val="NormalBold"/>
      </w:pPr>
      <w:r w:rsidRPr="00B7760C">
        <w:t>Člen 98 – odstavek 1 – točka c</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D8A2DEA" w14:textId="77777777" w:rsidTr="00E804B7">
        <w:trPr>
          <w:jc w:val="center"/>
        </w:trPr>
        <w:tc>
          <w:tcPr>
            <w:tcW w:w="9752" w:type="dxa"/>
            <w:gridSpan w:val="2"/>
          </w:tcPr>
          <w:p w14:paraId="231DE941" w14:textId="77777777" w:rsidR="003663AF" w:rsidRPr="00B7760C" w:rsidRDefault="003663AF" w:rsidP="00E804B7">
            <w:pPr>
              <w:keepNext/>
            </w:pPr>
          </w:p>
        </w:tc>
      </w:tr>
      <w:tr w:rsidR="003663AF" w:rsidRPr="00B7760C" w14:paraId="1CE24288" w14:textId="77777777" w:rsidTr="00E804B7">
        <w:trPr>
          <w:jc w:val="center"/>
        </w:trPr>
        <w:tc>
          <w:tcPr>
            <w:tcW w:w="4876" w:type="dxa"/>
            <w:hideMark/>
          </w:tcPr>
          <w:p w14:paraId="491058E7" w14:textId="77777777" w:rsidR="003663AF" w:rsidRPr="00B7760C" w:rsidRDefault="003663AF" w:rsidP="00E804B7">
            <w:pPr>
              <w:pStyle w:val="ColumnHeading"/>
              <w:keepNext/>
            </w:pPr>
            <w:r w:rsidRPr="00B7760C">
              <w:t>Besedilo, ki ga predlaga Komisija</w:t>
            </w:r>
          </w:p>
        </w:tc>
        <w:tc>
          <w:tcPr>
            <w:tcW w:w="4876" w:type="dxa"/>
            <w:hideMark/>
          </w:tcPr>
          <w:p w14:paraId="132F692B" w14:textId="707606D9" w:rsidR="003663AF" w:rsidRPr="00B7760C" w:rsidRDefault="00877691" w:rsidP="00E804B7">
            <w:pPr>
              <w:pStyle w:val="ColumnHeading"/>
              <w:keepNext/>
            </w:pPr>
            <w:r w:rsidRPr="00B7760C">
              <w:t>Sprememba</w:t>
            </w:r>
          </w:p>
        </w:tc>
      </w:tr>
      <w:tr w:rsidR="003663AF" w:rsidRPr="00B7760C" w14:paraId="21FB919C" w14:textId="77777777" w:rsidTr="00E804B7">
        <w:trPr>
          <w:jc w:val="center"/>
        </w:trPr>
        <w:tc>
          <w:tcPr>
            <w:tcW w:w="4876" w:type="dxa"/>
          </w:tcPr>
          <w:p w14:paraId="2F1F1FD1" w14:textId="77777777" w:rsidR="003663AF" w:rsidRPr="00B7760C" w:rsidRDefault="003663AF" w:rsidP="00E804B7">
            <w:pPr>
              <w:pStyle w:val="Normal6"/>
            </w:pPr>
            <w:r w:rsidRPr="00B7760C">
              <w:t>(c)</w:t>
            </w:r>
            <w:r w:rsidRPr="00B7760C">
              <w:tab/>
              <w:t>opis uporabe „tehnične pomoči“ iz členov 83(2) in 86(3) ter člena 112 in mreže SKP iz člena 113</w:t>
            </w:r>
            <w:r w:rsidRPr="00B7760C">
              <w:rPr>
                <w:b/>
                <w:bCs/>
                <w:i/>
                <w:iCs/>
              </w:rPr>
              <w:t>;</w:t>
            </w:r>
          </w:p>
        </w:tc>
        <w:tc>
          <w:tcPr>
            <w:tcW w:w="4876" w:type="dxa"/>
          </w:tcPr>
          <w:p w14:paraId="5814688B" w14:textId="199FD8BF" w:rsidR="003663AF" w:rsidRPr="00B7760C" w:rsidRDefault="003663AF" w:rsidP="00EF2FD5">
            <w:pPr>
              <w:pStyle w:val="Normal6"/>
              <w:rPr>
                <w:szCs w:val="24"/>
              </w:rPr>
            </w:pPr>
            <w:r w:rsidRPr="00B7760C">
              <w:t>(c)</w:t>
            </w:r>
            <w:r w:rsidRPr="00B7760C">
              <w:tab/>
              <w:t xml:space="preserve">opis uporabe „tehnične pomoči“ iz členov 83(2) in 86(3) ter člena 112 in mreže SKP iz člena 113 </w:t>
            </w:r>
            <w:r w:rsidRPr="00B7760C">
              <w:rPr>
                <w:b/>
                <w:i/>
              </w:rPr>
              <w:t>ter</w:t>
            </w:r>
          </w:p>
        </w:tc>
      </w:tr>
    </w:tbl>
    <w:p w14:paraId="4B0DE3D7" w14:textId="77777777" w:rsidR="003663AF" w:rsidRPr="00B7760C" w:rsidRDefault="003663AF" w:rsidP="003663AF"/>
    <w:p w14:paraId="6EEA8499" w14:textId="77777777" w:rsidR="003663AF" w:rsidRPr="00B7760C" w:rsidRDefault="003663AF" w:rsidP="003663AF">
      <w:pPr>
        <w:pStyle w:val="Normal6"/>
      </w:pPr>
    </w:p>
    <w:p w14:paraId="35EDC516" w14:textId="7AF1AEFC" w:rsidR="003663AF" w:rsidRPr="00B7760C" w:rsidRDefault="00877691" w:rsidP="003663AF">
      <w:pPr>
        <w:pStyle w:val="AMNumberTabs"/>
      </w:pPr>
      <w:r w:rsidRPr="00B7760C">
        <w:t>Sprememba</w:t>
      </w:r>
      <w:r w:rsidR="003663AF" w:rsidRPr="00B7760C">
        <w:tab/>
      </w:r>
      <w:r w:rsidR="003663AF" w:rsidRPr="00B7760C">
        <w:tab/>
        <w:t>597</w:t>
      </w:r>
    </w:p>
    <w:p w14:paraId="7DAEBF38" w14:textId="77777777" w:rsidR="003663AF" w:rsidRPr="00B7760C" w:rsidRDefault="003663AF" w:rsidP="003663AF">
      <w:pPr>
        <w:pStyle w:val="NormalBold12b"/>
      </w:pPr>
      <w:r w:rsidRPr="00B7760C">
        <w:t>Predlog uredbe</w:t>
      </w:r>
    </w:p>
    <w:p w14:paraId="33EACC91" w14:textId="77777777" w:rsidR="003663AF" w:rsidRPr="00B7760C" w:rsidRDefault="003663AF" w:rsidP="003663AF">
      <w:pPr>
        <w:pStyle w:val="NormalBold"/>
      </w:pPr>
      <w:r w:rsidRPr="00B7760C">
        <w:t>Člen 99 – odstavek 1 – točka c</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8650C36" w14:textId="77777777" w:rsidTr="00E804B7">
        <w:trPr>
          <w:trHeight w:hRule="exact" w:val="240"/>
          <w:jc w:val="center"/>
        </w:trPr>
        <w:tc>
          <w:tcPr>
            <w:tcW w:w="9752" w:type="dxa"/>
            <w:gridSpan w:val="2"/>
          </w:tcPr>
          <w:p w14:paraId="51B6AF04" w14:textId="77777777" w:rsidR="003663AF" w:rsidRPr="00B7760C" w:rsidRDefault="003663AF" w:rsidP="00E804B7"/>
        </w:tc>
      </w:tr>
      <w:tr w:rsidR="003663AF" w:rsidRPr="00B7760C" w14:paraId="056EB316" w14:textId="77777777" w:rsidTr="00E804B7">
        <w:trPr>
          <w:trHeight w:val="240"/>
          <w:jc w:val="center"/>
        </w:trPr>
        <w:tc>
          <w:tcPr>
            <w:tcW w:w="4876" w:type="dxa"/>
          </w:tcPr>
          <w:p w14:paraId="079252B4" w14:textId="77777777" w:rsidR="003663AF" w:rsidRPr="00B7760C" w:rsidRDefault="003663AF" w:rsidP="00E804B7">
            <w:pPr>
              <w:pStyle w:val="ColumnHeading"/>
            </w:pPr>
            <w:r w:rsidRPr="00B7760C">
              <w:t>Besedilo, ki ga predlaga Komisija</w:t>
            </w:r>
          </w:p>
        </w:tc>
        <w:tc>
          <w:tcPr>
            <w:tcW w:w="4876" w:type="dxa"/>
          </w:tcPr>
          <w:p w14:paraId="137B8A20" w14:textId="24D2F900" w:rsidR="003663AF" w:rsidRPr="00B7760C" w:rsidRDefault="00877691" w:rsidP="00E804B7">
            <w:pPr>
              <w:pStyle w:val="ColumnHeading"/>
            </w:pPr>
            <w:r w:rsidRPr="00B7760C">
              <w:t>Sprememba</w:t>
            </w:r>
          </w:p>
        </w:tc>
      </w:tr>
      <w:tr w:rsidR="003663AF" w:rsidRPr="00B7760C" w14:paraId="772BE1C5" w14:textId="77777777" w:rsidTr="00E804B7">
        <w:trPr>
          <w:jc w:val="center"/>
        </w:trPr>
        <w:tc>
          <w:tcPr>
            <w:tcW w:w="4876" w:type="dxa"/>
          </w:tcPr>
          <w:p w14:paraId="02D91515" w14:textId="77777777" w:rsidR="003663AF" w:rsidRPr="00B7760C" w:rsidRDefault="003663AF" w:rsidP="00E804B7">
            <w:pPr>
              <w:pStyle w:val="Normal6"/>
            </w:pPr>
            <w:r w:rsidRPr="00B7760C">
              <w:t>(c)</w:t>
            </w:r>
            <w:r w:rsidRPr="00B7760C">
              <w:tab/>
              <w:t>specifično zasnovo ali zahteve navedene intervencije, ki zagotavljajo dejanski prispevek k specifičnim ciljem iz člena</w:t>
            </w:r>
            <w:r w:rsidRPr="00B7760C">
              <w:rPr>
                <w:b/>
                <w:i/>
              </w:rPr>
              <w:t xml:space="preserve"> </w:t>
            </w:r>
            <w:r w:rsidRPr="00B7760C">
              <w:t>6(1). Za okoljske in podnebne intervencije povezava z zahtevami po pogojenosti dokazuje, da se prakse ne prekrivajo;</w:t>
            </w:r>
          </w:p>
        </w:tc>
        <w:tc>
          <w:tcPr>
            <w:tcW w:w="4876" w:type="dxa"/>
          </w:tcPr>
          <w:p w14:paraId="5D0A820C" w14:textId="77777777" w:rsidR="003663AF" w:rsidRPr="00B7760C" w:rsidRDefault="003663AF" w:rsidP="00E804B7">
            <w:pPr>
              <w:pStyle w:val="Normal6"/>
            </w:pPr>
            <w:r w:rsidRPr="00B7760C">
              <w:t>(c)</w:t>
            </w:r>
            <w:r w:rsidRPr="00B7760C">
              <w:tab/>
              <w:t xml:space="preserve">specifično zasnovo ali zahteve navedene intervencije, ki zagotavljajo dejanski prispevek k </w:t>
            </w:r>
            <w:r w:rsidRPr="00B7760C">
              <w:rPr>
                <w:b/>
                <w:i/>
              </w:rPr>
              <w:t xml:space="preserve">ustreznim </w:t>
            </w:r>
            <w:r w:rsidRPr="00B7760C">
              <w:t>specifičnim ciljem iz člena</w:t>
            </w:r>
            <w:r w:rsidRPr="00B7760C">
              <w:rPr>
                <w:b/>
                <w:i/>
              </w:rPr>
              <w:t> </w:t>
            </w:r>
            <w:r w:rsidRPr="00B7760C">
              <w:t>6(1). Za okoljske in podnebne intervencije povezava z zahtevami po pogojenosti dokazuje, da se prakse ne prekrivajo;</w:t>
            </w:r>
          </w:p>
        </w:tc>
      </w:tr>
    </w:tbl>
    <w:p w14:paraId="69814A7C" w14:textId="77777777" w:rsidR="003663AF" w:rsidRPr="00B7760C" w:rsidRDefault="003663AF" w:rsidP="003663AF"/>
    <w:p w14:paraId="20136412" w14:textId="4CA74DCA" w:rsidR="003663AF" w:rsidRPr="00B7760C" w:rsidRDefault="00877691" w:rsidP="003663AF">
      <w:pPr>
        <w:pStyle w:val="AMNumberTabs"/>
        <w:keepNext/>
      </w:pPr>
      <w:r w:rsidRPr="00B7760C">
        <w:t>Sprememba</w:t>
      </w:r>
      <w:r w:rsidR="003663AF" w:rsidRPr="00B7760C">
        <w:tab/>
      </w:r>
      <w:r w:rsidR="003663AF" w:rsidRPr="00B7760C">
        <w:tab/>
        <w:t>598</w:t>
      </w:r>
    </w:p>
    <w:p w14:paraId="22F2C508" w14:textId="77777777" w:rsidR="003663AF" w:rsidRPr="00B7760C" w:rsidRDefault="003663AF" w:rsidP="003663AF">
      <w:pPr>
        <w:pStyle w:val="NormalBold12b"/>
      </w:pPr>
      <w:r w:rsidRPr="00B7760C">
        <w:t>Predlog uredbe</w:t>
      </w:r>
    </w:p>
    <w:p w14:paraId="567D8A1D" w14:textId="77777777" w:rsidR="003663AF" w:rsidRPr="00B7760C" w:rsidRDefault="003663AF" w:rsidP="003663AF">
      <w:pPr>
        <w:pStyle w:val="NormalBold"/>
      </w:pPr>
      <w:r w:rsidRPr="00B7760C">
        <w:t>Člen 99 – odstavek 1 – točka d</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C5C0B7D" w14:textId="77777777" w:rsidTr="00E804B7">
        <w:trPr>
          <w:jc w:val="center"/>
        </w:trPr>
        <w:tc>
          <w:tcPr>
            <w:tcW w:w="9752" w:type="dxa"/>
            <w:gridSpan w:val="2"/>
          </w:tcPr>
          <w:p w14:paraId="29285BF2" w14:textId="77777777" w:rsidR="003663AF" w:rsidRPr="00B7760C" w:rsidRDefault="003663AF" w:rsidP="00E804B7">
            <w:pPr>
              <w:keepNext/>
            </w:pPr>
          </w:p>
        </w:tc>
      </w:tr>
      <w:tr w:rsidR="003663AF" w:rsidRPr="00B7760C" w14:paraId="4DA8C957" w14:textId="77777777" w:rsidTr="00E804B7">
        <w:trPr>
          <w:jc w:val="center"/>
        </w:trPr>
        <w:tc>
          <w:tcPr>
            <w:tcW w:w="4876" w:type="dxa"/>
            <w:hideMark/>
          </w:tcPr>
          <w:p w14:paraId="42317335" w14:textId="77777777" w:rsidR="003663AF" w:rsidRPr="00B7760C" w:rsidRDefault="003663AF" w:rsidP="00E804B7">
            <w:pPr>
              <w:pStyle w:val="ColumnHeading"/>
              <w:keepNext/>
            </w:pPr>
            <w:r w:rsidRPr="00B7760C">
              <w:t>Besedilo, ki ga predlaga Komisija</w:t>
            </w:r>
          </w:p>
        </w:tc>
        <w:tc>
          <w:tcPr>
            <w:tcW w:w="4876" w:type="dxa"/>
            <w:hideMark/>
          </w:tcPr>
          <w:p w14:paraId="7E1D85F3" w14:textId="49602196" w:rsidR="003663AF" w:rsidRPr="00B7760C" w:rsidRDefault="00877691" w:rsidP="00E804B7">
            <w:pPr>
              <w:pStyle w:val="ColumnHeading"/>
              <w:keepNext/>
            </w:pPr>
            <w:r w:rsidRPr="00B7760C">
              <w:t>Sprememba</w:t>
            </w:r>
          </w:p>
        </w:tc>
      </w:tr>
      <w:tr w:rsidR="003663AF" w:rsidRPr="00B7760C" w14:paraId="5977F283" w14:textId="77777777" w:rsidTr="00E804B7">
        <w:trPr>
          <w:jc w:val="center"/>
        </w:trPr>
        <w:tc>
          <w:tcPr>
            <w:tcW w:w="4876" w:type="dxa"/>
            <w:hideMark/>
          </w:tcPr>
          <w:p w14:paraId="5F40F76E" w14:textId="77777777" w:rsidR="003663AF" w:rsidRPr="00B7760C" w:rsidRDefault="003663AF" w:rsidP="00E804B7">
            <w:pPr>
              <w:pStyle w:val="Normal6"/>
            </w:pPr>
            <w:r w:rsidRPr="00B7760C">
              <w:t>(d)</w:t>
            </w:r>
            <w:r w:rsidRPr="00B7760C">
              <w:tab/>
              <w:t>pogoje za upravičenost;</w:t>
            </w:r>
          </w:p>
        </w:tc>
        <w:tc>
          <w:tcPr>
            <w:tcW w:w="4876" w:type="dxa"/>
            <w:hideMark/>
          </w:tcPr>
          <w:p w14:paraId="5A611538" w14:textId="77777777" w:rsidR="003663AF" w:rsidRPr="00B7760C" w:rsidRDefault="003663AF" w:rsidP="00E804B7">
            <w:pPr>
              <w:pStyle w:val="Normal6"/>
              <w:rPr>
                <w:szCs w:val="24"/>
              </w:rPr>
            </w:pPr>
            <w:r w:rsidRPr="00B7760C">
              <w:t>(d)</w:t>
            </w:r>
            <w:r w:rsidRPr="00B7760C">
              <w:tab/>
              <w:t xml:space="preserve">pogoje za upravičenost </w:t>
            </w:r>
            <w:r w:rsidRPr="00B7760C">
              <w:rPr>
                <w:b/>
                <w:i/>
              </w:rPr>
              <w:t>v skladu s to uredbo</w:t>
            </w:r>
            <w:r w:rsidRPr="00B7760C">
              <w:t>;</w:t>
            </w:r>
          </w:p>
        </w:tc>
      </w:tr>
    </w:tbl>
    <w:p w14:paraId="699F7E61" w14:textId="77777777" w:rsidR="003663AF" w:rsidRPr="00B7760C" w:rsidRDefault="003663AF" w:rsidP="003663AF"/>
    <w:p w14:paraId="26C03392" w14:textId="07F56438" w:rsidR="003663AF" w:rsidRPr="00B7760C" w:rsidRDefault="00877691" w:rsidP="003663AF">
      <w:pPr>
        <w:pStyle w:val="AMNumberTabs"/>
        <w:keepNext/>
      </w:pPr>
      <w:r w:rsidRPr="00B7760C">
        <w:t>Sprememba</w:t>
      </w:r>
      <w:r w:rsidR="003663AF" w:rsidRPr="00B7760C">
        <w:tab/>
      </w:r>
      <w:r w:rsidR="003663AF" w:rsidRPr="00B7760C">
        <w:tab/>
        <w:t>599</w:t>
      </w:r>
    </w:p>
    <w:p w14:paraId="368723D5" w14:textId="77777777" w:rsidR="003663AF" w:rsidRPr="00B7760C" w:rsidRDefault="003663AF" w:rsidP="003663AF">
      <w:pPr>
        <w:pStyle w:val="NormalBold12b"/>
      </w:pPr>
      <w:r w:rsidRPr="00B7760C">
        <w:t>Predlog uredbe</w:t>
      </w:r>
    </w:p>
    <w:p w14:paraId="79767A44" w14:textId="77777777" w:rsidR="003663AF" w:rsidRPr="00B7760C" w:rsidRDefault="003663AF" w:rsidP="003663AF">
      <w:pPr>
        <w:pStyle w:val="NormalBold"/>
      </w:pPr>
      <w:r w:rsidRPr="00B7760C">
        <w:t>Člen 99 – odstavek 1 – točka h</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032ABB0" w14:textId="77777777" w:rsidTr="00E804B7">
        <w:trPr>
          <w:jc w:val="center"/>
        </w:trPr>
        <w:tc>
          <w:tcPr>
            <w:tcW w:w="9752" w:type="dxa"/>
            <w:gridSpan w:val="2"/>
          </w:tcPr>
          <w:p w14:paraId="513D8561" w14:textId="77777777" w:rsidR="003663AF" w:rsidRPr="00B7760C" w:rsidRDefault="003663AF" w:rsidP="00E804B7">
            <w:pPr>
              <w:keepNext/>
            </w:pPr>
          </w:p>
        </w:tc>
      </w:tr>
      <w:tr w:rsidR="003663AF" w:rsidRPr="00B7760C" w14:paraId="1EF3495C" w14:textId="77777777" w:rsidTr="00E804B7">
        <w:trPr>
          <w:jc w:val="center"/>
        </w:trPr>
        <w:tc>
          <w:tcPr>
            <w:tcW w:w="4876" w:type="dxa"/>
            <w:hideMark/>
          </w:tcPr>
          <w:p w14:paraId="72F1436B" w14:textId="77777777" w:rsidR="003663AF" w:rsidRPr="00B7760C" w:rsidRDefault="003663AF" w:rsidP="00E804B7">
            <w:pPr>
              <w:pStyle w:val="ColumnHeading"/>
              <w:keepNext/>
            </w:pPr>
            <w:r w:rsidRPr="00B7760C">
              <w:t>Besedilo, ki ga predlaga Komisija</w:t>
            </w:r>
          </w:p>
        </w:tc>
        <w:tc>
          <w:tcPr>
            <w:tcW w:w="4876" w:type="dxa"/>
            <w:hideMark/>
          </w:tcPr>
          <w:p w14:paraId="2CB460D3" w14:textId="6C125AF5" w:rsidR="003663AF" w:rsidRPr="00B7760C" w:rsidRDefault="00877691" w:rsidP="00E804B7">
            <w:pPr>
              <w:pStyle w:val="ColumnHeading"/>
              <w:keepNext/>
            </w:pPr>
            <w:r w:rsidRPr="00B7760C">
              <w:t>Sprememba</w:t>
            </w:r>
          </w:p>
        </w:tc>
      </w:tr>
      <w:tr w:rsidR="003663AF" w:rsidRPr="00B7760C" w14:paraId="4BB31D2D" w14:textId="77777777" w:rsidTr="00E804B7">
        <w:trPr>
          <w:jc w:val="center"/>
        </w:trPr>
        <w:tc>
          <w:tcPr>
            <w:tcW w:w="4876" w:type="dxa"/>
          </w:tcPr>
          <w:p w14:paraId="76520591" w14:textId="77777777" w:rsidR="003663AF" w:rsidRPr="00B7760C" w:rsidRDefault="003663AF" w:rsidP="00E804B7">
            <w:pPr>
              <w:pStyle w:val="Normal6"/>
            </w:pPr>
            <w:r w:rsidRPr="00B7760C">
              <w:t>(h)</w:t>
            </w:r>
            <w:r w:rsidRPr="00B7760C">
              <w:tab/>
              <w:t>posledična letna dodeljena finančna sredstva za intervencijo iz člena 88. Po potrebi se zagotovi razčlenitev na zneske, načrtovane za nepovratna sredstva, in zneske, načrtovane za finančne instrumente</w:t>
            </w:r>
            <w:r w:rsidRPr="00B7760C">
              <w:rPr>
                <w:b/>
                <w:bCs/>
                <w:i/>
                <w:iCs/>
              </w:rPr>
              <w:t>;</w:t>
            </w:r>
          </w:p>
        </w:tc>
        <w:tc>
          <w:tcPr>
            <w:tcW w:w="4876" w:type="dxa"/>
          </w:tcPr>
          <w:p w14:paraId="43AC7FE4" w14:textId="244AE1F1" w:rsidR="003663AF" w:rsidRPr="00B7760C" w:rsidRDefault="003663AF" w:rsidP="00EF2FD5">
            <w:pPr>
              <w:pStyle w:val="Normal6"/>
              <w:rPr>
                <w:szCs w:val="24"/>
              </w:rPr>
            </w:pPr>
            <w:r w:rsidRPr="00B7760C">
              <w:t>(h)</w:t>
            </w:r>
            <w:r w:rsidRPr="00B7760C">
              <w:tab/>
              <w:t>posledična letna dodeljena finančna sredstva za intervencijo iz člena 88. Po potrebi se zagotovi razčlenitev na zneske, načrtovane za nepovratna sredstva, in zneske, načrtovane za finančne instrumente</w:t>
            </w:r>
            <w:r w:rsidR="00EF2FD5" w:rsidRPr="00B7760C">
              <w:rPr>
                <w:b/>
                <w:bCs/>
                <w:i/>
                <w:iCs/>
              </w:rPr>
              <w:t>,</w:t>
            </w:r>
            <w:r w:rsidRPr="00B7760C">
              <w:t xml:space="preserve"> </w:t>
            </w:r>
            <w:r w:rsidRPr="00B7760C">
              <w:rPr>
                <w:b/>
                <w:i/>
              </w:rPr>
              <w:t>ter</w:t>
            </w:r>
          </w:p>
        </w:tc>
      </w:tr>
    </w:tbl>
    <w:p w14:paraId="31732EE6" w14:textId="77777777" w:rsidR="003663AF" w:rsidRPr="00B7760C" w:rsidRDefault="003663AF" w:rsidP="003663AF"/>
    <w:p w14:paraId="2ADB0872" w14:textId="77777777" w:rsidR="003663AF" w:rsidRPr="00B7760C" w:rsidRDefault="003663AF" w:rsidP="003663AF">
      <w:pPr>
        <w:pStyle w:val="Normal6"/>
      </w:pPr>
    </w:p>
    <w:p w14:paraId="2FDFBD8E" w14:textId="17386610" w:rsidR="003663AF" w:rsidRPr="00B7760C" w:rsidRDefault="00877691" w:rsidP="003663AF">
      <w:pPr>
        <w:pStyle w:val="AMNumberTabs"/>
        <w:keepNext/>
      </w:pPr>
      <w:r w:rsidRPr="00B7760C">
        <w:t>Sprememba</w:t>
      </w:r>
      <w:r w:rsidR="003663AF" w:rsidRPr="00B7760C">
        <w:tab/>
      </w:r>
      <w:r w:rsidR="003663AF" w:rsidRPr="00B7760C">
        <w:tab/>
        <w:t>600</w:t>
      </w:r>
    </w:p>
    <w:p w14:paraId="3577B6A5" w14:textId="77777777" w:rsidR="003663AF" w:rsidRPr="00B7760C" w:rsidRDefault="003663AF" w:rsidP="003663AF">
      <w:pPr>
        <w:pStyle w:val="NormalBold12b"/>
      </w:pPr>
      <w:r w:rsidRPr="00B7760C">
        <w:t>Predlog uredbe</w:t>
      </w:r>
    </w:p>
    <w:p w14:paraId="4CA6AB69" w14:textId="77777777" w:rsidR="003663AF" w:rsidRPr="00B7760C" w:rsidRDefault="003663AF" w:rsidP="003663AF">
      <w:pPr>
        <w:pStyle w:val="NormalBold"/>
      </w:pPr>
      <w:r w:rsidRPr="00B7760C">
        <w:t>Člen 99 – odstavek 1 – točka i</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4CDA234" w14:textId="77777777" w:rsidTr="00E804B7">
        <w:trPr>
          <w:jc w:val="center"/>
        </w:trPr>
        <w:tc>
          <w:tcPr>
            <w:tcW w:w="9752" w:type="dxa"/>
            <w:gridSpan w:val="2"/>
          </w:tcPr>
          <w:p w14:paraId="310AC252" w14:textId="77777777" w:rsidR="003663AF" w:rsidRPr="00B7760C" w:rsidRDefault="003663AF" w:rsidP="00E804B7">
            <w:pPr>
              <w:keepNext/>
            </w:pPr>
          </w:p>
        </w:tc>
      </w:tr>
      <w:tr w:rsidR="003663AF" w:rsidRPr="00B7760C" w14:paraId="5239341D" w14:textId="77777777" w:rsidTr="00E804B7">
        <w:trPr>
          <w:jc w:val="center"/>
        </w:trPr>
        <w:tc>
          <w:tcPr>
            <w:tcW w:w="4876" w:type="dxa"/>
            <w:hideMark/>
          </w:tcPr>
          <w:p w14:paraId="5FD45345" w14:textId="77777777" w:rsidR="003663AF" w:rsidRPr="00B7760C" w:rsidRDefault="003663AF" w:rsidP="00E804B7">
            <w:pPr>
              <w:pStyle w:val="ColumnHeading"/>
              <w:keepNext/>
            </w:pPr>
            <w:r w:rsidRPr="00B7760C">
              <w:t>Besedilo, ki ga predlaga Komisija</w:t>
            </w:r>
          </w:p>
        </w:tc>
        <w:tc>
          <w:tcPr>
            <w:tcW w:w="4876" w:type="dxa"/>
            <w:hideMark/>
          </w:tcPr>
          <w:p w14:paraId="6F8B689D" w14:textId="69B02D6E" w:rsidR="003663AF" w:rsidRPr="00B7760C" w:rsidRDefault="00877691" w:rsidP="00E804B7">
            <w:pPr>
              <w:pStyle w:val="ColumnHeading"/>
              <w:keepNext/>
            </w:pPr>
            <w:r w:rsidRPr="00B7760C">
              <w:t>Sprememba</w:t>
            </w:r>
          </w:p>
        </w:tc>
      </w:tr>
      <w:tr w:rsidR="003663AF" w:rsidRPr="00B7760C" w14:paraId="26D77048" w14:textId="77777777" w:rsidTr="00E804B7">
        <w:trPr>
          <w:jc w:val="center"/>
        </w:trPr>
        <w:tc>
          <w:tcPr>
            <w:tcW w:w="4876" w:type="dxa"/>
            <w:hideMark/>
          </w:tcPr>
          <w:p w14:paraId="779117B8" w14:textId="77777777" w:rsidR="003663AF" w:rsidRPr="00B7760C" w:rsidRDefault="003663AF" w:rsidP="00E804B7">
            <w:pPr>
              <w:pStyle w:val="Normal6"/>
            </w:pPr>
            <w:r w:rsidRPr="00B7760C">
              <w:t>(i)</w:t>
            </w:r>
            <w:r w:rsidRPr="00B7760C">
              <w:tab/>
              <w:t>navedbo, ali je intervencija zunaj področja uporabe člena 42 PDEU in ali je predmet ocene državne pomoči.</w:t>
            </w:r>
          </w:p>
        </w:tc>
        <w:tc>
          <w:tcPr>
            <w:tcW w:w="4876" w:type="dxa"/>
            <w:hideMark/>
          </w:tcPr>
          <w:p w14:paraId="1447F039" w14:textId="77777777" w:rsidR="003663AF" w:rsidRPr="00B7760C" w:rsidRDefault="003663AF" w:rsidP="00E804B7">
            <w:pPr>
              <w:pStyle w:val="Normal6"/>
              <w:rPr>
                <w:szCs w:val="24"/>
              </w:rPr>
            </w:pPr>
            <w:r w:rsidRPr="00B7760C">
              <w:t>(i)</w:t>
            </w:r>
            <w:r w:rsidRPr="00B7760C">
              <w:tab/>
              <w:t>navedbo, ali je intervencija zunaj področja uporabe člena 42 PDEU in ali je predmet ocene državne pomoči</w:t>
            </w:r>
            <w:r w:rsidRPr="00B7760C">
              <w:rPr>
                <w:b/>
                <w:i/>
              </w:rPr>
              <w:t xml:space="preserve"> v skladu z navodili Komisije v smernicah o državni pomoči</w:t>
            </w:r>
            <w:r w:rsidRPr="00B7760C">
              <w:t>.</w:t>
            </w:r>
          </w:p>
        </w:tc>
      </w:tr>
    </w:tbl>
    <w:p w14:paraId="31FB4F20" w14:textId="77777777" w:rsidR="003663AF" w:rsidRPr="00B7760C" w:rsidRDefault="003663AF" w:rsidP="003663AF"/>
    <w:p w14:paraId="111757B8" w14:textId="26CBC8F4" w:rsidR="003663AF" w:rsidRPr="00B7760C" w:rsidRDefault="00877691" w:rsidP="003663AF">
      <w:pPr>
        <w:pStyle w:val="AMNumberTabs"/>
        <w:keepNext/>
      </w:pPr>
      <w:r w:rsidRPr="00B7760C">
        <w:t>Sprememba</w:t>
      </w:r>
      <w:r w:rsidR="003663AF" w:rsidRPr="00B7760C">
        <w:tab/>
      </w:r>
      <w:r w:rsidR="003663AF" w:rsidRPr="00B7760C">
        <w:tab/>
        <w:t>601</w:t>
      </w:r>
    </w:p>
    <w:p w14:paraId="478CE032" w14:textId="77777777" w:rsidR="003663AF" w:rsidRPr="00B7760C" w:rsidRDefault="003663AF" w:rsidP="003663AF">
      <w:pPr>
        <w:pStyle w:val="NormalBold12b"/>
      </w:pPr>
      <w:r w:rsidRPr="00B7760C">
        <w:t>Predlog uredbe</w:t>
      </w:r>
    </w:p>
    <w:p w14:paraId="0281BA68" w14:textId="77777777" w:rsidR="003663AF" w:rsidRPr="00B7760C" w:rsidRDefault="003663AF" w:rsidP="003663AF">
      <w:pPr>
        <w:pStyle w:val="NormalBold"/>
      </w:pPr>
      <w:r w:rsidRPr="00B7760C">
        <w:t>Člen 100 – 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912FF2A" w14:textId="77777777" w:rsidTr="00E804B7">
        <w:trPr>
          <w:jc w:val="center"/>
        </w:trPr>
        <w:tc>
          <w:tcPr>
            <w:tcW w:w="9752" w:type="dxa"/>
            <w:gridSpan w:val="2"/>
          </w:tcPr>
          <w:p w14:paraId="45D8CBE6" w14:textId="77777777" w:rsidR="003663AF" w:rsidRPr="00B7760C" w:rsidRDefault="003663AF" w:rsidP="00E804B7">
            <w:pPr>
              <w:keepNext/>
            </w:pPr>
          </w:p>
        </w:tc>
      </w:tr>
      <w:tr w:rsidR="003663AF" w:rsidRPr="00B7760C" w14:paraId="0F7B6360" w14:textId="77777777" w:rsidTr="00E804B7">
        <w:trPr>
          <w:jc w:val="center"/>
        </w:trPr>
        <w:tc>
          <w:tcPr>
            <w:tcW w:w="4876" w:type="dxa"/>
            <w:hideMark/>
          </w:tcPr>
          <w:p w14:paraId="58D3B91C" w14:textId="77777777" w:rsidR="003663AF" w:rsidRPr="00B7760C" w:rsidRDefault="003663AF" w:rsidP="00E804B7">
            <w:pPr>
              <w:pStyle w:val="ColumnHeading"/>
              <w:keepNext/>
            </w:pPr>
            <w:r w:rsidRPr="00B7760C">
              <w:t>Besedilo, ki ga predlaga Komisija</w:t>
            </w:r>
          </w:p>
        </w:tc>
        <w:tc>
          <w:tcPr>
            <w:tcW w:w="4876" w:type="dxa"/>
            <w:hideMark/>
          </w:tcPr>
          <w:p w14:paraId="4D71529E" w14:textId="72E8F302" w:rsidR="003663AF" w:rsidRPr="00B7760C" w:rsidRDefault="00877691" w:rsidP="00E804B7">
            <w:pPr>
              <w:pStyle w:val="ColumnHeading"/>
              <w:keepNext/>
            </w:pPr>
            <w:r w:rsidRPr="00B7760C">
              <w:t>Sprememba</w:t>
            </w:r>
          </w:p>
        </w:tc>
      </w:tr>
      <w:tr w:rsidR="003663AF" w:rsidRPr="00B7760C" w14:paraId="6A784ADC" w14:textId="77777777" w:rsidTr="00E804B7">
        <w:trPr>
          <w:jc w:val="center"/>
        </w:trPr>
        <w:tc>
          <w:tcPr>
            <w:tcW w:w="4876" w:type="dxa"/>
            <w:hideMark/>
          </w:tcPr>
          <w:p w14:paraId="0BA0038A" w14:textId="77777777" w:rsidR="003663AF" w:rsidRPr="00B7760C" w:rsidRDefault="003663AF" w:rsidP="00E804B7">
            <w:pPr>
              <w:pStyle w:val="Normal6"/>
            </w:pPr>
            <w:r w:rsidRPr="00B7760C">
              <w:t>1.</w:t>
            </w:r>
            <w:r w:rsidRPr="00B7760C">
              <w:tab/>
              <w:t>Ciljni načrt iz točke (e) člena 95(1) sestavlja tabela s povzetkom, v kateri so navedene ciljne vrednosti iz točke (a) člena 97(1), razčlenjene po letnih mejnikih.</w:t>
            </w:r>
          </w:p>
        </w:tc>
        <w:tc>
          <w:tcPr>
            <w:tcW w:w="4876" w:type="dxa"/>
            <w:hideMark/>
          </w:tcPr>
          <w:p w14:paraId="14B47850" w14:textId="77777777" w:rsidR="003663AF" w:rsidRPr="00B7760C" w:rsidRDefault="003663AF" w:rsidP="00E804B7">
            <w:pPr>
              <w:pStyle w:val="Normal6"/>
              <w:rPr>
                <w:szCs w:val="24"/>
              </w:rPr>
            </w:pPr>
            <w:r w:rsidRPr="00B7760C">
              <w:t>1.</w:t>
            </w:r>
            <w:r w:rsidRPr="00B7760C">
              <w:tab/>
              <w:t xml:space="preserve">Ciljni načrt iz točke (e) člena 95(1) sestavlja tabela s povzetkom, v kateri so navedene ciljne vrednosti iz točke (a) člena 97(1), razčlenjene po letnih </w:t>
            </w:r>
            <w:r w:rsidRPr="00B7760C">
              <w:rPr>
                <w:b/>
                <w:i/>
              </w:rPr>
              <w:t xml:space="preserve">ali po potrebi večletnih </w:t>
            </w:r>
            <w:r w:rsidRPr="00B7760C">
              <w:t>mejnikih</w:t>
            </w:r>
            <w:r w:rsidRPr="00B7760C">
              <w:rPr>
                <w:b/>
                <w:i/>
              </w:rPr>
              <w:t xml:space="preserve"> in po potrebi delno razčlenjene po regijah</w:t>
            </w:r>
            <w:r w:rsidRPr="00B7760C">
              <w:t>.</w:t>
            </w:r>
          </w:p>
        </w:tc>
      </w:tr>
    </w:tbl>
    <w:p w14:paraId="23DCC3CC" w14:textId="77777777" w:rsidR="003663AF" w:rsidRPr="00B7760C" w:rsidRDefault="003663AF" w:rsidP="003663AF"/>
    <w:p w14:paraId="675035D5" w14:textId="6DBF80AB" w:rsidR="003663AF" w:rsidRPr="00B7760C" w:rsidRDefault="00877691" w:rsidP="003663AF">
      <w:pPr>
        <w:pStyle w:val="AMNumberTabs"/>
        <w:keepNext/>
      </w:pPr>
      <w:r w:rsidRPr="00B7760C">
        <w:t>Sprememba</w:t>
      </w:r>
      <w:r w:rsidR="003663AF" w:rsidRPr="00B7760C">
        <w:tab/>
      </w:r>
      <w:r w:rsidR="003663AF" w:rsidRPr="00B7760C">
        <w:tab/>
        <w:t>602</w:t>
      </w:r>
    </w:p>
    <w:p w14:paraId="0B2E2C96" w14:textId="77777777" w:rsidR="003663AF" w:rsidRPr="00B7760C" w:rsidRDefault="003663AF" w:rsidP="003663AF">
      <w:pPr>
        <w:pStyle w:val="NormalBold12b"/>
      </w:pPr>
      <w:r w:rsidRPr="00B7760C">
        <w:t>Predlog uredbe</w:t>
      </w:r>
    </w:p>
    <w:p w14:paraId="057121CE" w14:textId="77777777" w:rsidR="003663AF" w:rsidRPr="00B7760C" w:rsidRDefault="003663AF" w:rsidP="003663AF">
      <w:pPr>
        <w:pStyle w:val="NormalBold"/>
      </w:pPr>
      <w:r w:rsidRPr="00B7760C">
        <w:t>Člen 100 – odstavek 2 – pododstavek 1 – točka e</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BB78282" w14:textId="77777777" w:rsidTr="00E804B7">
        <w:trPr>
          <w:jc w:val="center"/>
        </w:trPr>
        <w:tc>
          <w:tcPr>
            <w:tcW w:w="9752" w:type="dxa"/>
            <w:gridSpan w:val="2"/>
          </w:tcPr>
          <w:p w14:paraId="602A8EDC" w14:textId="77777777" w:rsidR="003663AF" w:rsidRPr="00B7760C" w:rsidRDefault="003663AF" w:rsidP="00E804B7">
            <w:pPr>
              <w:keepNext/>
            </w:pPr>
          </w:p>
        </w:tc>
      </w:tr>
      <w:tr w:rsidR="003663AF" w:rsidRPr="00B7760C" w14:paraId="2CF772CC" w14:textId="77777777" w:rsidTr="00E804B7">
        <w:trPr>
          <w:jc w:val="center"/>
        </w:trPr>
        <w:tc>
          <w:tcPr>
            <w:tcW w:w="4876" w:type="dxa"/>
            <w:hideMark/>
          </w:tcPr>
          <w:p w14:paraId="2A16A758" w14:textId="77777777" w:rsidR="003663AF" w:rsidRPr="00B7760C" w:rsidRDefault="003663AF" w:rsidP="00E804B7">
            <w:pPr>
              <w:pStyle w:val="ColumnHeading"/>
              <w:keepNext/>
            </w:pPr>
            <w:r w:rsidRPr="00B7760C">
              <w:t>Besedilo, ki ga predlaga Komisija</w:t>
            </w:r>
          </w:p>
        </w:tc>
        <w:tc>
          <w:tcPr>
            <w:tcW w:w="4876" w:type="dxa"/>
            <w:hideMark/>
          </w:tcPr>
          <w:p w14:paraId="421EA6F2" w14:textId="66B82484" w:rsidR="003663AF" w:rsidRPr="00B7760C" w:rsidRDefault="00877691" w:rsidP="00E804B7">
            <w:pPr>
              <w:pStyle w:val="ColumnHeading"/>
              <w:keepNext/>
            </w:pPr>
            <w:r w:rsidRPr="00B7760C">
              <w:t>Sprememba</w:t>
            </w:r>
          </w:p>
        </w:tc>
      </w:tr>
      <w:tr w:rsidR="003663AF" w:rsidRPr="00B7760C" w14:paraId="1549916F" w14:textId="77777777" w:rsidTr="00E804B7">
        <w:trPr>
          <w:jc w:val="center"/>
        </w:trPr>
        <w:tc>
          <w:tcPr>
            <w:tcW w:w="4876" w:type="dxa"/>
            <w:hideMark/>
          </w:tcPr>
          <w:p w14:paraId="2BFBD0A1" w14:textId="77777777" w:rsidR="003663AF" w:rsidRPr="00B7760C" w:rsidRDefault="003663AF" w:rsidP="00E804B7">
            <w:pPr>
              <w:pStyle w:val="Normal6"/>
            </w:pPr>
            <w:r w:rsidRPr="00B7760C">
              <w:t>(e)</w:t>
            </w:r>
            <w:r w:rsidRPr="00B7760C">
              <w:tab/>
              <w:t xml:space="preserve">razčlenitvijo dodeljenih finančnih sredstev za sektorske vrste intervencij iz </w:t>
            </w:r>
            <w:r w:rsidRPr="00B7760C">
              <w:rPr>
                <w:b/>
                <w:i/>
              </w:rPr>
              <w:t xml:space="preserve">oddelka VII </w:t>
            </w:r>
            <w:r w:rsidRPr="00B7760C">
              <w:t>poglavja</w:t>
            </w:r>
            <w:r w:rsidRPr="00B7760C">
              <w:rPr>
                <w:b/>
                <w:i/>
              </w:rPr>
              <w:t xml:space="preserve"> </w:t>
            </w:r>
            <w:r w:rsidRPr="00B7760C">
              <w:t xml:space="preserve">III naslova III na intervencijo in z navedbo načrtovanih izložkov ter povprečnih zneskov na enoto; </w:t>
            </w:r>
          </w:p>
        </w:tc>
        <w:tc>
          <w:tcPr>
            <w:tcW w:w="4876" w:type="dxa"/>
            <w:hideMark/>
          </w:tcPr>
          <w:p w14:paraId="767F8621" w14:textId="77777777" w:rsidR="003663AF" w:rsidRPr="00B7760C" w:rsidRDefault="003663AF" w:rsidP="00E804B7">
            <w:pPr>
              <w:pStyle w:val="Normal6"/>
              <w:rPr>
                <w:szCs w:val="24"/>
              </w:rPr>
            </w:pPr>
            <w:r w:rsidRPr="00B7760C">
              <w:t>(e)</w:t>
            </w:r>
            <w:r w:rsidRPr="00B7760C">
              <w:tab/>
              <w:t>razčlenitvijo dodeljenih finančnih sredstev za sektorske vrste intervencij iz poglavja</w:t>
            </w:r>
            <w:r w:rsidRPr="00B7760C">
              <w:rPr>
                <w:b/>
                <w:i/>
              </w:rPr>
              <w:t> </w:t>
            </w:r>
            <w:r w:rsidRPr="00B7760C">
              <w:t>III naslova III na intervencijo in z navedbo načrtovanih izložkov ter povprečnih zneskov na enoto;</w:t>
            </w:r>
          </w:p>
        </w:tc>
      </w:tr>
    </w:tbl>
    <w:p w14:paraId="425D031A" w14:textId="77777777" w:rsidR="003663AF" w:rsidRPr="00B7760C" w:rsidRDefault="003663AF" w:rsidP="003663AF"/>
    <w:p w14:paraId="054CC3A2" w14:textId="415DDAA8" w:rsidR="003663AF" w:rsidRPr="00B7760C" w:rsidRDefault="00877691" w:rsidP="003663AF">
      <w:pPr>
        <w:pStyle w:val="AMNumberTabs"/>
        <w:keepNext/>
      </w:pPr>
      <w:r w:rsidRPr="00B7760C">
        <w:t>Sprememba</w:t>
      </w:r>
      <w:r w:rsidR="003663AF" w:rsidRPr="00B7760C">
        <w:tab/>
      </w:r>
      <w:r w:rsidR="003663AF" w:rsidRPr="00B7760C">
        <w:tab/>
        <w:t>603</w:t>
      </w:r>
    </w:p>
    <w:p w14:paraId="6CF9C064" w14:textId="77777777" w:rsidR="003663AF" w:rsidRPr="00B7760C" w:rsidRDefault="003663AF" w:rsidP="003663AF">
      <w:pPr>
        <w:pStyle w:val="NormalBold12b"/>
      </w:pPr>
      <w:r w:rsidRPr="00B7760C">
        <w:t>Predlog uredbe</w:t>
      </w:r>
    </w:p>
    <w:p w14:paraId="4456B26A" w14:textId="77777777" w:rsidR="003663AF" w:rsidRPr="00B7760C" w:rsidRDefault="003663AF" w:rsidP="003663AF">
      <w:pPr>
        <w:pStyle w:val="NormalBold"/>
      </w:pPr>
      <w:r w:rsidRPr="00B7760C">
        <w:t>Člen 100 – odstavek 2 – pododstavek 1 – točka f</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175246B" w14:textId="77777777" w:rsidTr="00E804B7">
        <w:trPr>
          <w:jc w:val="center"/>
        </w:trPr>
        <w:tc>
          <w:tcPr>
            <w:tcW w:w="9752" w:type="dxa"/>
            <w:gridSpan w:val="2"/>
          </w:tcPr>
          <w:p w14:paraId="4D077089" w14:textId="77777777" w:rsidR="003663AF" w:rsidRPr="00B7760C" w:rsidRDefault="003663AF" w:rsidP="00E804B7">
            <w:pPr>
              <w:keepNext/>
            </w:pPr>
          </w:p>
        </w:tc>
      </w:tr>
      <w:tr w:rsidR="003663AF" w:rsidRPr="00B7760C" w14:paraId="529F168A" w14:textId="77777777" w:rsidTr="00E804B7">
        <w:trPr>
          <w:jc w:val="center"/>
        </w:trPr>
        <w:tc>
          <w:tcPr>
            <w:tcW w:w="4876" w:type="dxa"/>
            <w:hideMark/>
          </w:tcPr>
          <w:p w14:paraId="7602DEE1" w14:textId="77777777" w:rsidR="003663AF" w:rsidRPr="00B7760C" w:rsidRDefault="003663AF" w:rsidP="00E804B7">
            <w:pPr>
              <w:pStyle w:val="ColumnHeading"/>
              <w:keepNext/>
            </w:pPr>
            <w:r w:rsidRPr="00B7760C">
              <w:t>Besedilo, ki ga predlaga Komisija</w:t>
            </w:r>
          </w:p>
        </w:tc>
        <w:tc>
          <w:tcPr>
            <w:tcW w:w="4876" w:type="dxa"/>
            <w:hideMark/>
          </w:tcPr>
          <w:p w14:paraId="672D5EEA" w14:textId="489A3ECA" w:rsidR="003663AF" w:rsidRPr="00B7760C" w:rsidRDefault="00877691" w:rsidP="00E804B7">
            <w:pPr>
              <w:pStyle w:val="ColumnHeading"/>
              <w:keepNext/>
            </w:pPr>
            <w:r w:rsidRPr="00B7760C">
              <w:t>Sprememba</w:t>
            </w:r>
          </w:p>
        </w:tc>
      </w:tr>
      <w:tr w:rsidR="003663AF" w:rsidRPr="00B7760C" w14:paraId="41F4E740" w14:textId="77777777" w:rsidTr="00E804B7">
        <w:trPr>
          <w:jc w:val="center"/>
        </w:trPr>
        <w:tc>
          <w:tcPr>
            <w:tcW w:w="4876" w:type="dxa"/>
          </w:tcPr>
          <w:p w14:paraId="3C309CAD" w14:textId="77777777" w:rsidR="003663AF" w:rsidRPr="00B7760C" w:rsidRDefault="003663AF" w:rsidP="00E804B7">
            <w:pPr>
              <w:pStyle w:val="Normal6"/>
            </w:pPr>
            <w:r w:rsidRPr="00B7760C">
              <w:t>(f)</w:t>
            </w:r>
            <w:r w:rsidRPr="00B7760C">
              <w:tab/>
              <w:t>razčlenitvijo dodeljenih finančnih sredstev držav članic za razvoj podeželja po prerazporeditvah v neposredna plačila in iz njih, kakor je navedeno v točki (b), na vrsto intervencij in na intervencijo, vključno s skupnimi zneski za obdobje, navedena pa je tudi veljavna stopnja prispevka EKSRP, po potrebi razčlenjena na intervencijo in vrsto regije. V primeru prerazporeditve sredstev iz neposrednih plačil se navedejo intervencije ali deli intervencij, ki se financirajo s prerazporeditvijo. V tej tabeli se navedejo tudi načrtovani izložki na intervencijo in povprečni ali enotni zneski na enoto, po potrebi pa tudi razčlenitev na zneske, načrtovane za nepovratna sredstva, in zneske, načrtovane za finančne instrumente. Navedejo se tudi zneski za tehnično pomoč</w:t>
            </w:r>
            <w:r w:rsidRPr="00B7760C">
              <w:rPr>
                <w:b/>
                <w:bCs/>
                <w:i/>
                <w:iCs/>
              </w:rPr>
              <w:t>;</w:t>
            </w:r>
          </w:p>
        </w:tc>
        <w:tc>
          <w:tcPr>
            <w:tcW w:w="4876" w:type="dxa"/>
          </w:tcPr>
          <w:p w14:paraId="2FF76BF2" w14:textId="67CAAA1F" w:rsidR="003663AF" w:rsidRPr="00B7760C" w:rsidRDefault="003663AF" w:rsidP="00EF2FD5">
            <w:pPr>
              <w:pStyle w:val="Normal6"/>
              <w:rPr>
                <w:szCs w:val="24"/>
              </w:rPr>
            </w:pPr>
            <w:r w:rsidRPr="00B7760C">
              <w:t>(f)</w:t>
            </w:r>
            <w:r w:rsidRPr="00B7760C">
              <w:tab/>
              <w:t xml:space="preserve">razčlenitvijo dodeljenih finančnih sredstev držav članic za razvoj podeželja po prerazporeditvah v neposredna plačila in iz njih, kakor je navedeno v točki (b), na vrsto intervencij in na intervencijo, vključno s skupnimi zneski za obdobje, navedena pa je tudi veljavna stopnja prispevka EKSRP, po potrebi razčlenjena na intervencijo in vrsto regije. V primeru prerazporeditve sredstev iz neposrednih plačil se navedejo intervencije ali deli intervencij, ki se financirajo s prerazporeditvijo. V tej tabeli se navedejo tudi načrtovani izložki na intervencijo in povprečni ali enotni zneski na enoto, po potrebi pa tudi razčlenitev na zneske, načrtovane za nepovratna sredstva, in zneske, načrtovane za finančne instrumente. Navedejo se tudi zneski za tehnično pomoč </w:t>
            </w:r>
            <w:r w:rsidRPr="00B7760C">
              <w:rPr>
                <w:b/>
                <w:i/>
              </w:rPr>
              <w:t>ter</w:t>
            </w:r>
          </w:p>
        </w:tc>
      </w:tr>
    </w:tbl>
    <w:p w14:paraId="6B584EE6" w14:textId="77777777" w:rsidR="003663AF" w:rsidRPr="00B7760C" w:rsidRDefault="003663AF" w:rsidP="003663AF"/>
    <w:p w14:paraId="35D7C6CA" w14:textId="77777777" w:rsidR="003663AF" w:rsidRPr="00B7760C" w:rsidRDefault="003663AF" w:rsidP="003663AF">
      <w:pPr>
        <w:pStyle w:val="Normal6"/>
      </w:pPr>
    </w:p>
    <w:p w14:paraId="31F20954" w14:textId="6067AA77" w:rsidR="003663AF" w:rsidRPr="00B7760C" w:rsidRDefault="00877691" w:rsidP="003663AF">
      <w:pPr>
        <w:pStyle w:val="AMNumberTabs"/>
        <w:keepNext/>
      </w:pPr>
      <w:r w:rsidRPr="00B7760C">
        <w:t>Sprememba</w:t>
      </w:r>
      <w:r w:rsidR="003663AF" w:rsidRPr="00B7760C">
        <w:tab/>
      </w:r>
      <w:r w:rsidR="003663AF" w:rsidRPr="00B7760C">
        <w:tab/>
        <w:t>604</w:t>
      </w:r>
    </w:p>
    <w:p w14:paraId="2D5C9C1B" w14:textId="77777777" w:rsidR="003663AF" w:rsidRPr="00B7760C" w:rsidRDefault="003663AF" w:rsidP="003663AF">
      <w:pPr>
        <w:pStyle w:val="NormalBold12b"/>
      </w:pPr>
      <w:r w:rsidRPr="00B7760C">
        <w:t>Predlog uredbe</w:t>
      </w:r>
    </w:p>
    <w:p w14:paraId="54DD8150" w14:textId="77777777" w:rsidR="003663AF" w:rsidRPr="00B7760C" w:rsidRDefault="003663AF" w:rsidP="003663AF">
      <w:pPr>
        <w:pStyle w:val="NormalBold"/>
      </w:pPr>
      <w:r w:rsidRPr="00B7760C">
        <w:t>Člen 100 – odstavek 2 – pododstavek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D374A0C" w14:textId="77777777" w:rsidTr="00E804B7">
        <w:trPr>
          <w:jc w:val="center"/>
        </w:trPr>
        <w:tc>
          <w:tcPr>
            <w:tcW w:w="9752" w:type="dxa"/>
            <w:gridSpan w:val="2"/>
          </w:tcPr>
          <w:p w14:paraId="50B6BB2B" w14:textId="77777777" w:rsidR="003663AF" w:rsidRPr="00B7760C" w:rsidRDefault="003663AF" w:rsidP="00E804B7">
            <w:pPr>
              <w:keepNext/>
            </w:pPr>
          </w:p>
        </w:tc>
      </w:tr>
      <w:tr w:rsidR="003663AF" w:rsidRPr="00B7760C" w14:paraId="2330BA15" w14:textId="77777777" w:rsidTr="00E804B7">
        <w:trPr>
          <w:jc w:val="center"/>
        </w:trPr>
        <w:tc>
          <w:tcPr>
            <w:tcW w:w="4876" w:type="dxa"/>
            <w:hideMark/>
          </w:tcPr>
          <w:p w14:paraId="1D2077A4" w14:textId="77777777" w:rsidR="003663AF" w:rsidRPr="00B7760C" w:rsidRDefault="003663AF" w:rsidP="00E804B7">
            <w:pPr>
              <w:pStyle w:val="ColumnHeading"/>
              <w:keepNext/>
            </w:pPr>
            <w:r w:rsidRPr="00B7760C">
              <w:t>Besedilo, ki ga predlaga Komisija</w:t>
            </w:r>
          </w:p>
        </w:tc>
        <w:tc>
          <w:tcPr>
            <w:tcW w:w="4876" w:type="dxa"/>
            <w:hideMark/>
          </w:tcPr>
          <w:p w14:paraId="019A9AC9" w14:textId="04038454" w:rsidR="003663AF" w:rsidRPr="00B7760C" w:rsidRDefault="00877691" w:rsidP="00E804B7">
            <w:pPr>
              <w:pStyle w:val="ColumnHeading"/>
              <w:keepNext/>
            </w:pPr>
            <w:r w:rsidRPr="00B7760C">
              <w:t>Sprememba</w:t>
            </w:r>
          </w:p>
        </w:tc>
      </w:tr>
      <w:tr w:rsidR="003663AF" w:rsidRPr="00B7760C" w14:paraId="3F9AFA0B" w14:textId="77777777" w:rsidTr="00E804B7">
        <w:trPr>
          <w:jc w:val="center"/>
        </w:trPr>
        <w:tc>
          <w:tcPr>
            <w:tcW w:w="4876" w:type="dxa"/>
            <w:hideMark/>
          </w:tcPr>
          <w:p w14:paraId="1F5F7FCA" w14:textId="77777777" w:rsidR="003663AF" w:rsidRPr="00B7760C" w:rsidRDefault="003663AF" w:rsidP="00E804B7">
            <w:pPr>
              <w:pStyle w:val="Normal6"/>
            </w:pPr>
            <w:r w:rsidRPr="00B7760C">
              <w:t>Elementi iz tega člena se določijo na letni ravni.</w:t>
            </w:r>
          </w:p>
        </w:tc>
        <w:tc>
          <w:tcPr>
            <w:tcW w:w="4876" w:type="dxa"/>
            <w:hideMark/>
          </w:tcPr>
          <w:p w14:paraId="2DB6244A" w14:textId="77777777" w:rsidR="003663AF" w:rsidRPr="00B7760C" w:rsidRDefault="003663AF" w:rsidP="00E804B7">
            <w:pPr>
              <w:pStyle w:val="Normal6"/>
              <w:rPr>
                <w:szCs w:val="24"/>
              </w:rPr>
            </w:pPr>
            <w:r w:rsidRPr="00B7760C">
              <w:t xml:space="preserve">Elementi iz tega člena se določijo na letni ravni </w:t>
            </w:r>
            <w:r w:rsidRPr="00B7760C">
              <w:rPr>
                <w:b/>
                <w:i/>
              </w:rPr>
              <w:t>in po potrebi vključujejo regionalne tabele</w:t>
            </w:r>
            <w:r w:rsidRPr="00B7760C">
              <w:t>.</w:t>
            </w:r>
          </w:p>
        </w:tc>
      </w:tr>
    </w:tbl>
    <w:p w14:paraId="3777614F" w14:textId="77777777" w:rsidR="003663AF" w:rsidRPr="00B7760C" w:rsidRDefault="003663AF" w:rsidP="003663AF"/>
    <w:p w14:paraId="79DCE5AB" w14:textId="15F84FFA" w:rsidR="003663AF" w:rsidRPr="00B7760C" w:rsidRDefault="00877691" w:rsidP="003663AF">
      <w:pPr>
        <w:pStyle w:val="AMNumberTabs"/>
      </w:pPr>
      <w:r w:rsidRPr="00B7760C">
        <w:t>Sprememba</w:t>
      </w:r>
      <w:r w:rsidR="003663AF" w:rsidRPr="00B7760C">
        <w:tab/>
      </w:r>
      <w:r w:rsidR="003663AF" w:rsidRPr="00B7760C">
        <w:tab/>
        <w:t>605</w:t>
      </w:r>
    </w:p>
    <w:p w14:paraId="2A63C663" w14:textId="77777777" w:rsidR="003663AF" w:rsidRPr="00B7760C" w:rsidRDefault="003663AF" w:rsidP="003663AF">
      <w:pPr>
        <w:pStyle w:val="NormalBold12b"/>
      </w:pPr>
      <w:r w:rsidRPr="00B7760C">
        <w:t>Predlog uredbe</w:t>
      </w:r>
    </w:p>
    <w:p w14:paraId="50BE81C8" w14:textId="77777777" w:rsidR="003663AF" w:rsidRPr="00B7760C" w:rsidRDefault="003663AF" w:rsidP="003663AF">
      <w:pPr>
        <w:pStyle w:val="NormalBold"/>
      </w:pPr>
      <w:r w:rsidRPr="00B7760C">
        <w:t>Člen 100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DD2D683" w14:textId="77777777" w:rsidTr="00E804B7">
        <w:trPr>
          <w:trHeight w:hRule="exact" w:val="240"/>
          <w:jc w:val="center"/>
        </w:trPr>
        <w:tc>
          <w:tcPr>
            <w:tcW w:w="9752" w:type="dxa"/>
            <w:gridSpan w:val="2"/>
          </w:tcPr>
          <w:p w14:paraId="3785A9E0" w14:textId="77777777" w:rsidR="003663AF" w:rsidRPr="00B7760C" w:rsidRDefault="003663AF" w:rsidP="00E804B7"/>
        </w:tc>
      </w:tr>
      <w:tr w:rsidR="003663AF" w:rsidRPr="00B7760C" w14:paraId="645595B4" w14:textId="77777777" w:rsidTr="00E804B7">
        <w:trPr>
          <w:trHeight w:val="240"/>
          <w:jc w:val="center"/>
        </w:trPr>
        <w:tc>
          <w:tcPr>
            <w:tcW w:w="4876" w:type="dxa"/>
          </w:tcPr>
          <w:p w14:paraId="3C7C14CA" w14:textId="77777777" w:rsidR="003663AF" w:rsidRPr="00B7760C" w:rsidRDefault="003663AF" w:rsidP="00E804B7">
            <w:pPr>
              <w:pStyle w:val="ColumnHeading"/>
            </w:pPr>
            <w:r w:rsidRPr="00B7760C">
              <w:t>Besedilo, ki ga predlaga Komisija</w:t>
            </w:r>
          </w:p>
        </w:tc>
        <w:tc>
          <w:tcPr>
            <w:tcW w:w="4876" w:type="dxa"/>
          </w:tcPr>
          <w:p w14:paraId="7F3661DF" w14:textId="7220EBE8" w:rsidR="003663AF" w:rsidRPr="00B7760C" w:rsidRDefault="00877691" w:rsidP="00E804B7">
            <w:pPr>
              <w:pStyle w:val="ColumnHeading"/>
            </w:pPr>
            <w:r w:rsidRPr="00B7760C">
              <w:t>Sprememba</w:t>
            </w:r>
          </w:p>
        </w:tc>
      </w:tr>
      <w:tr w:rsidR="003663AF" w:rsidRPr="00B7760C" w14:paraId="41F81A97" w14:textId="77777777" w:rsidTr="00E804B7">
        <w:trPr>
          <w:jc w:val="center"/>
        </w:trPr>
        <w:tc>
          <w:tcPr>
            <w:tcW w:w="4876" w:type="dxa"/>
          </w:tcPr>
          <w:p w14:paraId="425D1799" w14:textId="77777777" w:rsidR="003663AF" w:rsidRPr="00B7760C" w:rsidRDefault="003663AF" w:rsidP="00E804B7">
            <w:pPr>
              <w:pStyle w:val="Normal6"/>
            </w:pPr>
          </w:p>
        </w:tc>
        <w:tc>
          <w:tcPr>
            <w:tcW w:w="4876" w:type="dxa"/>
          </w:tcPr>
          <w:p w14:paraId="085F1011" w14:textId="77777777" w:rsidR="003663AF" w:rsidRPr="00B7760C" w:rsidRDefault="003663AF" w:rsidP="00E804B7">
            <w:pPr>
              <w:pStyle w:val="Normal6Center"/>
              <w:rPr>
                <w:color w:val="auto"/>
                <w:lang w:val="sl-SI"/>
              </w:rPr>
            </w:pPr>
            <w:r w:rsidRPr="00B7760C">
              <w:rPr>
                <w:color w:val="auto"/>
                <w:lang w:val="sl-SI"/>
              </w:rPr>
              <w:t>Člen 100a</w:t>
            </w:r>
          </w:p>
        </w:tc>
      </w:tr>
      <w:tr w:rsidR="003663AF" w:rsidRPr="00B7760C" w14:paraId="086ABF78" w14:textId="77777777" w:rsidTr="00E804B7">
        <w:trPr>
          <w:jc w:val="center"/>
        </w:trPr>
        <w:tc>
          <w:tcPr>
            <w:tcW w:w="4876" w:type="dxa"/>
          </w:tcPr>
          <w:p w14:paraId="6620F875" w14:textId="77777777" w:rsidR="003663AF" w:rsidRPr="00B7760C" w:rsidRDefault="003663AF" w:rsidP="00E804B7">
            <w:pPr>
              <w:pStyle w:val="Normal6"/>
            </w:pPr>
          </w:p>
        </w:tc>
        <w:tc>
          <w:tcPr>
            <w:tcW w:w="4876" w:type="dxa"/>
          </w:tcPr>
          <w:p w14:paraId="19E88609" w14:textId="77777777" w:rsidR="003663AF" w:rsidRPr="00B7760C" w:rsidRDefault="003663AF" w:rsidP="00E804B7">
            <w:pPr>
              <w:pStyle w:val="Normal6Center"/>
              <w:rPr>
                <w:color w:val="auto"/>
                <w:lang w:val="sl-SI"/>
              </w:rPr>
            </w:pPr>
            <w:r w:rsidRPr="00B7760C">
              <w:rPr>
                <w:color w:val="auto"/>
                <w:lang w:val="sl-SI"/>
              </w:rPr>
              <w:t>Regionalni programi intervencij</w:t>
            </w:r>
          </w:p>
        </w:tc>
      </w:tr>
      <w:tr w:rsidR="003663AF" w:rsidRPr="00B7760C" w14:paraId="115CD61C" w14:textId="77777777" w:rsidTr="00E804B7">
        <w:trPr>
          <w:jc w:val="center"/>
        </w:trPr>
        <w:tc>
          <w:tcPr>
            <w:tcW w:w="4876" w:type="dxa"/>
          </w:tcPr>
          <w:p w14:paraId="02401AEA" w14:textId="77777777" w:rsidR="003663AF" w:rsidRPr="00B7760C" w:rsidRDefault="003663AF" w:rsidP="00E804B7">
            <w:pPr>
              <w:pStyle w:val="Normal6"/>
            </w:pPr>
          </w:p>
        </w:tc>
        <w:tc>
          <w:tcPr>
            <w:tcW w:w="4876" w:type="dxa"/>
          </w:tcPr>
          <w:p w14:paraId="70553EF3" w14:textId="77777777" w:rsidR="003663AF" w:rsidRPr="00B7760C" w:rsidRDefault="003663AF" w:rsidP="00E804B7">
            <w:pPr>
              <w:pStyle w:val="Normal6"/>
            </w:pPr>
            <w:r w:rsidRPr="00B7760C">
              <w:rPr>
                <w:b/>
                <w:i/>
              </w:rPr>
              <w:t>Vsak regionalni program intervencij za razvoj podeželja vsebuje najmanj naslednje oddelke:</w:t>
            </w:r>
          </w:p>
        </w:tc>
      </w:tr>
      <w:tr w:rsidR="003663AF" w:rsidRPr="00B7760C" w14:paraId="77C1BB0F" w14:textId="77777777" w:rsidTr="00E804B7">
        <w:trPr>
          <w:jc w:val="center"/>
        </w:trPr>
        <w:tc>
          <w:tcPr>
            <w:tcW w:w="4876" w:type="dxa"/>
          </w:tcPr>
          <w:p w14:paraId="318EB4E2" w14:textId="77777777" w:rsidR="003663AF" w:rsidRPr="00B7760C" w:rsidRDefault="003663AF" w:rsidP="00E804B7">
            <w:pPr>
              <w:pStyle w:val="Normal6"/>
            </w:pPr>
          </w:p>
        </w:tc>
        <w:tc>
          <w:tcPr>
            <w:tcW w:w="4876" w:type="dxa"/>
          </w:tcPr>
          <w:p w14:paraId="4ABE0B3B" w14:textId="77777777" w:rsidR="003663AF" w:rsidRPr="00B7760C" w:rsidRDefault="003663AF" w:rsidP="00E804B7">
            <w:pPr>
              <w:pStyle w:val="Normal6"/>
            </w:pPr>
            <w:r w:rsidRPr="00B7760C">
              <w:rPr>
                <w:b/>
                <w:i/>
              </w:rPr>
              <w:t xml:space="preserve">(a) </w:t>
            </w:r>
            <w:r w:rsidRPr="00B7760C">
              <w:rPr>
                <w:b/>
                <w:i/>
              </w:rPr>
              <w:tab/>
              <w:t>povzetek analize SWOT; </w:t>
            </w:r>
          </w:p>
        </w:tc>
      </w:tr>
      <w:tr w:rsidR="003663AF" w:rsidRPr="00B7760C" w14:paraId="6B5139E8" w14:textId="77777777" w:rsidTr="00E804B7">
        <w:trPr>
          <w:jc w:val="center"/>
        </w:trPr>
        <w:tc>
          <w:tcPr>
            <w:tcW w:w="4876" w:type="dxa"/>
          </w:tcPr>
          <w:p w14:paraId="5E322C7A" w14:textId="77777777" w:rsidR="003663AF" w:rsidRPr="00B7760C" w:rsidRDefault="003663AF" w:rsidP="00E804B7">
            <w:pPr>
              <w:pStyle w:val="Normal6"/>
            </w:pPr>
          </w:p>
        </w:tc>
        <w:tc>
          <w:tcPr>
            <w:tcW w:w="4876" w:type="dxa"/>
          </w:tcPr>
          <w:p w14:paraId="45E1323D" w14:textId="77777777" w:rsidR="003663AF" w:rsidRPr="00B7760C" w:rsidRDefault="003663AF" w:rsidP="00E804B7">
            <w:pPr>
              <w:pStyle w:val="Normal6"/>
            </w:pPr>
            <w:r w:rsidRPr="00B7760C">
              <w:rPr>
                <w:b/>
                <w:i/>
              </w:rPr>
              <w:t xml:space="preserve">(b) </w:t>
            </w:r>
            <w:r w:rsidRPr="00B7760C">
              <w:rPr>
                <w:b/>
                <w:i/>
              </w:rPr>
              <w:tab/>
              <w:t>povzetek ocene potreb; </w:t>
            </w:r>
          </w:p>
        </w:tc>
      </w:tr>
      <w:tr w:rsidR="003663AF" w:rsidRPr="00B7760C" w14:paraId="6244C3EE" w14:textId="77777777" w:rsidTr="00E804B7">
        <w:trPr>
          <w:jc w:val="center"/>
        </w:trPr>
        <w:tc>
          <w:tcPr>
            <w:tcW w:w="4876" w:type="dxa"/>
          </w:tcPr>
          <w:p w14:paraId="26275AC4" w14:textId="77777777" w:rsidR="003663AF" w:rsidRPr="00B7760C" w:rsidRDefault="003663AF" w:rsidP="00E804B7">
            <w:pPr>
              <w:pStyle w:val="Normal6"/>
            </w:pPr>
          </w:p>
        </w:tc>
        <w:tc>
          <w:tcPr>
            <w:tcW w:w="4876" w:type="dxa"/>
          </w:tcPr>
          <w:p w14:paraId="4ED1D0D1" w14:textId="77777777" w:rsidR="003663AF" w:rsidRPr="00B7760C" w:rsidRDefault="003663AF" w:rsidP="00E804B7">
            <w:pPr>
              <w:pStyle w:val="Normal6"/>
            </w:pPr>
            <w:r w:rsidRPr="00B7760C">
              <w:rPr>
                <w:b/>
                <w:i/>
              </w:rPr>
              <w:t xml:space="preserve">(c) </w:t>
            </w:r>
            <w:r w:rsidRPr="00B7760C">
              <w:rPr>
                <w:b/>
                <w:i/>
              </w:rPr>
              <w:tab/>
              <w:t>intervencijsko strategijo; </w:t>
            </w:r>
          </w:p>
        </w:tc>
      </w:tr>
      <w:tr w:rsidR="003663AF" w:rsidRPr="00B7760C" w14:paraId="4E402C88" w14:textId="77777777" w:rsidTr="00E804B7">
        <w:trPr>
          <w:jc w:val="center"/>
        </w:trPr>
        <w:tc>
          <w:tcPr>
            <w:tcW w:w="4876" w:type="dxa"/>
          </w:tcPr>
          <w:p w14:paraId="031D71C8" w14:textId="77777777" w:rsidR="003663AF" w:rsidRPr="00B7760C" w:rsidRDefault="003663AF" w:rsidP="00E804B7">
            <w:pPr>
              <w:pStyle w:val="Normal6"/>
            </w:pPr>
          </w:p>
        </w:tc>
        <w:tc>
          <w:tcPr>
            <w:tcW w:w="4876" w:type="dxa"/>
          </w:tcPr>
          <w:p w14:paraId="1BA2C3D9" w14:textId="77777777" w:rsidR="003663AF" w:rsidRPr="00B7760C" w:rsidRDefault="003663AF" w:rsidP="00E804B7">
            <w:pPr>
              <w:pStyle w:val="Normal6"/>
            </w:pPr>
            <w:r w:rsidRPr="00B7760C">
              <w:rPr>
                <w:b/>
                <w:i/>
              </w:rPr>
              <w:t xml:space="preserve">(d) </w:t>
            </w:r>
            <w:r w:rsidRPr="00B7760C">
              <w:rPr>
                <w:b/>
                <w:i/>
              </w:rPr>
              <w:tab/>
              <w:t>operativni opis intervencij, ki se upravljajo in izvajajo na regionalni ravni, v skladu z nacionalnim strateškim načrtom iz člena 99. Vsaka intervencija, določena v strategiji iz točke (c) tega člena, vsebuje zlasti naslednje elemente:</w:t>
            </w:r>
          </w:p>
        </w:tc>
      </w:tr>
      <w:tr w:rsidR="003663AF" w:rsidRPr="00B7760C" w14:paraId="00336BA9" w14:textId="77777777" w:rsidTr="00E804B7">
        <w:trPr>
          <w:jc w:val="center"/>
        </w:trPr>
        <w:tc>
          <w:tcPr>
            <w:tcW w:w="4876" w:type="dxa"/>
          </w:tcPr>
          <w:p w14:paraId="0EF93FF1" w14:textId="77777777" w:rsidR="003663AF" w:rsidRPr="00B7760C" w:rsidRDefault="003663AF" w:rsidP="00E804B7">
            <w:pPr>
              <w:pStyle w:val="Normal6"/>
            </w:pPr>
          </w:p>
        </w:tc>
        <w:tc>
          <w:tcPr>
            <w:tcW w:w="4876" w:type="dxa"/>
          </w:tcPr>
          <w:p w14:paraId="0B16AE8F" w14:textId="77777777" w:rsidR="003663AF" w:rsidRPr="00B7760C" w:rsidRDefault="003663AF" w:rsidP="00E804B7">
            <w:pPr>
              <w:pStyle w:val="Normal6"/>
            </w:pPr>
            <w:r w:rsidRPr="00B7760C">
              <w:rPr>
                <w:b/>
                <w:i/>
              </w:rPr>
              <w:t xml:space="preserve">(i) </w:t>
            </w:r>
            <w:r w:rsidRPr="00B7760C">
              <w:rPr>
                <w:b/>
                <w:i/>
              </w:rPr>
              <w:tab/>
              <w:t>opis intervencije;</w:t>
            </w:r>
          </w:p>
        </w:tc>
      </w:tr>
      <w:tr w:rsidR="003663AF" w:rsidRPr="00B7760C" w14:paraId="18CEBDDD" w14:textId="77777777" w:rsidTr="00E804B7">
        <w:trPr>
          <w:jc w:val="center"/>
        </w:trPr>
        <w:tc>
          <w:tcPr>
            <w:tcW w:w="4876" w:type="dxa"/>
          </w:tcPr>
          <w:p w14:paraId="4FB5DF5A" w14:textId="77777777" w:rsidR="003663AF" w:rsidRPr="00B7760C" w:rsidRDefault="003663AF" w:rsidP="00E804B7">
            <w:pPr>
              <w:pStyle w:val="Normal6"/>
            </w:pPr>
          </w:p>
        </w:tc>
        <w:tc>
          <w:tcPr>
            <w:tcW w:w="4876" w:type="dxa"/>
          </w:tcPr>
          <w:p w14:paraId="0F4658F1" w14:textId="77777777" w:rsidR="003663AF" w:rsidRPr="00B7760C" w:rsidRDefault="003663AF" w:rsidP="00E804B7">
            <w:pPr>
              <w:pStyle w:val="Normal6"/>
            </w:pPr>
            <w:r w:rsidRPr="00B7760C">
              <w:rPr>
                <w:b/>
                <w:i/>
              </w:rPr>
              <w:t xml:space="preserve">(ii) </w:t>
            </w:r>
            <w:r w:rsidRPr="00B7760C">
              <w:rPr>
                <w:b/>
                <w:i/>
              </w:rPr>
              <w:tab/>
              <w:t>pogoje za upravičenost; </w:t>
            </w:r>
          </w:p>
        </w:tc>
      </w:tr>
      <w:tr w:rsidR="003663AF" w:rsidRPr="00B7760C" w14:paraId="789EF286" w14:textId="77777777" w:rsidTr="00E804B7">
        <w:trPr>
          <w:jc w:val="center"/>
        </w:trPr>
        <w:tc>
          <w:tcPr>
            <w:tcW w:w="4876" w:type="dxa"/>
          </w:tcPr>
          <w:p w14:paraId="4E56967C" w14:textId="77777777" w:rsidR="003663AF" w:rsidRPr="00B7760C" w:rsidRDefault="003663AF" w:rsidP="00E804B7">
            <w:pPr>
              <w:pStyle w:val="Normal6"/>
            </w:pPr>
          </w:p>
        </w:tc>
        <w:tc>
          <w:tcPr>
            <w:tcW w:w="4876" w:type="dxa"/>
          </w:tcPr>
          <w:p w14:paraId="6AD7ECA9" w14:textId="77777777" w:rsidR="003663AF" w:rsidRPr="00B7760C" w:rsidRDefault="003663AF" w:rsidP="00E804B7">
            <w:pPr>
              <w:pStyle w:val="Normal6"/>
            </w:pPr>
            <w:r w:rsidRPr="00B7760C">
              <w:rPr>
                <w:b/>
                <w:i/>
              </w:rPr>
              <w:t xml:space="preserve">(iii) </w:t>
            </w:r>
            <w:r w:rsidRPr="00B7760C">
              <w:rPr>
                <w:b/>
                <w:i/>
              </w:rPr>
              <w:tab/>
              <w:t>stopnjo podpore;</w:t>
            </w:r>
          </w:p>
        </w:tc>
      </w:tr>
      <w:tr w:rsidR="003663AF" w:rsidRPr="00B7760C" w14:paraId="6B32CCAD" w14:textId="77777777" w:rsidTr="00E804B7">
        <w:trPr>
          <w:jc w:val="center"/>
        </w:trPr>
        <w:tc>
          <w:tcPr>
            <w:tcW w:w="4876" w:type="dxa"/>
          </w:tcPr>
          <w:p w14:paraId="04CAE483" w14:textId="77777777" w:rsidR="003663AF" w:rsidRPr="00B7760C" w:rsidRDefault="003663AF" w:rsidP="00E804B7">
            <w:pPr>
              <w:pStyle w:val="Normal6"/>
            </w:pPr>
          </w:p>
        </w:tc>
        <w:tc>
          <w:tcPr>
            <w:tcW w:w="4876" w:type="dxa"/>
          </w:tcPr>
          <w:p w14:paraId="76AD235E" w14:textId="77777777" w:rsidR="003663AF" w:rsidRPr="00B7760C" w:rsidRDefault="003663AF" w:rsidP="00E804B7">
            <w:pPr>
              <w:pStyle w:val="Normal6"/>
            </w:pPr>
            <w:r w:rsidRPr="00B7760C">
              <w:rPr>
                <w:b/>
                <w:i/>
              </w:rPr>
              <w:t xml:space="preserve">(iv) </w:t>
            </w:r>
            <w:r w:rsidRPr="00B7760C">
              <w:rPr>
                <w:b/>
                <w:i/>
              </w:rPr>
              <w:tab/>
              <w:t>izračun enotnega zneska podpore;</w:t>
            </w:r>
          </w:p>
        </w:tc>
      </w:tr>
      <w:tr w:rsidR="003663AF" w:rsidRPr="00B7760C" w14:paraId="56A8702F" w14:textId="77777777" w:rsidTr="00E804B7">
        <w:trPr>
          <w:jc w:val="center"/>
        </w:trPr>
        <w:tc>
          <w:tcPr>
            <w:tcW w:w="4876" w:type="dxa"/>
          </w:tcPr>
          <w:p w14:paraId="16E2E8AF" w14:textId="77777777" w:rsidR="003663AF" w:rsidRPr="00B7760C" w:rsidRDefault="003663AF" w:rsidP="00E804B7">
            <w:pPr>
              <w:pStyle w:val="Normal6"/>
            </w:pPr>
          </w:p>
        </w:tc>
        <w:tc>
          <w:tcPr>
            <w:tcW w:w="4876" w:type="dxa"/>
          </w:tcPr>
          <w:p w14:paraId="1A054157" w14:textId="77777777" w:rsidR="003663AF" w:rsidRPr="00B7760C" w:rsidRDefault="003663AF" w:rsidP="00E804B7">
            <w:pPr>
              <w:pStyle w:val="Normal6"/>
            </w:pPr>
            <w:r w:rsidRPr="00B7760C">
              <w:rPr>
                <w:b/>
                <w:i/>
              </w:rPr>
              <w:t xml:space="preserve">(v) </w:t>
            </w:r>
            <w:r w:rsidRPr="00B7760C">
              <w:rPr>
                <w:b/>
                <w:i/>
              </w:rPr>
              <w:tab/>
              <w:t>finančni načrt;</w:t>
            </w:r>
          </w:p>
        </w:tc>
      </w:tr>
      <w:tr w:rsidR="003663AF" w:rsidRPr="00B7760C" w14:paraId="1616D1D4" w14:textId="77777777" w:rsidTr="00E804B7">
        <w:trPr>
          <w:jc w:val="center"/>
        </w:trPr>
        <w:tc>
          <w:tcPr>
            <w:tcW w:w="4876" w:type="dxa"/>
          </w:tcPr>
          <w:p w14:paraId="16E4A327" w14:textId="77777777" w:rsidR="003663AF" w:rsidRPr="00B7760C" w:rsidRDefault="003663AF" w:rsidP="00E804B7">
            <w:pPr>
              <w:pStyle w:val="Normal6"/>
            </w:pPr>
          </w:p>
        </w:tc>
        <w:tc>
          <w:tcPr>
            <w:tcW w:w="4876" w:type="dxa"/>
          </w:tcPr>
          <w:p w14:paraId="5C53CE1B" w14:textId="77777777" w:rsidR="003663AF" w:rsidRPr="00B7760C" w:rsidRDefault="003663AF" w:rsidP="00E804B7">
            <w:pPr>
              <w:pStyle w:val="Normal6"/>
            </w:pPr>
            <w:r w:rsidRPr="00B7760C">
              <w:rPr>
                <w:b/>
                <w:i/>
              </w:rPr>
              <w:t xml:space="preserve">(vi) </w:t>
            </w:r>
            <w:r w:rsidRPr="00B7760C">
              <w:rPr>
                <w:b/>
                <w:i/>
              </w:rPr>
              <w:tab/>
              <w:t>kazalnike rezultatov;</w:t>
            </w:r>
          </w:p>
        </w:tc>
      </w:tr>
      <w:tr w:rsidR="003663AF" w:rsidRPr="00B7760C" w14:paraId="494751DC" w14:textId="77777777" w:rsidTr="00E804B7">
        <w:trPr>
          <w:jc w:val="center"/>
        </w:trPr>
        <w:tc>
          <w:tcPr>
            <w:tcW w:w="4876" w:type="dxa"/>
          </w:tcPr>
          <w:p w14:paraId="047C7AB3" w14:textId="77777777" w:rsidR="003663AF" w:rsidRPr="00B7760C" w:rsidRDefault="003663AF" w:rsidP="00E804B7">
            <w:pPr>
              <w:pStyle w:val="Normal6"/>
            </w:pPr>
          </w:p>
        </w:tc>
        <w:tc>
          <w:tcPr>
            <w:tcW w:w="4876" w:type="dxa"/>
          </w:tcPr>
          <w:p w14:paraId="367BDFD9" w14:textId="77777777" w:rsidR="003663AF" w:rsidRPr="00B7760C" w:rsidRDefault="003663AF" w:rsidP="00E804B7">
            <w:pPr>
              <w:pStyle w:val="Normal6"/>
            </w:pPr>
            <w:r w:rsidRPr="00B7760C">
              <w:rPr>
                <w:b/>
                <w:i/>
              </w:rPr>
              <w:t xml:space="preserve">(vii) </w:t>
            </w:r>
            <w:r w:rsidRPr="00B7760C">
              <w:rPr>
                <w:b/>
                <w:i/>
              </w:rPr>
              <w:tab/>
              <w:t>cilje;</w:t>
            </w:r>
          </w:p>
        </w:tc>
      </w:tr>
      <w:tr w:rsidR="003663AF" w:rsidRPr="00B7760C" w14:paraId="61BE692D" w14:textId="77777777" w:rsidTr="00E804B7">
        <w:trPr>
          <w:jc w:val="center"/>
        </w:trPr>
        <w:tc>
          <w:tcPr>
            <w:tcW w:w="4876" w:type="dxa"/>
          </w:tcPr>
          <w:p w14:paraId="501C5071" w14:textId="77777777" w:rsidR="003663AF" w:rsidRPr="00B7760C" w:rsidRDefault="003663AF" w:rsidP="00E804B7">
            <w:pPr>
              <w:pStyle w:val="Normal6"/>
            </w:pPr>
          </w:p>
        </w:tc>
        <w:tc>
          <w:tcPr>
            <w:tcW w:w="4876" w:type="dxa"/>
          </w:tcPr>
          <w:p w14:paraId="6946F1FD" w14:textId="77777777" w:rsidR="003663AF" w:rsidRPr="00B7760C" w:rsidRDefault="003663AF" w:rsidP="00E804B7">
            <w:pPr>
              <w:pStyle w:val="Normal6"/>
            </w:pPr>
            <w:r w:rsidRPr="00B7760C">
              <w:rPr>
                <w:b/>
                <w:i/>
              </w:rPr>
              <w:t xml:space="preserve">(viii) </w:t>
            </w:r>
            <w:r w:rsidRPr="00B7760C">
              <w:rPr>
                <w:b/>
                <w:i/>
              </w:rPr>
              <w:tab/>
              <w:t>pojasnilo o doseganju ciljev;</w:t>
            </w:r>
          </w:p>
        </w:tc>
      </w:tr>
      <w:tr w:rsidR="003663AF" w:rsidRPr="00B7760C" w14:paraId="2F68F174" w14:textId="77777777" w:rsidTr="00E804B7">
        <w:trPr>
          <w:jc w:val="center"/>
        </w:trPr>
        <w:tc>
          <w:tcPr>
            <w:tcW w:w="4876" w:type="dxa"/>
          </w:tcPr>
          <w:p w14:paraId="60D5BD43" w14:textId="77777777" w:rsidR="003663AF" w:rsidRPr="00B7760C" w:rsidRDefault="003663AF" w:rsidP="00E804B7">
            <w:pPr>
              <w:pStyle w:val="Normal6"/>
            </w:pPr>
          </w:p>
        </w:tc>
        <w:tc>
          <w:tcPr>
            <w:tcW w:w="4876" w:type="dxa"/>
          </w:tcPr>
          <w:p w14:paraId="02CA8BFC" w14:textId="64ED63B7" w:rsidR="003663AF" w:rsidRPr="00B7760C" w:rsidRDefault="003663AF" w:rsidP="00EF2FD5">
            <w:pPr>
              <w:pStyle w:val="Normal6"/>
            </w:pPr>
            <w:r w:rsidRPr="00B7760C">
              <w:rPr>
                <w:b/>
                <w:i/>
              </w:rPr>
              <w:t xml:space="preserve">(e) </w:t>
            </w:r>
            <w:r w:rsidRPr="00B7760C">
              <w:rPr>
                <w:b/>
                <w:i/>
              </w:rPr>
              <w:tab/>
              <w:t>večletni finančni okvir ter</w:t>
            </w:r>
          </w:p>
        </w:tc>
      </w:tr>
      <w:tr w:rsidR="003663AF" w:rsidRPr="00B7760C" w14:paraId="0CA415A6" w14:textId="77777777" w:rsidTr="00E804B7">
        <w:trPr>
          <w:jc w:val="center"/>
        </w:trPr>
        <w:tc>
          <w:tcPr>
            <w:tcW w:w="4876" w:type="dxa"/>
          </w:tcPr>
          <w:p w14:paraId="6803BDBE" w14:textId="77777777" w:rsidR="003663AF" w:rsidRPr="00B7760C" w:rsidRDefault="003663AF" w:rsidP="00E804B7">
            <w:pPr>
              <w:pStyle w:val="Normal6"/>
            </w:pPr>
          </w:p>
        </w:tc>
        <w:tc>
          <w:tcPr>
            <w:tcW w:w="4876" w:type="dxa"/>
          </w:tcPr>
          <w:p w14:paraId="72930141" w14:textId="77777777" w:rsidR="003663AF" w:rsidRPr="00B7760C" w:rsidRDefault="003663AF" w:rsidP="00E804B7">
            <w:pPr>
              <w:pStyle w:val="Normal6"/>
            </w:pPr>
            <w:r w:rsidRPr="00B7760C">
              <w:rPr>
                <w:b/>
                <w:i/>
              </w:rPr>
              <w:t xml:space="preserve">(f) </w:t>
            </w:r>
            <w:r w:rsidRPr="00B7760C">
              <w:rPr>
                <w:b/>
                <w:i/>
              </w:rPr>
              <w:tab/>
              <w:t>opis sistema upravljanja in usklajevanja.</w:t>
            </w:r>
          </w:p>
        </w:tc>
      </w:tr>
    </w:tbl>
    <w:p w14:paraId="0DDF3EAD" w14:textId="77777777" w:rsidR="003663AF" w:rsidRPr="00B7760C" w:rsidRDefault="003663AF" w:rsidP="003663AF"/>
    <w:p w14:paraId="48741D42" w14:textId="4C5A124D" w:rsidR="003663AF" w:rsidRPr="00B7760C" w:rsidRDefault="00877691" w:rsidP="003663AF">
      <w:pPr>
        <w:pStyle w:val="AMNumberTabs"/>
        <w:keepNext/>
      </w:pPr>
      <w:r w:rsidRPr="00B7760C">
        <w:t>Sprememba</w:t>
      </w:r>
      <w:r w:rsidR="003663AF" w:rsidRPr="00B7760C">
        <w:tab/>
      </w:r>
      <w:r w:rsidR="003663AF" w:rsidRPr="00B7760C">
        <w:tab/>
        <w:t>606</w:t>
      </w:r>
    </w:p>
    <w:p w14:paraId="29933F79" w14:textId="77777777" w:rsidR="003663AF" w:rsidRPr="00B7760C" w:rsidRDefault="003663AF" w:rsidP="003663AF">
      <w:pPr>
        <w:pStyle w:val="NormalBold12b"/>
      </w:pPr>
      <w:r w:rsidRPr="00B7760C">
        <w:t>Predlog uredbe</w:t>
      </w:r>
    </w:p>
    <w:p w14:paraId="10F6DE46" w14:textId="77777777" w:rsidR="003663AF" w:rsidRPr="00B7760C" w:rsidRDefault="003663AF" w:rsidP="003663AF">
      <w:pPr>
        <w:pStyle w:val="NormalBold"/>
      </w:pPr>
      <w:r w:rsidRPr="00B7760C">
        <w:t>Člen 102 – odstavek 1 – uvodni del</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C6D31D0" w14:textId="77777777" w:rsidTr="00E804B7">
        <w:trPr>
          <w:jc w:val="center"/>
        </w:trPr>
        <w:tc>
          <w:tcPr>
            <w:tcW w:w="9752" w:type="dxa"/>
            <w:gridSpan w:val="2"/>
          </w:tcPr>
          <w:p w14:paraId="69B9EAAF" w14:textId="77777777" w:rsidR="003663AF" w:rsidRPr="00B7760C" w:rsidRDefault="003663AF" w:rsidP="00E804B7">
            <w:pPr>
              <w:keepNext/>
            </w:pPr>
          </w:p>
        </w:tc>
      </w:tr>
      <w:tr w:rsidR="003663AF" w:rsidRPr="00B7760C" w14:paraId="1D623385" w14:textId="77777777" w:rsidTr="00E804B7">
        <w:trPr>
          <w:jc w:val="center"/>
        </w:trPr>
        <w:tc>
          <w:tcPr>
            <w:tcW w:w="4876" w:type="dxa"/>
            <w:hideMark/>
          </w:tcPr>
          <w:p w14:paraId="241CC42B" w14:textId="77777777" w:rsidR="003663AF" w:rsidRPr="00B7760C" w:rsidRDefault="003663AF" w:rsidP="00E804B7">
            <w:pPr>
              <w:pStyle w:val="ColumnHeading"/>
              <w:keepNext/>
            </w:pPr>
            <w:r w:rsidRPr="00B7760C">
              <w:t>Besedilo, ki ga predlaga Komisija</w:t>
            </w:r>
          </w:p>
        </w:tc>
        <w:tc>
          <w:tcPr>
            <w:tcW w:w="4876" w:type="dxa"/>
            <w:hideMark/>
          </w:tcPr>
          <w:p w14:paraId="7E9E63A9" w14:textId="367CE592" w:rsidR="003663AF" w:rsidRPr="00B7760C" w:rsidRDefault="00877691" w:rsidP="00E804B7">
            <w:pPr>
              <w:pStyle w:val="ColumnHeading"/>
              <w:keepNext/>
            </w:pPr>
            <w:r w:rsidRPr="00B7760C">
              <w:t>Sprememba</w:t>
            </w:r>
          </w:p>
        </w:tc>
      </w:tr>
      <w:tr w:rsidR="003663AF" w:rsidRPr="00B7760C" w14:paraId="51F12407" w14:textId="77777777" w:rsidTr="00E804B7">
        <w:trPr>
          <w:jc w:val="center"/>
        </w:trPr>
        <w:tc>
          <w:tcPr>
            <w:tcW w:w="4876" w:type="dxa"/>
            <w:hideMark/>
          </w:tcPr>
          <w:p w14:paraId="5B5F4929" w14:textId="77777777" w:rsidR="003663AF" w:rsidRPr="00B7760C" w:rsidRDefault="003663AF" w:rsidP="00E804B7">
            <w:pPr>
              <w:pStyle w:val="Normal6"/>
            </w:pPr>
            <w:r w:rsidRPr="00B7760C">
              <w:t>Opis elementov, ki zagotavljajo posodobitev SKP iz točke (g) člena 95(1), poudarja elemente strateškega načrta SKP, ki podpirajo posodobitev kmetijskega sektorja in SKP, ter zlasti vsebuje:</w:t>
            </w:r>
          </w:p>
        </w:tc>
        <w:tc>
          <w:tcPr>
            <w:tcW w:w="4876" w:type="dxa"/>
            <w:hideMark/>
          </w:tcPr>
          <w:p w14:paraId="71868D8C" w14:textId="77777777" w:rsidR="003663AF" w:rsidRPr="00B7760C" w:rsidRDefault="003663AF" w:rsidP="00E804B7">
            <w:pPr>
              <w:pStyle w:val="Normal6"/>
              <w:rPr>
                <w:szCs w:val="24"/>
              </w:rPr>
            </w:pPr>
            <w:r w:rsidRPr="00B7760C">
              <w:t>Opis elementov, ki zagotavljajo posodobitev SKP iz točke (g) člena 95(1), poudarja elemente strateškega načrta SKP, ki podpirajo posodobitev kmetijskega sektorja in SKP</w:t>
            </w:r>
            <w:r w:rsidRPr="00B7760C">
              <w:rPr>
                <w:b/>
                <w:i/>
              </w:rPr>
              <w:t xml:space="preserve"> za soočanje z novimi izzivi, vključno s prehodom na bolj trajnostne modele</w:t>
            </w:r>
            <w:r w:rsidRPr="00B7760C">
              <w:t>, ter zlasti vsebuje:</w:t>
            </w:r>
          </w:p>
        </w:tc>
      </w:tr>
    </w:tbl>
    <w:p w14:paraId="2AFFF73D" w14:textId="77777777" w:rsidR="003663AF" w:rsidRPr="00B7760C" w:rsidRDefault="003663AF" w:rsidP="003663AF"/>
    <w:p w14:paraId="38BC98B5" w14:textId="707FE475" w:rsidR="003663AF" w:rsidRPr="00B7760C" w:rsidRDefault="00877691" w:rsidP="003663AF">
      <w:pPr>
        <w:pStyle w:val="AMNumberTabs"/>
        <w:keepNext/>
      </w:pPr>
      <w:r w:rsidRPr="00B7760C">
        <w:t>Sprememba</w:t>
      </w:r>
      <w:r w:rsidR="003663AF" w:rsidRPr="00B7760C">
        <w:tab/>
      </w:r>
      <w:r w:rsidR="003663AF" w:rsidRPr="00B7760C">
        <w:tab/>
        <w:t>607</w:t>
      </w:r>
    </w:p>
    <w:p w14:paraId="363B1E6A" w14:textId="77777777" w:rsidR="003663AF" w:rsidRPr="00B7760C" w:rsidRDefault="003663AF" w:rsidP="003663AF">
      <w:pPr>
        <w:pStyle w:val="NormalBold12b"/>
      </w:pPr>
      <w:r w:rsidRPr="00B7760C">
        <w:t>Predlog uredbe</w:t>
      </w:r>
    </w:p>
    <w:p w14:paraId="150A8700" w14:textId="77777777" w:rsidR="003663AF" w:rsidRPr="00B7760C" w:rsidRDefault="003663AF" w:rsidP="003663AF">
      <w:pPr>
        <w:pStyle w:val="NormalBold"/>
      </w:pPr>
      <w:r w:rsidRPr="00B7760C">
        <w:t>Člen 102 – odstavek 1 – točka a – uvodni del</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80BBFA9" w14:textId="77777777" w:rsidTr="00E804B7">
        <w:trPr>
          <w:jc w:val="center"/>
        </w:trPr>
        <w:tc>
          <w:tcPr>
            <w:tcW w:w="9752" w:type="dxa"/>
            <w:gridSpan w:val="2"/>
          </w:tcPr>
          <w:p w14:paraId="4FE9D135" w14:textId="77777777" w:rsidR="003663AF" w:rsidRPr="00B7760C" w:rsidRDefault="003663AF" w:rsidP="00E804B7">
            <w:pPr>
              <w:keepNext/>
            </w:pPr>
          </w:p>
        </w:tc>
      </w:tr>
      <w:tr w:rsidR="003663AF" w:rsidRPr="00B7760C" w14:paraId="5F1E388C" w14:textId="77777777" w:rsidTr="00E804B7">
        <w:trPr>
          <w:jc w:val="center"/>
        </w:trPr>
        <w:tc>
          <w:tcPr>
            <w:tcW w:w="4876" w:type="dxa"/>
            <w:hideMark/>
          </w:tcPr>
          <w:p w14:paraId="55C49554" w14:textId="77777777" w:rsidR="003663AF" w:rsidRPr="00B7760C" w:rsidRDefault="003663AF" w:rsidP="00E804B7">
            <w:pPr>
              <w:pStyle w:val="ColumnHeading"/>
              <w:keepNext/>
            </w:pPr>
            <w:r w:rsidRPr="00B7760C">
              <w:t>Besedilo, ki ga predlaga Komisija</w:t>
            </w:r>
          </w:p>
        </w:tc>
        <w:tc>
          <w:tcPr>
            <w:tcW w:w="4876" w:type="dxa"/>
            <w:hideMark/>
          </w:tcPr>
          <w:p w14:paraId="71A196AC" w14:textId="756C5536" w:rsidR="003663AF" w:rsidRPr="00B7760C" w:rsidRDefault="00877691" w:rsidP="00E804B7">
            <w:pPr>
              <w:pStyle w:val="ColumnHeading"/>
              <w:keepNext/>
            </w:pPr>
            <w:r w:rsidRPr="00B7760C">
              <w:t>Sprememba</w:t>
            </w:r>
          </w:p>
        </w:tc>
      </w:tr>
      <w:tr w:rsidR="003663AF" w:rsidRPr="00B7760C" w14:paraId="0C79BC15" w14:textId="77777777" w:rsidTr="00E804B7">
        <w:trPr>
          <w:jc w:val="center"/>
        </w:trPr>
        <w:tc>
          <w:tcPr>
            <w:tcW w:w="4876" w:type="dxa"/>
            <w:hideMark/>
          </w:tcPr>
          <w:p w14:paraId="256C3AA3" w14:textId="77777777" w:rsidR="003663AF" w:rsidRPr="00B7760C" w:rsidRDefault="003663AF" w:rsidP="00E804B7">
            <w:pPr>
              <w:pStyle w:val="Normal6"/>
            </w:pPr>
            <w:r w:rsidRPr="00B7760C">
              <w:t>(a)</w:t>
            </w:r>
            <w:r w:rsidRPr="00B7760C">
              <w:tab/>
              <w:t>pregled, kako bo strateški načrt SKP prispeval k medsektorskemu splošnemu cilju glede spodbujanja in deljenja znanja, inovacij ter digitalizacije in spodbujanja njihove uvedbe iz drugega pododstavka člena 5, predvsem z:</w:t>
            </w:r>
          </w:p>
        </w:tc>
        <w:tc>
          <w:tcPr>
            <w:tcW w:w="4876" w:type="dxa"/>
            <w:hideMark/>
          </w:tcPr>
          <w:p w14:paraId="441248A5" w14:textId="77777777" w:rsidR="003663AF" w:rsidRPr="00B7760C" w:rsidRDefault="003663AF" w:rsidP="00E804B7">
            <w:pPr>
              <w:pStyle w:val="Normal6"/>
              <w:rPr>
                <w:szCs w:val="24"/>
              </w:rPr>
            </w:pPr>
            <w:r w:rsidRPr="00B7760C">
              <w:t>(a)</w:t>
            </w:r>
            <w:r w:rsidRPr="00B7760C">
              <w:tab/>
              <w:t xml:space="preserve">pregled, kako bo strateški načrt SKP prispeval k medsektorskemu splošnemu cilju glede spodbujanja in deljenja znanja, inovacij ter digitalizacije </w:t>
            </w:r>
            <w:r w:rsidRPr="00B7760C">
              <w:rPr>
                <w:b/>
                <w:i/>
              </w:rPr>
              <w:t xml:space="preserve">v kmetijstvu </w:t>
            </w:r>
            <w:r w:rsidRPr="00B7760C">
              <w:t xml:space="preserve">in </w:t>
            </w:r>
            <w:r w:rsidRPr="00B7760C">
              <w:rPr>
                <w:b/>
                <w:i/>
              </w:rPr>
              <w:t xml:space="preserve">na podeželju, </w:t>
            </w:r>
            <w:r w:rsidRPr="00B7760C">
              <w:t>spodbujanja</w:t>
            </w:r>
            <w:r w:rsidRPr="00B7760C">
              <w:rPr>
                <w:b/>
                <w:i/>
              </w:rPr>
              <w:t xml:space="preserve"> ter podpiranja</w:t>
            </w:r>
            <w:r w:rsidRPr="00B7760C">
              <w:t xml:space="preserve"> njihove uvedbe iz drugega pododstavka člena 5, predvsem z:</w:t>
            </w:r>
          </w:p>
        </w:tc>
      </w:tr>
    </w:tbl>
    <w:p w14:paraId="353138D0" w14:textId="5C645C24" w:rsidR="003663AF" w:rsidRPr="00B7760C" w:rsidRDefault="003663AF" w:rsidP="003663AF"/>
    <w:p w14:paraId="6D666369" w14:textId="11C32B34" w:rsidR="00DD0F2B" w:rsidRPr="00B7760C" w:rsidRDefault="00DD0F2B" w:rsidP="00DD0F2B">
      <w:pPr>
        <w:pStyle w:val="AmNumberTabs0"/>
      </w:pPr>
      <w:r w:rsidRPr="00B7760C">
        <w:t>Sprememba</w:t>
      </w:r>
      <w:r w:rsidRPr="00B7760C">
        <w:tab/>
      </w:r>
      <w:r w:rsidRPr="00B7760C">
        <w:tab/>
        <w:t>836</w:t>
      </w:r>
    </w:p>
    <w:p w14:paraId="0C00A5F0" w14:textId="77777777" w:rsidR="00DD0F2B" w:rsidRPr="00B7760C" w:rsidRDefault="00DD0F2B" w:rsidP="00DD0F2B">
      <w:pPr>
        <w:pStyle w:val="NormalBold12b"/>
      </w:pPr>
      <w:r w:rsidRPr="00B7760C">
        <w:t>Predlog uredbe</w:t>
      </w:r>
    </w:p>
    <w:p w14:paraId="0FEAA628" w14:textId="77777777" w:rsidR="00DD0F2B" w:rsidRPr="00B7760C" w:rsidRDefault="00DD0F2B" w:rsidP="00DD0F2B">
      <w:pPr>
        <w:pStyle w:val="NormalBold"/>
      </w:pPr>
      <w:r w:rsidRPr="00B7760C">
        <w:t>Člen 102 – odstavek 1 – točka a – točka ii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DD0F2B" w:rsidRPr="00B7760C" w14:paraId="4E4D300B" w14:textId="77777777" w:rsidTr="00517642">
        <w:trPr>
          <w:trHeight w:hRule="exact" w:val="240"/>
          <w:jc w:val="center"/>
        </w:trPr>
        <w:tc>
          <w:tcPr>
            <w:tcW w:w="9752" w:type="dxa"/>
            <w:gridSpan w:val="2"/>
          </w:tcPr>
          <w:p w14:paraId="37F50853" w14:textId="77777777" w:rsidR="00DD0F2B" w:rsidRPr="00B7760C" w:rsidRDefault="00DD0F2B" w:rsidP="00517642"/>
        </w:tc>
      </w:tr>
      <w:tr w:rsidR="00DD0F2B" w:rsidRPr="00B7760C" w14:paraId="7357804A" w14:textId="77777777" w:rsidTr="00517642">
        <w:trPr>
          <w:trHeight w:val="240"/>
          <w:jc w:val="center"/>
        </w:trPr>
        <w:tc>
          <w:tcPr>
            <w:tcW w:w="4876" w:type="dxa"/>
          </w:tcPr>
          <w:p w14:paraId="0238F250" w14:textId="77777777" w:rsidR="00DD0F2B" w:rsidRPr="00B7760C" w:rsidRDefault="00DD0F2B" w:rsidP="00517642">
            <w:pPr>
              <w:pStyle w:val="AmColumnHeading"/>
            </w:pPr>
            <w:r w:rsidRPr="00B7760C">
              <w:t>Besedilo, ki ga predlaga Komisija</w:t>
            </w:r>
          </w:p>
        </w:tc>
        <w:tc>
          <w:tcPr>
            <w:tcW w:w="4876" w:type="dxa"/>
          </w:tcPr>
          <w:p w14:paraId="5DB49225" w14:textId="6C166AA6" w:rsidR="00DD0F2B" w:rsidRPr="00B7760C" w:rsidRDefault="00DD0F2B" w:rsidP="00517642">
            <w:pPr>
              <w:pStyle w:val="AmColumnHeading"/>
            </w:pPr>
            <w:r w:rsidRPr="00B7760C">
              <w:t>Sprememba</w:t>
            </w:r>
          </w:p>
        </w:tc>
      </w:tr>
      <w:tr w:rsidR="00DD0F2B" w:rsidRPr="00B7760C" w14:paraId="2946C28B" w14:textId="77777777" w:rsidTr="00517642">
        <w:trPr>
          <w:jc w:val="center"/>
        </w:trPr>
        <w:tc>
          <w:tcPr>
            <w:tcW w:w="4876" w:type="dxa"/>
          </w:tcPr>
          <w:p w14:paraId="7EE18878" w14:textId="77777777" w:rsidR="00DD0F2B" w:rsidRPr="00B7760C" w:rsidRDefault="00DD0F2B" w:rsidP="00517642">
            <w:pPr>
              <w:pStyle w:val="Normal6a"/>
            </w:pPr>
          </w:p>
        </w:tc>
        <w:tc>
          <w:tcPr>
            <w:tcW w:w="4876" w:type="dxa"/>
          </w:tcPr>
          <w:p w14:paraId="2D3D71E2" w14:textId="77777777" w:rsidR="00DD0F2B" w:rsidRPr="00B7760C" w:rsidRDefault="00DD0F2B" w:rsidP="00517642">
            <w:pPr>
              <w:pStyle w:val="Normal6a"/>
            </w:pPr>
            <w:r w:rsidRPr="00B7760C">
              <w:rPr>
                <w:b/>
                <w:i/>
              </w:rPr>
              <w:t>(iia)</w:t>
            </w:r>
            <w:r w:rsidRPr="00B7760C">
              <w:tab/>
            </w:r>
            <w:r w:rsidRPr="00B7760C">
              <w:rPr>
                <w:b/>
                <w:i/>
              </w:rPr>
              <w:t>skladnostjo z doseganjem ciljev trajnostnega razvoja in mednarodnih sporazumov o podnebju.</w:t>
            </w:r>
          </w:p>
        </w:tc>
      </w:tr>
    </w:tbl>
    <w:p w14:paraId="112FAF57" w14:textId="77777777" w:rsidR="00DD0F2B" w:rsidRPr="00B7760C" w:rsidRDefault="00DD0F2B" w:rsidP="003663AF"/>
    <w:p w14:paraId="3C5D4C78" w14:textId="580DEA6F" w:rsidR="003663AF" w:rsidRPr="00B7760C" w:rsidRDefault="00877691" w:rsidP="003663AF">
      <w:pPr>
        <w:pStyle w:val="AMNumberTabs"/>
        <w:keepNext/>
      </w:pPr>
      <w:r w:rsidRPr="00B7760C">
        <w:t>Sprememba</w:t>
      </w:r>
      <w:r w:rsidR="003663AF" w:rsidRPr="00B7760C">
        <w:tab/>
      </w:r>
      <w:r w:rsidR="003663AF" w:rsidRPr="00B7760C">
        <w:tab/>
        <w:t>608</w:t>
      </w:r>
    </w:p>
    <w:p w14:paraId="624B6751" w14:textId="77777777" w:rsidR="003663AF" w:rsidRPr="00B7760C" w:rsidRDefault="003663AF" w:rsidP="003663AF">
      <w:pPr>
        <w:pStyle w:val="NormalBold12b"/>
      </w:pPr>
      <w:r w:rsidRPr="00B7760C">
        <w:t>Predlog uredbe</w:t>
      </w:r>
    </w:p>
    <w:p w14:paraId="01C77276" w14:textId="77777777" w:rsidR="003663AF" w:rsidRPr="00B7760C" w:rsidRDefault="003663AF" w:rsidP="003663AF">
      <w:pPr>
        <w:pStyle w:val="NormalBold"/>
      </w:pPr>
      <w:r w:rsidRPr="00B7760C">
        <w:t>Člen 102 – odstavek 1 – točka b</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783DF66" w14:textId="77777777" w:rsidTr="00E804B7">
        <w:trPr>
          <w:jc w:val="center"/>
        </w:trPr>
        <w:tc>
          <w:tcPr>
            <w:tcW w:w="9752" w:type="dxa"/>
            <w:gridSpan w:val="2"/>
          </w:tcPr>
          <w:p w14:paraId="5B7EB8C9" w14:textId="77777777" w:rsidR="003663AF" w:rsidRPr="00B7760C" w:rsidRDefault="003663AF" w:rsidP="00E804B7">
            <w:pPr>
              <w:keepNext/>
            </w:pPr>
          </w:p>
        </w:tc>
      </w:tr>
      <w:tr w:rsidR="003663AF" w:rsidRPr="00B7760C" w14:paraId="4A85F3AB" w14:textId="77777777" w:rsidTr="00E804B7">
        <w:trPr>
          <w:jc w:val="center"/>
        </w:trPr>
        <w:tc>
          <w:tcPr>
            <w:tcW w:w="4876" w:type="dxa"/>
            <w:hideMark/>
          </w:tcPr>
          <w:p w14:paraId="091E1783" w14:textId="77777777" w:rsidR="003663AF" w:rsidRPr="00B7760C" w:rsidRDefault="003663AF" w:rsidP="00E804B7">
            <w:pPr>
              <w:pStyle w:val="ColumnHeading"/>
              <w:keepNext/>
            </w:pPr>
            <w:r w:rsidRPr="00B7760C">
              <w:t>Besedilo, ki ga predlaga Komisija</w:t>
            </w:r>
          </w:p>
        </w:tc>
        <w:tc>
          <w:tcPr>
            <w:tcW w:w="4876" w:type="dxa"/>
            <w:hideMark/>
          </w:tcPr>
          <w:p w14:paraId="6278ACB1" w14:textId="28E77ADE" w:rsidR="003663AF" w:rsidRPr="00B7760C" w:rsidRDefault="00877691" w:rsidP="00E804B7">
            <w:pPr>
              <w:pStyle w:val="ColumnHeading"/>
              <w:keepNext/>
            </w:pPr>
            <w:r w:rsidRPr="00B7760C">
              <w:t>Sprememba</w:t>
            </w:r>
          </w:p>
        </w:tc>
      </w:tr>
      <w:tr w:rsidR="003663AF" w:rsidRPr="00B7760C" w14:paraId="0C0D07FA" w14:textId="77777777" w:rsidTr="00E804B7">
        <w:trPr>
          <w:jc w:val="center"/>
        </w:trPr>
        <w:tc>
          <w:tcPr>
            <w:tcW w:w="4876" w:type="dxa"/>
            <w:hideMark/>
          </w:tcPr>
          <w:p w14:paraId="0FE1BA25" w14:textId="77777777" w:rsidR="003663AF" w:rsidRPr="00B7760C" w:rsidRDefault="003663AF" w:rsidP="00E804B7">
            <w:pPr>
              <w:pStyle w:val="Normal6"/>
            </w:pPr>
            <w:r w:rsidRPr="00B7760C">
              <w:t>(b)</w:t>
            </w:r>
            <w:r w:rsidRPr="00B7760C">
              <w:tab/>
              <w:t>opis strategije za razvoj digitalnih tehnologij v kmetijstvu in na podeželju ter za uporabo teh tehnologij za izboljšanje učinkovitosti in uspešnosti intervencij strateških načrtov SKP.</w:t>
            </w:r>
          </w:p>
        </w:tc>
        <w:tc>
          <w:tcPr>
            <w:tcW w:w="4876" w:type="dxa"/>
            <w:hideMark/>
          </w:tcPr>
          <w:p w14:paraId="61AEDACE" w14:textId="77777777" w:rsidR="003663AF" w:rsidRPr="00B7760C" w:rsidRDefault="003663AF" w:rsidP="00E804B7">
            <w:pPr>
              <w:pStyle w:val="Normal6"/>
              <w:rPr>
                <w:szCs w:val="24"/>
              </w:rPr>
            </w:pPr>
            <w:r w:rsidRPr="00B7760C">
              <w:t>(b)</w:t>
            </w:r>
            <w:r w:rsidRPr="00B7760C">
              <w:tab/>
              <w:t>opis strategije za razvoj digitalnih tehnologij v kmetijstvu in na podeželju</w:t>
            </w:r>
            <w:r w:rsidRPr="00B7760C">
              <w:rPr>
                <w:b/>
                <w:i/>
              </w:rPr>
              <w:t>, za pametne vasi</w:t>
            </w:r>
            <w:r w:rsidRPr="00B7760C">
              <w:t xml:space="preserve"> ter</w:t>
            </w:r>
            <w:r w:rsidRPr="00B7760C">
              <w:rPr>
                <w:b/>
                <w:i/>
              </w:rPr>
              <w:t xml:space="preserve"> za pogoje</w:t>
            </w:r>
            <w:r w:rsidRPr="00B7760C">
              <w:t xml:space="preserve"> za uporabo teh tehnologij</w:t>
            </w:r>
            <w:r w:rsidRPr="00B7760C">
              <w:rPr>
                <w:b/>
                <w:i/>
              </w:rPr>
              <w:t>, ki bodo vključevali informacije kmetom o njihovih pravicah v zvezi z varstvom in uporabo njihovih osebnih podatkov,</w:t>
            </w:r>
            <w:r w:rsidRPr="00B7760C">
              <w:t xml:space="preserve"> za izboljšanje učinkovitosti in uspešnosti intervencij strateških načrtov SKP.</w:t>
            </w:r>
          </w:p>
        </w:tc>
      </w:tr>
    </w:tbl>
    <w:p w14:paraId="6AF7ADF3" w14:textId="77777777" w:rsidR="003663AF" w:rsidRPr="00B7760C" w:rsidRDefault="003663AF" w:rsidP="003663AF"/>
    <w:p w14:paraId="3AD942F5" w14:textId="5361689E" w:rsidR="003663AF" w:rsidRPr="00B7760C" w:rsidRDefault="00877691" w:rsidP="003663AF">
      <w:pPr>
        <w:pStyle w:val="AMNumberTabs"/>
        <w:keepNext/>
      </w:pPr>
      <w:r w:rsidRPr="00B7760C">
        <w:t>Sprememba</w:t>
      </w:r>
      <w:r w:rsidR="003663AF" w:rsidRPr="00B7760C">
        <w:tab/>
      </w:r>
      <w:r w:rsidR="003663AF" w:rsidRPr="00B7760C">
        <w:tab/>
        <w:t>609</w:t>
      </w:r>
    </w:p>
    <w:p w14:paraId="3BEA7843" w14:textId="77777777" w:rsidR="003663AF" w:rsidRPr="00B7760C" w:rsidRDefault="003663AF" w:rsidP="003663AF">
      <w:pPr>
        <w:pStyle w:val="NormalBold12b"/>
      </w:pPr>
      <w:r w:rsidRPr="00B7760C">
        <w:t>Predlog uredbe</w:t>
      </w:r>
    </w:p>
    <w:p w14:paraId="2D147237" w14:textId="77777777" w:rsidR="003663AF" w:rsidRPr="00B7760C" w:rsidRDefault="003663AF" w:rsidP="003663AF">
      <w:pPr>
        <w:pStyle w:val="NormalBold"/>
      </w:pPr>
      <w:r w:rsidRPr="00B7760C">
        <w:t>Člen 103 – odstavek 2 – pododstavek 3 – točka e</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C54FF89" w14:textId="77777777" w:rsidTr="00E804B7">
        <w:trPr>
          <w:jc w:val="center"/>
        </w:trPr>
        <w:tc>
          <w:tcPr>
            <w:tcW w:w="9752" w:type="dxa"/>
            <w:gridSpan w:val="2"/>
          </w:tcPr>
          <w:p w14:paraId="046E7396" w14:textId="77777777" w:rsidR="003663AF" w:rsidRPr="00B7760C" w:rsidRDefault="003663AF" w:rsidP="00E804B7">
            <w:pPr>
              <w:keepNext/>
            </w:pPr>
          </w:p>
        </w:tc>
      </w:tr>
      <w:tr w:rsidR="003663AF" w:rsidRPr="00B7760C" w14:paraId="1CA7F109" w14:textId="77777777" w:rsidTr="00E804B7">
        <w:trPr>
          <w:jc w:val="center"/>
        </w:trPr>
        <w:tc>
          <w:tcPr>
            <w:tcW w:w="4876" w:type="dxa"/>
            <w:hideMark/>
          </w:tcPr>
          <w:p w14:paraId="03DBED89" w14:textId="77777777" w:rsidR="003663AF" w:rsidRPr="00B7760C" w:rsidRDefault="003663AF" w:rsidP="00E804B7">
            <w:pPr>
              <w:pStyle w:val="ColumnHeading"/>
              <w:keepNext/>
            </w:pPr>
            <w:r w:rsidRPr="00B7760C">
              <w:t>Besedilo, ki ga predlaga Komisija</w:t>
            </w:r>
          </w:p>
        </w:tc>
        <w:tc>
          <w:tcPr>
            <w:tcW w:w="4876" w:type="dxa"/>
            <w:hideMark/>
          </w:tcPr>
          <w:p w14:paraId="27344E2E" w14:textId="5AF76AA9" w:rsidR="003663AF" w:rsidRPr="00B7760C" w:rsidRDefault="00877691" w:rsidP="00E804B7">
            <w:pPr>
              <w:pStyle w:val="ColumnHeading"/>
              <w:keepNext/>
            </w:pPr>
            <w:r w:rsidRPr="00B7760C">
              <w:t>Sprememba</w:t>
            </w:r>
          </w:p>
        </w:tc>
      </w:tr>
      <w:tr w:rsidR="003663AF" w:rsidRPr="00B7760C" w14:paraId="266E4A52" w14:textId="77777777" w:rsidTr="00E804B7">
        <w:trPr>
          <w:jc w:val="center"/>
        </w:trPr>
        <w:tc>
          <w:tcPr>
            <w:tcW w:w="4876" w:type="dxa"/>
            <w:hideMark/>
          </w:tcPr>
          <w:p w14:paraId="71D6B431" w14:textId="77777777" w:rsidR="003663AF" w:rsidRPr="00B7760C" w:rsidRDefault="003663AF" w:rsidP="00E804B7">
            <w:pPr>
              <w:pStyle w:val="Normal6"/>
            </w:pPr>
            <w:r w:rsidRPr="00B7760C">
              <w:t>(e)</w:t>
            </w:r>
            <w:r w:rsidRPr="00B7760C">
              <w:tab/>
              <w:t>po potrebi analiza ozemeljskih vidikov s poudarkom na ozemljih, v katera so še posebej usmerjene intervencije;</w:t>
            </w:r>
          </w:p>
        </w:tc>
        <w:tc>
          <w:tcPr>
            <w:tcW w:w="4876" w:type="dxa"/>
            <w:hideMark/>
          </w:tcPr>
          <w:p w14:paraId="54CBB868" w14:textId="77777777" w:rsidR="003663AF" w:rsidRPr="00B7760C" w:rsidRDefault="003663AF" w:rsidP="00E804B7">
            <w:pPr>
              <w:pStyle w:val="Normal6"/>
              <w:rPr>
                <w:szCs w:val="24"/>
              </w:rPr>
            </w:pPr>
            <w:r w:rsidRPr="00B7760C">
              <w:t>(e)</w:t>
            </w:r>
            <w:r w:rsidRPr="00B7760C">
              <w:tab/>
              <w:t>po potrebi analiza ozemeljskih vidikov s poudarkom na ozemljih, v katera so še posebej usmerjene intervencije</w:t>
            </w:r>
            <w:r w:rsidRPr="00B7760C">
              <w:rPr>
                <w:b/>
                <w:i/>
              </w:rPr>
              <w:t>, vključno s kmetijskimi območji z visoko naravno vrednostjo</w:t>
            </w:r>
            <w:r w:rsidRPr="00B7760C">
              <w:t>;</w:t>
            </w:r>
          </w:p>
        </w:tc>
      </w:tr>
    </w:tbl>
    <w:p w14:paraId="7025EBC6" w14:textId="77777777" w:rsidR="003663AF" w:rsidRPr="00B7760C" w:rsidRDefault="003663AF" w:rsidP="003663AF"/>
    <w:p w14:paraId="79D30FC6" w14:textId="60C3B97F" w:rsidR="003663AF" w:rsidRPr="00B7760C" w:rsidRDefault="00877691" w:rsidP="003663AF">
      <w:pPr>
        <w:pStyle w:val="AMNumberTabs"/>
        <w:keepNext/>
      </w:pPr>
      <w:r w:rsidRPr="00B7760C">
        <w:t>Sprememba</w:t>
      </w:r>
      <w:r w:rsidR="003663AF" w:rsidRPr="00B7760C">
        <w:tab/>
      </w:r>
      <w:r w:rsidR="003663AF" w:rsidRPr="00B7760C">
        <w:tab/>
        <w:t>610</w:t>
      </w:r>
    </w:p>
    <w:p w14:paraId="31112115" w14:textId="77777777" w:rsidR="003663AF" w:rsidRPr="00B7760C" w:rsidRDefault="003663AF" w:rsidP="003663AF">
      <w:pPr>
        <w:pStyle w:val="NormalBold12b"/>
      </w:pPr>
      <w:r w:rsidRPr="00B7760C">
        <w:t>Predlog uredbe</w:t>
      </w:r>
    </w:p>
    <w:p w14:paraId="792EE9BC" w14:textId="77777777" w:rsidR="003663AF" w:rsidRPr="00B7760C" w:rsidRDefault="003663AF" w:rsidP="003663AF">
      <w:pPr>
        <w:pStyle w:val="NormalBold"/>
      </w:pPr>
      <w:r w:rsidRPr="00B7760C">
        <w:t>Člen 103 – odstavek 2 – pododstavek 5</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0E1F66E" w14:textId="77777777" w:rsidTr="00E804B7">
        <w:trPr>
          <w:jc w:val="center"/>
        </w:trPr>
        <w:tc>
          <w:tcPr>
            <w:tcW w:w="9752" w:type="dxa"/>
            <w:gridSpan w:val="2"/>
          </w:tcPr>
          <w:p w14:paraId="17C9B99A" w14:textId="77777777" w:rsidR="003663AF" w:rsidRPr="00B7760C" w:rsidRDefault="003663AF" w:rsidP="00E804B7">
            <w:pPr>
              <w:keepNext/>
            </w:pPr>
          </w:p>
        </w:tc>
      </w:tr>
      <w:tr w:rsidR="003663AF" w:rsidRPr="00B7760C" w14:paraId="6CF6797C" w14:textId="77777777" w:rsidTr="00E804B7">
        <w:trPr>
          <w:jc w:val="center"/>
        </w:trPr>
        <w:tc>
          <w:tcPr>
            <w:tcW w:w="4876" w:type="dxa"/>
            <w:hideMark/>
          </w:tcPr>
          <w:p w14:paraId="67B79740" w14:textId="77777777" w:rsidR="003663AF" w:rsidRPr="00B7760C" w:rsidRDefault="003663AF" w:rsidP="00E804B7">
            <w:pPr>
              <w:pStyle w:val="ColumnHeading"/>
              <w:keepNext/>
            </w:pPr>
            <w:r w:rsidRPr="00B7760C">
              <w:t>Besedilo, ki ga predlaga Komisija</w:t>
            </w:r>
          </w:p>
        </w:tc>
        <w:tc>
          <w:tcPr>
            <w:tcW w:w="4876" w:type="dxa"/>
            <w:hideMark/>
          </w:tcPr>
          <w:p w14:paraId="0932626C" w14:textId="4FB030C0" w:rsidR="003663AF" w:rsidRPr="00B7760C" w:rsidRDefault="00877691" w:rsidP="00E804B7">
            <w:pPr>
              <w:pStyle w:val="ColumnHeading"/>
              <w:keepNext/>
            </w:pPr>
            <w:r w:rsidRPr="00B7760C">
              <w:t>Sprememba</w:t>
            </w:r>
          </w:p>
        </w:tc>
      </w:tr>
      <w:tr w:rsidR="003663AF" w:rsidRPr="00B7760C" w14:paraId="4C9F424E" w14:textId="77777777" w:rsidTr="00E804B7">
        <w:trPr>
          <w:jc w:val="center"/>
        </w:trPr>
        <w:tc>
          <w:tcPr>
            <w:tcW w:w="4876" w:type="dxa"/>
            <w:hideMark/>
          </w:tcPr>
          <w:p w14:paraId="469F895A" w14:textId="77777777" w:rsidR="003663AF" w:rsidRPr="00B7760C" w:rsidRDefault="003663AF" w:rsidP="00E804B7">
            <w:pPr>
              <w:pStyle w:val="Normal6"/>
            </w:pPr>
            <w:r w:rsidRPr="00B7760C">
              <w:t>Za specifični cilj privabljanja mladih kmetov iz točke (g) člena 6(1) analiza SWOT vsebuje kratko analizo dostopa do zemljišč, mobilnosti lastništva zemljišč in prestrukturiranja zemljišč, dostopa do financiranja in posojil</w:t>
            </w:r>
            <w:r w:rsidRPr="00B7760C">
              <w:rPr>
                <w:b/>
                <w:i/>
              </w:rPr>
              <w:t xml:space="preserve"> ter</w:t>
            </w:r>
            <w:r w:rsidRPr="00B7760C">
              <w:t xml:space="preserve"> dostopnosti znanja in svetovanja.</w:t>
            </w:r>
          </w:p>
        </w:tc>
        <w:tc>
          <w:tcPr>
            <w:tcW w:w="4876" w:type="dxa"/>
            <w:hideMark/>
          </w:tcPr>
          <w:p w14:paraId="71650C8C" w14:textId="77777777" w:rsidR="003663AF" w:rsidRPr="00B7760C" w:rsidRDefault="003663AF" w:rsidP="00E804B7">
            <w:pPr>
              <w:pStyle w:val="Normal6"/>
              <w:rPr>
                <w:szCs w:val="24"/>
              </w:rPr>
            </w:pPr>
            <w:r w:rsidRPr="00B7760C">
              <w:t>Za specifični cilj privabljanja mladih kmetov iz točke (g) člena 6(1) analiza SWOT vsebuje kratko analizo dostopa do zemljišč, mobilnosti lastništva zemljišč in prestrukturiranja zemljišč, dostopa do financiranja in posojil</w:t>
            </w:r>
            <w:r w:rsidRPr="00B7760C">
              <w:rPr>
                <w:b/>
                <w:i/>
              </w:rPr>
              <w:t>,</w:t>
            </w:r>
            <w:r w:rsidRPr="00B7760C">
              <w:t xml:space="preserve"> dostopnosti znanja in svetovanja</w:t>
            </w:r>
            <w:r w:rsidRPr="00B7760C">
              <w:rPr>
                <w:b/>
                <w:i/>
              </w:rPr>
              <w:t xml:space="preserve"> ter zmožnosti obvladovanja tveganj</w:t>
            </w:r>
            <w:r w:rsidRPr="00B7760C">
              <w:t>.</w:t>
            </w:r>
          </w:p>
        </w:tc>
      </w:tr>
    </w:tbl>
    <w:p w14:paraId="14BF9676" w14:textId="77777777" w:rsidR="003663AF" w:rsidRPr="00B7760C" w:rsidRDefault="003663AF" w:rsidP="003663AF"/>
    <w:p w14:paraId="14FBE478" w14:textId="354B1A01" w:rsidR="003663AF" w:rsidRPr="00B7760C" w:rsidRDefault="00877691" w:rsidP="003663AF">
      <w:pPr>
        <w:pStyle w:val="AMNumberTabs"/>
        <w:keepNext/>
      </w:pPr>
      <w:r w:rsidRPr="00B7760C">
        <w:t>Sprememba</w:t>
      </w:r>
      <w:r w:rsidR="003663AF" w:rsidRPr="00B7760C">
        <w:tab/>
      </w:r>
      <w:r w:rsidR="003663AF" w:rsidRPr="00B7760C">
        <w:tab/>
        <w:t>611</w:t>
      </w:r>
    </w:p>
    <w:p w14:paraId="1E787A88" w14:textId="77777777" w:rsidR="003663AF" w:rsidRPr="00B7760C" w:rsidRDefault="003663AF" w:rsidP="003663AF">
      <w:pPr>
        <w:pStyle w:val="NormalBold12b"/>
      </w:pPr>
      <w:r w:rsidRPr="00B7760C">
        <w:t>Predlog uredbe</w:t>
      </w:r>
    </w:p>
    <w:p w14:paraId="0F0169F5" w14:textId="77777777" w:rsidR="003663AF" w:rsidRPr="00B7760C" w:rsidRDefault="003663AF" w:rsidP="003663AF">
      <w:pPr>
        <w:pStyle w:val="NormalBold"/>
      </w:pPr>
      <w:r w:rsidRPr="00B7760C">
        <w:t>Člen 103 – odstavek 5 – točka 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CC823D5" w14:textId="77777777" w:rsidTr="00E804B7">
        <w:trPr>
          <w:jc w:val="center"/>
        </w:trPr>
        <w:tc>
          <w:tcPr>
            <w:tcW w:w="9752" w:type="dxa"/>
            <w:gridSpan w:val="2"/>
          </w:tcPr>
          <w:p w14:paraId="444A9879" w14:textId="77777777" w:rsidR="003663AF" w:rsidRPr="00B7760C" w:rsidRDefault="003663AF" w:rsidP="00E804B7">
            <w:pPr>
              <w:keepNext/>
            </w:pPr>
          </w:p>
        </w:tc>
      </w:tr>
      <w:tr w:rsidR="003663AF" w:rsidRPr="00B7760C" w14:paraId="3135C344" w14:textId="77777777" w:rsidTr="00E804B7">
        <w:trPr>
          <w:jc w:val="center"/>
        </w:trPr>
        <w:tc>
          <w:tcPr>
            <w:tcW w:w="4876" w:type="dxa"/>
            <w:hideMark/>
          </w:tcPr>
          <w:p w14:paraId="2513A654" w14:textId="77777777" w:rsidR="003663AF" w:rsidRPr="00B7760C" w:rsidRDefault="003663AF" w:rsidP="00E804B7">
            <w:pPr>
              <w:pStyle w:val="ColumnHeading"/>
              <w:keepNext/>
            </w:pPr>
            <w:r w:rsidRPr="00B7760C">
              <w:t>Besedilo, ki ga predlaga Komisija</w:t>
            </w:r>
          </w:p>
        </w:tc>
        <w:tc>
          <w:tcPr>
            <w:tcW w:w="4876" w:type="dxa"/>
            <w:hideMark/>
          </w:tcPr>
          <w:p w14:paraId="7DE0B968" w14:textId="1D31738E" w:rsidR="003663AF" w:rsidRPr="00B7760C" w:rsidRDefault="00877691" w:rsidP="00E804B7">
            <w:pPr>
              <w:pStyle w:val="ColumnHeading"/>
              <w:keepNext/>
            </w:pPr>
            <w:r w:rsidRPr="00B7760C">
              <w:t>Sprememba</w:t>
            </w:r>
          </w:p>
        </w:tc>
      </w:tr>
      <w:tr w:rsidR="003663AF" w:rsidRPr="00B7760C" w14:paraId="1CCECDCA" w14:textId="77777777" w:rsidTr="00E804B7">
        <w:trPr>
          <w:jc w:val="center"/>
        </w:trPr>
        <w:tc>
          <w:tcPr>
            <w:tcW w:w="4876" w:type="dxa"/>
            <w:hideMark/>
          </w:tcPr>
          <w:p w14:paraId="7690E489" w14:textId="77777777" w:rsidR="003663AF" w:rsidRPr="00B7760C" w:rsidRDefault="003663AF" w:rsidP="00E804B7">
            <w:pPr>
              <w:pStyle w:val="Normal6"/>
            </w:pPr>
            <w:r w:rsidRPr="00B7760C">
              <w:t>(a)</w:t>
            </w:r>
            <w:r w:rsidRPr="00B7760C">
              <w:tab/>
              <w:t xml:space="preserve">kratek opis dodatnega nacionalnega financiranja, ki se zagotavlja v okviru strateškega načrta SKP, vključno z zneski na </w:t>
            </w:r>
            <w:r w:rsidRPr="00B7760C">
              <w:rPr>
                <w:b/>
                <w:i/>
              </w:rPr>
              <w:t>ukrep</w:t>
            </w:r>
            <w:r w:rsidRPr="00B7760C">
              <w:t xml:space="preserve"> in navedbo skladnosti z zahtevami iz te uredbe;</w:t>
            </w:r>
          </w:p>
        </w:tc>
        <w:tc>
          <w:tcPr>
            <w:tcW w:w="4876" w:type="dxa"/>
            <w:hideMark/>
          </w:tcPr>
          <w:p w14:paraId="2F9C5DFF" w14:textId="77777777" w:rsidR="003663AF" w:rsidRPr="00B7760C" w:rsidRDefault="003663AF" w:rsidP="00E804B7">
            <w:pPr>
              <w:pStyle w:val="Normal6"/>
              <w:rPr>
                <w:szCs w:val="24"/>
              </w:rPr>
            </w:pPr>
            <w:r w:rsidRPr="00B7760C">
              <w:t>(a)</w:t>
            </w:r>
            <w:r w:rsidRPr="00B7760C">
              <w:tab/>
              <w:t xml:space="preserve">kratek opis dodatnega nacionalnega financiranja, ki se zagotavlja v okviru strateškega načrta SKP, vključno z zneski na </w:t>
            </w:r>
            <w:r w:rsidRPr="00B7760C">
              <w:rPr>
                <w:b/>
                <w:i/>
              </w:rPr>
              <w:t>intervencijo</w:t>
            </w:r>
            <w:r w:rsidRPr="00B7760C">
              <w:t xml:space="preserve"> in navedbo skladnosti z zahtevami iz te uredbe;</w:t>
            </w:r>
          </w:p>
        </w:tc>
      </w:tr>
    </w:tbl>
    <w:p w14:paraId="44B9832B" w14:textId="77777777" w:rsidR="003663AF" w:rsidRPr="00B7760C" w:rsidRDefault="003663AF" w:rsidP="003663AF"/>
    <w:p w14:paraId="1BE9D8B9" w14:textId="0D2AC43D" w:rsidR="003663AF" w:rsidRPr="00B7760C" w:rsidRDefault="00877691" w:rsidP="003663AF">
      <w:pPr>
        <w:pStyle w:val="AMNumberTabs"/>
        <w:keepNext/>
      </w:pPr>
      <w:r w:rsidRPr="00B7760C">
        <w:t>Sprememba</w:t>
      </w:r>
      <w:r w:rsidR="003663AF" w:rsidRPr="00B7760C">
        <w:tab/>
      </w:r>
      <w:r w:rsidR="003663AF" w:rsidRPr="00B7760C">
        <w:tab/>
        <w:t>612</w:t>
      </w:r>
    </w:p>
    <w:p w14:paraId="752BEB59" w14:textId="77777777" w:rsidR="003663AF" w:rsidRPr="00B7760C" w:rsidRDefault="003663AF" w:rsidP="003663AF">
      <w:pPr>
        <w:pStyle w:val="NormalBold12b"/>
      </w:pPr>
      <w:r w:rsidRPr="00B7760C">
        <w:t>Predlog uredbe</w:t>
      </w:r>
    </w:p>
    <w:p w14:paraId="30F0B3BD" w14:textId="77777777" w:rsidR="003663AF" w:rsidRPr="00B7760C" w:rsidRDefault="003663AF" w:rsidP="003663AF">
      <w:pPr>
        <w:pStyle w:val="NormalBold"/>
      </w:pPr>
      <w:r w:rsidRPr="00B7760C">
        <w:t>Člen 103 – odstavek 5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0792CEF" w14:textId="77777777" w:rsidTr="00E804B7">
        <w:trPr>
          <w:jc w:val="center"/>
        </w:trPr>
        <w:tc>
          <w:tcPr>
            <w:tcW w:w="9752" w:type="dxa"/>
            <w:gridSpan w:val="2"/>
          </w:tcPr>
          <w:p w14:paraId="1D2C1D9F" w14:textId="77777777" w:rsidR="003663AF" w:rsidRPr="00B7760C" w:rsidRDefault="003663AF" w:rsidP="00E804B7">
            <w:pPr>
              <w:keepNext/>
            </w:pPr>
          </w:p>
        </w:tc>
      </w:tr>
      <w:tr w:rsidR="003663AF" w:rsidRPr="00B7760C" w14:paraId="5AAD3273" w14:textId="77777777" w:rsidTr="00E804B7">
        <w:trPr>
          <w:jc w:val="center"/>
        </w:trPr>
        <w:tc>
          <w:tcPr>
            <w:tcW w:w="4876" w:type="dxa"/>
            <w:hideMark/>
          </w:tcPr>
          <w:p w14:paraId="03BDB44E" w14:textId="77777777" w:rsidR="003663AF" w:rsidRPr="00B7760C" w:rsidRDefault="003663AF" w:rsidP="00E804B7">
            <w:pPr>
              <w:pStyle w:val="ColumnHeading"/>
              <w:keepNext/>
            </w:pPr>
            <w:r w:rsidRPr="00B7760C">
              <w:t>Besedilo, ki ga predlaga Komisija</w:t>
            </w:r>
          </w:p>
        </w:tc>
        <w:tc>
          <w:tcPr>
            <w:tcW w:w="4876" w:type="dxa"/>
            <w:hideMark/>
          </w:tcPr>
          <w:p w14:paraId="1FBAC1E5" w14:textId="3CB70DBC" w:rsidR="003663AF" w:rsidRPr="00B7760C" w:rsidRDefault="00877691" w:rsidP="00E804B7">
            <w:pPr>
              <w:pStyle w:val="ColumnHeading"/>
              <w:keepNext/>
            </w:pPr>
            <w:r w:rsidRPr="00B7760C">
              <w:t>Sprememba</w:t>
            </w:r>
          </w:p>
        </w:tc>
      </w:tr>
      <w:tr w:rsidR="003663AF" w:rsidRPr="00B7760C" w14:paraId="0493A95D" w14:textId="77777777" w:rsidTr="00E804B7">
        <w:trPr>
          <w:jc w:val="center"/>
        </w:trPr>
        <w:tc>
          <w:tcPr>
            <w:tcW w:w="4876" w:type="dxa"/>
          </w:tcPr>
          <w:p w14:paraId="417551D3" w14:textId="77777777" w:rsidR="003663AF" w:rsidRPr="00B7760C" w:rsidRDefault="003663AF" w:rsidP="00E804B7">
            <w:pPr>
              <w:pStyle w:val="Normal6"/>
            </w:pPr>
          </w:p>
        </w:tc>
        <w:tc>
          <w:tcPr>
            <w:tcW w:w="4876" w:type="dxa"/>
            <w:hideMark/>
          </w:tcPr>
          <w:p w14:paraId="4CD0E2A5" w14:textId="77777777" w:rsidR="003663AF" w:rsidRPr="00B7760C" w:rsidRDefault="003663AF" w:rsidP="00E804B7">
            <w:pPr>
              <w:pStyle w:val="Normal6"/>
              <w:rPr>
                <w:szCs w:val="24"/>
              </w:rPr>
            </w:pPr>
            <w:r w:rsidRPr="00B7760C">
              <w:rPr>
                <w:b/>
                <w:i/>
              </w:rPr>
              <w:t>5a.</w:t>
            </w:r>
            <w:r w:rsidRPr="00B7760C">
              <w:rPr>
                <w:b/>
                <w:i/>
              </w:rPr>
              <w:tab/>
              <w:t>V prilogi VI strateškega načrta SKP so opisane sheme za podnebje, okolje in dobrobit živali iz člena 28.</w:t>
            </w:r>
          </w:p>
        </w:tc>
      </w:tr>
    </w:tbl>
    <w:p w14:paraId="2FD50AF6" w14:textId="77777777" w:rsidR="003663AF" w:rsidRPr="00B7760C" w:rsidRDefault="003663AF" w:rsidP="003663AF"/>
    <w:p w14:paraId="1B123F5C" w14:textId="5596BA44" w:rsidR="003663AF" w:rsidRPr="00B7760C" w:rsidRDefault="00877691" w:rsidP="003663AF">
      <w:pPr>
        <w:pStyle w:val="AMNumberTabs"/>
        <w:keepNext/>
      </w:pPr>
      <w:r w:rsidRPr="00B7760C">
        <w:t>Sprememba</w:t>
      </w:r>
      <w:r w:rsidR="003663AF" w:rsidRPr="00B7760C">
        <w:tab/>
      </w:r>
      <w:r w:rsidR="003663AF" w:rsidRPr="00B7760C">
        <w:tab/>
        <w:t>613</w:t>
      </w:r>
    </w:p>
    <w:p w14:paraId="2615648C" w14:textId="77777777" w:rsidR="003663AF" w:rsidRPr="00B7760C" w:rsidRDefault="003663AF" w:rsidP="003663AF">
      <w:pPr>
        <w:pStyle w:val="NormalBold12b"/>
      </w:pPr>
      <w:r w:rsidRPr="00B7760C">
        <w:t>Predlog uredbe</w:t>
      </w:r>
    </w:p>
    <w:p w14:paraId="1DBF0436" w14:textId="77777777" w:rsidR="003663AF" w:rsidRPr="00B7760C" w:rsidRDefault="003663AF" w:rsidP="003663AF">
      <w:pPr>
        <w:pStyle w:val="NormalBold"/>
      </w:pPr>
      <w:r w:rsidRPr="00B7760C">
        <w:t>Člen 103 – odstavek 5 b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69137A9" w14:textId="77777777" w:rsidTr="00E804B7">
        <w:trPr>
          <w:jc w:val="center"/>
        </w:trPr>
        <w:tc>
          <w:tcPr>
            <w:tcW w:w="9752" w:type="dxa"/>
            <w:gridSpan w:val="2"/>
          </w:tcPr>
          <w:p w14:paraId="44114BAE" w14:textId="77777777" w:rsidR="003663AF" w:rsidRPr="00B7760C" w:rsidRDefault="003663AF" w:rsidP="00E804B7">
            <w:pPr>
              <w:keepNext/>
            </w:pPr>
          </w:p>
        </w:tc>
      </w:tr>
      <w:tr w:rsidR="003663AF" w:rsidRPr="00B7760C" w14:paraId="2B58CF49" w14:textId="77777777" w:rsidTr="00E804B7">
        <w:trPr>
          <w:jc w:val="center"/>
        </w:trPr>
        <w:tc>
          <w:tcPr>
            <w:tcW w:w="4876" w:type="dxa"/>
            <w:hideMark/>
          </w:tcPr>
          <w:p w14:paraId="6C114C59" w14:textId="77777777" w:rsidR="003663AF" w:rsidRPr="00B7760C" w:rsidRDefault="003663AF" w:rsidP="00E804B7">
            <w:pPr>
              <w:pStyle w:val="ColumnHeading"/>
              <w:keepNext/>
            </w:pPr>
            <w:r w:rsidRPr="00B7760C">
              <w:t>Besedilo, ki ga predlaga Komisija</w:t>
            </w:r>
          </w:p>
        </w:tc>
        <w:tc>
          <w:tcPr>
            <w:tcW w:w="4876" w:type="dxa"/>
            <w:hideMark/>
          </w:tcPr>
          <w:p w14:paraId="6EAAD922" w14:textId="12749BCC" w:rsidR="003663AF" w:rsidRPr="00B7760C" w:rsidRDefault="00877691" w:rsidP="00E804B7">
            <w:pPr>
              <w:pStyle w:val="ColumnHeading"/>
              <w:keepNext/>
            </w:pPr>
            <w:r w:rsidRPr="00B7760C">
              <w:t>Sprememba</w:t>
            </w:r>
          </w:p>
        </w:tc>
      </w:tr>
      <w:tr w:rsidR="003663AF" w:rsidRPr="00B7760C" w14:paraId="5662A758" w14:textId="77777777" w:rsidTr="00E804B7">
        <w:trPr>
          <w:jc w:val="center"/>
        </w:trPr>
        <w:tc>
          <w:tcPr>
            <w:tcW w:w="4876" w:type="dxa"/>
          </w:tcPr>
          <w:p w14:paraId="0914E696" w14:textId="77777777" w:rsidR="003663AF" w:rsidRPr="00B7760C" w:rsidRDefault="003663AF" w:rsidP="00E804B7">
            <w:pPr>
              <w:pStyle w:val="Normal6"/>
            </w:pPr>
          </w:p>
        </w:tc>
        <w:tc>
          <w:tcPr>
            <w:tcW w:w="4876" w:type="dxa"/>
            <w:hideMark/>
          </w:tcPr>
          <w:p w14:paraId="01DEAB6A" w14:textId="77777777" w:rsidR="003663AF" w:rsidRPr="00B7760C" w:rsidRDefault="003663AF" w:rsidP="00E804B7">
            <w:pPr>
              <w:pStyle w:val="Normal6"/>
              <w:rPr>
                <w:szCs w:val="24"/>
              </w:rPr>
            </w:pPr>
            <w:r w:rsidRPr="00B7760C">
              <w:rPr>
                <w:b/>
                <w:i/>
              </w:rPr>
              <w:t>5b.</w:t>
            </w:r>
            <w:r w:rsidRPr="00B7760C">
              <w:rPr>
                <w:b/>
                <w:i/>
              </w:rPr>
              <w:tab/>
              <w:t>V prilogi VII strateškega načrta SKP so opisani regionalni programi intervencij.</w:t>
            </w:r>
          </w:p>
        </w:tc>
      </w:tr>
    </w:tbl>
    <w:p w14:paraId="21BAD0C3" w14:textId="77777777" w:rsidR="003663AF" w:rsidRPr="00B7760C" w:rsidRDefault="003663AF" w:rsidP="003663AF"/>
    <w:p w14:paraId="7D2CEB73" w14:textId="77777777" w:rsidR="003663AF" w:rsidRPr="00B7760C" w:rsidRDefault="003663AF" w:rsidP="003663AF"/>
    <w:p w14:paraId="3F51A7DE" w14:textId="3656C04A" w:rsidR="003663AF" w:rsidRPr="00B7760C" w:rsidRDefault="00877691" w:rsidP="003663AF">
      <w:pPr>
        <w:pStyle w:val="AMNumberTabs"/>
        <w:keepNext/>
      </w:pPr>
      <w:r w:rsidRPr="00B7760C">
        <w:t>Sprememba</w:t>
      </w:r>
      <w:r w:rsidR="003663AF" w:rsidRPr="00B7760C">
        <w:tab/>
      </w:r>
      <w:r w:rsidR="003663AF" w:rsidRPr="00B7760C">
        <w:tab/>
        <w:t>615</w:t>
      </w:r>
    </w:p>
    <w:p w14:paraId="3AA1CAB0" w14:textId="77777777" w:rsidR="003663AF" w:rsidRPr="00B7760C" w:rsidRDefault="003663AF" w:rsidP="003663AF">
      <w:pPr>
        <w:pStyle w:val="NormalBold12b"/>
      </w:pPr>
      <w:r w:rsidRPr="00B7760C">
        <w:t>Predlog uredbe</w:t>
      </w:r>
    </w:p>
    <w:p w14:paraId="6BE99003" w14:textId="77777777" w:rsidR="003663AF" w:rsidRPr="00B7760C" w:rsidRDefault="003663AF" w:rsidP="003663AF">
      <w:pPr>
        <w:pStyle w:val="NormalBold"/>
      </w:pPr>
      <w:r w:rsidRPr="00B7760C">
        <w:t>Člen 104</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38BD65D" w14:textId="77777777" w:rsidTr="00E804B7">
        <w:trPr>
          <w:jc w:val="center"/>
        </w:trPr>
        <w:tc>
          <w:tcPr>
            <w:tcW w:w="9752" w:type="dxa"/>
            <w:gridSpan w:val="2"/>
          </w:tcPr>
          <w:p w14:paraId="7A46A744" w14:textId="77777777" w:rsidR="003663AF" w:rsidRPr="00B7760C" w:rsidRDefault="003663AF" w:rsidP="00E804B7">
            <w:pPr>
              <w:keepNext/>
            </w:pPr>
          </w:p>
        </w:tc>
      </w:tr>
      <w:tr w:rsidR="003663AF" w:rsidRPr="00B7760C" w14:paraId="46250204" w14:textId="77777777" w:rsidTr="00E804B7">
        <w:trPr>
          <w:jc w:val="center"/>
        </w:trPr>
        <w:tc>
          <w:tcPr>
            <w:tcW w:w="4876" w:type="dxa"/>
            <w:hideMark/>
          </w:tcPr>
          <w:p w14:paraId="26AB6E9A" w14:textId="77777777" w:rsidR="003663AF" w:rsidRPr="00B7760C" w:rsidRDefault="003663AF" w:rsidP="00E804B7">
            <w:pPr>
              <w:pStyle w:val="ColumnHeading"/>
              <w:keepNext/>
            </w:pPr>
            <w:r w:rsidRPr="00B7760C">
              <w:t>Besedilo, ki ga predlaga Komisija</w:t>
            </w:r>
          </w:p>
        </w:tc>
        <w:tc>
          <w:tcPr>
            <w:tcW w:w="4876" w:type="dxa"/>
            <w:hideMark/>
          </w:tcPr>
          <w:p w14:paraId="19BEC1FF" w14:textId="391B9F7D" w:rsidR="003663AF" w:rsidRPr="00B7760C" w:rsidRDefault="00877691" w:rsidP="00E804B7">
            <w:pPr>
              <w:pStyle w:val="ColumnHeading"/>
              <w:keepNext/>
            </w:pPr>
            <w:r w:rsidRPr="00B7760C">
              <w:t>Sprememba</w:t>
            </w:r>
          </w:p>
        </w:tc>
      </w:tr>
      <w:tr w:rsidR="003663AF" w:rsidRPr="00B7760C" w14:paraId="7B16B960" w14:textId="77777777" w:rsidTr="00E804B7">
        <w:trPr>
          <w:jc w:val="center"/>
        </w:trPr>
        <w:tc>
          <w:tcPr>
            <w:tcW w:w="4876" w:type="dxa"/>
            <w:hideMark/>
          </w:tcPr>
          <w:p w14:paraId="14CB3E01" w14:textId="77777777" w:rsidR="003663AF" w:rsidRPr="00B7760C" w:rsidRDefault="003663AF" w:rsidP="00E804B7">
            <w:pPr>
              <w:pStyle w:val="Normal6"/>
              <w:jc w:val="center"/>
            </w:pPr>
            <w:r w:rsidRPr="00B7760C">
              <w:rPr>
                <w:b/>
                <w:i/>
              </w:rPr>
              <w:t>Člen 104</w:t>
            </w:r>
          </w:p>
        </w:tc>
        <w:tc>
          <w:tcPr>
            <w:tcW w:w="4876" w:type="dxa"/>
            <w:hideMark/>
          </w:tcPr>
          <w:p w14:paraId="54166B14" w14:textId="77777777" w:rsidR="003663AF" w:rsidRPr="00B7760C" w:rsidRDefault="003663AF" w:rsidP="00E804B7">
            <w:pPr>
              <w:pStyle w:val="Normal6"/>
              <w:rPr>
                <w:szCs w:val="24"/>
              </w:rPr>
            </w:pPr>
            <w:r w:rsidRPr="00B7760C">
              <w:rPr>
                <w:b/>
                <w:i/>
              </w:rPr>
              <w:t>črtano</w:t>
            </w:r>
          </w:p>
        </w:tc>
      </w:tr>
      <w:tr w:rsidR="003663AF" w:rsidRPr="00B7760C" w14:paraId="37C91F72" w14:textId="77777777" w:rsidTr="00E804B7">
        <w:trPr>
          <w:jc w:val="center"/>
        </w:trPr>
        <w:tc>
          <w:tcPr>
            <w:tcW w:w="4876" w:type="dxa"/>
            <w:hideMark/>
          </w:tcPr>
          <w:p w14:paraId="31D29348" w14:textId="77777777" w:rsidR="003663AF" w:rsidRPr="00B7760C" w:rsidRDefault="003663AF" w:rsidP="00E804B7">
            <w:pPr>
              <w:pStyle w:val="Normal6"/>
              <w:jc w:val="center"/>
            </w:pPr>
            <w:r w:rsidRPr="00B7760C">
              <w:rPr>
                <w:b/>
                <w:i/>
              </w:rPr>
              <w:t>Prenos pooblastil za vsebino strateškega načrta SKP</w:t>
            </w:r>
          </w:p>
        </w:tc>
        <w:tc>
          <w:tcPr>
            <w:tcW w:w="4876" w:type="dxa"/>
          </w:tcPr>
          <w:p w14:paraId="76691149" w14:textId="77777777" w:rsidR="003663AF" w:rsidRPr="00B7760C" w:rsidRDefault="003663AF" w:rsidP="00E804B7">
            <w:pPr>
              <w:pStyle w:val="Normal6"/>
              <w:rPr>
                <w:szCs w:val="24"/>
              </w:rPr>
            </w:pPr>
          </w:p>
        </w:tc>
      </w:tr>
      <w:tr w:rsidR="003663AF" w:rsidRPr="00B7760C" w14:paraId="603660A8" w14:textId="77777777" w:rsidTr="00E804B7">
        <w:trPr>
          <w:jc w:val="center"/>
        </w:trPr>
        <w:tc>
          <w:tcPr>
            <w:tcW w:w="4876" w:type="dxa"/>
            <w:hideMark/>
          </w:tcPr>
          <w:p w14:paraId="39C8310E" w14:textId="77777777" w:rsidR="003663AF" w:rsidRPr="00B7760C" w:rsidRDefault="003663AF" w:rsidP="00E804B7">
            <w:pPr>
              <w:pStyle w:val="Normal6"/>
            </w:pPr>
            <w:r w:rsidRPr="00B7760C">
              <w:rPr>
                <w:b/>
                <w:i/>
              </w:rPr>
              <w:t>Na Komisijo se prenese pooblastilo za sprejemanje delegiranih aktov v skladu s členom 138 o spremembi tega poglavja glede vsebine strateškega načrta SKP in njegovih prilog.</w:t>
            </w:r>
          </w:p>
        </w:tc>
        <w:tc>
          <w:tcPr>
            <w:tcW w:w="4876" w:type="dxa"/>
          </w:tcPr>
          <w:p w14:paraId="500EBB5B" w14:textId="77777777" w:rsidR="003663AF" w:rsidRPr="00B7760C" w:rsidRDefault="003663AF" w:rsidP="00E804B7">
            <w:pPr>
              <w:pStyle w:val="Normal6"/>
              <w:rPr>
                <w:szCs w:val="24"/>
              </w:rPr>
            </w:pPr>
          </w:p>
        </w:tc>
      </w:tr>
    </w:tbl>
    <w:p w14:paraId="2126FBA1" w14:textId="77777777" w:rsidR="003663AF" w:rsidRPr="00B7760C" w:rsidRDefault="003663AF" w:rsidP="003663AF"/>
    <w:p w14:paraId="6F9006DC" w14:textId="73C2589F" w:rsidR="003663AF" w:rsidRPr="00B7760C" w:rsidRDefault="00877691" w:rsidP="003663AF">
      <w:pPr>
        <w:pStyle w:val="AMNumberTabs"/>
      </w:pPr>
      <w:r w:rsidRPr="00B7760C">
        <w:t>Sprememba</w:t>
      </w:r>
      <w:r w:rsidR="003663AF" w:rsidRPr="00B7760C">
        <w:tab/>
      </w:r>
      <w:r w:rsidR="003663AF" w:rsidRPr="00B7760C">
        <w:tab/>
        <w:t>616</w:t>
      </w:r>
    </w:p>
    <w:p w14:paraId="036408AE" w14:textId="77777777" w:rsidR="003663AF" w:rsidRPr="00B7760C" w:rsidRDefault="003663AF" w:rsidP="003663AF">
      <w:pPr>
        <w:pStyle w:val="NormalBold12b"/>
      </w:pPr>
      <w:r w:rsidRPr="00B7760C">
        <w:t>Predlog uredbe</w:t>
      </w:r>
    </w:p>
    <w:p w14:paraId="2FADBE46" w14:textId="77777777" w:rsidR="003663AF" w:rsidRPr="00B7760C" w:rsidRDefault="003663AF" w:rsidP="003663AF">
      <w:pPr>
        <w:pStyle w:val="NormalBold"/>
      </w:pPr>
      <w:r w:rsidRPr="00B7760C">
        <w:t>Člen 105 – naslov</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DB0AE51" w14:textId="77777777" w:rsidTr="00E804B7">
        <w:trPr>
          <w:trHeight w:hRule="exact" w:val="240"/>
          <w:jc w:val="center"/>
        </w:trPr>
        <w:tc>
          <w:tcPr>
            <w:tcW w:w="9752" w:type="dxa"/>
            <w:gridSpan w:val="2"/>
          </w:tcPr>
          <w:p w14:paraId="37694CB6" w14:textId="77777777" w:rsidR="003663AF" w:rsidRPr="00B7760C" w:rsidRDefault="003663AF" w:rsidP="00E804B7"/>
        </w:tc>
      </w:tr>
      <w:tr w:rsidR="003663AF" w:rsidRPr="00B7760C" w14:paraId="4C264A7B" w14:textId="77777777" w:rsidTr="00E804B7">
        <w:trPr>
          <w:trHeight w:val="240"/>
          <w:jc w:val="center"/>
        </w:trPr>
        <w:tc>
          <w:tcPr>
            <w:tcW w:w="4876" w:type="dxa"/>
          </w:tcPr>
          <w:p w14:paraId="5E1C4F36" w14:textId="77777777" w:rsidR="003663AF" w:rsidRPr="00B7760C" w:rsidRDefault="003663AF" w:rsidP="00E804B7">
            <w:pPr>
              <w:pStyle w:val="ColumnHeading"/>
            </w:pPr>
            <w:r w:rsidRPr="00B7760C">
              <w:t>Besedilo, ki ga predlaga Komisija</w:t>
            </w:r>
          </w:p>
        </w:tc>
        <w:tc>
          <w:tcPr>
            <w:tcW w:w="4876" w:type="dxa"/>
          </w:tcPr>
          <w:p w14:paraId="7F17B922" w14:textId="01CEC048" w:rsidR="003663AF" w:rsidRPr="00B7760C" w:rsidRDefault="00877691" w:rsidP="00E804B7">
            <w:pPr>
              <w:pStyle w:val="ColumnHeading"/>
            </w:pPr>
            <w:r w:rsidRPr="00B7760C">
              <w:t>Sprememba</w:t>
            </w:r>
          </w:p>
        </w:tc>
      </w:tr>
      <w:tr w:rsidR="003663AF" w:rsidRPr="00B7760C" w14:paraId="28E1AAFE" w14:textId="77777777" w:rsidTr="00E804B7">
        <w:trPr>
          <w:jc w:val="center"/>
        </w:trPr>
        <w:tc>
          <w:tcPr>
            <w:tcW w:w="4876" w:type="dxa"/>
          </w:tcPr>
          <w:p w14:paraId="740437B5" w14:textId="77777777" w:rsidR="003663AF" w:rsidRPr="00B7760C" w:rsidRDefault="003663AF" w:rsidP="00E804B7">
            <w:pPr>
              <w:pStyle w:val="Normal6"/>
            </w:pPr>
            <w:r w:rsidRPr="00B7760C">
              <w:t xml:space="preserve">Izvedbena pooblastila za </w:t>
            </w:r>
            <w:r w:rsidRPr="00B7760C">
              <w:rPr>
                <w:b/>
                <w:i/>
              </w:rPr>
              <w:t>vsebino</w:t>
            </w:r>
            <w:r w:rsidRPr="00B7760C">
              <w:t xml:space="preserve"> strateškega načrta SKP</w:t>
            </w:r>
          </w:p>
        </w:tc>
        <w:tc>
          <w:tcPr>
            <w:tcW w:w="4876" w:type="dxa"/>
          </w:tcPr>
          <w:p w14:paraId="60DA1197" w14:textId="77777777" w:rsidR="003663AF" w:rsidRPr="00B7760C" w:rsidRDefault="003663AF" w:rsidP="00E804B7">
            <w:pPr>
              <w:pStyle w:val="Normal6"/>
            </w:pPr>
            <w:r w:rsidRPr="00B7760C">
              <w:t xml:space="preserve">Izvedbena pooblastila za </w:t>
            </w:r>
            <w:r w:rsidRPr="00B7760C">
              <w:rPr>
                <w:b/>
                <w:i/>
              </w:rPr>
              <w:t>obliko</w:t>
            </w:r>
            <w:r w:rsidRPr="00B7760C">
              <w:t xml:space="preserve"> strateškega načrta SKP</w:t>
            </w:r>
          </w:p>
        </w:tc>
      </w:tr>
    </w:tbl>
    <w:p w14:paraId="7469A3A5" w14:textId="77777777" w:rsidR="003663AF" w:rsidRPr="00B7760C" w:rsidRDefault="003663AF" w:rsidP="003663AF"/>
    <w:p w14:paraId="13B7D4D3" w14:textId="73B328A6" w:rsidR="003663AF" w:rsidRPr="00B7760C" w:rsidRDefault="00877691" w:rsidP="003663AF">
      <w:pPr>
        <w:pStyle w:val="AMNumberTabs"/>
      </w:pPr>
      <w:r w:rsidRPr="00B7760C">
        <w:t>Sprememba</w:t>
      </w:r>
      <w:r w:rsidR="003663AF" w:rsidRPr="00B7760C">
        <w:tab/>
      </w:r>
      <w:r w:rsidR="003663AF" w:rsidRPr="00B7760C">
        <w:tab/>
        <w:t>617</w:t>
      </w:r>
    </w:p>
    <w:p w14:paraId="0E6C5B14" w14:textId="77777777" w:rsidR="003663AF" w:rsidRPr="00B7760C" w:rsidRDefault="003663AF" w:rsidP="003663AF">
      <w:pPr>
        <w:pStyle w:val="NormalBold12b"/>
      </w:pPr>
      <w:r w:rsidRPr="00B7760C">
        <w:t>Predlog uredbe</w:t>
      </w:r>
    </w:p>
    <w:p w14:paraId="6DEEB91F" w14:textId="77777777" w:rsidR="003663AF" w:rsidRPr="00B7760C" w:rsidRDefault="003663AF" w:rsidP="003663AF">
      <w:pPr>
        <w:pStyle w:val="NormalBold"/>
      </w:pPr>
      <w:r w:rsidRPr="00B7760C">
        <w:t>Člen 105 – 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4745FB4" w14:textId="77777777" w:rsidTr="00E804B7">
        <w:trPr>
          <w:trHeight w:hRule="exact" w:val="240"/>
          <w:jc w:val="center"/>
        </w:trPr>
        <w:tc>
          <w:tcPr>
            <w:tcW w:w="9752" w:type="dxa"/>
            <w:gridSpan w:val="2"/>
          </w:tcPr>
          <w:p w14:paraId="7A40D691" w14:textId="77777777" w:rsidR="003663AF" w:rsidRPr="00B7760C" w:rsidRDefault="003663AF" w:rsidP="00E804B7"/>
        </w:tc>
      </w:tr>
      <w:tr w:rsidR="003663AF" w:rsidRPr="00B7760C" w14:paraId="527385C1" w14:textId="77777777" w:rsidTr="00E804B7">
        <w:trPr>
          <w:trHeight w:val="240"/>
          <w:jc w:val="center"/>
        </w:trPr>
        <w:tc>
          <w:tcPr>
            <w:tcW w:w="4876" w:type="dxa"/>
          </w:tcPr>
          <w:p w14:paraId="1F884CF1" w14:textId="77777777" w:rsidR="003663AF" w:rsidRPr="00B7760C" w:rsidRDefault="003663AF" w:rsidP="00E804B7">
            <w:pPr>
              <w:pStyle w:val="ColumnHeading"/>
            </w:pPr>
            <w:r w:rsidRPr="00B7760C">
              <w:t>Besedilo, ki ga predlaga Komisija</w:t>
            </w:r>
          </w:p>
        </w:tc>
        <w:tc>
          <w:tcPr>
            <w:tcW w:w="4876" w:type="dxa"/>
          </w:tcPr>
          <w:p w14:paraId="4AFC7724" w14:textId="3B2B65BD" w:rsidR="003663AF" w:rsidRPr="00B7760C" w:rsidRDefault="00877691" w:rsidP="00E804B7">
            <w:pPr>
              <w:pStyle w:val="ColumnHeading"/>
            </w:pPr>
            <w:r w:rsidRPr="00B7760C">
              <w:t>Sprememba</w:t>
            </w:r>
          </w:p>
        </w:tc>
      </w:tr>
      <w:tr w:rsidR="003663AF" w:rsidRPr="00B7760C" w14:paraId="3378B53A" w14:textId="77777777" w:rsidTr="00E804B7">
        <w:trPr>
          <w:jc w:val="center"/>
        </w:trPr>
        <w:tc>
          <w:tcPr>
            <w:tcW w:w="4876" w:type="dxa"/>
          </w:tcPr>
          <w:p w14:paraId="34DF299C" w14:textId="77777777" w:rsidR="003663AF" w:rsidRPr="00B7760C" w:rsidRDefault="003663AF" w:rsidP="00E804B7">
            <w:pPr>
              <w:pStyle w:val="Normal6"/>
            </w:pPr>
            <w:r w:rsidRPr="00B7760C">
              <w:t>Komisija lahko sprejema izvedbene akte, ki določajo pravila za predstavitev elementov iz členov 96–103 v strateških načrtih SKP. Ti izvedbeni akti se sprejmejo v skladu s postopkom pregleda iz člena 139(2).</w:t>
            </w:r>
          </w:p>
        </w:tc>
        <w:tc>
          <w:tcPr>
            <w:tcW w:w="4876" w:type="dxa"/>
          </w:tcPr>
          <w:p w14:paraId="704C201C" w14:textId="77777777" w:rsidR="003663AF" w:rsidRPr="00B7760C" w:rsidRDefault="003663AF" w:rsidP="00E804B7">
            <w:pPr>
              <w:pStyle w:val="Normal6"/>
            </w:pPr>
            <w:r w:rsidRPr="00B7760C">
              <w:t xml:space="preserve">Komisija lahko sprejema izvedbene akte, ki določajo </w:t>
            </w:r>
            <w:r w:rsidRPr="00B7760C">
              <w:rPr>
                <w:b/>
                <w:i/>
              </w:rPr>
              <w:t xml:space="preserve">standardni obrazec in </w:t>
            </w:r>
            <w:r w:rsidRPr="00B7760C">
              <w:t>pravila za predstavitev elementov iz členov 96–103 v strateških načrtih SKP. Ti izvedbeni akti se sprejmejo v skladu s postopkom pregleda iz člena 139(2).</w:t>
            </w:r>
          </w:p>
        </w:tc>
      </w:tr>
    </w:tbl>
    <w:p w14:paraId="38CD5101" w14:textId="77777777" w:rsidR="003663AF" w:rsidRPr="00B7760C" w:rsidRDefault="003663AF" w:rsidP="003663AF"/>
    <w:p w14:paraId="37A97286" w14:textId="40AFE27D" w:rsidR="003663AF" w:rsidRPr="00B7760C" w:rsidRDefault="00877691" w:rsidP="00077A7C">
      <w:pPr>
        <w:pStyle w:val="AMNumberTabs"/>
        <w:keepNext/>
      </w:pPr>
      <w:r w:rsidRPr="00B7760C">
        <w:t>Sprememba</w:t>
      </w:r>
      <w:r w:rsidR="003663AF" w:rsidRPr="00B7760C">
        <w:tab/>
      </w:r>
      <w:r w:rsidR="003663AF" w:rsidRPr="00B7760C">
        <w:tab/>
      </w:r>
      <w:r w:rsidR="00077A7C" w:rsidRPr="00B7760C">
        <w:t>1153 cp1</w:t>
      </w:r>
    </w:p>
    <w:p w14:paraId="7A9B4C61" w14:textId="77777777" w:rsidR="003663AF" w:rsidRPr="00B7760C" w:rsidRDefault="003663AF" w:rsidP="003663AF">
      <w:pPr>
        <w:pStyle w:val="NormalBold12b"/>
      </w:pPr>
      <w:r w:rsidRPr="00B7760C">
        <w:t>Predlog uredbe</w:t>
      </w:r>
    </w:p>
    <w:p w14:paraId="32CE0CF1" w14:textId="77777777" w:rsidR="003663AF" w:rsidRPr="00B7760C" w:rsidRDefault="003663AF" w:rsidP="003663AF">
      <w:pPr>
        <w:pStyle w:val="NormalBold"/>
      </w:pPr>
      <w:r w:rsidRPr="00B7760C">
        <w:t>Člen 106 – odstavek 1</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3B21D5A" w14:textId="77777777" w:rsidTr="00077A7C">
        <w:trPr>
          <w:jc w:val="center"/>
        </w:trPr>
        <w:tc>
          <w:tcPr>
            <w:tcW w:w="9752" w:type="dxa"/>
            <w:gridSpan w:val="2"/>
          </w:tcPr>
          <w:p w14:paraId="25D33C04" w14:textId="77777777" w:rsidR="003663AF" w:rsidRPr="00B7760C" w:rsidRDefault="003663AF" w:rsidP="00E804B7">
            <w:pPr>
              <w:keepNext/>
            </w:pPr>
          </w:p>
        </w:tc>
      </w:tr>
      <w:tr w:rsidR="003663AF" w:rsidRPr="00B7760C" w14:paraId="72E22436" w14:textId="77777777" w:rsidTr="00077A7C">
        <w:trPr>
          <w:jc w:val="center"/>
        </w:trPr>
        <w:tc>
          <w:tcPr>
            <w:tcW w:w="4876" w:type="dxa"/>
            <w:hideMark/>
          </w:tcPr>
          <w:p w14:paraId="531CCC80" w14:textId="77777777" w:rsidR="003663AF" w:rsidRPr="00B7760C" w:rsidRDefault="003663AF" w:rsidP="00E804B7">
            <w:pPr>
              <w:pStyle w:val="ColumnHeading"/>
              <w:keepNext/>
            </w:pPr>
            <w:r w:rsidRPr="00B7760C">
              <w:t>Besedilo, ki ga predlaga Komisija</w:t>
            </w:r>
          </w:p>
        </w:tc>
        <w:tc>
          <w:tcPr>
            <w:tcW w:w="4876" w:type="dxa"/>
            <w:hideMark/>
          </w:tcPr>
          <w:p w14:paraId="12DE3D4B" w14:textId="6D579F28" w:rsidR="003663AF" w:rsidRPr="00B7760C" w:rsidRDefault="00877691" w:rsidP="00E804B7">
            <w:pPr>
              <w:pStyle w:val="ColumnHeading"/>
              <w:keepNext/>
            </w:pPr>
            <w:r w:rsidRPr="00B7760C">
              <w:t>Sprememba</w:t>
            </w:r>
          </w:p>
        </w:tc>
      </w:tr>
      <w:tr w:rsidR="00077A7C" w:rsidRPr="00B7760C" w14:paraId="2B8EE535" w14:textId="77777777" w:rsidTr="00077A7C">
        <w:trPr>
          <w:jc w:val="center"/>
        </w:trPr>
        <w:tc>
          <w:tcPr>
            <w:tcW w:w="4876" w:type="dxa"/>
          </w:tcPr>
          <w:p w14:paraId="526BD47E" w14:textId="77777777" w:rsidR="00077A7C" w:rsidRPr="00B7760C" w:rsidRDefault="00077A7C" w:rsidP="00517642">
            <w:pPr>
              <w:pStyle w:val="Normal6a"/>
            </w:pPr>
            <w:r w:rsidRPr="00B7760C">
              <w:t>1.</w:t>
            </w:r>
            <w:r w:rsidRPr="00B7760C">
              <w:tab/>
              <w:t xml:space="preserve">Vsaka država članica Komisiji najkasneje do </w:t>
            </w:r>
            <w:r w:rsidRPr="00B7760C">
              <w:rPr>
                <w:b/>
                <w:i/>
              </w:rPr>
              <w:t>1. januarja 2020</w:t>
            </w:r>
            <w:r w:rsidRPr="00B7760C">
              <w:t xml:space="preserve"> predloži predlog strateškega načrta SKP z informacijami iz člena 95.</w:t>
            </w:r>
          </w:p>
        </w:tc>
        <w:tc>
          <w:tcPr>
            <w:tcW w:w="4876" w:type="dxa"/>
          </w:tcPr>
          <w:p w14:paraId="0DC3CCA7" w14:textId="640B6BCA" w:rsidR="00077A7C" w:rsidRPr="00B7760C" w:rsidRDefault="00077A7C" w:rsidP="002C0EDF">
            <w:pPr>
              <w:pStyle w:val="Normal6a"/>
            </w:pPr>
            <w:r w:rsidRPr="00B7760C">
              <w:t>1.</w:t>
            </w:r>
            <w:r w:rsidRPr="00B7760C">
              <w:tab/>
              <w:t xml:space="preserve">Vsaka država članica Komisiji najkasneje do </w:t>
            </w:r>
            <w:r w:rsidRPr="00B7760C">
              <w:rPr>
                <w:b/>
                <w:i/>
              </w:rPr>
              <w:t>… [eno leto po datumu začetka veljavnosti te uredbe</w:t>
            </w:r>
            <w:r w:rsidRPr="00B7760C">
              <w:t>] predloži predlog strateškega načrta SKP z informacijami iz člena 95.</w:t>
            </w:r>
          </w:p>
        </w:tc>
      </w:tr>
      <w:tr w:rsidR="00077A7C" w:rsidRPr="00B7760C" w14:paraId="5BA58F5C" w14:textId="77777777" w:rsidTr="00077A7C">
        <w:trPr>
          <w:jc w:val="center"/>
        </w:trPr>
        <w:tc>
          <w:tcPr>
            <w:tcW w:w="4876" w:type="dxa"/>
          </w:tcPr>
          <w:p w14:paraId="392BC3D7" w14:textId="77777777" w:rsidR="00077A7C" w:rsidRPr="00B7760C" w:rsidRDefault="00077A7C" w:rsidP="00E804B7">
            <w:pPr>
              <w:pStyle w:val="Normal6"/>
            </w:pPr>
          </w:p>
        </w:tc>
        <w:tc>
          <w:tcPr>
            <w:tcW w:w="4876" w:type="dxa"/>
          </w:tcPr>
          <w:p w14:paraId="5F04F12F" w14:textId="16CA2573" w:rsidR="00077A7C" w:rsidRPr="00B7760C" w:rsidRDefault="002C0EDF" w:rsidP="00E804B7">
            <w:pPr>
              <w:pStyle w:val="Normal6"/>
            </w:pPr>
            <w:r w:rsidRPr="00B7760C">
              <w:rPr>
                <w:b/>
                <w:i/>
              </w:rPr>
              <w:t>Komisija spodbuja države članice k izmenjavi informacij in dobrih praks pri pripravi strateških načrtov SKP.</w:t>
            </w:r>
          </w:p>
        </w:tc>
      </w:tr>
    </w:tbl>
    <w:p w14:paraId="0AD83DEB" w14:textId="77777777" w:rsidR="00DD0F2B" w:rsidRPr="00B7760C" w:rsidRDefault="00DD0F2B" w:rsidP="003663AF"/>
    <w:p w14:paraId="56D4D895" w14:textId="02CE8852" w:rsidR="003663AF" w:rsidRPr="00B7760C" w:rsidRDefault="00877691" w:rsidP="00AB1DA6">
      <w:pPr>
        <w:pStyle w:val="AMNumberTabs"/>
        <w:keepNext/>
      </w:pPr>
      <w:r w:rsidRPr="00B7760C">
        <w:t>Sprememba</w:t>
      </w:r>
      <w:r w:rsidR="003663AF" w:rsidRPr="00B7760C">
        <w:tab/>
      </w:r>
      <w:r w:rsidR="003663AF" w:rsidRPr="00B7760C">
        <w:tab/>
        <w:t>619</w:t>
      </w:r>
    </w:p>
    <w:p w14:paraId="3E859FAD" w14:textId="77777777" w:rsidR="003663AF" w:rsidRPr="00B7760C" w:rsidRDefault="003663AF" w:rsidP="003663AF">
      <w:pPr>
        <w:pStyle w:val="NormalBold12b"/>
      </w:pPr>
      <w:r w:rsidRPr="00B7760C">
        <w:t>Predlog uredbe</w:t>
      </w:r>
    </w:p>
    <w:p w14:paraId="274B77A1" w14:textId="77777777" w:rsidR="003663AF" w:rsidRPr="00B7760C" w:rsidRDefault="003663AF" w:rsidP="003663AF">
      <w:pPr>
        <w:pStyle w:val="NormalBold"/>
      </w:pPr>
      <w:r w:rsidRPr="00B7760C">
        <w:t>Člen 106 – odstavek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ED0E869" w14:textId="77777777" w:rsidTr="00E804B7">
        <w:trPr>
          <w:jc w:val="center"/>
        </w:trPr>
        <w:tc>
          <w:tcPr>
            <w:tcW w:w="9752" w:type="dxa"/>
            <w:gridSpan w:val="2"/>
          </w:tcPr>
          <w:p w14:paraId="153935C8" w14:textId="77777777" w:rsidR="003663AF" w:rsidRPr="00B7760C" w:rsidRDefault="003663AF" w:rsidP="00E804B7">
            <w:pPr>
              <w:keepNext/>
            </w:pPr>
          </w:p>
        </w:tc>
      </w:tr>
      <w:tr w:rsidR="003663AF" w:rsidRPr="00B7760C" w14:paraId="54C2B07D" w14:textId="77777777" w:rsidTr="00E804B7">
        <w:trPr>
          <w:jc w:val="center"/>
        </w:trPr>
        <w:tc>
          <w:tcPr>
            <w:tcW w:w="4876" w:type="dxa"/>
            <w:hideMark/>
          </w:tcPr>
          <w:p w14:paraId="3F70EB2C" w14:textId="77777777" w:rsidR="003663AF" w:rsidRPr="00B7760C" w:rsidRDefault="003663AF" w:rsidP="00E804B7">
            <w:pPr>
              <w:pStyle w:val="ColumnHeading"/>
              <w:keepNext/>
            </w:pPr>
            <w:r w:rsidRPr="00B7760C">
              <w:t>Besedilo, ki ga predlaga Komisija</w:t>
            </w:r>
          </w:p>
        </w:tc>
        <w:tc>
          <w:tcPr>
            <w:tcW w:w="4876" w:type="dxa"/>
            <w:hideMark/>
          </w:tcPr>
          <w:p w14:paraId="69FAC775" w14:textId="69A24CB4" w:rsidR="003663AF" w:rsidRPr="00B7760C" w:rsidRDefault="00877691" w:rsidP="00E804B7">
            <w:pPr>
              <w:pStyle w:val="ColumnHeading"/>
              <w:keepNext/>
            </w:pPr>
            <w:r w:rsidRPr="00B7760C">
              <w:t>Sprememba</w:t>
            </w:r>
          </w:p>
        </w:tc>
      </w:tr>
      <w:tr w:rsidR="003663AF" w:rsidRPr="00B7760C" w14:paraId="1F7486D6" w14:textId="77777777" w:rsidTr="00E804B7">
        <w:trPr>
          <w:jc w:val="center"/>
        </w:trPr>
        <w:tc>
          <w:tcPr>
            <w:tcW w:w="4876" w:type="dxa"/>
            <w:hideMark/>
          </w:tcPr>
          <w:p w14:paraId="4BF99535" w14:textId="77777777" w:rsidR="003663AF" w:rsidRPr="00B7760C" w:rsidRDefault="003663AF" w:rsidP="00E804B7">
            <w:pPr>
              <w:pStyle w:val="Normal6"/>
            </w:pPr>
            <w:r w:rsidRPr="00B7760C">
              <w:t>2.</w:t>
            </w:r>
            <w:r w:rsidRPr="00B7760C">
              <w:tab/>
              <w:t>Komisija na podlagi popolnosti načrtov, doslednosti in skladnosti s splošnimi načeli prava Unije, to uredbo in določbami, sprejetimi na njeni podlagi, ter horizontalno uredbo oceni predlagane strateške načrte SKP, njihov dejanski prispevek k specifičnim ciljem iz člena 6(1), učinek na pravilno delovanje notranjega trga in izkrivljanje konkurence ter raven upravnega bremena za upravičence in organe. Ocena bo obravnavala zlasti primernost strategije iz načrta SKP, ustreznih specifičnih ciljev, ciljnih vrednosti, intervencij in dodelitev proračunskih virov za doseganje specifičnih ciljev strateškega načrta SKP s predlaganim nizom intervencij na podlagi analize SWOT in predhodne ocene.</w:t>
            </w:r>
          </w:p>
        </w:tc>
        <w:tc>
          <w:tcPr>
            <w:tcW w:w="4876" w:type="dxa"/>
            <w:hideMark/>
          </w:tcPr>
          <w:p w14:paraId="40DDFE60" w14:textId="11FFA18E" w:rsidR="003663AF" w:rsidRPr="00B7760C" w:rsidRDefault="003663AF" w:rsidP="00F54922">
            <w:pPr>
              <w:pStyle w:val="Normal6"/>
              <w:rPr>
                <w:szCs w:val="24"/>
              </w:rPr>
            </w:pPr>
            <w:r w:rsidRPr="00B7760C">
              <w:t>2.</w:t>
            </w:r>
            <w:r w:rsidRPr="00B7760C">
              <w:tab/>
              <w:t xml:space="preserve">Komisija na podlagi popolnosti načrtov, doslednosti in skladnosti s splošnimi načeli prava Unije, to uredbo in določbami, sprejetimi na njeni podlagi, ter horizontalno uredbo oceni predlagane strateške načrte SKP, njihov dejanski prispevek k specifičnim ciljem iz člena 6(1), učinek na pravilno delovanje notranjega trga in izkrivljanje konkurence ter raven upravnega bremena za upravičence in organe. Ocena bo obravnavala zlasti primernost strategije iz načrta SKP, </w:t>
            </w:r>
            <w:r w:rsidRPr="00B7760C">
              <w:rPr>
                <w:b/>
                <w:i/>
              </w:rPr>
              <w:t xml:space="preserve">vključno s kakovostjo uporabljenih informacij, </w:t>
            </w:r>
            <w:r w:rsidRPr="00B7760C">
              <w:t>ustreznih specifičnih ciljev, ciljnih vrednosti, intervencij in dodelitev proračunskih virov za doseganje specifičnih ciljev strateškega načrta SKP s predlaganim nizom intervencij na podlagi analize SWOT in predhodne ocene.</w:t>
            </w:r>
          </w:p>
        </w:tc>
      </w:tr>
    </w:tbl>
    <w:p w14:paraId="254CD7EE" w14:textId="480B10FC" w:rsidR="00E54195" w:rsidRPr="00B7760C" w:rsidRDefault="00E54195" w:rsidP="00E54195">
      <w:pPr>
        <w:pStyle w:val="AMNumberTabs"/>
        <w:keepNext/>
      </w:pPr>
      <w:r w:rsidRPr="00B7760C">
        <w:t>Sprememba</w:t>
      </w:r>
      <w:r w:rsidRPr="00B7760C">
        <w:tab/>
      </w:r>
      <w:r w:rsidRPr="00B7760C">
        <w:tab/>
        <w:t>1153 cp2</w:t>
      </w:r>
    </w:p>
    <w:p w14:paraId="100497F6" w14:textId="77777777" w:rsidR="00E54195" w:rsidRPr="00B7760C" w:rsidRDefault="00E54195" w:rsidP="00E54195">
      <w:pPr>
        <w:pStyle w:val="NormalBold12b"/>
      </w:pPr>
      <w:r w:rsidRPr="00B7760C">
        <w:t>Predlog uredbe</w:t>
      </w:r>
    </w:p>
    <w:p w14:paraId="1B466B52" w14:textId="2B775EB3" w:rsidR="00E54195" w:rsidRPr="00B7760C" w:rsidRDefault="00E54195" w:rsidP="00E54195">
      <w:pPr>
        <w:pStyle w:val="NormalBold"/>
      </w:pPr>
      <w:r w:rsidRPr="00B7760C">
        <w:t>Člen 106 – odstavek 5 – pododstavek 1</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E54195" w:rsidRPr="00B7760C" w14:paraId="67F8CC3B" w14:textId="77777777" w:rsidTr="002A6C93">
        <w:trPr>
          <w:jc w:val="center"/>
        </w:trPr>
        <w:tc>
          <w:tcPr>
            <w:tcW w:w="9752" w:type="dxa"/>
            <w:gridSpan w:val="2"/>
          </w:tcPr>
          <w:p w14:paraId="778FF00B" w14:textId="77777777" w:rsidR="00E54195" w:rsidRPr="00B7760C" w:rsidRDefault="00E54195" w:rsidP="00517642">
            <w:pPr>
              <w:keepNext/>
            </w:pPr>
          </w:p>
        </w:tc>
      </w:tr>
      <w:tr w:rsidR="00E54195" w:rsidRPr="00B7760C" w14:paraId="5B516B69" w14:textId="77777777" w:rsidTr="002A6C93">
        <w:trPr>
          <w:jc w:val="center"/>
        </w:trPr>
        <w:tc>
          <w:tcPr>
            <w:tcW w:w="4876" w:type="dxa"/>
            <w:hideMark/>
          </w:tcPr>
          <w:p w14:paraId="4EBFE58C" w14:textId="77777777" w:rsidR="00E54195" w:rsidRPr="00B7760C" w:rsidRDefault="00E54195" w:rsidP="00517642">
            <w:pPr>
              <w:pStyle w:val="ColumnHeading"/>
              <w:keepNext/>
            </w:pPr>
            <w:r w:rsidRPr="00B7760C">
              <w:t>Besedilo, ki ga predlaga Komisija</w:t>
            </w:r>
          </w:p>
        </w:tc>
        <w:tc>
          <w:tcPr>
            <w:tcW w:w="4876" w:type="dxa"/>
            <w:hideMark/>
          </w:tcPr>
          <w:p w14:paraId="32D61E33" w14:textId="77777777" w:rsidR="00E54195" w:rsidRPr="00B7760C" w:rsidRDefault="00E54195" w:rsidP="00517642">
            <w:pPr>
              <w:pStyle w:val="ColumnHeading"/>
              <w:keepNext/>
            </w:pPr>
            <w:r w:rsidRPr="00B7760C">
              <w:t>Sprememba</w:t>
            </w:r>
          </w:p>
        </w:tc>
      </w:tr>
      <w:tr w:rsidR="002A6C93" w:rsidRPr="00B7760C" w14:paraId="0CAD1480" w14:textId="77777777" w:rsidTr="002A6C93">
        <w:trPr>
          <w:jc w:val="center"/>
        </w:trPr>
        <w:tc>
          <w:tcPr>
            <w:tcW w:w="4876" w:type="dxa"/>
          </w:tcPr>
          <w:p w14:paraId="5D926FAA" w14:textId="485071B4" w:rsidR="002A6C93" w:rsidRPr="00B7760C" w:rsidRDefault="002A6C93" w:rsidP="002A6C93">
            <w:pPr>
              <w:pStyle w:val="Normal6"/>
            </w:pPr>
            <w:r w:rsidRPr="00B7760C">
              <w:t xml:space="preserve">Vsak strateški načrt SKP se odobri najkasneje </w:t>
            </w:r>
            <w:r w:rsidRPr="00B7760C">
              <w:rPr>
                <w:b/>
                <w:i/>
              </w:rPr>
              <w:t>osem</w:t>
            </w:r>
            <w:r w:rsidRPr="00B7760C">
              <w:t xml:space="preserve"> mesecev po tem, ko ga zadevna država članica predloži.</w:t>
            </w:r>
          </w:p>
        </w:tc>
        <w:tc>
          <w:tcPr>
            <w:tcW w:w="4876" w:type="dxa"/>
          </w:tcPr>
          <w:p w14:paraId="55D2A266" w14:textId="5126DDE9" w:rsidR="002A6C93" w:rsidRPr="00B7760C" w:rsidRDefault="002A6C93" w:rsidP="002A6C93">
            <w:pPr>
              <w:pStyle w:val="Normal6"/>
              <w:rPr>
                <w:szCs w:val="24"/>
              </w:rPr>
            </w:pPr>
            <w:r w:rsidRPr="00B7760C">
              <w:t xml:space="preserve">Vsak strateški načrt SKP se odobri najkasneje </w:t>
            </w:r>
            <w:r w:rsidRPr="00B7760C">
              <w:rPr>
                <w:b/>
                <w:i/>
              </w:rPr>
              <w:t>šest</w:t>
            </w:r>
            <w:r w:rsidRPr="00B7760C">
              <w:t xml:space="preserve"> mesecev po tem, ko ga zadevna država članica predloži.</w:t>
            </w:r>
          </w:p>
        </w:tc>
      </w:tr>
    </w:tbl>
    <w:p w14:paraId="63A49DC1" w14:textId="77777777" w:rsidR="00E54195" w:rsidRPr="00B7760C" w:rsidRDefault="00E54195" w:rsidP="003663AF"/>
    <w:p w14:paraId="577A098B" w14:textId="3690BF5C" w:rsidR="003663AF" w:rsidRPr="00B7760C" w:rsidRDefault="00877691" w:rsidP="003663AF">
      <w:pPr>
        <w:pStyle w:val="AMNumberTabs"/>
        <w:keepNext/>
      </w:pPr>
      <w:r w:rsidRPr="00B7760C">
        <w:t>Sprememb</w:t>
      </w:r>
      <w:r w:rsidR="00E54195" w:rsidRPr="00B7760C">
        <w:t>e</w:t>
      </w:r>
      <w:r w:rsidR="003663AF" w:rsidRPr="00B7760C">
        <w:tab/>
      </w:r>
      <w:r w:rsidR="003663AF" w:rsidRPr="00B7760C">
        <w:tab/>
        <w:t>620</w:t>
      </w:r>
      <w:r w:rsidR="00E54195" w:rsidRPr="00B7760C">
        <w:t>, 1153 cp3 in 1331</w:t>
      </w:r>
    </w:p>
    <w:p w14:paraId="7FCCFC53" w14:textId="77777777" w:rsidR="003663AF" w:rsidRPr="00B7760C" w:rsidRDefault="003663AF" w:rsidP="003663AF">
      <w:pPr>
        <w:pStyle w:val="NormalBold12b"/>
      </w:pPr>
      <w:r w:rsidRPr="00B7760C">
        <w:t>Predlog uredbe</w:t>
      </w:r>
    </w:p>
    <w:p w14:paraId="75F8EC64" w14:textId="77777777" w:rsidR="003663AF" w:rsidRPr="00B7760C" w:rsidRDefault="003663AF" w:rsidP="003663AF">
      <w:pPr>
        <w:pStyle w:val="NormalBold"/>
      </w:pPr>
      <w:r w:rsidRPr="00B7760C">
        <w:t>Člen 106 – odstavek 5 – pododstavek 2</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6F6846E" w14:textId="77777777" w:rsidTr="00E54195">
        <w:trPr>
          <w:jc w:val="center"/>
        </w:trPr>
        <w:tc>
          <w:tcPr>
            <w:tcW w:w="9752" w:type="dxa"/>
            <w:gridSpan w:val="2"/>
          </w:tcPr>
          <w:p w14:paraId="6991BC6D" w14:textId="77777777" w:rsidR="003663AF" w:rsidRPr="00B7760C" w:rsidRDefault="003663AF" w:rsidP="00E804B7">
            <w:pPr>
              <w:keepNext/>
            </w:pPr>
          </w:p>
        </w:tc>
      </w:tr>
      <w:tr w:rsidR="003663AF" w:rsidRPr="00B7760C" w14:paraId="6282BD1E" w14:textId="77777777" w:rsidTr="00E54195">
        <w:trPr>
          <w:jc w:val="center"/>
        </w:trPr>
        <w:tc>
          <w:tcPr>
            <w:tcW w:w="4876" w:type="dxa"/>
            <w:hideMark/>
          </w:tcPr>
          <w:p w14:paraId="0A4339D8" w14:textId="77777777" w:rsidR="003663AF" w:rsidRPr="00B7760C" w:rsidRDefault="003663AF" w:rsidP="00E804B7">
            <w:pPr>
              <w:pStyle w:val="ColumnHeading"/>
              <w:keepNext/>
            </w:pPr>
            <w:r w:rsidRPr="00B7760C">
              <w:t>Besedilo, ki ga predlaga Komisija</w:t>
            </w:r>
          </w:p>
        </w:tc>
        <w:tc>
          <w:tcPr>
            <w:tcW w:w="4876" w:type="dxa"/>
            <w:hideMark/>
          </w:tcPr>
          <w:p w14:paraId="500ECAB1" w14:textId="6BBF5FB0" w:rsidR="003663AF" w:rsidRPr="00B7760C" w:rsidRDefault="00877691" w:rsidP="00E804B7">
            <w:pPr>
              <w:pStyle w:val="ColumnHeading"/>
              <w:keepNext/>
            </w:pPr>
            <w:r w:rsidRPr="00B7760C">
              <w:t>Sprememba</w:t>
            </w:r>
          </w:p>
        </w:tc>
      </w:tr>
      <w:tr w:rsidR="003663AF" w:rsidRPr="00B7760C" w14:paraId="411A28B8" w14:textId="77777777" w:rsidTr="00E54195">
        <w:trPr>
          <w:jc w:val="center"/>
        </w:trPr>
        <w:tc>
          <w:tcPr>
            <w:tcW w:w="4876" w:type="dxa"/>
            <w:hideMark/>
          </w:tcPr>
          <w:p w14:paraId="4C9E196A" w14:textId="77777777" w:rsidR="003663AF" w:rsidRPr="00B7760C" w:rsidRDefault="003663AF" w:rsidP="00E804B7">
            <w:pPr>
              <w:pStyle w:val="Normal6"/>
            </w:pPr>
            <w:r w:rsidRPr="00B7760C">
              <w:rPr>
                <w:b/>
                <w:i/>
              </w:rPr>
              <w:t>Odobritev ne zajema informacij iz točke (c) člena 101 in prilog I–IV k strateškemu načrtu SKP iz točk (a)–(d) člena 95(2).</w:t>
            </w:r>
          </w:p>
        </w:tc>
        <w:tc>
          <w:tcPr>
            <w:tcW w:w="4876" w:type="dxa"/>
            <w:hideMark/>
          </w:tcPr>
          <w:p w14:paraId="6841D876" w14:textId="77777777" w:rsidR="003663AF" w:rsidRPr="00B7760C" w:rsidRDefault="003663AF" w:rsidP="00E804B7">
            <w:pPr>
              <w:pStyle w:val="Normal6"/>
              <w:rPr>
                <w:szCs w:val="24"/>
              </w:rPr>
            </w:pPr>
            <w:r w:rsidRPr="00B7760C">
              <w:rPr>
                <w:b/>
                <w:i/>
              </w:rPr>
              <w:t>črtano</w:t>
            </w:r>
          </w:p>
        </w:tc>
      </w:tr>
    </w:tbl>
    <w:p w14:paraId="7CE20812" w14:textId="2873A414" w:rsidR="00E54195" w:rsidRPr="00B7760C" w:rsidRDefault="00E54195" w:rsidP="003663AF"/>
    <w:p w14:paraId="4481A92D" w14:textId="1F8677D1" w:rsidR="002A6C93" w:rsidRPr="00B7760C" w:rsidRDefault="002A6C93" w:rsidP="002A6C93">
      <w:pPr>
        <w:pStyle w:val="AMNumberTabs"/>
        <w:keepNext/>
      </w:pPr>
      <w:r w:rsidRPr="00B7760C">
        <w:t>Sprememba</w:t>
      </w:r>
      <w:r w:rsidRPr="00B7760C">
        <w:tab/>
      </w:r>
      <w:r w:rsidRPr="00B7760C">
        <w:tab/>
        <w:t>1153 cp4</w:t>
      </w:r>
    </w:p>
    <w:p w14:paraId="3D440115" w14:textId="77777777" w:rsidR="002A6C93" w:rsidRPr="00B7760C" w:rsidRDefault="002A6C93" w:rsidP="002A6C93">
      <w:pPr>
        <w:pStyle w:val="NormalBold12b"/>
      </w:pPr>
      <w:r w:rsidRPr="00B7760C">
        <w:t>Predlog uredbe</w:t>
      </w:r>
    </w:p>
    <w:p w14:paraId="74EA6562" w14:textId="32D9B58B" w:rsidR="002A6C93" w:rsidRPr="00B7760C" w:rsidRDefault="002A6C93" w:rsidP="002A6C93">
      <w:pPr>
        <w:pStyle w:val="NormalBold"/>
      </w:pPr>
      <w:r w:rsidRPr="00B7760C">
        <w:t>Člen 106 – odstavek 5 – pododstavek 3</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2A6C93" w:rsidRPr="00B7760C" w14:paraId="405EF828" w14:textId="77777777" w:rsidTr="008313BF">
        <w:trPr>
          <w:jc w:val="center"/>
        </w:trPr>
        <w:tc>
          <w:tcPr>
            <w:tcW w:w="9752" w:type="dxa"/>
            <w:gridSpan w:val="2"/>
          </w:tcPr>
          <w:p w14:paraId="5F4049E0" w14:textId="77777777" w:rsidR="002A6C93" w:rsidRPr="00B7760C" w:rsidRDefault="002A6C93" w:rsidP="008313BF">
            <w:pPr>
              <w:keepNext/>
            </w:pPr>
          </w:p>
        </w:tc>
      </w:tr>
      <w:tr w:rsidR="002A6C93" w:rsidRPr="00B7760C" w14:paraId="32A11A2B" w14:textId="77777777" w:rsidTr="008313BF">
        <w:trPr>
          <w:jc w:val="center"/>
        </w:trPr>
        <w:tc>
          <w:tcPr>
            <w:tcW w:w="4876" w:type="dxa"/>
            <w:hideMark/>
          </w:tcPr>
          <w:p w14:paraId="1662F1F2" w14:textId="77777777" w:rsidR="002A6C93" w:rsidRPr="00B7760C" w:rsidRDefault="002A6C93" w:rsidP="008313BF">
            <w:pPr>
              <w:pStyle w:val="ColumnHeading"/>
              <w:keepNext/>
            </w:pPr>
            <w:r w:rsidRPr="00B7760C">
              <w:t>Besedilo, ki ga predlaga Komisija</w:t>
            </w:r>
          </w:p>
        </w:tc>
        <w:tc>
          <w:tcPr>
            <w:tcW w:w="4876" w:type="dxa"/>
            <w:hideMark/>
          </w:tcPr>
          <w:p w14:paraId="6CE89B77" w14:textId="77777777" w:rsidR="002A6C93" w:rsidRPr="00B7760C" w:rsidRDefault="002A6C93" w:rsidP="008313BF">
            <w:pPr>
              <w:pStyle w:val="ColumnHeading"/>
              <w:keepNext/>
            </w:pPr>
            <w:r w:rsidRPr="00B7760C">
              <w:t>Sprememba</w:t>
            </w:r>
          </w:p>
        </w:tc>
      </w:tr>
      <w:tr w:rsidR="002A6C93" w:rsidRPr="00B7760C" w14:paraId="27660CFB" w14:textId="77777777" w:rsidTr="008313BF">
        <w:trPr>
          <w:jc w:val="center"/>
        </w:trPr>
        <w:tc>
          <w:tcPr>
            <w:tcW w:w="4876" w:type="dxa"/>
          </w:tcPr>
          <w:p w14:paraId="58AB4401" w14:textId="77777777" w:rsidR="002A6C93" w:rsidRPr="00B7760C" w:rsidRDefault="002A6C93" w:rsidP="008313BF">
            <w:pPr>
              <w:pStyle w:val="Normal6a"/>
            </w:pPr>
            <w:r w:rsidRPr="00B7760C">
              <w:t>V ustrezno utemeljenih primerih lahko država članica Komisijo prosi, da odobri strateški načrt SKP, ki ne vsebuje vseh elementov. V tem primeru zadevna država članica navede manjkajoče dele strateškega načrta SKP ter predloži okvirne ciljne vrednosti in finančne načrte iz člena 100 za celotni strateški načrt SKP, s čimer izkaže splošno doslednost in usklajenost načrta. Manjkajoči elementi strateškega načrta SKP se Komisiji predložijo kot sprememba načrta v skladu s členom 107.</w:t>
            </w:r>
          </w:p>
        </w:tc>
        <w:tc>
          <w:tcPr>
            <w:tcW w:w="4876" w:type="dxa"/>
          </w:tcPr>
          <w:p w14:paraId="3D5CAD02" w14:textId="77777777" w:rsidR="002A6C93" w:rsidRPr="00B7760C" w:rsidRDefault="002A6C93" w:rsidP="008313BF">
            <w:pPr>
              <w:pStyle w:val="Normal6a"/>
            </w:pPr>
            <w:r w:rsidRPr="00B7760C">
              <w:t xml:space="preserve">V ustrezno utemeljenih primerih lahko država članica Komisijo prosi, da odobri strateški načrt SKP, ki ne vsebuje vseh elementov. V tem primeru zadevna država članica navede manjkajoče dele strateškega načrta SKP ter predloži okvirne ciljne vrednosti in finančne načrte iz člena 100 za celotni strateški načrt SKP, s čimer izkaže splošno doslednost in usklajenost načrta. Manjkajoči elementi strateškega načrta SKP se Komisiji </w:t>
            </w:r>
            <w:r w:rsidRPr="00B7760C">
              <w:rPr>
                <w:b/>
                <w:i/>
              </w:rPr>
              <w:t xml:space="preserve">v največ treh mesecih </w:t>
            </w:r>
            <w:r w:rsidRPr="00B7760C">
              <w:t xml:space="preserve">predložijo kot sprememba načrta v skladu s členom 107. </w:t>
            </w:r>
            <w:r w:rsidRPr="00B7760C">
              <w:rPr>
                <w:b/>
                <w:i/>
              </w:rPr>
              <w:t>Biti morajo smiselno zasnovani in skladni z okvirnimi cilji in finančnimi načrti, ki jih je predhodno predložila država članica, brez znatnega odstopanja ali zmanjševanja ambicij.</w:t>
            </w:r>
          </w:p>
        </w:tc>
      </w:tr>
    </w:tbl>
    <w:p w14:paraId="776A4FBB" w14:textId="77777777" w:rsidR="002A6C93" w:rsidRPr="00B7760C" w:rsidRDefault="002A6C93" w:rsidP="003663AF"/>
    <w:p w14:paraId="3CB09D9A" w14:textId="1CB3549E" w:rsidR="003663AF" w:rsidRPr="00B7760C" w:rsidRDefault="00877691" w:rsidP="003663AF">
      <w:pPr>
        <w:pStyle w:val="AMNumberTabs"/>
        <w:keepNext/>
      </w:pPr>
      <w:r w:rsidRPr="00B7760C">
        <w:t>Sprememb</w:t>
      </w:r>
      <w:r w:rsidR="00E54195" w:rsidRPr="00B7760C">
        <w:t>e</w:t>
      </w:r>
      <w:r w:rsidR="003663AF" w:rsidRPr="00B7760C">
        <w:tab/>
        <w:t>621</w:t>
      </w:r>
      <w:r w:rsidR="00E54195" w:rsidRPr="00B7760C">
        <w:t>, 983, 1153 cp5 in 1333</w:t>
      </w:r>
    </w:p>
    <w:p w14:paraId="5E9AF369" w14:textId="77777777" w:rsidR="003663AF" w:rsidRPr="00B7760C" w:rsidRDefault="003663AF" w:rsidP="003663AF">
      <w:pPr>
        <w:pStyle w:val="NormalBold12b"/>
      </w:pPr>
      <w:r w:rsidRPr="00B7760C">
        <w:t>Predlog uredbe</w:t>
      </w:r>
    </w:p>
    <w:p w14:paraId="7978F482" w14:textId="77777777" w:rsidR="003663AF" w:rsidRPr="00B7760C" w:rsidRDefault="003663AF" w:rsidP="003663AF">
      <w:pPr>
        <w:pStyle w:val="NormalBold"/>
      </w:pPr>
      <w:r w:rsidRPr="00B7760C">
        <w:t>Člen 106 – odstavek 7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F41FC66" w14:textId="77777777" w:rsidTr="00E804B7">
        <w:trPr>
          <w:jc w:val="center"/>
        </w:trPr>
        <w:tc>
          <w:tcPr>
            <w:tcW w:w="9752" w:type="dxa"/>
            <w:gridSpan w:val="2"/>
          </w:tcPr>
          <w:p w14:paraId="3049189D" w14:textId="77777777" w:rsidR="003663AF" w:rsidRPr="00B7760C" w:rsidRDefault="003663AF" w:rsidP="00E804B7">
            <w:pPr>
              <w:keepNext/>
            </w:pPr>
          </w:p>
        </w:tc>
      </w:tr>
      <w:tr w:rsidR="003663AF" w:rsidRPr="00B7760C" w14:paraId="11456AAB" w14:textId="77777777" w:rsidTr="00E804B7">
        <w:trPr>
          <w:jc w:val="center"/>
        </w:trPr>
        <w:tc>
          <w:tcPr>
            <w:tcW w:w="4876" w:type="dxa"/>
            <w:hideMark/>
          </w:tcPr>
          <w:p w14:paraId="217CCC31" w14:textId="77777777" w:rsidR="003663AF" w:rsidRPr="00B7760C" w:rsidRDefault="003663AF" w:rsidP="00E804B7">
            <w:pPr>
              <w:pStyle w:val="ColumnHeading"/>
              <w:keepNext/>
            </w:pPr>
            <w:r w:rsidRPr="00B7760C">
              <w:t>Besedilo, ki ga predlaga Komisija</w:t>
            </w:r>
          </w:p>
        </w:tc>
        <w:tc>
          <w:tcPr>
            <w:tcW w:w="4876" w:type="dxa"/>
            <w:hideMark/>
          </w:tcPr>
          <w:p w14:paraId="4BB24672" w14:textId="45F25362" w:rsidR="003663AF" w:rsidRPr="00B7760C" w:rsidRDefault="00877691" w:rsidP="00E804B7">
            <w:pPr>
              <w:pStyle w:val="ColumnHeading"/>
              <w:keepNext/>
            </w:pPr>
            <w:r w:rsidRPr="00B7760C">
              <w:t>Sprememba</w:t>
            </w:r>
          </w:p>
        </w:tc>
      </w:tr>
      <w:tr w:rsidR="003663AF" w:rsidRPr="00B7760C" w14:paraId="1451EA2B" w14:textId="77777777" w:rsidTr="00E804B7">
        <w:trPr>
          <w:jc w:val="center"/>
        </w:trPr>
        <w:tc>
          <w:tcPr>
            <w:tcW w:w="4876" w:type="dxa"/>
          </w:tcPr>
          <w:p w14:paraId="2F19E123" w14:textId="77777777" w:rsidR="003663AF" w:rsidRPr="00B7760C" w:rsidRDefault="003663AF" w:rsidP="00E804B7">
            <w:pPr>
              <w:pStyle w:val="Normal6"/>
            </w:pPr>
          </w:p>
        </w:tc>
        <w:tc>
          <w:tcPr>
            <w:tcW w:w="4876" w:type="dxa"/>
            <w:hideMark/>
          </w:tcPr>
          <w:p w14:paraId="0EDECC57" w14:textId="77777777" w:rsidR="003663AF" w:rsidRPr="00B7760C" w:rsidRDefault="003663AF" w:rsidP="00E804B7">
            <w:pPr>
              <w:pStyle w:val="Normal6"/>
              <w:rPr>
                <w:szCs w:val="24"/>
              </w:rPr>
            </w:pPr>
            <w:r w:rsidRPr="00B7760C">
              <w:rPr>
                <w:b/>
                <w:i/>
              </w:rPr>
              <w:t>7a.</w:t>
            </w:r>
            <w:r w:rsidRPr="00B7760C">
              <w:rPr>
                <w:b/>
                <w:i/>
              </w:rPr>
              <w:tab/>
              <w:t>Komisija v roku šestih mesecev po odobritvi nacionalnih strateških načrtov SKP Evropskemu parlamentu in Svetu predloži zbirno poročilo teh načrtov skupaj z jasno opisanimi ocenami, da se zagotovijo informacije o odločitvah, ki so jih sprejele države članice za obravnavo specifičnih ciljev iz člena 6(1).</w:t>
            </w:r>
          </w:p>
        </w:tc>
      </w:tr>
    </w:tbl>
    <w:p w14:paraId="25912ED1" w14:textId="77777777" w:rsidR="003663AF" w:rsidRPr="00B7760C" w:rsidRDefault="003663AF" w:rsidP="003663AF"/>
    <w:p w14:paraId="4DBDCE6F" w14:textId="26C20372" w:rsidR="003663AF" w:rsidRPr="00B7760C" w:rsidRDefault="00877691" w:rsidP="00E54195">
      <w:pPr>
        <w:pStyle w:val="AMNumberTabs"/>
        <w:keepNext/>
      </w:pPr>
      <w:r w:rsidRPr="00B7760C">
        <w:t>Sprememba</w:t>
      </w:r>
      <w:r w:rsidR="003663AF" w:rsidRPr="00B7760C">
        <w:tab/>
      </w:r>
      <w:r w:rsidR="003663AF" w:rsidRPr="00B7760C">
        <w:tab/>
      </w:r>
      <w:r w:rsidR="00E54195" w:rsidRPr="00B7760C">
        <w:t>1153 cp6</w:t>
      </w:r>
    </w:p>
    <w:p w14:paraId="05A54F3F" w14:textId="77777777" w:rsidR="003663AF" w:rsidRPr="00B7760C" w:rsidRDefault="003663AF" w:rsidP="003663AF">
      <w:pPr>
        <w:pStyle w:val="NormalBold12b"/>
      </w:pPr>
      <w:r w:rsidRPr="00B7760C">
        <w:t>Predlog uredbe</w:t>
      </w:r>
    </w:p>
    <w:p w14:paraId="31DDCBF9" w14:textId="77777777" w:rsidR="003663AF" w:rsidRPr="00B7760C" w:rsidRDefault="003663AF" w:rsidP="003663AF">
      <w:pPr>
        <w:pStyle w:val="NormalBold"/>
      </w:pPr>
      <w:r w:rsidRPr="00B7760C">
        <w:t>Člen 106 – odstavek 7 b (novo)</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A966E83" w14:textId="77777777" w:rsidTr="00E54195">
        <w:trPr>
          <w:jc w:val="center"/>
        </w:trPr>
        <w:tc>
          <w:tcPr>
            <w:tcW w:w="9752" w:type="dxa"/>
            <w:gridSpan w:val="2"/>
          </w:tcPr>
          <w:p w14:paraId="24E6F01E" w14:textId="77777777" w:rsidR="003663AF" w:rsidRPr="00B7760C" w:rsidRDefault="003663AF" w:rsidP="00E804B7">
            <w:pPr>
              <w:keepNext/>
            </w:pPr>
          </w:p>
        </w:tc>
      </w:tr>
      <w:tr w:rsidR="003663AF" w:rsidRPr="00B7760C" w14:paraId="7362E852" w14:textId="77777777" w:rsidTr="00E54195">
        <w:trPr>
          <w:jc w:val="center"/>
        </w:trPr>
        <w:tc>
          <w:tcPr>
            <w:tcW w:w="4876" w:type="dxa"/>
            <w:hideMark/>
          </w:tcPr>
          <w:p w14:paraId="081A799A" w14:textId="77777777" w:rsidR="003663AF" w:rsidRPr="00B7760C" w:rsidRDefault="003663AF" w:rsidP="00E804B7">
            <w:pPr>
              <w:pStyle w:val="ColumnHeading"/>
              <w:keepNext/>
            </w:pPr>
            <w:r w:rsidRPr="00B7760C">
              <w:t>Besedilo, ki ga predlaga Komisija</w:t>
            </w:r>
          </w:p>
        </w:tc>
        <w:tc>
          <w:tcPr>
            <w:tcW w:w="4876" w:type="dxa"/>
            <w:hideMark/>
          </w:tcPr>
          <w:p w14:paraId="7AB7AC88" w14:textId="478C0CEA" w:rsidR="003663AF" w:rsidRPr="00B7760C" w:rsidRDefault="00877691" w:rsidP="00E804B7">
            <w:pPr>
              <w:pStyle w:val="ColumnHeading"/>
              <w:keepNext/>
            </w:pPr>
            <w:r w:rsidRPr="00B7760C">
              <w:t>Sprememba</w:t>
            </w:r>
          </w:p>
        </w:tc>
      </w:tr>
      <w:tr w:rsidR="00E54195" w:rsidRPr="00B7760C" w14:paraId="3109D7B8" w14:textId="77777777" w:rsidTr="00517642">
        <w:trPr>
          <w:jc w:val="center"/>
        </w:trPr>
        <w:tc>
          <w:tcPr>
            <w:tcW w:w="4876" w:type="dxa"/>
          </w:tcPr>
          <w:p w14:paraId="4D109F2A" w14:textId="77777777" w:rsidR="00E54195" w:rsidRPr="00B7760C" w:rsidRDefault="00E54195" w:rsidP="00517642">
            <w:pPr>
              <w:pStyle w:val="Normal6a"/>
            </w:pPr>
          </w:p>
        </w:tc>
        <w:tc>
          <w:tcPr>
            <w:tcW w:w="4876" w:type="dxa"/>
          </w:tcPr>
          <w:p w14:paraId="11B6E8B3" w14:textId="77777777" w:rsidR="00E54195" w:rsidRPr="00B7760C" w:rsidRDefault="00E54195" w:rsidP="00517642">
            <w:pPr>
              <w:pStyle w:val="Normal6a"/>
            </w:pPr>
            <w:r w:rsidRPr="00B7760C">
              <w:rPr>
                <w:b/>
                <w:i/>
              </w:rPr>
              <w:t>7b.</w:t>
            </w:r>
            <w:r w:rsidRPr="00B7760C">
              <w:tab/>
            </w:r>
            <w:r w:rsidRPr="00B7760C">
              <w:rPr>
                <w:b/>
                <w:i/>
              </w:rPr>
              <w:t>Komisija strateške načrte SKP prevede v angleščino in jih na spletu objavi tako, da je zagotovljena obveščenost javnosti in preglednost na ravni Unije.</w:t>
            </w:r>
          </w:p>
        </w:tc>
      </w:tr>
    </w:tbl>
    <w:p w14:paraId="656C571E" w14:textId="77777777" w:rsidR="003663AF" w:rsidRPr="00B7760C" w:rsidRDefault="003663AF" w:rsidP="003663AF"/>
    <w:p w14:paraId="08570CFE" w14:textId="7C0B0247" w:rsidR="003663AF" w:rsidRPr="00B7760C" w:rsidRDefault="00877691" w:rsidP="003663AF">
      <w:pPr>
        <w:pStyle w:val="AMNumberTabs"/>
        <w:keepNext/>
      </w:pPr>
      <w:r w:rsidRPr="00B7760C">
        <w:t>Sprememb</w:t>
      </w:r>
      <w:r w:rsidR="00E54195" w:rsidRPr="00B7760C">
        <w:t>e</w:t>
      </w:r>
      <w:r w:rsidR="003663AF" w:rsidRPr="00B7760C">
        <w:tab/>
      </w:r>
      <w:r w:rsidR="003663AF" w:rsidRPr="00B7760C">
        <w:tab/>
        <w:t>623</w:t>
      </w:r>
      <w:r w:rsidR="00E54195" w:rsidRPr="00B7760C">
        <w:t>, 985 in 1153 cp7</w:t>
      </w:r>
    </w:p>
    <w:p w14:paraId="0E9A2D9D" w14:textId="77777777" w:rsidR="003663AF" w:rsidRPr="00B7760C" w:rsidRDefault="003663AF" w:rsidP="003663AF">
      <w:pPr>
        <w:pStyle w:val="NormalBold12b"/>
      </w:pPr>
      <w:r w:rsidRPr="00B7760C">
        <w:t>Predlog uredbe</w:t>
      </w:r>
    </w:p>
    <w:p w14:paraId="4BD4A27F" w14:textId="77777777" w:rsidR="003663AF" w:rsidRPr="00B7760C" w:rsidRDefault="003663AF" w:rsidP="003663AF">
      <w:pPr>
        <w:pStyle w:val="NormalBold"/>
      </w:pPr>
      <w:r w:rsidRPr="00B7760C">
        <w:t>Člen 106 – odstavek 7 c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563CFDD" w14:textId="77777777" w:rsidTr="00E804B7">
        <w:trPr>
          <w:jc w:val="center"/>
        </w:trPr>
        <w:tc>
          <w:tcPr>
            <w:tcW w:w="9752" w:type="dxa"/>
            <w:gridSpan w:val="2"/>
          </w:tcPr>
          <w:p w14:paraId="376AC066" w14:textId="77777777" w:rsidR="003663AF" w:rsidRPr="00B7760C" w:rsidRDefault="003663AF" w:rsidP="00E804B7">
            <w:pPr>
              <w:keepNext/>
            </w:pPr>
          </w:p>
        </w:tc>
      </w:tr>
      <w:tr w:rsidR="003663AF" w:rsidRPr="00B7760C" w14:paraId="436AFE92" w14:textId="77777777" w:rsidTr="00E804B7">
        <w:trPr>
          <w:jc w:val="center"/>
        </w:trPr>
        <w:tc>
          <w:tcPr>
            <w:tcW w:w="4876" w:type="dxa"/>
            <w:hideMark/>
          </w:tcPr>
          <w:p w14:paraId="312A1DB7" w14:textId="77777777" w:rsidR="003663AF" w:rsidRPr="00B7760C" w:rsidRDefault="003663AF" w:rsidP="00E804B7">
            <w:pPr>
              <w:pStyle w:val="ColumnHeading"/>
              <w:keepNext/>
            </w:pPr>
            <w:r w:rsidRPr="00B7760C">
              <w:t>Besedilo, ki ga predlaga Komisija</w:t>
            </w:r>
          </w:p>
        </w:tc>
        <w:tc>
          <w:tcPr>
            <w:tcW w:w="4876" w:type="dxa"/>
            <w:hideMark/>
          </w:tcPr>
          <w:p w14:paraId="37C2B372" w14:textId="2078A99B" w:rsidR="003663AF" w:rsidRPr="00B7760C" w:rsidRDefault="00877691" w:rsidP="00E804B7">
            <w:pPr>
              <w:pStyle w:val="ColumnHeading"/>
              <w:keepNext/>
            </w:pPr>
            <w:r w:rsidRPr="00B7760C">
              <w:t>Sprememba</w:t>
            </w:r>
          </w:p>
        </w:tc>
      </w:tr>
      <w:tr w:rsidR="003663AF" w:rsidRPr="00B7760C" w14:paraId="29509961" w14:textId="77777777" w:rsidTr="00E804B7">
        <w:trPr>
          <w:jc w:val="center"/>
        </w:trPr>
        <w:tc>
          <w:tcPr>
            <w:tcW w:w="4876" w:type="dxa"/>
          </w:tcPr>
          <w:p w14:paraId="7AB4FEED" w14:textId="77777777" w:rsidR="003663AF" w:rsidRPr="00B7760C" w:rsidRDefault="003663AF" w:rsidP="00E804B7">
            <w:pPr>
              <w:pStyle w:val="Normal6"/>
            </w:pPr>
          </w:p>
        </w:tc>
        <w:tc>
          <w:tcPr>
            <w:tcW w:w="4876" w:type="dxa"/>
            <w:hideMark/>
          </w:tcPr>
          <w:p w14:paraId="0CA4CCC7" w14:textId="77777777" w:rsidR="003663AF" w:rsidRPr="00B7760C" w:rsidRDefault="003663AF" w:rsidP="00E804B7">
            <w:pPr>
              <w:pStyle w:val="Normal6"/>
              <w:rPr>
                <w:szCs w:val="24"/>
              </w:rPr>
            </w:pPr>
            <w:r w:rsidRPr="00B7760C">
              <w:rPr>
                <w:b/>
                <w:i/>
              </w:rPr>
              <w:t>7c.</w:t>
            </w:r>
            <w:r w:rsidRPr="00B7760C">
              <w:rPr>
                <w:b/>
                <w:i/>
              </w:rPr>
              <w:tab/>
              <w:t>Odobritev strateških načrtov SKP in njihovo izvajanje v državah članicah ne povzročita zamud za upravičence v obdobju vlaganja zahtevkov za pomoč ali pri izplačevanju pomoči, zlasti v prvem letu izvajanja.</w:t>
            </w:r>
          </w:p>
        </w:tc>
      </w:tr>
    </w:tbl>
    <w:p w14:paraId="2F4DB335" w14:textId="77777777" w:rsidR="00E54195" w:rsidRPr="00B7760C" w:rsidRDefault="00E54195" w:rsidP="003663AF"/>
    <w:p w14:paraId="19BEADCC" w14:textId="4D636424" w:rsidR="003663AF" w:rsidRPr="00B7760C" w:rsidRDefault="00877691" w:rsidP="00E54195">
      <w:pPr>
        <w:pStyle w:val="AMNumberTabs"/>
        <w:keepNext/>
      </w:pPr>
      <w:r w:rsidRPr="00B7760C">
        <w:t>Sprememba</w:t>
      </w:r>
      <w:r w:rsidR="003663AF" w:rsidRPr="00B7760C">
        <w:tab/>
      </w:r>
      <w:r w:rsidR="003663AF" w:rsidRPr="00B7760C">
        <w:tab/>
      </w:r>
      <w:r w:rsidR="00E54195" w:rsidRPr="00B7760C">
        <w:t>735 cp1</w:t>
      </w:r>
    </w:p>
    <w:p w14:paraId="431E35BD" w14:textId="77777777" w:rsidR="003663AF" w:rsidRPr="00B7760C" w:rsidRDefault="003663AF" w:rsidP="003663AF">
      <w:pPr>
        <w:pStyle w:val="NormalBold12b"/>
      </w:pPr>
      <w:r w:rsidRPr="00B7760C">
        <w:t>Predlog uredbe</w:t>
      </w:r>
    </w:p>
    <w:p w14:paraId="79006A33" w14:textId="77777777" w:rsidR="003663AF" w:rsidRPr="00B7760C" w:rsidRDefault="003663AF" w:rsidP="003663AF">
      <w:pPr>
        <w:pStyle w:val="NormalBold"/>
      </w:pPr>
      <w:r w:rsidRPr="00B7760C">
        <w:t>Člen 107 – odstavek 1</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667D355" w14:textId="77777777" w:rsidTr="00E54195">
        <w:trPr>
          <w:jc w:val="center"/>
        </w:trPr>
        <w:tc>
          <w:tcPr>
            <w:tcW w:w="9752" w:type="dxa"/>
            <w:gridSpan w:val="2"/>
          </w:tcPr>
          <w:p w14:paraId="1FF71EDD" w14:textId="77777777" w:rsidR="003663AF" w:rsidRPr="00B7760C" w:rsidRDefault="003663AF" w:rsidP="00E804B7">
            <w:pPr>
              <w:keepNext/>
            </w:pPr>
          </w:p>
        </w:tc>
      </w:tr>
      <w:tr w:rsidR="003663AF" w:rsidRPr="00B7760C" w14:paraId="35307507" w14:textId="77777777" w:rsidTr="00E54195">
        <w:trPr>
          <w:jc w:val="center"/>
        </w:trPr>
        <w:tc>
          <w:tcPr>
            <w:tcW w:w="4876" w:type="dxa"/>
            <w:hideMark/>
          </w:tcPr>
          <w:p w14:paraId="382355EC" w14:textId="77777777" w:rsidR="003663AF" w:rsidRPr="00B7760C" w:rsidRDefault="003663AF" w:rsidP="00E804B7">
            <w:pPr>
              <w:pStyle w:val="ColumnHeading"/>
              <w:keepNext/>
            </w:pPr>
            <w:r w:rsidRPr="00B7760C">
              <w:t>Besedilo, ki ga predlaga Komisija</w:t>
            </w:r>
          </w:p>
        </w:tc>
        <w:tc>
          <w:tcPr>
            <w:tcW w:w="4876" w:type="dxa"/>
            <w:hideMark/>
          </w:tcPr>
          <w:p w14:paraId="3EA403BE" w14:textId="7A9C5003" w:rsidR="003663AF" w:rsidRPr="00B7760C" w:rsidRDefault="00877691" w:rsidP="00E804B7">
            <w:pPr>
              <w:pStyle w:val="ColumnHeading"/>
              <w:keepNext/>
            </w:pPr>
            <w:r w:rsidRPr="00B7760C">
              <w:t>Sprememba</w:t>
            </w:r>
          </w:p>
        </w:tc>
      </w:tr>
      <w:tr w:rsidR="00E54195" w:rsidRPr="00B7760C" w14:paraId="299AA8C1" w14:textId="77777777" w:rsidTr="00E54195">
        <w:tblPrEx>
          <w:tblLook w:val="0000" w:firstRow="0" w:lastRow="0" w:firstColumn="0" w:lastColumn="0" w:noHBand="0" w:noVBand="0"/>
        </w:tblPrEx>
        <w:trPr>
          <w:jc w:val="center"/>
        </w:trPr>
        <w:tc>
          <w:tcPr>
            <w:tcW w:w="4876" w:type="dxa"/>
          </w:tcPr>
          <w:p w14:paraId="5594F41B" w14:textId="77777777" w:rsidR="00E54195" w:rsidRPr="00B7760C" w:rsidRDefault="00E54195" w:rsidP="00517642">
            <w:pPr>
              <w:pStyle w:val="Normal6"/>
            </w:pPr>
            <w:r w:rsidRPr="00B7760C">
              <w:t>1.</w:t>
            </w:r>
            <w:r w:rsidRPr="00B7760C">
              <w:tab/>
              <w:t>Države članice lahko Komisiji predložijo zahtevke za spremembo strateških načrtov SKP.</w:t>
            </w:r>
          </w:p>
        </w:tc>
        <w:tc>
          <w:tcPr>
            <w:tcW w:w="4876" w:type="dxa"/>
          </w:tcPr>
          <w:p w14:paraId="4E6591E4" w14:textId="77777777" w:rsidR="00E54195" w:rsidRPr="00B7760C" w:rsidRDefault="00E54195" w:rsidP="00517642">
            <w:pPr>
              <w:pStyle w:val="Normal6"/>
              <w:rPr>
                <w:szCs w:val="24"/>
              </w:rPr>
            </w:pPr>
            <w:r w:rsidRPr="00B7760C">
              <w:t>1.</w:t>
            </w:r>
            <w:r w:rsidRPr="00B7760C">
              <w:tab/>
              <w:t xml:space="preserve">Države članice lahko </w:t>
            </w:r>
            <w:r w:rsidRPr="00B7760C">
              <w:rPr>
                <w:b/>
                <w:i/>
              </w:rPr>
              <w:t xml:space="preserve">v dogovoru z regionalnimi organi upravljanja </w:t>
            </w:r>
            <w:r w:rsidRPr="00B7760C">
              <w:t>Komisiji predložijo zahtevke za spremembo strateških načrtov SKP</w:t>
            </w:r>
            <w:r w:rsidRPr="00B7760C">
              <w:rPr>
                <w:b/>
                <w:i/>
              </w:rPr>
              <w:t>, ki po potrebi vključujejo spremembe regionalnih intervencijskih programov</w:t>
            </w:r>
            <w:r w:rsidRPr="00B7760C">
              <w:t>.</w:t>
            </w:r>
          </w:p>
        </w:tc>
      </w:tr>
    </w:tbl>
    <w:p w14:paraId="4530011B" w14:textId="77777777" w:rsidR="003663AF" w:rsidRPr="00B7760C" w:rsidRDefault="003663AF" w:rsidP="003663AF"/>
    <w:p w14:paraId="5DA733A9" w14:textId="790586C7" w:rsidR="003663AF" w:rsidRPr="00B7760C" w:rsidRDefault="00877691" w:rsidP="003663AF">
      <w:pPr>
        <w:pStyle w:val="AMNumberTabs"/>
        <w:keepNext/>
      </w:pPr>
      <w:r w:rsidRPr="00B7760C">
        <w:t>Sprememb</w:t>
      </w:r>
      <w:r w:rsidR="00E54195" w:rsidRPr="00B7760C">
        <w:t>i</w:t>
      </w:r>
      <w:r w:rsidR="003663AF" w:rsidRPr="00B7760C">
        <w:tab/>
      </w:r>
      <w:r w:rsidR="003663AF" w:rsidRPr="00B7760C">
        <w:tab/>
        <w:t>625</w:t>
      </w:r>
      <w:r w:rsidR="00E54195" w:rsidRPr="00B7760C">
        <w:t xml:space="preserve"> in 735 cp2</w:t>
      </w:r>
    </w:p>
    <w:p w14:paraId="7275C5D7" w14:textId="77777777" w:rsidR="003663AF" w:rsidRPr="00B7760C" w:rsidRDefault="003663AF" w:rsidP="003663AF">
      <w:pPr>
        <w:pStyle w:val="NormalBold12b"/>
      </w:pPr>
      <w:r w:rsidRPr="00B7760C">
        <w:t>Predlog uredbe</w:t>
      </w:r>
    </w:p>
    <w:p w14:paraId="2B33B514" w14:textId="77777777" w:rsidR="003663AF" w:rsidRPr="00B7760C" w:rsidRDefault="003663AF" w:rsidP="003663AF">
      <w:pPr>
        <w:pStyle w:val="NormalBold"/>
      </w:pPr>
      <w:r w:rsidRPr="00B7760C">
        <w:t>Člen 107 – odstavek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BCD204A" w14:textId="77777777" w:rsidTr="00E804B7">
        <w:trPr>
          <w:jc w:val="center"/>
        </w:trPr>
        <w:tc>
          <w:tcPr>
            <w:tcW w:w="9752" w:type="dxa"/>
            <w:gridSpan w:val="2"/>
          </w:tcPr>
          <w:p w14:paraId="79B6905C" w14:textId="77777777" w:rsidR="003663AF" w:rsidRPr="00B7760C" w:rsidRDefault="003663AF" w:rsidP="00E804B7">
            <w:pPr>
              <w:keepNext/>
            </w:pPr>
          </w:p>
        </w:tc>
      </w:tr>
      <w:tr w:rsidR="003663AF" w:rsidRPr="00B7760C" w14:paraId="719E7DA4" w14:textId="77777777" w:rsidTr="00E804B7">
        <w:trPr>
          <w:jc w:val="center"/>
        </w:trPr>
        <w:tc>
          <w:tcPr>
            <w:tcW w:w="4876" w:type="dxa"/>
            <w:hideMark/>
          </w:tcPr>
          <w:p w14:paraId="375CB54A" w14:textId="77777777" w:rsidR="003663AF" w:rsidRPr="00B7760C" w:rsidRDefault="003663AF" w:rsidP="00E804B7">
            <w:pPr>
              <w:pStyle w:val="ColumnHeading"/>
              <w:keepNext/>
            </w:pPr>
            <w:r w:rsidRPr="00B7760C">
              <w:t>Besedilo, ki ga predlaga Komisija</w:t>
            </w:r>
          </w:p>
        </w:tc>
        <w:tc>
          <w:tcPr>
            <w:tcW w:w="4876" w:type="dxa"/>
            <w:hideMark/>
          </w:tcPr>
          <w:p w14:paraId="7AA39BD7" w14:textId="47314483" w:rsidR="003663AF" w:rsidRPr="00B7760C" w:rsidRDefault="00877691" w:rsidP="00E804B7">
            <w:pPr>
              <w:pStyle w:val="ColumnHeading"/>
              <w:keepNext/>
            </w:pPr>
            <w:r w:rsidRPr="00B7760C">
              <w:t>Sprememba</w:t>
            </w:r>
          </w:p>
        </w:tc>
      </w:tr>
      <w:tr w:rsidR="003663AF" w:rsidRPr="00B7760C" w14:paraId="5533E1A3" w14:textId="77777777" w:rsidTr="00E804B7">
        <w:trPr>
          <w:jc w:val="center"/>
        </w:trPr>
        <w:tc>
          <w:tcPr>
            <w:tcW w:w="4876" w:type="dxa"/>
            <w:hideMark/>
          </w:tcPr>
          <w:p w14:paraId="6846E434" w14:textId="77777777" w:rsidR="003663AF" w:rsidRPr="00B7760C" w:rsidRDefault="003663AF" w:rsidP="00E804B7">
            <w:pPr>
              <w:pStyle w:val="Normal6"/>
            </w:pPr>
            <w:r w:rsidRPr="00B7760C">
              <w:t>2.</w:t>
            </w:r>
            <w:r w:rsidRPr="00B7760C">
              <w:tab/>
              <w:t xml:space="preserve">Zahtevki za spremembo strateških načrtov SKP </w:t>
            </w:r>
            <w:r w:rsidRPr="00B7760C">
              <w:rPr>
                <w:b/>
                <w:i/>
              </w:rPr>
              <w:t>se ustrezno utemeljijo in predvsem vsebujejo</w:t>
            </w:r>
            <w:r w:rsidRPr="00B7760C">
              <w:t xml:space="preserve"> pričakovani učinek sprememb načrta na doseganje specifičnih ciljev iz člena 6(1). Priložen jim je spremenjeni načrt, vključno s posodobljenimi prilogami, če je to ustrezno.</w:t>
            </w:r>
          </w:p>
        </w:tc>
        <w:tc>
          <w:tcPr>
            <w:tcW w:w="4876" w:type="dxa"/>
            <w:hideMark/>
          </w:tcPr>
          <w:p w14:paraId="02AD80D3" w14:textId="77777777" w:rsidR="003663AF" w:rsidRPr="00B7760C" w:rsidRDefault="003663AF" w:rsidP="00E804B7">
            <w:pPr>
              <w:pStyle w:val="Normal6"/>
              <w:rPr>
                <w:szCs w:val="24"/>
              </w:rPr>
            </w:pPr>
            <w:r w:rsidRPr="00B7760C">
              <w:t>2.</w:t>
            </w:r>
            <w:r w:rsidRPr="00B7760C">
              <w:tab/>
              <w:t xml:space="preserve">Zahtevki za spremembo strateških načrtov SKP </w:t>
            </w:r>
            <w:r w:rsidRPr="00B7760C">
              <w:rPr>
                <w:b/>
                <w:i/>
              </w:rPr>
              <w:t>vključujejo obrazložitev, v kateri se navede</w:t>
            </w:r>
            <w:r w:rsidRPr="00B7760C">
              <w:t xml:space="preserve"> pričakovani učinek sprememb načrta na doseganje specifičnih ciljev iz člena 6(1). Priložen jim je spremenjeni načrt, vključno s posodobljenimi prilogami, če je to ustrezno.</w:t>
            </w:r>
          </w:p>
        </w:tc>
      </w:tr>
    </w:tbl>
    <w:p w14:paraId="426412E4" w14:textId="77777777" w:rsidR="003663AF" w:rsidRPr="00B7760C" w:rsidRDefault="003663AF" w:rsidP="003663AF"/>
    <w:p w14:paraId="14359C28" w14:textId="641067FE" w:rsidR="003663AF" w:rsidRPr="00B7760C" w:rsidRDefault="00877691" w:rsidP="003663AF">
      <w:pPr>
        <w:pStyle w:val="AMNumberTabs"/>
        <w:keepNext/>
      </w:pPr>
      <w:r w:rsidRPr="00B7760C">
        <w:t>Sprememb</w:t>
      </w:r>
      <w:r w:rsidR="00E54195" w:rsidRPr="00B7760C">
        <w:t>i</w:t>
      </w:r>
      <w:r w:rsidR="003663AF" w:rsidRPr="00B7760C">
        <w:tab/>
      </w:r>
      <w:r w:rsidR="003663AF" w:rsidRPr="00B7760C">
        <w:tab/>
        <w:t>626</w:t>
      </w:r>
      <w:r w:rsidR="00E54195" w:rsidRPr="00B7760C">
        <w:t xml:space="preserve"> in 735 cp3</w:t>
      </w:r>
    </w:p>
    <w:p w14:paraId="67B47083" w14:textId="77777777" w:rsidR="003663AF" w:rsidRPr="00B7760C" w:rsidRDefault="003663AF" w:rsidP="003663AF">
      <w:pPr>
        <w:pStyle w:val="NormalBold12b"/>
      </w:pPr>
      <w:r w:rsidRPr="00B7760C">
        <w:t>Predlog uredbe</w:t>
      </w:r>
    </w:p>
    <w:p w14:paraId="104D4475" w14:textId="77777777" w:rsidR="003663AF" w:rsidRPr="00B7760C" w:rsidRDefault="003663AF" w:rsidP="003663AF">
      <w:pPr>
        <w:pStyle w:val="NormalBold"/>
      </w:pPr>
      <w:r w:rsidRPr="00B7760C">
        <w:t>Člen 107 – odstavek 7</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86C03BA" w14:textId="77777777" w:rsidTr="00E804B7">
        <w:trPr>
          <w:jc w:val="center"/>
        </w:trPr>
        <w:tc>
          <w:tcPr>
            <w:tcW w:w="9752" w:type="dxa"/>
            <w:gridSpan w:val="2"/>
          </w:tcPr>
          <w:p w14:paraId="7F48016F" w14:textId="77777777" w:rsidR="003663AF" w:rsidRPr="00B7760C" w:rsidRDefault="003663AF" w:rsidP="00E804B7">
            <w:pPr>
              <w:keepNext/>
            </w:pPr>
          </w:p>
        </w:tc>
      </w:tr>
      <w:tr w:rsidR="003663AF" w:rsidRPr="00B7760C" w14:paraId="7727A67B" w14:textId="77777777" w:rsidTr="00E804B7">
        <w:trPr>
          <w:jc w:val="center"/>
        </w:trPr>
        <w:tc>
          <w:tcPr>
            <w:tcW w:w="4876" w:type="dxa"/>
            <w:hideMark/>
          </w:tcPr>
          <w:p w14:paraId="32D7A88C" w14:textId="77777777" w:rsidR="003663AF" w:rsidRPr="00B7760C" w:rsidRDefault="003663AF" w:rsidP="00E804B7">
            <w:pPr>
              <w:pStyle w:val="ColumnHeading"/>
              <w:keepNext/>
            </w:pPr>
            <w:r w:rsidRPr="00B7760C">
              <w:t>Besedilo, ki ga predlaga Komisija</w:t>
            </w:r>
          </w:p>
        </w:tc>
        <w:tc>
          <w:tcPr>
            <w:tcW w:w="4876" w:type="dxa"/>
            <w:hideMark/>
          </w:tcPr>
          <w:p w14:paraId="1669E29F" w14:textId="4C0DDE1A" w:rsidR="003663AF" w:rsidRPr="00B7760C" w:rsidRDefault="00877691" w:rsidP="00E804B7">
            <w:pPr>
              <w:pStyle w:val="ColumnHeading"/>
              <w:keepNext/>
            </w:pPr>
            <w:r w:rsidRPr="00B7760C">
              <w:t>Sprememba</w:t>
            </w:r>
          </w:p>
        </w:tc>
      </w:tr>
      <w:tr w:rsidR="003663AF" w:rsidRPr="00B7760C" w14:paraId="480FF7FC" w14:textId="77777777" w:rsidTr="00E804B7">
        <w:trPr>
          <w:jc w:val="center"/>
        </w:trPr>
        <w:tc>
          <w:tcPr>
            <w:tcW w:w="4876" w:type="dxa"/>
            <w:hideMark/>
          </w:tcPr>
          <w:p w14:paraId="472AA9C7" w14:textId="77777777" w:rsidR="003663AF" w:rsidRPr="00B7760C" w:rsidRDefault="003663AF" w:rsidP="00E804B7">
            <w:pPr>
              <w:pStyle w:val="Normal6"/>
            </w:pPr>
            <w:r w:rsidRPr="00B7760C">
              <w:t>7.</w:t>
            </w:r>
            <w:r w:rsidRPr="00B7760C">
              <w:tab/>
              <w:t>Zahtevek za spremembo strateškega načrta SKP se lahko predloži največ enkrat na koledarsko leto z morebitnimi izjemami, ki jih v skladu s členom</w:t>
            </w:r>
            <w:r w:rsidRPr="00B7760C">
              <w:rPr>
                <w:b/>
                <w:i/>
              </w:rPr>
              <w:t xml:space="preserve"> </w:t>
            </w:r>
            <w:r w:rsidRPr="00B7760C">
              <w:t>109 določi Komisija.</w:t>
            </w:r>
          </w:p>
        </w:tc>
        <w:tc>
          <w:tcPr>
            <w:tcW w:w="4876" w:type="dxa"/>
            <w:hideMark/>
          </w:tcPr>
          <w:p w14:paraId="4AC0231D" w14:textId="77777777" w:rsidR="003663AF" w:rsidRPr="00B7760C" w:rsidRDefault="003663AF" w:rsidP="00E804B7">
            <w:pPr>
              <w:pStyle w:val="Normal6"/>
              <w:rPr>
                <w:szCs w:val="24"/>
              </w:rPr>
            </w:pPr>
            <w:r w:rsidRPr="00B7760C">
              <w:t>7.</w:t>
            </w:r>
            <w:r w:rsidRPr="00B7760C">
              <w:tab/>
              <w:t>Zahtevek za spremembo strateškega načrta SKP se lahko predloži največ enkrat na koledarsko leto z morebitnimi izjemami</w:t>
            </w:r>
            <w:r w:rsidRPr="00B7760C">
              <w:rPr>
                <w:b/>
                <w:i/>
              </w:rPr>
              <w:t xml:space="preserve"> v skladu s to uredbo in izjemami</w:t>
            </w:r>
            <w:r w:rsidRPr="00B7760C">
              <w:t>, ki jih v skladu s členom</w:t>
            </w:r>
            <w:r w:rsidRPr="00B7760C">
              <w:rPr>
                <w:b/>
                <w:i/>
              </w:rPr>
              <w:t> </w:t>
            </w:r>
            <w:r w:rsidRPr="00B7760C">
              <w:t>109 določi Komisija.</w:t>
            </w:r>
          </w:p>
        </w:tc>
      </w:tr>
    </w:tbl>
    <w:p w14:paraId="27A96055" w14:textId="77777777" w:rsidR="003663AF" w:rsidRPr="00B7760C" w:rsidRDefault="003663AF" w:rsidP="003663AF"/>
    <w:p w14:paraId="27E151EE" w14:textId="64726419" w:rsidR="003663AF" w:rsidRPr="00B7760C" w:rsidRDefault="00877691" w:rsidP="00E54195">
      <w:pPr>
        <w:pStyle w:val="AMNumberTabs"/>
        <w:keepNext/>
      </w:pPr>
      <w:r w:rsidRPr="00B7760C">
        <w:t>Sprememb</w:t>
      </w:r>
      <w:r w:rsidR="00E54195" w:rsidRPr="00B7760C">
        <w:t>i</w:t>
      </w:r>
      <w:r w:rsidR="003663AF" w:rsidRPr="00B7760C">
        <w:tab/>
      </w:r>
      <w:r w:rsidR="003663AF" w:rsidRPr="00B7760C">
        <w:tab/>
        <w:t>627</w:t>
      </w:r>
      <w:r w:rsidR="00E54195" w:rsidRPr="00B7760C">
        <w:t xml:space="preserve"> in 735 cp4</w:t>
      </w:r>
    </w:p>
    <w:p w14:paraId="0A10E205" w14:textId="77777777" w:rsidR="003663AF" w:rsidRPr="00B7760C" w:rsidRDefault="003663AF" w:rsidP="003663AF">
      <w:pPr>
        <w:pStyle w:val="NormalBold12b"/>
      </w:pPr>
      <w:r w:rsidRPr="00B7760C">
        <w:t>Predlog uredbe</w:t>
      </w:r>
    </w:p>
    <w:p w14:paraId="44BB8307" w14:textId="77777777" w:rsidR="003663AF" w:rsidRPr="00B7760C" w:rsidRDefault="003663AF" w:rsidP="003663AF">
      <w:pPr>
        <w:pStyle w:val="NormalBold"/>
      </w:pPr>
      <w:r w:rsidRPr="00B7760C">
        <w:t>Člen 107 – odstavek 8</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2AD30BE" w14:textId="77777777" w:rsidTr="00E804B7">
        <w:trPr>
          <w:jc w:val="center"/>
        </w:trPr>
        <w:tc>
          <w:tcPr>
            <w:tcW w:w="9752" w:type="dxa"/>
            <w:gridSpan w:val="2"/>
          </w:tcPr>
          <w:p w14:paraId="689E79A2" w14:textId="77777777" w:rsidR="003663AF" w:rsidRPr="00B7760C" w:rsidRDefault="003663AF" w:rsidP="00E804B7">
            <w:pPr>
              <w:keepNext/>
            </w:pPr>
          </w:p>
        </w:tc>
      </w:tr>
      <w:tr w:rsidR="003663AF" w:rsidRPr="00B7760C" w14:paraId="10010942" w14:textId="77777777" w:rsidTr="00E804B7">
        <w:trPr>
          <w:jc w:val="center"/>
        </w:trPr>
        <w:tc>
          <w:tcPr>
            <w:tcW w:w="4876" w:type="dxa"/>
            <w:hideMark/>
          </w:tcPr>
          <w:p w14:paraId="6933AA49" w14:textId="77777777" w:rsidR="003663AF" w:rsidRPr="00B7760C" w:rsidRDefault="003663AF" w:rsidP="00E804B7">
            <w:pPr>
              <w:pStyle w:val="ColumnHeading"/>
              <w:keepNext/>
            </w:pPr>
            <w:r w:rsidRPr="00B7760C">
              <w:t>Besedilo, ki ga predlaga Komisija</w:t>
            </w:r>
          </w:p>
        </w:tc>
        <w:tc>
          <w:tcPr>
            <w:tcW w:w="4876" w:type="dxa"/>
            <w:hideMark/>
          </w:tcPr>
          <w:p w14:paraId="7E18945F" w14:textId="0413BEE4" w:rsidR="003663AF" w:rsidRPr="00B7760C" w:rsidRDefault="00877691" w:rsidP="00E804B7">
            <w:pPr>
              <w:pStyle w:val="ColumnHeading"/>
              <w:keepNext/>
            </w:pPr>
            <w:r w:rsidRPr="00B7760C">
              <w:t>Sprememba</w:t>
            </w:r>
          </w:p>
        </w:tc>
      </w:tr>
      <w:tr w:rsidR="003663AF" w:rsidRPr="00B7760C" w14:paraId="7FD8582D" w14:textId="77777777" w:rsidTr="00E804B7">
        <w:trPr>
          <w:jc w:val="center"/>
        </w:trPr>
        <w:tc>
          <w:tcPr>
            <w:tcW w:w="4876" w:type="dxa"/>
            <w:hideMark/>
          </w:tcPr>
          <w:p w14:paraId="12CCEF7D" w14:textId="77777777" w:rsidR="003663AF" w:rsidRPr="00B7760C" w:rsidRDefault="003663AF" w:rsidP="00E804B7">
            <w:pPr>
              <w:pStyle w:val="Normal6"/>
            </w:pPr>
            <w:r w:rsidRPr="00B7760C">
              <w:t>8.</w:t>
            </w:r>
            <w:r w:rsidRPr="00B7760C">
              <w:tab/>
              <w:t>Komisija vsako spremembo strateškega načrta SKP odobri z izvedbenim sklepom brez uporabe postopka v odboru iz člena 139.</w:t>
            </w:r>
          </w:p>
        </w:tc>
        <w:tc>
          <w:tcPr>
            <w:tcW w:w="4876" w:type="dxa"/>
            <w:hideMark/>
          </w:tcPr>
          <w:p w14:paraId="5B0C3EF6" w14:textId="77777777" w:rsidR="003663AF" w:rsidRPr="00B7760C" w:rsidRDefault="003663AF" w:rsidP="00E804B7">
            <w:pPr>
              <w:pStyle w:val="Normal6"/>
              <w:rPr>
                <w:szCs w:val="24"/>
              </w:rPr>
            </w:pPr>
            <w:r w:rsidRPr="00B7760C">
              <w:t>8.</w:t>
            </w:r>
            <w:r w:rsidRPr="00B7760C">
              <w:tab/>
              <w:t xml:space="preserve">Komisija vsako spremembo strateškega načrta SKP odobri z izvedbenim sklepom brez uporabe postopka v odboru iz člena 139. </w:t>
            </w:r>
            <w:r w:rsidRPr="00B7760C">
              <w:rPr>
                <w:b/>
                <w:i/>
              </w:rPr>
              <w:t>Evropski parlament in Svet morata biti ustrezno obveščena.</w:t>
            </w:r>
          </w:p>
        </w:tc>
      </w:tr>
    </w:tbl>
    <w:p w14:paraId="29BBBD5F" w14:textId="77777777" w:rsidR="003663AF" w:rsidRPr="00B7760C" w:rsidRDefault="003663AF" w:rsidP="003663AF"/>
    <w:p w14:paraId="225CA547" w14:textId="1376F158" w:rsidR="003663AF" w:rsidRPr="00B7760C" w:rsidRDefault="00877691" w:rsidP="003663AF">
      <w:pPr>
        <w:pStyle w:val="AMNumberTabs"/>
        <w:keepNext/>
      </w:pPr>
      <w:r w:rsidRPr="00B7760C">
        <w:t>Sprememb</w:t>
      </w:r>
      <w:r w:rsidR="00E54195" w:rsidRPr="00B7760C">
        <w:t>i</w:t>
      </w:r>
      <w:r w:rsidR="003663AF" w:rsidRPr="00B7760C">
        <w:tab/>
      </w:r>
      <w:r w:rsidR="003663AF" w:rsidRPr="00B7760C">
        <w:tab/>
        <w:t>628</w:t>
      </w:r>
      <w:r w:rsidR="00E54195" w:rsidRPr="00B7760C">
        <w:t xml:space="preserve"> in 735 cp5</w:t>
      </w:r>
    </w:p>
    <w:p w14:paraId="573D5E5F" w14:textId="77777777" w:rsidR="003663AF" w:rsidRPr="00B7760C" w:rsidRDefault="003663AF" w:rsidP="003663AF">
      <w:pPr>
        <w:pStyle w:val="NormalBold12b"/>
      </w:pPr>
      <w:r w:rsidRPr="00B7760C">
        <w:t>Predlog uredbe</w:t>
      </w:r>
    </w:p>
    <w:p w14:paraId="685A4A96" w14:textId="77777777" w:rsidR="003663AF" w:rsidRPr="00B7760C" w:rsidRDefault="003663AF" w:rsidP="003663AF">
      <w:pPr>
        <w:pStyle w:val="NormalBold"/>
      </w:pPr>
      <w:r w:rsidRPr="00B7760C">
        <w:t>Člen 107 – odstavek 9</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4A4F8C5" w14:textId="77777777" w:rsidTr="00E804B7">
        <w:trPr>
          <w:jc w:val="center"/>
        </w:trPr>
        <w:tc>
          <w:tcPr>
            <w:tcW w:w="9752" w:type="dxa"/>
            <w:gridSpan w:val="2"/>
          </w:tcPr>
          <w:p w14:paraId="6AEC41CB" w14:textId="77777777" w:rsidR="003663AF" w:rsidRPr="00B7760C" w:rsidRDefault="003663AF" w:rsidP="00E804B7">
            <w:pPr>
              <w:keepNext/>
            </w:pPr>
          </w:p>
        </w:tc>
      </w:tr>
      <w:tr w:rsidR="003663AF" w:rsidRPr="00B7760C" w14:paraId="468FFE70" w14:textId="77777777" w:rsidTr="00E804B7">
        <w:trPr>
          <w:jc w:val="center"/>
        </w:trPr>
        <w:tc>
          <w:tcPr>
            <w:tcW w:w="4876" w:type="dxa"/>
            <w:hideMark/>
          </w:tcPr>
          <w:p w14:paraId="47E83FF5" w14:textId="77777777" w:rsidR="003663AF" w:rsidRPr="00B7760C" w:rsidRDefault="003663AF" w:rsidP="00E804B7">
            <w:pPr>
              <w:pStyle w:val="ColumnHeading"/>
              <w:keepNext/>
            </w:pPr>
            <w:r w:rsidRPr="00B7760C">
              <w:t>Besedilo, ki ga predlaga Komisija</w:t>
            </w:r>
          </w:p>
        </w:tc>
        <w:tc>
          <w:tcPr>
            <w:tcW w:w="4876" w:type="dxa"/>
            <w:hideMark/>
          </w:tcPr>
          <w:p w14:paraId="33EA8228" w14:textId="798E6DDB" w:rsidR="003663AF" w:rsidRPr="00B7760C" w:rsidRDefault="00877691" w:rsidP="00E804B7">
            <w:pPr>
              <w:pStyle w:val="ColumnHeading"/>
              <w:keepNext/>
            </w:pPr>
            <w:r w:rsidRPr="00B7760C">
              <w:t>Sprememba</w:t>
            </w:r>
          </w:p>
        </w:tc>
      </w:tr>
      <w:tr w:rsidR="003663AF" w:rsidRPr="00B7760C" w14:paraId="70597984" w14:textId="77777777" w:rsidTr="00E804B7">
        <w:trPr>
          <w:jc w:val="center"/>
        </w:trPr>
        <w:tc>
          <w:tcPr>
            <w:tcW w:w="4876" w:type="dxa"/>
            <w:hideMark/>
          </w:tcPr>
          <w:p w14:paraId="1D20FA96" w14:textId="77777777" w:rsidR="003663AF" w:rsidRPr="00B7760C" w:rsidRDefault="003663AF" w:rsidP="00E804B7">
            <w:pPr>
              <w:pStyle w:val="Normal6"/>
            </w:pPr>
            <w:r w:rsidRPr="00B7760C">
              <w:t>9.</w:t>
            </w:r>
            <w:r w:rsidRPr="00B7760C">
              <w:tab/>
              <w:t>Brez poseganja v člen 80 bodo imele spremembe strateških načrtov SKP pravni učinek šele po odobritvi Komisije.</w:t>
            </w:r>
          </w:p>
        </w:tc>
        <w:tc>
          <w:tcPr>
            <w:tcW w:w="4876" w:type="dxa"/>
            <w:hideMark/>
          </w:tcPr>
          <w:p w14:paraId="153A158D" w14:textId="77777777" w:rsidR="003663AF" w:rsidRPr="00B7760C" w:rsidRDefault="003663AF" w:rsidP="00E804B7">
            <w:pPr>
              <w:pStyle w:val="Normal6"/>
              <w:rPr>
                <w:szCs w:val="24"/>
              </w:rPr>
            </w:pPr>
            <w:r w:rsidRPr="00B7760C">
              <w:t>9.</w:t>
            </w:r>
            <w:r w:rsidRPr="00B7760C">
              <w:tab/>
              <w:t>Brez poseganja v člen 80 bodo imele spremembe strateških načrtov SKP pravni učinek šele po odobritvi Komisije.</w:t>
            </w:r>
            <w:r w:rsidRPr="00B7760C">
              <w:rPr>
                <w:b/>
                <w:i/>
              </w:rPr>
              <w:t xml:space="preserve"> Spremembe strateških načrtov SKP se objavijo.</w:t>
            </w:r>
          </w:p>
        </w:tc>
      </w:tr>
    </w:tbl>
    <w:p w14:paraId="6EEE3B87" w14:textId="27B6242B" w:rsidR="00EB559D" w:rsidRPr="00B7760C" w:rsidRDefault="00EB559D" w:rsidP="003663AF"/>
    <w:p w14:paraId="4BB75EA4" w14:textId="5A8B9774" w:rsidR="00EB559D" w:rsidRPr="00B7760C" w:rsidRDefault="00947116" w:rsidP="00947116">
      <w:pPr>
        <w:pStyle w:val="AmNumberTabs0"/>
      </w:pPr>
      <w:r w:rsidRPr="00B7760C">
        <w:t>S</w:t>
      </w:r>
      <w:r w:rsidR="00EB559D" w:rsidRPr="00B7760C">
        <w:t>prememb</w:t>
      </w:r>
      <w:r w:rsidRPr="00B7760C">
        <w:t>a</w:t>
      </w:r>
      <w:r w:rsidR="00EB559D" w:rsidRPr="00B7760C">
        <w:tab/>
      </w:r>
      <w:r w:rsidR="00EB559D" w:rsidRPr="00B7760C">
        <w:tab/>
        <w:t>1137</w:t>
      </w:r>
    </w:p>
    <w:p w14:paraId="54B6967D" w14:textId="77777777" w:rsidR="00EB559D" w:rsidRPr="00B7760C" w:rsidRDefault="00EB559D" w:rsidP="00EB559D">
      <w:pPr>
        <w:pStyle w:val="NormalBold12b"/>
      </w:pPr>
      <w:r w:rsidRPr="00B7760C">
        <w:t>Predlog uredbe</w:t>
      </w:r>
    </w:p>
    <w:p w14:paraId="7BB81C3D" w14:textId="77777777" w:rsidR="00EB559D" w:rsidRPr="00B7760C" w:rsidRDefault="00EB559D" w:rsidP="00EB559D">
      <w:pPr>
        <w:pStyle w:val="NormalBold"/>
      </w:pPr>
      <w:r w:rsidRPr="00B7760C">
        <w:t>Člen 107 a (novo)</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EB559D" w:rsidRPr="00B7760C" w14:paraId="2D538D28" w14:textId="77777777" w:rsidTr="004F0B88">
        <w:trPr>
          <w:jc w:val="center"/>
        </w:trPr>
        <w:tc>
          <w:tcPr>
            <w:tcW w:w="9752" w:type="dxa"/>
            <w:gridSpan w:val="2"/>
          </w:tcPr>
          <w:p w14:paraId="61204067" w14:textId="77777777" w:rsidR="00EB559D" w:rsidRPr="00B7760C" w:rsidRDefault="00EB559D" w:rsidP="004F0B88">
            <w:pPr>
              <w:keepNext/>
            </w:pPr>
          </w:p>
        </w:tc>
      </w:tr>
      <w:tr w:rsidR="00EB559D" w:rsidRPr="00B7760C" w14:paraId="60F0C482" w14:textId="77777777" w:rsidTr="004F0B88">
        <w:trPr>
          <w:jc w:val="center"/>
        </w:trPr>
        <w:tc>
          <w:tcPr>
            <w:tcW w:w="4876" w:type="dxa"/>
          </w:tcPr>
          <w:p w14:paraId="795AF3EC" w14:textId="77777777" w:rsidR="00EB559D" w:rsidRPr="00B7760C" w:rsidRDefault="00EB559D" w:rsidP="004F0B88">
            <w:pPr>
              <w:pStyle w:val="AmColumnHeading"/>
              <w:keepNext/>
            </w:pPr>
            <w:r w:rsidRPr="00B7760C">
              <w:t>Besedilo, ki ga predlaga Komisija</w:t>
            </w:r>
          </w:p>
        </w:tc>
        <w:tc>
          <w:tcPr>
            <w:tcW w:w="4876" w:type="dxa"/>
          </w:tcPr>
          <w:p w14:paraId="314C8E03" w14:textId="601658E3" w:rsidR="00EB559D" w:rsidRPr="00B7760C" w:rsidRDefault="00947116" w:rsidP="004F0B88">
            <w:pPr>
              <w:pStyle w:val="AmColumnHeading"/>
              <w:keepNext/>
            </w:pPr>
            <w:r w:rsidRPr="00B7760C">
              <w:t>S</w:t>
            </w:r>
            <w:r w:rsidR="00EB559D" w:rsidRPr="00B7760C">
              <w:t>prememb</w:t>
            </w:r>
            <w:r w:rsidRPr="00B7760C">
              <w:t>a</w:t>
            </w:r>
          </w:p>
        </w:tc>
      </w:tr>
      <w:tr w:rsidR="00EB559D" w:rsidRPr="00B7760C" w14:paraId="634E67EC" w14:textId="77777777" w:rsidTr="004F0B88">
        <w:tblPrEx>
          <w:tblLook w:val="04A0" w:firstRow="1" w:lastRow="0" w:firstColumn="1" w:lastColumn="0" w:noHBand="0" w:noVBand="1"/>
        </w:tblPrEx>
        <w:trPr>
          <w:jc w:val="center"/>
        </w:trPr>
        <w:tc>
          <w:tcPr>
            <w:tcW w:w="4876" w:type="dxa"/>
          </w:tcPr>
          <w:p w14:paraId="0FAF8AA4" w14:textId="77777777" w:rsidR="00EB559D" w:rsidRPr="00B7760C" w:rsidRDefault="00EB559D" w:rsidP="004F0B88">
            <w:pPr>
              <w:pStyle w:val="Normal6"/>
            </w:pPr>
          </w:p>
        </w:tc>
        <w:tc>
          <w:tcPr>
            <w:tcW w:w="4876" w:type="dxa"/>
            <w:hideMark/>
          </w:tcPr>
          <w:p w14:paraId="5C668021" w14:textId="77777777" w:rsidR="00EB559D" w:rsidRPr="00B7760C" w:rsidRDefault="00EB559D" w:rsidP="004F0B88">
            <w:pPr>
              <w:pStyle w:val="Normal6"/>
              <w:jc w:val="center"/>
              <w:rPr>
                <w:szCs w:val="24"/>
              </w:rPr>
            </w:pPr>
            <w:r w:rsidRPr="00B7760C">
              <w:rPr>
                <w:b/>
                <w:i/>
              </w:rPr>
              <w:t>Člen 107a</w:t>
            </w:r>
          </w:p>
        </w:tc>
      </w:tr>
      <w:tr w:rsidR="00EB559D" w:rsidRPr="00B7760C" w14:paraId="3677D2C7" w14:textId="77777777" w:rsidTr="004F0B88">
        <w:tblPrEx>
          <w:tblLook w:val="04A0" w:firstRow="1" w:lastRow="0" w:firstColumn="1" w:lastColumn="0" w:noHBand="0" w:noVBand="1"/>
        </w:tblPrEx>
        <w:trPr>
          <w:jc w:val="center"/>
        </w:trPr>
        <w:tc>
          <w:tcPr>
            <w:tcW w:w="4876" w:type="dxa"/>
          </w:tcPr>
          <w:p w14:paraId="51F5C531" w14:textId="77777777" w:rsidR="00EB559D" w:rsidRPr="00B7760C" w:rsidRDefault="00EB559D" w:rsidP="004F0B88">
            <w:pPr>
              <w:pStyle w:val="Normal6"/>
            </w:pPr>
          </w:p>
        </w:tc>
        <w:tc>
          <w:tcPr>
            <w:tcW w:w="4876" w:type="dxa"/>
            <w:hideMark/>
          </w:tcPr>
          <w:p w14:paraId="5C9AB753" w14:textId="77777777" w:rsidR="00EB559D" w:rsidRPr="00B7760C" w:rsidRDefault="00EB559D" w:rsidP="004F0B88">
            <w:pPr>
              <w:pStyle w:val="Normal6"/>
              <w:jc w:val="center"/>
              <w:rPr>
                <w:szCs w:val="24"/>
              </w:rPr>
            </w:pPr>
            <w:r w:rsidRPr="00B7760C">
              <w:rPr>
                <w:b/>
                <w:i/>
              </w:rPr>
              <w:t>Pregled strateških načrtov SKP</w:t>
            </w:r>
          </w:p>
        </w:tc>
      </w:tr>
      <w:tr w:rsidR="00EB559D" w:rsidRPr="00B7760C" w14:paraId="1C9E29DF" w14:textId="77777777" w:rsidTr="004F0B88">
        <w:tblPrEx>
          <w:tblLook w:val="04A0" w:firstRow="1" w:lastRow="0" w:firstColumn="1" w:lastColumn="0" w:noHBand="0" w:noVBand="1"/>
        </w:tblPrEx>
        <w:trPr>
          <w:jc w:val="center"/>
        </w:trPr>
        <w:tc>
          <w:tcPr>
            <w:tcW w:w="4876" w:type="dxa"/>
          </w:tcPr>
          <w:p w14:paraId="2DDDFE27" w14:textId="77777777" w:rsidR="00EB559D" w:rsidRPr="00B7760C" w:rsidRDefault="00EB559D" w:rsidP="004F0B88">
            <w:pPr>
              <w:pStyle w:val="Normal6"/>
            </w:pPr>
          </w:p>
        </w:tc>
        <w:tc>
          <w:tcPr>
            <w:tcW w:w="4876" w:type="dxa"/>
            <w:hideMark/>
          </w:tcPr>
          <w:p w14:paraId="386BDA30" w14:textId="77777777" w:rsidR="00EB559D" w:rsidRPr="00B7760C" w:rsidRDefault="00EB559D" w:rsidP="004F0B88">
            <w:pPr>
              <w:pStyle w:val="Normal6"/>
              <w:rPr>
                <w:szCs w:val="24"/>
              </w:rPr>
            </w:pPr>
            <w:r w:rsidRPr="00B7760C">
              <w:rPr>
                <w:b/>
                <w:i/>
              </w:rPr>
              <w:t>Države članice do 31. decembra 2025 pregledajo svoje strateške načrte, da zagotovijo njihovo skladnost z veljavno zakonodajo Unije o podnebju in okolju, ter Komisiji predložijo zahteve za ustrezno spremembo svojih strateških načrtov.</w:t>
            </w:r>
          </w:p>
        </w:tc>
      </w:tr>
    </w:tbl>
    <w:p w14:paraId="11963D39" w14:textId="77777777" w:rsidR="00EB559D" w:rsidRPr="00B7760C" w:rsidRDefault="00EB559D" w:rsidP="003663AF"/>
    <w:p w14:paraId="5F8B35EA" w14:textId="545CD46E" w:rsidR="003663AF" w:rsidRPr="00B7760C" w:rsidRDefault="00877691" w:rsidP="003663AF">
      <w:pPr>
        <w:pStyle w:val="AMNumberTabs"/>
        <w:keepNext/>
      </w:pPr>
      <w:r w:rsidRPr="00B7760C">
        <w:t>Sprememba</w:t>
      </w:r>
      <w:r w:rsidR="003663AF" w:rsidRPr="00B7760C">
        <w:tab/>
      </w:r>
      <w:r w:rsidR="003663AF" w:rsidRPr="00B7760C">
        <w:tab/>
        <w:t>629</w:t>
      </w:r>
    </w:p>
    <w:p w14:paraId="7AA03A4E" w14:textId="77777777" w:rsidR="003663AF" w:rsidRPr="00B7760C" w:rsidRDefault="003663AF" w:rsidP="003663AF">
      <w:pPr>
        <w:pStyle w:val="NormalBold12b"/>
      </w:pPr>
      <w:r w:rsidRPr="00B7760C">
        <w:t>Predlog uredbe</w:t>
      </w:r>
    </w:p>
    <w:p w14:paraId="6FE9BC8B" w14:textId="77777777" w:rsidR="003663AF" w:rsidRPr="00B7760C" w:rsidRDefault="003663AF" w:rsidP="003663AF">
      <w:pPr>
        <w:pStyle w:val="NormalBold"/>
      </w:pPr>
      <w:r w:rsidRPr="00B7760C">
        <w:t>Člen 108 – odstavek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9F5F5EB" w14:textId="77777777" w:rsidTr="00E804B7">
        <w:trPr>
          <w:jc w:val="center"/>
        </w:trPr>
        <w:tc>
          <w:tcPr>
            <w:tcW w:w="9752" w:type="dxa"/>
            <w:gridSpan w:val="2"/>
          </w:tcPr>
          <w:p w14:paraId="74F30439" w14:textId="77777777" w:rsidR="003663AF" w:rsidRPr="00B7760C" w:rsidRDefault="003663AF" w:rsidP="00E804B7">
            <w:pPr>
              <w:keepNext/>
            </w:pPr>
          </w:p>
        </w:tc>
      </w:tr>
      <w:tr w:rsidR="003663AF" w:rsidRPr="00B7760C" w14:paraId="3FAD0FB6" w14:textId="77777777" w:rsidTr="00E804B7">
        <w:trPr>
          <w:jc w:val="center"/>
        </w:trPr>
        <w:tc>
          <w:tcPr>
            <w:tcW w:w="4876" w:type="dxa"/>
            <w:hideMark/>
          </w:tcPr>
          <w:p w14:paraId="5BE811E9" w14:textId="77777777" w:rsidR="003663AF" w:rsidRPr="00B7760C" w:rsidRDefault="003663AF" w:rsidP="00E804B7">
            <w:pPr>
              <w:pStyle w:val="ColumnHeading"/>
              <w:keepNext/>
            </w:pPr>
            <w:r w:rsidRPr="00B7760C">
              <w:t>Besedilo, ki ga predlaga Komisija</w:t>
            </w:r>
          </w:p>
        </w:tc>
        <w:tc>
          <w:tcPr>
            <w:tcW w:w="4876" w:type="dxa"/>
            <w:hideMark/>
          </w:tcPr>
          <w:p w14:paraId="7103F3CE" w14:textId="084E633F" w:rsidR="003663AF" w:rsidRPr="00B7760C" w:rsidRDefault="00877691" w:rsidP="00E804B7">
            <w:pPr>
              <w:pStyle w:val="ColumnHeading"/>
              <w:keepNext/>
            </w:pPr>
            <w:r w:rsidRPr="00B7760C">
              <w:t>Sprememba</w:t>
            </w:r>
          </w:p>
        </w:tc>
      </w:tr>
      <w:tr w:rsidR="003663AF" w:rsidRPr="00B7760C" w14:paraId="43F5D743" w14:textId="77777777" w:rsidTr="00E804B7">
        <w:trPr>
          <w:jc w:val="center"/>
        </w:trPr>
        <w:tc>
          <w:tcPr>
            <w:tcW w:w="4876" w:type="dxa"/>
            <w:hideMark/>
          </w:tcPr>
          <w:p w14:paraId="6D4085EB" w14:textId="77777777" w:rsidR="003663AF" w:rsidRPr="00B7760C" w:rsidRDefault="003663AF" w:rsidP="00E804B7">
            <w:pPr>
              <w:pStyle w:val="Normal6"/>
            </w:pPr>
            <w:r w:rsidRPr="00B7760C">
              <w:rPr>
                <w:b/>
                <w:i/>
              </w:rPr>
              <w:t>Ta rok ne vključuje obdobja, ki se začne na dan po dnevu, na katerega Komisija državi članici pošlje svoje pripombe ali zahtevo za popravljene dokumente, in traja, dokler država članica Komisiji ne odgovori.</w:t>
            </w:r>
          </w:p>
        </w:tc>
        <w:tc>
          <w:tcPr>
            <w:tcW w:w="4876" w:type="dxa"/>
            <w:hideMark/>
          </w:tcPr>
          <w:p w14:paraId="5F5E692D" w14:textId="77777777" w:rsidR="003663AF" w:rsidRPr="00B7760C" w:rsidRDefault="003663AF" w:rsidP="00E804B7">
            <w:pPr>
              <w:pStyle w:val="Normal6"/>
              <w:rPr>
                <w:szCs w:val="24"/>
              </w:rPr>
            </w:pPr>
            <w:r w:rsidRPr="00B7760C">
              <w:rPr>
                <w:b/>
                <w:i/>
              </w:rPr>
              <w:t>črtano</w:t>
            </w:r>
          </w:p>
        </w:tc>
      </w:tr>
    </w:tbl>
    <w:p w14:paraId="494FFF1B" w14:textId="77777777" w:rsidR="003663AF" w:rsidRPr="00B7760C" w:rsidRDefault="003663AF" w:rsidP="003663AF"/>
    <w:p w14:paraId="1CFA7984" w14:textId="42420EDA" w:rsidR="003663AF" w:rsidRPr="00B7760C" w:rsidRDefault="00877691" w:rsidP="003663AF">
      <w:pPr>
        <w:pStyle w:val="AMNumberTabs"/>
        <w:keepNext/>
      </w:pPr>
      <w:r w:rsidRPr="00B7760C">
        <w:t>Sprememba</w:t>
      </w:r>
      <w:r w:rsidR="003663AF" w:rsidRPr="00B7760C">
        <w:tab/>
      </w:r>
      <w:r w:rsidR="003663AF" w:rsidRPr="00B7760C">
        <w:tab/>
        <w:t>630</w:t>
      </w:r>
    </w:p>
    <w:p w14:paraId="5014741A" w14:textId="77777777" w:rsidR="003663AF" w:rsidRPr="00B7760C" w:rsidRDefault="003663AF" w:rsidP="003663AF">
      <w:pPr>
        <w:pStyle w:val="NormalBold12b"/>
      </w:pPr>
      <w:r w:rsidRPr="00B7760C">
        <w:t>Predlog uredbe</w:t>
      </w:r>
    </w:p>
    <w:p w14:paraId="3BB6D74C" w14:textId="77777777" w:rsidR="003663AF" w:rsidRPr="00B7760C" w:rsidRDefault="003663AF" w:rsidP="003663AF">
      <w:pPr>
        <w:pStyle w:val="NormalBold"/>
      </w:pPr>
      <w:r w:rsidRPr="00B7760C">
        <w:t>Člen 109 – odstavek 1 – točka c</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2AEB7AF" w14:textId="77777777" w:rsidTr="00E804B7">
        <w:trPr>
          <w:jc w:val="center"/>
        </w:trPr>
        <w:tc>
          <w:tcPr>
            <w:tcW w:w="9752" w:type="dxa"/>
            <w:gridSpan w:val="2"/>
          </w:tcPr>
          <w:p w14:paraId="706E4DE2" w14:textId="77777777" w:rsidR="003663AF" w:rsidRPr="00B7760C" w:rsidRDefault="003663AF" w:rsidP="00E804B7">
            <w:pPr>
              <w:keepNext/>
            </w:pPr>
          </w:p>
        </w:tc>
      </w:tr>
      <w:tr w:rsidR="003663AF" w:rsidRPr="00B7760C" w14:paraId="27909473" w14:textId="77777777" w:rsidTr="00E804B7">
        <w:trPr>
          <w:jc w:val="center"/>
        </w:trPr>
        <w:tc>
          <w:tcPr>
            <w:tcW w:w="4876" w:type="dxa"/>
            <w:hideMark/>
          </w:tcPr>
          <w:p w14:paraId="13C993A9" w14:textId="77777777" w:rsidR="003663AF" w:rsidRPr="00B7760C" w:rsidRDefault="003663AF" w:rsidP="00E804B7">
            <w:pPr>
              <w:pStyle w:val="ColumnHeading"/>
              <w:keepNext/>
            </w:pPr>
            <w:r w:rsidRPr="00B7760C">
              <w:t>Besedilo, ki ga predlaga Komisija</w:t>
            </w:r>
          </w:p>
        </w:tc>
        <w:tc>
          <w:tcPr>
            <w:tcW w:w="4876" w:type="dxa"/>
            <w:hideMark/>
          </w:tcPr>
          <w:p w14:paraId="37328121" w14:textId="7B40860D" w:rsidR="003663AF" w:rsidRPr="00B7760C" w:rsidRDefault="00877691" w:rsidP="00E804B7">
            <w:pPr>
              <w:pStyle w:val="ColumnHeading"/>
              <w:keepNext/>
            </w:pPr>
            <w:r w:rsidRPr="00B7760C">
              <w:t>Sprememba</w:t>
            </w:r>
          </w:p>
        </w:tc>
      </w:tr>
      <w:tr w:rsidR="003663AF" w:rsidRPr="00B7760C" w14:paraId="358CF0AA" w14:textId="77777777" w:rsidTr="00E804B7">
        <w:trPr>
          <w:jc w:val="center"/>
        </w:trPr>
        <w:tc>
          <w:tcPr>
            <w:tcW w:w="4876" w:type="dxa"/>
            <w:hideMark/>
          </w:tcPr>
          <w:p w14:paraId="709BC1DD" w14:textId="77777777" w:rsidR="003663AF" w:rsidRPr="00B7760C" w:rsidRDefault="003663AF" w:rsidP="00E804B7">
            <w:pPr>
              <w:pStyle w:val="Normal6"/>
            </w:pPr>
            <w:r w:rsidRPr="00B7760C">
              <w:t>(c)</w:t>
            </w:r>
            <w:r w:rsidRPr="00B7760C">
              <w:tab/>
              <w:t xml:space="preserve">pogostostjo, s katero se morajo </w:t>
            </w:r>
            <w:r w:rsidRPr="00B7760C">
              <w:rPr>
                <w:b/>
                <w:i/>
              </w:rPr>
              <w:t>strateški načrti</w:t>
            </w:r>
            <w:r w:rsidRPr="00B7760C">
              <w:t xml:space="preserve"> SKP predložiti v programskem obdobju, vključno z določitvijo izjemnih primerov, za katere največje število sprememb iz člena</w:t>
            </w:r>
            <w:r w:rsidRPr="00B7760C">
              <w:rPr>
                <w:b/>
                <w:i/>
              </w:rPr>
              <w:t xml:space="preserve"> </w:t>
            </w:r>
            <w:r w:rsidRPr="00B7760C">
              <w:t>107(7) ne velja.</w:t>
            </w:r>
          </w:p>
        </w:tc>
        <w:tc>
          <w:tcPr>
            <w:tcW w:w="4876" w:type="dxa"/>
            <w:hideMark/>
          </w:tcPr>
          <w:p w14:paraId="22691D12" w14:textId="77777777" w:rsidR="003663AF" w:rsidRPr="00B7760C" w:rsidRDefault="003663AF" w:rsidP="00E804B7">
            <w:pPr>
              <w:pStyle w:val="Normal6"/>
              <w:rPr>
                <w:szCs w:val="24"/>
              </w:rPr>
            </w:pPr>
            <w:r w:rsidRPr="00B7760C">
              <w:t>(c)</w:t>
            </w:r>
            <w:r w:rsidRPr="00B7760C">
              <w:tab/>
              <w:t xml:space="preserve">pogostostjo, s katero se morajo </w:t>
            </w:r>
            <w:r w:rsidRPr="00B7760C">
              <w:rPr>
                <w:b/>
                <w:i/>
              </w:rPr>
              <w:t>spremembe strateških načrtov</w:t>
            </w:r>
            <w:r w:rsidRPr="00B7760C">
              <w:t xml:space="preserve"> SKP predložiti v programskem obdobju</w:t>
            </w:r>
            <w:r w:rsidRPr="00B7760C">
              <w:rPr>
                <w:b/>
                <w:i/>
              </w:rPr>
              <w:t xml:space="preserve"> izvajanja strateških načrtov SKP</w:t>
            </w:r>
            <w:r w:rsidRPr="00B7760C">
              <w:t>, vključno z določitvijo izjemnih primerov, za katere največje število sprememb iz člena</w:t>
            </w:r>
            <w:r w:rsidRPr="00B7760C">
              <w:rPr>
                <w:b/>
                <w:i/>
              </w:rPr>
              <w:t> </w:t>
            </w:r>
            <w:r w:rsidRPr="00B7760C">
              <w:t>107(7) ne velja.</w:t>
            </w:r>
          </w:p>
        </w:tc>
      </w:tr>
    </w:tbl>
    <w:p w14:paraId="7AF97B47" w14:textId="77777777" w:rsidR="003663AF" w:rsidRPr="00B7760C" w:rsidRDefault="003663AF" w:rsidP="003663AF"/>
    <w:p w14:paraId="4FFB449C" w14:textId="75639E26" w:rsidR="003663AF" w:rsidRPr="00B7760C" w:rsidRDefault="00877691" w:rsidP="003663AF">
      <w:pPr>
        <w:pStyle w:val="AMNumberTabs"/>
        <w:keepNext/>
      </w:pPr>
      <w:r w:rsidRPr="00B7760C">
        <w:t>Sprememba</w:t>
      </w:r>
      <w:r w:rsidR="003663AF" w:rsidRPr="00B7760C">
        <w:tab/>
      </w:r>
      <w:r w:rsidR="003663AF" w:rsidRPr="00B7760C">
        <w:tab/>
        <w:t>631</w:t>
      </w:r>
    </w:p>
    <w:p w14:paraId="7583EB36" w14:textId="77777777" w:rsidR="003663AF" w:rsidRPr="00B7760C" w:rsidRDefault="003663AF" w:rsidP="003663AF">
      <w:pPr>
        <w:pStyle w:val="NormalBold12b"/>
      </w:pPr>
      <w:r w:rsidRPr="00B7760C">
        <w:t>Predlog uredbe</w:t>
      </w:r>
    </w:p>
    <w:p w14:paraId="60E36EF3" w14:textId="77777777" w:rsidR="003663AF" w:rsidRPr="00B7760C" w:rsidRDefault="003663AF" w:rsidP="003663AF">
      <w:pPr>
        <w:pStyle w:val="NormalBold"/>
      </w:pPr>
      <w:r w:rsidRPr="00B7760C">
        <w:t>Člen 110 – odstavek 1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CF832FA" w14:textId="77777777" w:rsidTr="00E804B7">
        <w:trPr>
          <w:jc w:val="center"/>
        </w:trPr>
        <w:tc>
          <w:tcPr>
            <w:tcW w:w="9752" w:type="dxa"/>
            <w:gridSpan w:val="2"/>
          </w:tcPr>
          <w:p w14:paraId="102455B1" w14:textId="77777777" w:rsidR="003663AF" w:rsidRPr="00B7760C" w:rsidRDefault="003663AF" w:rsidP="00E804B7">
            <w:pPr>
              <w:keepNext/>
            </w:pPr>
          </w:p>
        </w:tc>
      </w:tr>
      <w:tr w:rsidR="003663AF" w:rsidRPr="00B7760C" w14:paraId="0B3F6AFC" w14:textId="77777777" w:rsidTr="00E804B7">
        <w:trPr>
          <w:jc w:val="center"/>
        </w:trPr>
        <w:tc>
          <w:tcPr>
            <w:tcW w:w="4876" w:type="dxa"/>
            <w:hideMark/>
          </w:tcPr>
          <w:p w14:paraId="38C88C31" w14:textId="77777777" w:rsidR="003663AF" w:rsidRPr="00B7760C" w:rsidRDefault="003663AF" w:rsidP="00E804B7">
            <w:pPr>
              <w:pStyle w:val="ColumnHeading"/>
              <w:keepNext/>
            </w:pPr>
            <w:r w:rsidRPr="00B7760C">
              <w:t>Besedilo, ki ga predlaga Komisija</w:t>
            </w:r>
          </w:p>
        </w:tc>
        <w:tc>
          <w:tcPr>
            <w:tcW w:w="4876" w:type="dxa"/>
            <w:hideMark/>
          </w:tcPr>
          <w:p w14:paraId="00B718CF" w14:textId="09B71AB5" w:rsidR="003663AF" w:rsidRPr="00B7760C" w:rsidRDefault="00877691" w:rsidP="00E804B7">
            <w:pPr>
              <w:pStyle w:val="ColumnHeading"/>
              <w:keepNext/>
            </w:pPr>
            <w:r w:rsidRPr="00B7760C">
              <w:t>Sprememba</w:t>
            </w:r>
          </w:p>
        </w:tc>
      </w:tr>
      <w:tr w:rsidR="003663AF" w:rsidRPr="00B7760C" w14:paraId="201A03B8" w14:textId="77777777" w:rsidTr="00E804B7">
        <w:trPr>
          <w:jc w:val="center"/>
        </w:trPr>
        <w:tc>
          <w:tcPr>
            <w:tcW w:w="4876" w:type="dxa"/>
          </w:tcPr>
          <w:p w14:paraId="1AF7F85A" w14:textId="77777777" w:rsidR="003663AF" w:rsidRPr="00B7760C" w:rsidRDefault="003663AF" w:rsidP="00E804B7">
            <w:pPr>
              <w:pStyle w:val="Normal6"/>
            </w:pPr>
          </w:p>
        </w:tc>
        <w:tc>
          <w:tcPr>
            <w:tcW w:w="4876" w:type="dxa"/>
            <w:hideMark/>
          </w:tcPr>
          <w:p w14:paraId="35FF5985" w14:textId="77777777" w:rsidR="003663AF" w:rsidRPr="00B7760C" w:rsidRDefault="003663AF" w:rsidP="00E804B7">
            <w:pPr>
              <w:pStyle w:val="Normal6"/>
              <w:rPr>
                <w:szCs w:val="24"/>
              </w:rPr>
            </w:pPr>
            <w:r w:rsidRPr="00B7760C">
              <w:rPr>
                <w:b/>
                <w:i/>
              </w:rPr>
              <w:t>1a.</w:t>
            </w:r>
            <w:r w:rsidRPr="00B7760C">
              <w:rPr>
                <w:b/>
                <w:i/>
              </w:rPr>
              <w:tab/>
              <w:t>Brez poseganja v določbe prvega pododstavka odstavka 1 lahko države članice vzpostaviti tudi regionalne organe za izvrševanje in upravljanje intervencij, ki se financirajo iz EKSRP v okviru nacionalnih strateških načrtov, kadar imajo te intervencije regionalno razsežnost. V tem primeru nacionalni organ upravljanja imenuje nacionalni organ usklajevanja za EKSRP, ki bo zagotavljal enotno uporabo pravil Evropske unije in skladnost z elementi strateškega načrta, določenimi na nacionalni ravni, v skladu z drugim pododstavkom člena 93.</w:t>
            </w:r>
          </w:p>
        </w:tc>
      </w:tr>
    </w:tbl>
    <w:p w14:paraId="210D7513" w14:textId="7C2DC15A" w:rsidR="003663AF" w:rsidRPr="00B7760C" w:rsidRDefault="003663AF" w:rsidP="003663AF"/>
    <w:p w14:paraId="025F9D0C" w14:textId="56E9F450" w:rsidR="002C4693" w:rsidRPr="00B7760C" w:rsidRDefault="002C4693" w:rsidP="003663AF"/>
    <w:p w14:paraId="2594442E" w14:textId="2810E1CB" w:rsidR="002C4693" w:rsidRPr="00B7760C" w:rsidRDefault="002C4693" w:rsidP="002C4693">
      <w:pPr>
        <w:pStyle w:val="AMNumberTabs"/>
        <w:keepNext/>
      </w:pPr>
      <w:r w:rsidRPr="00B7760C">
        <w:t>Sprememba</w:t>
      </w:r>
      <w:r w:rsidRPr="00B7760C">
        <w:tab/>
      </w:r>
      <w:r w:rsidRPr="00B7760C">
        <w:tab/>
        <w:t>736 cp2</w:t>
      </w:r>
    </w:p>
    <w:p w14:paraId="4408516F" w14:textId="77777777" w:rsidR="002C4693" w:rsidRPr="00B7760C" w:rsidRDefault="002C4693" w:rsidP="002C4693">
      <w:pPr>
        <w:pStyle w:val="NormalBold12b"/>
      </w:pPr>
      <w:r w:rsidRPr="00B7760C">
        <w:t>Predlog uredbe</w:t>
      </w:r>
    </w:p>
    <w:p w14:paraId="0E28D60F" w14:textId="03936593" w:rsidR="002C4693" w:rsidRPr="00B7760C" w:rsidRDefault="002C4693" w:rsidP="002C4693">
      <w:pPr>
        <w:pStyle w:val="NormalBold"/>
      </w:pPr>
      <w:r w:rsidRPr="00B7760C">
        <w:t>Člen 110</w:t>
      </w:r>
      <w:r w:rsidR="002C1847" w:rsidRPr="00B7760C">
        <w:t xml:space="preserve"> – odstavek 2 – uvodni del</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2C4693" w:rsidRPr="00B7760C" w14:paraId="184A26BC" w14:textId="77777777" w:rsidTr="00286BF3">
        <w:trPr>
          <w:jc w:val="center"/>
        </w:trPr>
        <w:tc>
          <w:tcPr>
            <w:tcW w:w="9752" w:type="dxa"/>
            <w:gridSpan w:val="2"/>
          </w:tcPr>
          <w:p w14:paraId="4FA8C2E8" w14:textId="77777777" w:rsidR="002C4693" w:rsidRPr="00B7760C" w:rsidRDefault="002C4693" w:rsidP="00517642">
            <w:pPr>
              <w:keepNext/>
            </w:pPr>
          </w:p>
        </w:tc>
      </w:tr>
      <w:tr w:rsidR="002C4693" w:rsidRPr="00B7760C" w14:paraId="0B2603C0" w14:textId="77777777" w:rsidTr="00286BF3">
        <w:trPr>
          <w:jc w:val="center"/>
        </w:trPr>
        <w:tc>
          <w:tcPr>
            <w:tcW w:w="4876" w:type="dxa"/>
          </w:tcPr>
          <w:p w14:paraId="6FBCB5B6" w14:textId="77777777" w:rsidR="002C4693" w:rsidRPr="00B7760C" w:rsidRDefault="002C4693" w:rsidP="00517642">
            <w:pPr>
              <w:pStyle w:val="ColumnHeading"/>
              <w:keepNext/>
            </w:pPr>
            <w:r w:rsidRPr="00B7760C">
              <w:t>Besedilo, ki ga predlaga Komisija</w:t>
            </w:r>
          </w:p>
        </w:tc>
        <w:tc>
          <w:tcPr>
            <w:tcW w:w="4876" w:type="dxa"/>
          </w:tcPr>
          <w:p w14:paraId="359408E5" w14:textId="4639B371" w:rsidR="002C4693" w:rsidRPr="00B7760C" w:rsidRDefault="002C4693" w:rsidP="00517642">
            <w:pPr>
              <w:pStyle w:val="ColumnHeading"/>
              <w:keepNext/>
            </w:pPr>
            <w:r w:rsidRPr="00B7760C">
              <w:t>Sprememba</w:t>
            </w:r>
          </w:p>
        </w:tc>
      </w:tr>
      <w:tr w:rsidR="002C4693" w:rsidRPr="00B7760C" w14:paraId="22072D06" w14:textId="77777777" w:rsidTr="00286BF3">
        <w:trPr>
          <w:jc w:val="center"/>
        </w:trPr>
        <w:tc>
          <w:tcPr>
            <w:tcW w:w="4876" w:type="dxa"/>
          </w:tcPr>
          <w:p w14:paraId="37A6A315" w14:textId="77777777" w:rsidR="002C4693" w:rsidRPr="00B7760C" w:rsidRDefault="002C4693" w:rsidP="00517642">
            <w:pPr>
              <w:pStyle w:val="Normal6"/>
            </w:pPr>
            <w:r w:rsidRPr="00B7760C">
              <w:t>2.</w:t>
            </w:r>
            <w:r w:rsidRPr="00B7760C">
              <w:tab/>
              <w:t>Organ upravljanja je odgovoren za upravljanje in izvajanje strateškega načrta SKP uspešno, učinkovito in pravilno. Zlasti zagotavlja:</w:t>
            </w:r>
          </w:p>
        </w:tc>
        <w:tc>
          <w:tcPr>
            <w:tcW w:w="4876" w:type="dxa"/>
          </w:tcPr>
          <w:p w14:paraId="0ECB22EA" w14:textId="77777777" w:rsidR="002C4693" w:rsidRPr="00B7760C" w:rsidRDefault="002C4693" w:rsidP="00517642">
            <w:pPr>
              <w:pStyle w:val="Normal6"/>
              <w:rPr>
                <w:szCs w:val="24"/>
              </w:rPr>
            </w:pPr>
            <w:r w:rsidRPr="00B7760C">
              <w:t>2.</w:t>
            </w:r>
            <w:r w:rsidRPr="00B7760C">
              <w:tab/>
              <w:t xml:space="preserve">Organi upravljanja so odgovorni za upravljanje in izvajanje strateškega načrta SKP uspešno, učinkovito in pravilno </w:t>
            </w:r>
            <w:r w:rsidRPr="00B7760C">
              <w:rPr>
                <w:b/>
                <w:i/>
              </w:rPr>
              <w:t>ter po potrebi v sodelovanju z regionalnimi organi upravljanja za regionalne intervencijske programe.</w:t>
            </w:r>
            <w:r w:rsidRPr="00B7760C">
              <w:t xml:space="preserve"> Zlasti zagotovijo, da:</w:t>
            </w:r>
          </w:p>
        </w:tc>
      </w:tr>
    </w:tbl>
    <w:p w14:paraId="684E7967" w14:textId="77777777" w:rsidR="002C4693" w:rsidRPr="00B7760C" w:rsidRDefault="002C4693" w:rsidP="003663AF"/>
    <w:p w14:paraId="1C511B78" w14:textId="551583C6" w:rsidR="003663AF" w:rsidRPr="00B7760C" w:rsidRDefault="00877691" w:rsidP="002C4693">
      <w:pPr>
        <w:pStyle w:val="AMNumberTabs"/>
        <w:keepNext/>
      </w:pPr>
      <w:r w:rsidRPr="00B7760C">
        <w:t>Sprememb</w:t>
      </w:r>
      <w:r w:rsidR="002C4693" w:rsidRPr="00B7760C">
        <w:t>i</w:t>
      </w:r>
      <w:r w:rsidR="003663AF" w:rsidRPr="00B7760C">
        <w:tab/>
      </w:r>
      <w:r w:rsidR="003663AF" w:rsidRPr="00B7760C">
        <w:tab/>
        <w:t>632</w:t>
      </w:r>
      <w:r w:rsidR="002C4693" w:rsidRPr="00B7760C">
        <w:t xml:space="preserve"> in 736 cp3</w:t>
      </w:r>
    </w:p>
    <w:p w14:paraId="6E977B98" w14:textId="77777777" w:rsidR="003663AF" w:rsidRPr="00B7760C" w:rsidRDefault="003663AF" w:rsidP="003663AF">
      <w:pPr>
        <w:pStyle w:val="NormalBold12b"/>
      </w:pPr>
      <w:r w:rsidRPr="00B7760C">
        <w:t>Predlog uredbe</w:t>
      </w:r>
    </w:p>
    <w:p w14:paraId="446D6E7B" w14:textId="77777777" w:rsidR="003663AF" w:rsidRPr="00B7760C" w:rsidRDefault="003663AF" w:rsidP="003663AF">
      <w:pPr>
        <w:pStyle w:val="NormalBold"/>
      </w:pPr>
      <w:r w:rsidRPr="00B7760C">
        <w:t>Člen 110 – odstavek 2 – točka g</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DA34B22" w14:textId="77777777" w:rsidTr="00E804B7">
        <w:trPr>
          <w:jc w:val="center"/>
        </w:trPr>
        <w:tc>
          <w:tcPr>
            <w:tcW w:w="9752" w:type="dxa"/>
            <w:gridSpan w:val="2"/>
          </w:tcPr>
          <w:p w14:paraId="35342CB1" w14:textId="77777777" w:rsidR="003663AF" w:rsidRPr="00B7760C" w:rsidRDefault="003663AF" w:rsidP="00E804B7">
            <w:pPr>
              <w:keepNext/>
            </w:pPr>
          </w:p>
        </w:tc>
      </w:tr>
      <w:tr w:rsidR="003663AF" w:rsidRPr="00B7760C" w14:paraId="0F5B0A6E" w14:textId="77777777" w:rsidTr="00E804B7">
        <w:trPr>
          <w:jc w:val="center"/>
        </w:trPr>
        <w:tc>
          <w:tcPr>
            <w:tcW w:w="4876" w:type="dxa"/>
            <w:hideMark/>
          </w:tcPr>
          <w:p w14:paraId="6C86201B" w14:textId="77777777" w:rsidR="003663AF" w:rsidRPr="00B7760C" w:rsidRDefault="003663AF" w:rsidP="00E804B7">
            <w:pPr>
              <w:pStyle w:val="ColumnHeading"/>
              <w:keepNext/>
            </w:pPr>
            <w:r w:rsidRPr="00B7760C">
              <w:t>Besedilo, ki ga predlaga Komisija</w:t>
            </w:r>
          </w:p>
        </w:tc>
        <w:tc>
          <w:tcPr>
            <w:tcW w:w="4876" w:type="dxa"/>
            <w:hideMark/>
          </w:tcPr>
          <w:p w14:paraId="708A93F5" w14:textId="18B7A462" w:rsidR="003663AF" w:rsidRPr="00B7760C" w:rsidRDefault="00877691" w:rsidP="00E804B7">
            <w:pPr>
              <w:pStyle w:val="ColumnHeading"/>
              <w:keepNext/>
            </w:pPr>
            <w:r w:rsidRPr="00B7760C">
              <w:t>Sprememba</w:t>
            </w:r>
          </w:p>
        </w:tc>
      </w:tr>
      <w:tr w:rsidR="003663AF" w:rsidRPr="00B7760C" w14:paraId="3BD0EEFF" w14:textId="77777777" w:rsidTr="00E804B7">
        <w:trPr>
          <w:jc w:val="center"/>
        </w:trPr>
        <w:tc>
          <w:tcPr>
            <w:tcW w:w="4876" w:type="dxa"/>
            <w:hideMark/>
          </w:tcPr>
          <w:p w14:paraId="32ABCB25" w14:textId="77777777" w:rsidR="003663AF" w:rsidRPr="00B7760C" w:rsidRDefault="003663AF" w:rsidP="00E804B7">
            <w:pPr>
              <w:pStyle w:val="Normal6"/>
            </w:pPr>
            <w:r w:rsidRPr="00B7760C">
              <w:t>(g)</w:t>
            </w:r>
            <w:r w:rsidRPr="00B7760C">
              <w:tab/>
              <w:t xml:space="preserve">da je pripravljeno </w:t>
            </w:r>
            <w:r w:rsidRPr="00B7760C">
              <w:rPr>
                <w:b/>
                <w:i/>
              </w:rPr>
              <w:t xml:space="preserve">letno </w:t>
            </w:r>
            <w:r w:rsidRPr="00B7760C">
              <w:t>poročilo o smotrnosti, vključno z združenimi tabelami za spremljanje, ki se po posvetovanju z odborom za spremljanje predloži Komisiji;</w:t>
            </w:r>
          </w:p>
        </w:tc>
        <w:tc>
          <w:tcPr>
            <w:tcW w:w="4876" w:type="dxa"/>
            <w:hideMark/>
          </w:tcPr>
          <w:p w14:paraId="039D123A" w14:textId="77777777" w:rsidR="003663AF" w:rsidRPr="00B7760C" w:rsidRDefault="003663AF" w:rsidP="00E804B7">
            <w:pPr>
              <w:pStyle w:val="Normal6"/>
              <w:rPr>
                <w:szCs w:val="24"/>
              </w:rPr>
            </w:pPr>
            <w:r w:rsidRPr="00B7760C">
              <w:t>(g)</w:t>
            </w:r>
            <w:r w:rsidRPr="00B7760C">
              <w:tab/>
              <w:t>da je pripravljeno poročilo o</w:t>
            </w:r>
            <w:r w:rsidRPr="00B7760C">
              <w:rPr>
                <w:b/>
                <w:i/>
              </w:rPr>
              <w:t xml:space="preserve"> spremljanju</w:t>
            </w:r>
            <w:r w:rsidRPr="00B7760C">
              <w:t xml:space="preserve"> smotrnosti, vključno z združenimi tabelami za spremljanje, ki se po posvetovanju z odborom za spremljanje predloži Komisiji;</w:t>
            </w:r>
          </w:p>
        </w:tc>
      </w:tr>
    </w:tbl>
    <w:p w14:paraId="596D81C1" w14:textId="77777777" w:rsidR="003663AF" w:rsidRPr="00B7760C" w:rsidRDefault="003663AF" w:rsidP="003663AF"/>
    <w:p w14:paraId="5917B023" w14:textId="356D35B9" w:rsidR="003663AF" w:rsidRPr="00B7760C" w:rsidRDefault="00877691" w:rsidP="002C4693">
      <w:pPr>
        <w:pStyle w:val="AMNumberTabs"/>
        <w:keepNext/>
      </w:pPr>
      <w:r w:rsidRPr="00B7760C">
        <w:t>Sprememb</w:t>
      </w:r>
      <w:r w:rsidR="002C4693" w:rsidRPr="00B7760C">
        <w:t>i</w:t>
      </w:r>
      <w:r w:rsidR="003663AF" w:rsidRPr="00B7760C">
        <w:tab/>
      </w:r>
      <w:r w:rsidR="003663AF" w:rsidRPr="00B7760C">
        <w:tab/>
        <w:t>633</w:t>
      </w:r>
      <w:r w:rsidR="002C4693" w:rsidRPr="00B7760C">
        <w:t xml:space="preserve"> in 736 cp4</w:t>
      </w:r>
    </w:p>
    <w:p w14:paraId="7CCD258C" w14:textId="77777777" w:rsidR="003663AF" w:rsidRPr="00B7760C" w:rsidRDefault="003663AF" w:rsidP="003663AF">
      <w:pPr>
        <w:pStyle w:val="NormalBold12b"/>
      </w:pPr>
      <w:r w:rsidRPr="00B7760C">
        <w:t>Predlog uredbe</w:t>
      </w:r>
    </w:p>
    <w:p w14:paraId="65266F35" w14:textId="77777777" w:rsidR="003663AF" w:rsidRPr="00B7760C" w:rsidRDefault="003663AF" w:rsidP="003663AF">
      <w:pPr>
        <w:pStyle w:val="NormalBold"/>
      </w:pPr>
      <w:r w:rsidRPr="00B7760C">
        <w:t>Člen 110 – odstavek 2 – točka h</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64774B7" w14:textId="77777777" w:rsidTr="002C4693">
        <w:trPr>
          <w:jc w:val="center"/>
        </w:trPr>
        <w:tc>
          <w:tcPr>
            <w:tcW w:w="9752" w:type="dxa"/>
            <w:gridSpan w:val="2"/>
          </w:tcPr>
          <w:p w14:paraId="0E852E22" w14:textId="77777777" w:rsidR="003663AF" w:rsidRPr="00B7760C" w:rsidRDefault="003663AF" w:rsidP="00E804B7">
            <w:pPr>
              <w:keepNext/>
            </w:pPr>
          </w:p>
        </w:tc>
      </w:tr>
      <w:tr w:rsidR="003663AF" w:rsidRPr="00B7760C" w14:paraId="23919142" w14:textId="77777777" w:rsidTr="002C4693">
        <w:trPr>
          <w:jc w:val="center"/>
        </w:trPr>
        <w:tc>
          <w:tcPr>
            <w:tcW w:w="4876" w:type="dxa"/>
            <w:hideMark/>
          </w:tcPr>
          <w:p w14:paraId="1E556A52" w14:textId="77777777" w:rsidR="003663AF" w:rsidRPr="00B7760C" w:rsidRDefault="003663AF" w:rsidP="00E804B7">
            <w:pPr>
              <w:pStyle w:val="ColumnHeading"/>
              <w:keepNext/>
            </w:pPr>
            <w:r w:rsidRPr="00B7760C">
              <w:t>Besedilo, ki ga predlaga Komisija</w:t>
            </w:r>
          </w:p>
        </w:tc>
        <w:tc>
          <w:tcPr>
            <w:tcW w:w="4876" w:type="dxa"/>
            <w:hideMark/>
          </w:tcPr>
          <w:p w14:paraId="4DDC9D76" w14:textId="5CA24FD1" w:rsidR="003663AF" w:rsidRPr="00B7760C" w:rsidRDefault="00877691" w:rsidP="00E804B7">
            <w:pPr>
              <w:pStyle w:val="ColumnHeading"/>
              <w:keepNext/>
            </w:pPr>
            <w:r w:rsidRPr="00B7760C">
              <w:t>Sprememba</w:t>
            </w:r>
          </w:p>
        </w:tc>
      </w:tr>
      <w:tr w:rsidR="003663AF" w:rsidRPr="00B7760C" w14:paraId="423F9AEB" w14:textId="77777777" w:rsidTr="002C4693">
        <w:trPr>
          <w:jc w:val="center"/>
        </w:trPr>
        <w:tc>
          <w:tcPr>
            <w:tcW w:w="4876" w:type="dxa"/>
            <w:hideMark/>
          </w:tcPr>
          <w:p w14:paraId="227E5F34" w14:textId="77777777" w:rsidR="003663AF" w:rsidRPr="00B7760C" w:rsidRDefault="003663AF" w:rsidP="00E804B7">
            <w:pPr>
              <w:pStyle w:val="Normal6"/>
            </w:pPr>
            <w:r w:rsidRPr="00B7760C">
              <w:t>(h)</w:t>
            </w:r>
            <w:r w:rsidRPr="00B7760C">
              <w:tab/>
              <w:t xml:space="preserve">sprejetje ustreznih nadaljnjih ukrepov v odziv na pripombe Komisije o </w:t>
            </w:r>
            <w:r w:rsidRPr="00B7760C">
              <w:rPr>
                <w:b/>
                <w:i/>
              </w:rPr>
              <w:t xml:space="preserve">letnih </w:t>
            </w:r>
            <w:r w:rsidRPr="00B7760C">
              <w:t xml:space="preserve">poročilih o smotrnosti; </w:t>
            </w:r>
          </w:p>
        </w:tc>
        <w:tc>
          <w:tcPr>
            <w:tcW w:w="4876" w:type="dxa"/>
            <w:hideMark/>
          </w:tcPr>
          <w:p w14:paraId="651719A4" w14:textId="77777777" w:rsidR="003663AF" w:rsidRPr="00B7760C" w:rsidRDefault="003663AF" w:rsidP="00E804B7">
            <w:pPr>
              <w:pStyle w:val="Normal6"/>
              <w:rPr>
                <w:szCs w:val="24"/>
              </w:rPr>
            </w:pPr>
            <w:r w:rsidRPr="00B7760C">
              <w:t>(h)</w:t>
            </w:r>
            <w:r w:rsidRPr="00B7760C">
              <w:tab/>
              <w:t>sprejetje ustreznih nadaljnjih ukrepov v odziv na pripombe Komisije o poročilih o smotrnosti;</w:t>
            </w:r>
          </w:p>
        </w:tc>
      </w:tr>
    </w:tbl>
    <w:p w14:paraId="5380418F" w14:textId="10BF0F0F" w:rsidR="002C4693" w:rsidRPr="00B7760C" w:rsidRDefault="002C4693" w:rsidP="003663AF"/>
    <w:p w14:paraId="0B5E1542" w14:textId="11F92C64" w:rsidR="002C4693" w:rsidRPr="00B7760C" w:rsidRDefault="002C4693" w:rsidP="002C4693">
      <w:pPr>
        <w:pStyle w:val="AMNumberTabs"/>
        <w:keepNext/>
      </w:pPr>
      <w:r w:rsidRPr="00B7760C">
        <w:t>Sprememba</w:t>
      </w:r>
      <w:r w:rsidRPr="00B7760C">
        <w:tab/>
      </w:r>
      <w:r w:rsidRPr="00B7760C">
        <w:tab/>
        <w:t>736 cp5</w:t>
      </w:r>
    </w:p>
    <w:p w14:paraId="33623934" w14:textId="77777777" w:rsidR="002C4693" w:rsidRPr="00B7760C" w:rsidRDefault="002C4693" w:rsidP="002C4693">
      <w:pPr>
        <w:pStyle w:val="NormalBold12b"/>
      </w:pPr>
      <w:r w:rsidRPr="00B7760C">
        <w:t>Predlog uredbe</w:t>
      </w:r>
    </w:p>
    <w:p w14:paraId="5A394A85" w14:textId="78B25438" w:rsidR="002C4693" w:rsidRPr="00B7760C" w:rsidRDefault="002C4693" w:rsidP="002C4693">
      <w:pPr>
        <w:pStyle w:val="NormalBold"/>
      </w:pPr>
      <w:r w:rsidRPr="00B7760C">
        <w:t>Člen 110 – odstavek 3</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2C4693" w:rsidRPr="00B7760C" w14:paraId="2BCA17E5" w14:textId="77777777" w:rsidTr="00286BF3">
        <w:trPr>
          <w:jc w:val="center"/>
        </w:trPr>
        <w:tc>
          <w:tcPr>
            <w:tcW w:w="9752" w:type="dxa"/>
            <w:gridSpan w:val="2"/>
          </w:tcPr>
          <w:p w14:paraId="62ECA6DB" w14:textId="77777777" w:rsidR="002C4693" w:rsidRPr="00B7760C" w:rsidRDefault="002C4693" w:rsidP="00517642">
            <w:pPr>
              <w:keepNext/>
            </w:pPr>
          </w:p>
        </w:tc>
      </w:tr>
      <w:tr w:rsidR="002C4693" w:rsidRPr="00B7760C" w14:paraId="115C4D20" w14:textId="77777777" w:rsidTr="00286BF3">
        <w:trPr>
          <w:jc w:val="center"/>
        </w:trPr>
        <w:tc>
          <w:tcPr>
            <w:tcW w:w="4876" w:type="dxa"/>
          </w:tcPr>
          <w:p w14:paraId="03037B18" w14:textId="77777777" w:rsidR="002C4693" w:rsidRPr="00B7760C" w:rsidRDefault="002C4693" w:rsidP="00517642">
            <w:pPr>
              <w:pStyle w:val="ColumnHeading"/>
              <w:keepNext/>
            </w:pPr>
            <w:r w:rsidRPr="00B7760C">
              <w:t>Besedilo, ki ga predlaga Komisija</w:t>
            </w:r>
          </w:p>
        </w:tc>
        <w:tc>
          <w:tcPr>
            <w:tcW w:w="4876" w:type="dxa"/>
          </w:tcPr>
          <w:p w14:paraId="37960576" w14:textId="17492C71" w:rsidR="002C4693" w:rsidRPr="00B7760C" w:rsidRDefault="002C4693" w:rsidP="00517642">
            <w:pPr>
              <w:pStyle w:val="ColumnHeading"/>
              <w:keepNext/>
            </w:pPr>
            <w:r w:rsidRPr="00B7760C">
              <w:t>Sprememba</w:t>
            </w:r>
          </w:p>
        </w:tc>
      </w:tr>
      <w:tr w:rsidR="002C4693" w:rsidRPr="00B7760C" w14:paraId="444A0872" w14:textId="77777777" w:rsidTr="00286BF3">
        <w:trPr>
          <w:jc w:val="center"/>
        </w:trPr>
        <w:tc>
          <w:tcPr>
            <w:tcW w:w="4876" w:type="dxa"/>
          </w:tcPr>
          <w:p w14:paraId="735426D9" w14:textId="77777777" w:rsidR="002C4693" w:rsidRPr="00B7760C" w:rsidRDefault="002C4693" w:rsidP="00517642">
            <w:pPr>
              <w:pStyle w:val="Normal6"/>
            </w:pPr>
            <w:r w:rsidRPr="00B7760C">
              <w:t>3.</w:t>
            </w:r>
            <w:r w:rsidRPr="00B7760C">
              <w:tab/>
              <w:t>Država članica ali organ upravljanja lahko za upravljanje in izvajanje intervencij strateškega načrta SKP imenuje enega ali več posredniških organov, vključno z lokalnimi organi, regionalnimi razvojnimi organi ali nevladnimi organizacijami.</w:t>
            </w:r>
          </w:p>
        </w:tc>
        <w:tc>
          <w:tcPr>
            <w:tcW w:w="4876" w:type="dxa"/>
          </w:tcPr>
          <w:p w14:paraId="7E635893" w14:textId="77777777" w:rsidR="002C4693" w:rsidRPr="00B7760C" w:rsidRDefault="002C4693" w:rsidP="00517642">
            <w:pPr>
              <w:pStyle w:val="Normal6"/>
              <w:rPr>
                <w:szCs w:val="24"/>
              </w:rPr>
            </w:pPr>
            <w:r w:rsidRPr="00B7760C">
              <w:t>3.</w:t>
            </w:r>
            <w:r w:rsidRPr="00B7760C">
              <w:tab/>
              <w:t xml:space="preserve">Država članica ali organi upravljanja </w:t>
            </w:r>
            <w:r w:rsidRPr="00B7760C">
              <w:rPr>
                <w:b/>
                <w:i/>
              </w:rPr>
              <w:t>ali po potrebi regionalni organi upravljanja</w:t>
            </w:r>
            <w:r w:rsidRPr="00B7760C">
              <w:t xml:space="preserve"> lahko za upravljanje in izvajanje intervencij strateškega načrta SKP imenujejo enega ali več posredniških organov, vključno z lokalnimi organi, regionalnimi razvojnimi organi ali nevladnimi organizacijami.</w:t>
            </w:r>
          </w:p>
        </w:tc>
      </w:tr>
    </w:tbl>
    <w:p w14:paraId="0CB15D89" w14:textId="77777777" w:rsidR="002C4693" w:rsidRPr="00B7760C" w:rsidRDefault="002C4693" w:rsidP="003663AF"/>
    <w:p w14:paraId="7DC13421" w14:textId="39B2B82C" w:rsidR="003663AF" w:rsidRPr="00B7760C" w:rsidRDefault="00877691" w:rsidP="003663AF">
      <w:pPr>
        <w:pStyle w:val="AMNumberTabs"/>
        <w:keepNext/>
      </w:pPr>
      <w:r w:rsidRPr="00B7760C">
        <w:t>Sprememb</w:t>
      </w:r>
      <w:r w:rsidR="002C4693" w:rsidRPr="00B7760C">
        <w:t>i</w:t>
      </w:r>
      <w:r w:rsidR="003663AF" w:rsidRPr="00B7760C">
        <w:tab/>
      </w:r>
      <w:r w:rsidR="003663AF" w:rsidRPr="00B7760C">
        <w:tab/>
        <w:t>634</w:t>
      </w:r>
      <w:r w:rsidR="002C4693" w:rsidRPr="00B7760C">
        <w:t xml:space="preserve"> in 736 cp6</w:t>
      </w:r>
    </w:p>
    <w:p w14:paraId="77F9D1FE" w14:textId="77777777" w:rsidR="003663AF" w:rsidRPr="00B7760C" w:rsidRDefault="003663AF" w:rsidP="003663AF">
      <w:pPr>
        <w:pStyle w:val="NormalBold12b"/>
      </w:pPr>
      <w:r w:rsidRPr="00B7760C">
        <w:t>Predlog uredbe</w:t>
      </w:r>
    </w:p>
    <w:p w14:paraId="45F9EECA" w14:textId="77777777" w:rsidR="003663AF" w:rsidRPr="00B7760C" w:rsidRDefault="003663AF" w:rsidP="003663AF">
      <w:pPr>
        <w:pStyle w:val="NormalBold"/>
      </w:pPr>
      <w:r w:rsidRPr="00B7760C">
        <w:t>Člen 110 – odstavek 5 – pododstavek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95F70F6" w14:textId="77777777" w:rsidTr="00E804B7">
        <w:trPr>
          <w:jc w:val="center"/>
        </w:trPr>
        <w:tc>
          <w:tcPr>
            <w:tcW w:w="9752" w:type="dxa"/>
            <w:gridSpan w:val="2"/>
          </w:tcPr>
          <w:p w14:paraId="204A9C6B" w14:textId="77777777" w:rsidR="003663AF" w:rsidRPr="00B7760C" w:rsidRDefault="003663AF" w:rsidP="00E804B7">
            <w:pPr>
              <w:keepNext/>
            </w:pPr>
          </w:p>
        </w:tc>
      </w:tr>
      <w:tr w:rsidR="003663AF" w:rsidRPr="00B7760C" w14:paraId="1732D4A9" w14:textId="77777777" w:rsidTr="00E804B7">
        <w:trPr>
          <w:jc w:val="center"/>
        </w:trPr>
        <w:tc>
          <w:tcPr>
            <w:tcW w:w="4876" w:type="dxa"/>
            <w:hideMark/>
          </w:tcPr>
          <w:p w14:paraId="0D7D8123" w14:textId="77777777" w:rsidR="003663AF" w:rsidRPr="00B7760C" w:rsidRDefault="003663AF" w:rsidP="00E804B7">
            <w:pPr>
              <w:pStyle w:val="ColumnHeading"/>
              <w:keepNext/>
            </w:pPr>
            <w:r w:rsidRPr="00B7760C">
              <w:t>Besedilo, ki ga predlaga Komisija</w:t>
            </w:r>
          </w:p>
        </w:tc>
        <w:tc>
          <w:tcPr>
            <w:tcW w:w="4876" w:type="dxa"/>
            <w:hideMark/>
          </w:tcPr>
          <w:p w14:paraId="22CFC12E" w14:textId="0A9148E9" w:rsidR="003663AF" w:rsidRPr="00B7760C" w:rsidRDefault="00877691" w:rsidP="00E804B7">
            <w:pPr>
              <w:pStyle w:val="ColumnHeading"/>
              <w:keepNext/>
            </w:pPr>
            <w:r w:rsidRPr="00B7760C">
              <w:t>Sprememba</w:t>
            </w:r>
          </w:p>
        </w:tc>
      </w:tr>
      <w:tr w:rsidR="003663AF" w:rsidRPr="00B7760C" w14:paraId="677BDAB3" w14:textId="77777777" w:rsidTr="00E804B7">
        <w:trPr>
          <w:jc w:val="center"/>
        </w:trPr>
        <w:tc>
          <w:tcPr>
            <w:tcW w:w="4876" w:type="dxa"/>
          </w:tcPr>
          <w:p w14:paraId="14150DCC" w14:textId="77777777" w:rsidR="003663AF" w:rsidRPr="00B7760C" w:rsidRDefault="003663AF" w:rsidP="00E804B7">
            <w:pPr>
              <w:pStyle w:val="Normal6"/>
            </w:pPr>
            <w:r w:rsidRPr="00B7760C">
              <w:t xml:space="preserve">Na Komisijo </w:t>
            </w:r>
            <w:r w:rsidRPr="00B7760C">
              <w:rPr>
                <w:b/>
                <w:i/>
              </w:rPr>
              <w:t>se prenese</w:t>
            </w:r>
            <w:r w:rsidRPr="00B7760C">
              <w:t xml:space="preserve"> pooblastilo za sprejemanje delegiranih aktov v skladu s členom 138, ki bodo dopolnjevali to uredbo s podrobnimi pravili o uporabi zahtev za informiranje, obveščanje javnosti in prepoznavnost iz točk (j) in (k) odstavka 2.</w:t>
            </w:r>
          </w:p>
        </w:tc>
        <w:tc>
          <w:tcPr>
            <w:tcW w:w="4876" w:type="dxa"/>
          </w:tcPr>
          <w:p w14:paraId="06BEF9A5" w14:textId="77777777" w:rsidR="003663AF" w:rsidRPr="00B7760C" w:rsidRDefault="003663AF" w:rsidP="00E804B7">
            <w:pPr>
              <w:pStyle w:val="Normal6"/>
              <w:rPr>
                <w:szCs w:val="24"/>
              </w:rPr>
            </w:pPr>
            <w:r w:rsidRPr="00B7760C">
              <w:t xml:space="preserve">Na Komisijo </w:t>
            </w:r>
            <w:r w:rsidRPr="00B7760C">
              <w:rPr>
                <w:b/>
                <w:i/>
              </w:rPr>
              <w:t>je preneseno</w:t>
            </w:r>
            <w:r w:rsidRPr="00B7760C">
              <w:t xml:space="preserve"> pooblastilo za sprejemanje delegiranih aktov v skladu s členom 138, ki bodo dopolnjevali to uredbo s podrobnimi pravili o uporabi zahtev za informiranje, obveščanje javnosti in prepoznavnost iz točk (j) in (k) odstavka 2.</w:t>
            </w:r>
          </w:p>
        </w:tc>
      </w:tr>
    </w:tbl>
    <w:p w14:paraId="1581E1DE" w14:textId="77777777" w:rsidR="003663AF" w:rsidRPr="00B7760C" w:rsidRDefault="003663AF" w:rsidP="003663AF"/>
    <w:p w14:paraId="32C2B726" w14:textId="77777777" w:rsidR="003663AF" w:rsidRPr="00B7760C" w:rsidRDefault="003663AF" w:rsidP="003663AF">
      <w:pPr>
        <w:pStyle w:val="Normal6"/>
      </w:pPr>
    </w:p>
    <w:p w14:paraId="72F8FACD" w14:textId="18505225" w:rsidR="003663AF" w:rsidRPr="00B7760C" w:rsidRDefault="00877691" w:rsidP="003663AF">
      <w:pPr>
        <w:pStyle w:val="AMNumberTabs"/>
        <w:keepNext/>
      </w:pPr>
      <w:r w:rsidRPr="00B7760C">
        <w:t>Sprememb</w:t>
      </w:r>
      <w:r w:rsidR="002C4693" w:rsidRPr="00B7760C">
        <w:t>i</w:t>
      </w:r>
      <w:r w:rsidR="003663AF" w:rsidRPr="00B7760C">
        <w:tab/>
      </w:r>
      <w:r w:rsidR="003663AF" w:rsidRPr="00B7760C">
        <w:tab/>
        <w:t>635</w:t>
      </w:r>
      <w:r w:rsidR="002C4693" w:rsidRPr="00B7760C">
        <w:t xml:space="preserve"> in 736 cp7</w:t>
      </w:r>
    </w:p>
    <w:p w14:paraId="54BA8E0C" w14:textId="77777777" w:rsidR="003663AF" w:rsidRPr="00B7760C" w:rsidRDefault="003663AF" w:rsidP="003663AF">
      <w:pPr>
        <w:pStyle w:val="NormalBold12b"/>
      </w:pPr>
      <w:r w:rsidRPr="00B7760C">
        <w:t>Predlog uredbe</w:t>
      </w:r>
    </w:p>
    <w:p w14:paraId="13E83AB4" w14:textId="77777777" w:rsidR="003663AF" w:rsidRPr="00B7760C" w:rsidRDefault="003663AF" w:rsidP="003663AF">
      <w:pPr>
        <w:pStyle w:val="NormalBold"/>
      </w:pPr>
      <w:r w:rsidRPr="00B7760C">
        <w:t>Člen 110 – odstavek 5 – pododstavek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72A321B" w14:textId="77777777" w:rsidTr="00E804B7">
        <w:trPr>
          <w:jc w:val="center"/>
        </w:trPr>
        <w:tc>
          <w:tcPr>
            <w:tcW w:w="9752" w:type="dxa"/>
            <w:gridSpan w:val="2"/>
          </w:tcPr>
          <w:p w14:paraId="4F20C4C9" w14:textId="77777777" w:rsidR="003663AF" w:rsidRPr="00B7760C" w:rsidRDefault="003663AF" w:rsidP="00E804B7">
            <w:pPr>
              <w:keepNext/>
            </w:pPr>
          </w:p>
        </w:tc>
      </w:tr>
      <w:tr w:rsidR="003663AF" w:rsidRPr="00B7760C" w14:paraId="0D3DEA18" w14:textId="77777777" w:rsidTr="00E804B7">
        <w:trPr>
          <w:jc w:val="center"/>
        </w:trPr>
        <w:tc>
          <w:tcPr>
            <w:tcW w:w="4876" w:type="dxa"/>
            <w:hideMark/>
          </w:tcPr>
          <w:p w14:paraId="68D0FC8A" w14:textId="77777777" w:rsidR="003663AF" w:rsidRPr="00B7760C" w:rsidRDefault="003663AF" w:rsidP="00E804B7">
            <w:pPr>
              <w:pStyle w:val="ColumnHeading"/>
              <w:keepNext/>
            </w:pPr>
            <w:r w:rsidRPr="00B7760C">
              <w:t>Besedilo, ki ga predlaga Komisija</w:t>
            </w:r>
          </w:p>
        </w:tc>
        <w:tc>
          <w:tcPr>
            <w:tcW w:w="4876" w:type="dxa"/>
            <w:hideMark/>
          </w:tcPr>
          <w:p w14:paraId="347525F5" w14:textId="55448B53" w:rsidR="003663AF" w:rsidRPr="00B7760C" w:rsidRDefault="00877691" w:rsidP="00E804B7">
            <w:pPr>
              <w:pStyle w:val="ColumnHeading"/>
              <w:keepNext/>
            </w:pPr>
            <w:r w:rsidRPr="00B7760C">
              <w:t>Sprememba</w:t>
            </w:r>
          </w:p>
        </w:tc>
      </w:tr>
      <w:tr w:rsidR="003663AF" w:rsidRPr="00B7760C" w14:paraId="195CB48B" w14:textId="77777777" w:rsidTr="00E804B7">
        <w:trPr>
          <w:jc w:val="center"/>
        </w:trPr>
        <w:tc>
          <w:tcPr>
            <w:tcW w:w="4876" w:type="dxa"/>
            <w:hideMark/>
          </w:tcPr>
          <w:p w14:paraId="1B4A5624" w14:textId="77777777" w:rsidR="003663AF" w:rsidRPr="00B7760C" w:rsidRDefault="003663AF" w:rsidP="00E804B7">
            <w:pPr>
              <w:pStyle w:val="Normal6"/>
            </w:pPr>
            <w:r w:rsidRPr="00B7760C">
              <w:rPr>
                <w:b/>
                <w:i/>
              </w:rPr>
              <w:t>Ti izvedbeni akti se sprejmejo v skladu s postopkom pregleda iz člena 139(2).</w:t>
            </w:r>
          </w:p>
        </w:tc>
        <w:tc>
          <w:tcPr>
            <w:tcW w:w="4876" w:type="dxa"/>
            <w:hideMark/>
          </w:tcPr>
          <w:p w14:paraId="0DD75821" w14:textId="77777777" w:rsidR="003663AF" w:rsidRPr="00B7760C" w:rsidRDefault="003663AF" w:rsidP="00E804B7">
            <w:pPr>
              <w:pStyle w:val="Normal6"/>
              <w:rPr>
                <w:szCs w:val="24"/>
              </w:rPr>
            </w:pPr>
            <w:r w:rsidRPr="00B7760C">
              <w:rPr>
                <w:b/>
                <w:i/>
              </w:rPr>
              <w:t>črtano</w:t>
            </w:r>
          </w:p>
        </w:tc>
      </w:tr>
    </w:tbl>
    <w:p w14:paraId="14870813" w14:textId="77777777" w:rsidR="003663AF" w:rsidRPr="00B7760C" w:rsidRDefault="003663AF" w:rsidP="003663AF"/>
    <w:p w14:paraId="1B4D70A2" w14:textId="41A1E491" w:rsidR="003663AF" w:rsidRPr="00B7760C" w:rsidRDefault="00877691" w:rsidP="003663AF">
      <w:pPr>
        <w:pStyle w:val="AMNumberTabs"/>
        <w:keepNext/>
      </w:pPr>
      <w:r w:rsidRPr="00B7760C">
        <w:t>Sprememba</w:t>
      </w:r>
      <w:r w:rsidR="003663AF" w:rsidRPr="00B7760C">
        <w:tab/>
      </w:r>
      <w:r w:rsidR="003663AF" w:rsidRPr="00B7760C">
        <w:tab/>
        <w:t>636</w:t>
      </w:r>
    </w:p>
    <w:p w14:paraId="04E6C561" w14:textId="77777777" w:rsidR="003663AF" w:rsidRPr="00B7760C" w:rsidRDefault="003663AF" w:rsidP="003663AF">
      <w:pPr>
        <w:pStyle w:val="NormalBold12b"/>
      </w:pPr>
      <w:r w:rsidRPr="00B7760C">
        <w:t>Predlog uredbe</w:t>
      </w:r>
    </w:p>
    <w:p w14:paraId="242EDB81" w14:textId="77777777" w:rsidR="003663AF" w:rsidRPr="00B7760C" w:rsidRDefault="003663AF" w:rsidP="003663AF">
      <w:pPr>
        <w:pStyle w:val="NormalBold"/>
      </w:pPr>
      <w:r w:rsidRPr="00B7760C">
        <w:t>Člen 110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D994871" w14:textId="77777777" w:rsidTr="00E804B7">
        <w:trPr>
          <w:jc w:val="center"/>
        </w:trPr>
        <w:tc>
          <w:tcPr>
            <w:tcW w:w="9752" w:type="dxa"/>
            <w:gridSpan w:val="2"/>
          </w:tcPr>
          <w:p w14:paraId="34A79F5B" w14:textId="77777777" w:rsidR="003663AF" w:rsidRPr="00B7760C" w:rsidRDefault="003663AF" w:rsidP="00E804B7">
            <w:pPr>
              <w:keepNext/>
            </w:pPr>
          </w:p>
        </w:tc>
      </w:tr>
      <w:tr w:rsidR="003663AF" w:rsidRPr="00B7760C" w14:paraId="0EA4E236" w14:textId="77777777" w:rsidTr="00E804B7">
        <w:trPr>
          <w:jc w:val="center"/>
        </w:trPr>
        <w:tc>
          <w:tcPr>
            <w:tcW w:w="4876" w:type="dxa"/>
            <w:hideMark/>
          </w:tcPr>
          <w:p w14:paraId="1C7CDD7C" w14:textId="77777777" w:rsidR="003663AF" w:rsidRPr="00B7760C" w:rsidRDefault="003663AF" w:rsidP="00E804B7">
            <w:pPr>
              <w:pStyle w:val="ColumnHeading"/>
              <w:keepNext/>
            </w:pPr>
            <w:r w:rsidRPr="00B7760C">
              <w:t>Besedilo, ki ga predlaga Komisija</w:t>
            </w:r>
          </w:p>
        </w:tc>
        <w:tc>
          <w:tcPr>
            <w:tcW w:w="4876" w:type="dxa"/>
            <w:hideMark/>
          </w:tcPr>
          <w:p w14:paraId="7D49ADFE" w14:textId="7ACA715A" w:rsidR="003663AF" w:rsidRPr="00B7760C" w:rsidRDefault="00877691" w:rsidP="00E804B7">
            <w:pPr>
              <w:pStyle w:val="ColumnHeading"/>
              <w:keepNext/>
            </w:pPr>
            <w:r w:rsidRPr="00B7760C">
              <w:t>Sprememba</w:t>
            </w:r>
          </w:p>
        </w:tc>
      </w:tr>
      <w:tr w:rsidR="003663AF" w:rsidRPr="00B7760C" w14:paraId="39FD8B19" w14:textId="77777777" w:rsidTr="00E804B7">
        <w:trPr>
          <w:jc w:val="center"/>
        </w:trPr>
        <w:tc>
          <w:tcPr>
            <w:tcW w:w="4876" w:type="dxa"/>
          </w:tcPr>
          <w:p w14:paraId="6686EBAF" w14:textId="77777777" w:rsidR="003663AF" w:rsidRPr="00B7760C" w:rsidRDefault="003663AF" w:rsidP="00E804B7">
            <w:pPr>
              <w:pStyle w:val="Normal6"/>
            </w:pPr>
          </w:p>
        </w:tc>
        <w:tc>
          <w:tcPr>
            <w:tcW w:w="4876" w:type="dxa"/>
            <w:hideMark/>
          </w:tcPr>
          <w:p w14:paraId="610C9002" w14:textId="77777777" w:rsidR="003663AF" w:rsidRPr="00B7760C" w:rsidRDefault="003663AF" w:rsidP="00E804B7">
            <w:pPr>
              <w:pStyle w:val="Normal6"/>
              <w:jc w:val="center"/>
              <w:rPr>
                <w:szCs w:val="24"/>
              </w:rPr>
            </w:pPr>
            <w:r w:rsidRPr="00B7760C">
              <w:rPr>
                <w:b/>
                <w:i/>
              </w:rPr>
              <w:t>Člen 110a</w:t>
            </w:r>
          </w:p>
        </w:tc>
      </w:tr>
      <w:tr w:rsidR="003663AF" w:rsidRPr="00B7760C" w14:paraId="09F2ABFE" w14:textId="77777777" w:rsidTr="00E804B7">
        <w:trPr>
          <w:jc w:val="center"/>
        </w:trPr>
        <w:tc>
          <w:tcPr>
            <w:tcW w:w="4876" w:type="dxa"/>
          </w:tcPr>
          <w:p w14:paraId="4ECE06E9" w14:textId="77777777" w:rsidR="003663AF" w:rsidRPr="00B7760C" w:rsidRDefault="003663AF" w:rsidP="00E804B7">
            <w:pPr>
              <w:pStyle w:val="Normal6"/>
            </w:pPr>
          </w:p>
        </w:tc>
        <w:tc>
          <w:tcPr>
            <w:tcW w:w="4876" w:type="dxa"/>
            <w:hideMark/>
          </w:tcPr>
          <w:p w14:paraId="50EC07C3" w14:textId="77777777" w:rsidR="003663AF" w:rsidRPr="00B7760C" w:rsidRDefault="003663AF" w:rsidP="00E804B7">
            <w:pPr>
              <w:pStyle w:val="Normal6"/>
              <w:jc w:val="center"/>
              <w:rPr>
                <w:szCs w:val="24"/>
              </w:rPr>
            </w:pPr>
            <w:r w:rsidRPr="00B7760C">
              <w:rPr>
                <w:b/>
                <w:i/>
              </w:rPr>
              <w:t>Organ za mediacijo</w:t>
            </w:r>
          </w:p>
        </w:tc>
      </w:tr>
      <w:tr w:rsidR="003663AF" w:rsidRPr="00B7760C" w14:paraId="277416BB" w14:textId="77777777" w:rsidTr="00E804B7">
        <w:trPr>
          <w:jc w:val="center"/>
        </w:trPr>
        <w:tc>
          <w:tcPr>
            <w:tcW w:w="4876" w:type="dxa"/>
          </w:tcPr>
          <w:p w14:paraId="3DBCF52F" w14:textId="77777777" w:rsidR="003663AF" w:rsidRPr="00B7760C" w:rsidRDefault="003663AF" w:rsidP="00E804B7">
            <w:pPr>
              <w:pStyle w:val="Normal6"/>
            </w:pPr>
          </w:p>
        </w:tc>
        <w:tc>
          <w:tcPr>
            <w:tcW w:w="4876" w:type="dxa"/>
            <w:hideMark/>
          </w:tcPr>
          <w:p w14:paraId="1516D19C" w14:textId="77777777" w:rsidR="003663AF" w:rsidRPr="00B7760C" w:rsidRDefault="003663AF" w:rsidP="00E804B7">
            <w:pPr>
              <w:pStyle w:val="Normal6"/>
              <w:rPr>
                <w:szCs w:val="24"/>
              </w:rPr>
            </w:pPr>
            <w:r w:rsidRPr="00B7760C">
              <w:rPr>
                <w:b/>
                <w:i/>
              </w:rPr>
              <w:t>Države članice brez poseganja v nacionalne predpise o upravnem in sodnem nadzoru imenujejo funkcionalno neodvisen organ za mediacijo, pooblaščen za ponovni pregled odločitev, ki jih sprejmejo pristojni organi. Ta organ si na zahtevo upravičencev prizadeva doseči, da se zadevne strani dogovorijo o rešitvi. Organ ima potrebno strokovno znanje in zastopanost pristojnih organov in deležnikov.</w:t>
            </w:r>
          </w:p>
        </w:tc>
      </w:tr>
    </w:tbl>
    <w:p w14:paraId="2B98BB3B" w14:textId="77777777" w:rsidR="003663AF" w:rsidRPr="00B7760C" w:rsidRDefault="003663AF" w:rsidP="003663AF"/>
    <w:p w14:paraId="1D53A239" w14:textId="436B925D" w:rsidR="003663AF" w:rsidRPr="00B7760C" w:rsidRDefault="00877691" w:rsidP="003663AF">
      <w:pPr>
        <w:pStyle w:val="AMNumberTabs"/>
        <w:keepNext/>
      </w:pPr>
      <w:r w:rsidRPr="00B7760C">
        <w:t>Sprememba</w:t>
      </w:r>
      <w:r w:rsidR="003663AF" w:rsidRPr="00B7760C">
        <w:tab/>
      </w:r>
      <w:r w:rsidR="003663AF" w:rsidRPr="00B7760C">
        <w:tab/>
        <w:t>637</w:t>
      </w:r>
    </w:p>
    <w:p w14:paraId="2C832BBE" w14:textId="77777777" w:rsidR="003663AF" w:rsidRPr="00B7760C" w:rsidRDefault="003663AF" w:rsidP="003663AF">
      <w:pPr>
        <w:pStyle w:val="NormalBold12b"/>
      </w:pPr>
      <w:r w:rsidRPr="00B7760C">
        <w:t>Predlog uredbe</w:t>
      </w:r>
    </w:p>
    <w:p w14:paraId="3F31D2FE" w14:textId="77777777" w:rsidR="003663AF" w:rsidRPr="00B7760C" w:rsidRDefault="003663AF" w:rsidP="003663AF">
      <w:pPr>
        <w:pStyle w:val="NormalBold"/>
      </w:pPr>
      <w:r w:rsidRPr="00B7760C">
        <w:t>Člen 111 – odstavek 1 – pododstavek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F2C3171" w14:textId="77777777" w:rsidTr="00E804B7">
        <w:trPr>
          <w:jc w:val="center"/>
        </w:trPr>
        <w:tc>
          <w:tcPr>
            <w:tcW w:w="9752" w:type="dxa"/>
            <w:gridSpan w:val="2"/>
          </w:tcPr>
          <w:p w14:paraId="7578323C" w14:textId="77777777" w:rsidR="003663AF" w:rsidRPr="00B7760C" w:rsidRDefault="003663AF" w:rsidP="00E804B7">
            <w:pPr>
              <w:keepNext/>
            </w:pPr>
          </w:p>
        </w:tc>
      </w:tr>
      <w:tr w:rsidR="003663AF" w:rsidRPr="00B7760C" w14:paraId="771FE709" w14:textId="77777777" w:rsidTr="00E804B7">
        <w:trPr>
          <w:jc w:val="center"/>
        </w:trPr>
        <w:tc>
          <w:tcPr>
            <w:tcW w:w="4876" w:type="dxa"/>
            <w:hideMark/>
          </w:tcPr>
          <w:p w14:paraId="7D718973" w14:textId="77777777" w:rsidR="003663AF" w:rsidRPr="00B7760C" w:rsidRDefault="003663AF" w:rsidP="00E804B7">
            <w:pPr>
              <w:pStyle w:val="ColumnHeading"/>
              <w:keepNext/>
            </w:pPr>
            <w:r w:rsidRPr="00B7760C">
              <w:t>Besedilo, ki ga predlaga Komisija</w:t>
            </w:r>
          </w:p>
        </w:tc>
        <w:tc>
          <w:tcPr>
            <w:tcW w:w="4876" w:type="dxa"/>
            <w:hideMark/>
          </w:tcPr>
          <w:p w14:paraId="07B2F2F9" w14:textId="10DADF9E" w:rsidR="003663AF" w:rsidRPr="00B7760C" w:rsidRDefault="00877691" w:rsidP="00E804B7">
            <w:pPr>
              <w:pStyle w:val="ColumnHeading"/>
              <w:keepNext/>
            </w:pPr>
            <w:r w:rsidRPr="00B7760C">
              <w:t>Sprememba</w:t>
            </w:r>
          </w:p>
        </w:tc>
      </w:tr>
      <w:tr w:rsidR="003663AF" w:rsidRPr="00B7760C" w14:paraId="3C45865B" w14:textId="77777777" w:rsidTr="00E804B7">
        <w:trPr>
          <w:jc w:val="center"/>
        </w:trPr>
        <w:tc>
          <w:tcPr>
            <w:tcW w:w="4876" w:type="dxa"/>
            <w:hideMark/>
          </w:tcPr>
          <w:p w14:paraId="1DEF4765" w14:textId="77777777" w:rsidR="003663AF" w:rsidRPr="00B7760C" w:rsidRDefault="003663AF" w:rsidP="00E804B7">
            <w:pPr>
              <w:pStyle w:val="Normal6"/>
            </w:pPr>
            <w:r w:rsidRPr="00B7760C">
              <w:t xml:space="preserve">Država članica </w:t>
            </w:r>
            <w:r w:rsidRPr="00B7760C">
              <w:rPr>
                <w:b/>
                <w:i/>
              </w:rPr>
              <w:t xml:space="preserve">pred predložitvijo strateškega načrta SKP </w:t>
            </w:r>
            <w:r w:rsidRPr="00B7760C">
              <w:t>ustanovi odbor za spremljanje izvajanja strateškega načrta SKP (v nadaljnjem besedilu: odbor za spremljanje).</w:t>
            </w:r>
          </w:p>
        </w:tc>
        <w:tc>
          <w:tcPr>
            <w:tcW w:w="4876" w:type="dxa"/>
            <w:hideMark/>
          </w:tcPr>
          <w:p w14:paraId="7F92C2BB" w14:textId="77777777" w:rsidR="003663AF" w:rsidRPr="00B7760C" w:rsidRDefault="003663AF" w:rsidP="00E804B7">
            <w:pPr>
              <w:pStyle w:val="Normal6"/>
              <w:rPr>
                <w:szCs w:val="24"/>
              </w:rPr>
            </w:pPr>
            <w:r w:rsidRPr="00B7760C">
              <w:t xml:space="preserve">Država članica ustanovi </w:t>
            </w:r>
            <w:r w:rsidRPr="00B7760C">
              <w:rPr>
                <w:b/>
                <w:i/>
              </w:rPr>
              <w:t>nacionalni</w:t>
            </w:r>
            <w:r w:rsidRPr="00B7760C">
              <w:t xml:space="preserve"> odbor za spremljanje izvajanja strateškega načrta SKP (v nadaljnjem besedilu: odbor za spremljanje)</w:t>
            </w:r>
            <w:r w:rsidRPr="00B7760C">
              <w:rPr>
                <w:b/>
                <w:i/>
              </w:rPr>
              <w:t xml:space="preserve"> in po potrebi regionalne odbore za spremljanje</w:t>
            </w:r>
            <w:r w:rsidRPr="00B7760C">
              <w:t>.</w:t>
            </w:r>
          </w:p>
        </w:tc>
      </w:tr>
    </w:tbl>
    <w:p w14:paraId="524025CD" w14:textId="77777777" w:rsidR="003663AF" w:rsidRPr="00B7760C" w:rsidRDefault="003663AF" w:rsidP="003663AF"/>
    <w:p w14:paraId="01F71406" w14:textId="37C15E1B" w:rsidR="003663AF" w:rsidRPr="00B7760C" w:rsidRDefault="00877691" w:rsidP="003663AF">
      <w:pPr>
        <w:pStyle w:val="AMNumberTabs"/>
        <w:keepNext/>
      </w:pPr>
      <w:r w:rsidRPr="00B7760C">
        <w:t>Sprememba</w:t>
      </w:r>
      <w:r w:rsidR="003663AF" w:rsidRPr="00B7760C">
        <w:tab/>
      </w:r>
      <w:r w:rsidR="003663AF" w:rsidRPr="00B7760C">
        <w:tab/>
        <w:t>638</w:t>
      </w:r>
    </w:p>
    <w:p w14:paraId="7EC7E8E4" w14:textId="77777777" w:rsidR="003663AF" w:rsidRPr="00B7760C" w:rsidRDefault="003663AF" w:rsidP="003663AF">
      <w:pPr>
        <w:pStyle w:val="NormalBold12b"/>
      </w:pPr>
      <w:r w:rsidRPr="00B7760C">
        <w:t>Predlog uredbe</w:t>
      </w:r>
    </w:p>
    <w:p w14:paraId="563E744E" w14:textId="77777777" w:rsidR="003663AF" w:rsidRPr="00B7760C" w:rsidRDefault="003663AF" w:rsidP="003663AF">
      <w:pPr>
        <w:pStyle w:val="NormalBold"/>
      </w:pPr>
      <w:r w:rsidRPr="00B7760C">
        <w:t>Člen 111 – odstavek 1 – pododstavek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8E42676" w14:textId="77777777" w:rsidTr="00E804B7">
        <w:trPr>
          <w:jc w:val="center"/>
        </w:trPr>
        <w:tc>
          <w:tcPr>
            <w:tcW w:w="9752" w:type="dxa"/>
            <w:gridSpan w:val="2"/>
          </w:tcPr>
          <w:p w14:paraId="3500C075" w14:textId="77777777" w:rsidR="003663AF" w:rsidRPr="00B7760C" w:rsidRDefault="003663AF" w:rsidP="00E804B7">
            <w:pPr>
              <w:keepNext/>
            </w:pPr>
          </w:p>
        </w:tc>
      </w:tr>
      <w:tr w:rsidR="003663AF" w:rsidRPr="00B7760C" w14:paraId="1166C258" w14:textId="77777777" w:rsidTr="00E804B7">
        <w:trPr>
          <w:jc w:val="center"/>
        </w:trPr>
        <w:tc>
          <w:tcPr>
            <w:tcW w:w="4876" w:type="dxa"/>
            <w:hideMark/>
          </w:tcPr>
          <w:p w14:paraId="63A47487" w14:textId="77777777" w:rsidR="003663AF" w:rsidRPr="00B7760C" w:rsidRDefault="003663AF" w:rsidP="00E804B7">
            <w:pPr>
              <w:pStyle w:val="ColumnHeading"/>
              <w:keepNext/>
            </w:pPr>
            <w:r w:rsidRPr="00B7760C">
              <w:t>Besedilo, ki ga predlaga Komisija</w:t>
            </w:r>
          </w:p>
        </w:tc>
        <w:tc>
          <w:tcPr>
            <w:tcW w:w="4876" w:type="dxa"/>
            <w:hideMark/>
          </w:tcPr>
          <w:p w14:paraId="37173C08" w14:textId="10440402" w:rsidR="003663AF" w:rsidRPr="00B7760C" w:rsidRDefault="00877691" w:rsidP="00E804B7">
            <w:pPr>
              <w:pStyle w:val="ColumnHeading"/>
              <w:keepNext/>
            </w:pPr>
            <w:r w:rsidRPr="00B7760C">
              <w:t>Sprememba</w:t>
            </w:r>
          </w:p>
        </w:tc>
      </w:tr>
      <w:tr w:rsidR="003663AF" w:rsidRPr="00B7760C" w14:paraId="45D002B4" w14:textId="77777777" w:rsidTr="00E804B7">
        <w:trPr>
          <w:jc w:val="center"/>
        </w:trPr>
        <w:tc>
          <w:tcPr>
            <w:tcW w:w="4876" w:type="dxa"/>
            <w:hideMark/>
          </w:tcPr>
          <w:p w14:paraId="2E3A6FBA" w14:textId="77777777" w:rsidR="003663AF" w:rsidRPr="00B7760C" w:rsidRDefault="003663AF" w:rsidP="00E804B7">
            <w:pPr>
              <w:pStyle w:val="Normal6"/>
            </w:pPr>
            <w:r w:rsidRPr="00B7760C">
              <w:t>Vsak odbor za spremljanje sprejme svoj poslovnik.</w:t>
            </w:r>
          </w:p>
        </w:tc>
        <w:tc>
          <w:tcPr>
            <w:tcW w:w="4876" w:type="dxa"/>
            <w:hideMark/>
          </w:tcPr>
          <w:p w14:paraId="12DD1089" w14:textId="77777777" w:rsidR="003663AF" w:rsidRPr="00B7760C" w:rsidRDefault="003663AF" w:rsidP="00E804B7">
            <w:pPr>
              <w:pStyle w:val="Normal6"/>
              <w:rPr>
                <w:szCs w:val="24"/>
              </w:rPr>
            </w:pPr>
            <w:r w:rsidRPr="00B7760C">
              <w:t>Vsak odbor za spremljanje sprejme svoj poslovnik.</w:t>
            </w:r>
            <w:r w:rsidRPr="00B7760C">
              <w:rPr>
                <w:b/>
                <w:i/>
              </w:rPr>
              <w:t xml:space="preserve"> Nacionalni odbor za spremljanje svoj poslovnik sprejme v sodelovanju z regionalnimi odbori za spremljanje.</w:t>
            </w:r>
          </w:p>
        </w:tc>
      </w:tr>
    </w:tbl>
    <w:p w14:paraId="5804904D" w14:textId="77777777" w:rsidR="003663AF" w:rsidRPr="00B7760C" w:rsidRDefault="003663AF" w:rsidP="003663AF"/>
    <w:p w14:paraId="4220BCCE" w14:textId="1C5A7E2C" w:rsidR="003663AF" w:rsidRPr="00B7760C" w:rsidRDefault="00877691" w:rsidP="003663AF">
      <w:pPr>
        <w:pStyle w:val="AMNumberTabs"/>
        <w:keepNext/>
      </w:pPr>
      <w:r w:rsidRPr="00B7760C">
        <w:t>Sprememba</w:t>
      </w:r>
      <w:r w:rsidR="003663AF" w:rsidRPr="00B7760C">
        <w:tab/>
      </w:r>
      <w:r w:rsidR="003663AF" w:rsidRPr="00B7760C">
        <w:tab/>
        <w:t>639</w:t>
      </w:r>
    </w:p>
    <w:p w14:paraId="7CF7F4B6" w14:textId="77777777" w:rsidR="003663AF" w:rsidRPr="00B7760C" w:rsidRDefault="003663AF" w:rsidP="003663AF">
      <w:pPr>
        <w:pStyle w:val="NormalBold12b"/>
      </w:pPr>
      <w:r w:rsidRPr="00B7760C">
        <w:t>Predlog uredbe</w:t>
      </w:r>
    </w:p>
    <w:p w14:paraId="4F73EE11" w14:textId="77777777" w:rsidR="003663AF" w:rsidRPr="00B7760C" w:rsidRDefault="003663AF" w:rsidP="003663AF">
      <w:pPr>
        <w:pStyle w:val="NormalBold"/>
      </w:pPr>
      <w:r w:rsidRPr="00B7760C">
        <w:t>Člen 111 – odstavek 1 – pododstavek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2C79FA9" w14:textId="77777777" w:rsidTr="00E804B7">
        <w:trPr>
          <w:jc w:val="center"/>
        </w:trPr>
        <w:tc>
          <w:tcPr>
            <w:tcW w:w="9752" w:type="dxa"/>
            <w:gridSpan w:val="2"/>
          </w:tcPr>
          <w:p w14:paraId="2D80D712" w14:textId="77777777" w:rsidR="003663AF" w:rsidRPr="00B7760C" w:rsidRDefault="003663AF" w:rsidP="00E804B7">
            <w:pPr>
              <w:keepNext/>
            </w:pPr>
          </w:p>
        </w:tc>
      </w:tr>
      <w:tr w:rsidR="003663AF" w:rsidRPr="00B7760C" w14:paraId="4C1603C2" w14:textId="77777777" w:rsidTr="00E804B7">
        <w:trPr>
          <w:jc w:val="center"/>
        </w:trPr>
        <w:tc>
          <w:tcPr>
            <w:tcW w:w="4876" w:type="dxa"/>
            <w:hideMark/>
          </w:tcPr>
          <w:p w14:paraId="7F44F33A" w14:textId="77777777" w:rsidR="003663AF" w:rsidRPr="00B7760C" w:rsidRDefault="003663AF" w:rsidP="00E804B7">
            <w:pPr>
              <w:pStyle w:val="ColumnHeading"/>
              <w:keepNext/>
            </w:pPr>
            <w:r w:rsidRPr="00B7760C">
              <w:t>Besedilo, ki ga predlaga Komisija</w:t>
            </w:r>
          </w:p>
        </w:tc>
        <w:tc>
          <w:tcPr>
            <w:tcW w:w="4876" w:type="dxa"/>
            <w:hideMark/>
          </w:tcPr>
          <w:p w14:paraId="1333FA4C" w14:textId="56A70F5C" w:rsidR="003663AF" w:rsidRPr="00B7760C" w:rsidRDefault="00877691" w:rsidP="00E804B7">
            <w:pPr>
              <w:pStyle w:val="ColumnHeading"/>
              <w:keepNext/>
            </w:pPr>
            <w:r w:rsidRPr="00B7760C">
              <w:t>Sprememba</w:t>
            </w:r>
          </w:p>
        </w:tc>
      </w:tr>
      <w:tr w:rsidR="003663AF" w:rsidRPr="00B7760C" w14:paraId="2BF58137" w14:textId="77777777" w:rsidTr="00E804B7">
        <w:trPr>
          <w:jc w:val="center"/>
        </w:trPr>
        <w:tc>
          <w:tcPr>
            <w:tcW w:w="4876" w:type="dxa"/>
            <w:hideMark/>
          </w:tcPr>
          <w:p w14:paraId="039B14A1" w14:textId="77777777" w:rsidR="003663AF" w:rsidRPr="00B7760C" w:rsidRDefault="003663AF" w:rsidP="00E804B7">
            <w:pPr>
              <w:pStyle w:val="Normal6"/>
            </w:pPr>
            <w:r w:rsidRPr="00B7760C">
              <w:t>Odbor za spremljanje se sestane najmanj enkrat letno ter pregleda vsa vprašanja, ki vplivajo na napredek pri doseganju ciljnih vrednosti strateškega načrta SKP.</w:t>
            </w:r>
          </w:p>
        </w:tc>
        <w:tc>
          <w:tcPr>
            <w:tcW w:w="4876" w:type="dxa"/>
            <w:hideMark/>
          </w:tcPr>
          <w:p w14:paraId="6F730E39" w14:textId="77777777" w:rsidR="003663AF" w:rsidRPr="00B7760C" w:rsidRDefault="003663AF" w:rsidP="00E804B7">
            <w:pPr>
              <w:pStyle w:val="Normal6"/>
              <w:rPr>
                <w:szCs w:val="24"/>
              </w:rPr>
            </w:pPr>
            <w:r w:rsidRPr="00B7760C">
              <w:t>Odbor za spremljanje se sestane najmanj enkrat letno ter pregleda vsa vprašanja, ki vplivajo na napredek pri doseganju ciljnih vrednosti strateškega načrta SKP</w:t>
            </w:r>
            <w:r w:rsidRPr="00B7760C">
              <w:rPr>
                <w:b/>
                <w:i/>
              </w:rPr>
              <w:t xml:space="preserve"> v njegovi pristojnosti</w:t>
            </w:r>
            <w:r w:rsidRPr="00B7760C">
              <w:t>.</w:t>
            </w:r>
          </w:p>
        </w:tc>
      </w:tr>
    </w:tbl>
    <w:p w14:paraId="046AF306" w14:textId="77777777" w:rsidR="003663AF" w:rsidRPr="00B7760C" w:rsidRDefault="003663AF" w:rsidP="003663AF"/>
    <w:p w14:paraId="15F9F111" w14:textId="7C3BCB95" w:rsidR="003663AF" w:rsidRPr="00B7760C" w:rsidRDefault="00877691" w:rsidP="003663AF">
      <w:pPr>
        <w:pStyle w:val="AMNumberTabs"/>
        <w:keepNext/>
      </w:pPr>
      <w:r w:rsidRPr="00B7760C">
        <w:t>Sprememba</w:t>
      </w:r>
      <w:r w:rsidR="003663AF" w:rsidRPr="00B7760C">
        <w:tab/>
      </w:r>
      <w:r w:rsidR="003663AF" w:rsidRPr="00B7760C">
        <w:tab/>
        <w:t>640</w:t>
      </w:r>
    </w:p>
    <w:p w14:paraId="30A1E262" w14:textId="77777777" w:rsidR="003663AF" w:rsidRPr="00B7760C" w:rsidRDefault="003663AF" w:rsidP="003663AF">
      <w:pPr>
        <w:pStyle w:val="NormalBold12b"/>
      </w:pPr>
      <w:r w:rsidRPr="00B7760C">
        <w:t>Predlog uredbe</w:t>
      </w:r>
    </w:p>
    <w:p w14:paraId="4D768ED6" w14:textId="77777777" w:rsidR="003663AF" w:rsidRPr="00B7760C" w:rsidRDefault="003663AF" w:rsidP="003663AF">
      <w:pPr>
        <w:pStyle w:val="NormalBold"/>
      </w:pPr>
      <w:r w:rsidRPr="00B7760C">
        <w:t>Člen 111 – odstavek 1 – pododstavek 4</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F508DA9" w14:textId="77777777" w:rsidTr="00E804B7">
        <w:trPr>
          <w:jc w:val="center"/>
        </w:trPr>
        <w:tc>
          <w:tcPr>
            <w:tcW w:w="9752" w:type="dxa"/>
            <w:gridSpan w:val="2"/>
          </w:tcPr>
          <w:p w14:paraId="58527B49" w14:textId="77777777" w:rsidR="003663AF" w:rsidRPr="00B7760C" w:rsidRDefault="003663AF" w:rsidP="00E804B7">
            <w:pPr>
              <w:keepNext/>
            </w:pPr>
          </w:p>
        </w:tc>
      </w:tr>
      <w:tr w:rsidR="003663AF" w:rsidRPr="00B7760C" w14:paraId="362F4138" w14:textId="77777777" w:rsidTr="00E804B7">
        <w:trPr>
          <w:jc w:val="center"/>
        </w:trPr>
        <w:tc>
          <w:tcPr>
            <w:tcW w:w="4876" w:type="dxa"/>
            <w:hideMark/>
          </w:tcPr>
          <w:p w14:paraId="00578D0D" w14:textId="77777777" w:rsidR="003663AF" w:rsidRPr="00B7760C" w:rsidRDefault="003663AF" w:rsidP="00E804B7">
            <w:pPr>
              <w:pStyle w:val="ColumnHeading"/>
              <w:keepNext/>
            </w:pPr>
            <w:r w:rsidRPr="00B7760C">
              <w:t>Besedilo, ki ga predlaga Komisija</w:t>
            </w:r>
          </w:p>
        </w:tc>
        <w:tc>
          <w:tcPr>
            <w:tcW w:w="4876" w:type="dxa"/>
            <w:hideMark/>
          </w:tcPr>
          <w:p w14:paraId="39CADA8E" w14:textId="1CFDFD3B" w:rsidR="003663AF" w:rsidRPr="00B7760C" w:rsidRDefault="00877691" w:rsidP="00E804B7">
            <w:pPr>
              <w:pStyle w:val="ColumnHeading"/>
              <w:keepNext/>
            </w:pPr>
            <w:r w:rsidRPr="00B7760C">
              <w:t>Sprememba</w:t>
            </w:r>
          </w:p>
        </w:tc>
      </w:tr>
      <w:tr w:rsidR="003663AF" w:rsidRPr="00B7760C" w14:paraId="507D4E77" w14:textId="77777777" w:rsidTr="00E804B7">
        <w:trPr>
          <w:jc w:val="center"/>
        </w:trPr>
        <w:tc>
          <w:tcPr>
            <w:tcW w:w="4876" w:type="dxa"/>
            <w:hideMark/>
          </w:tcPr>
          <w:p w14:paraId="4DE5DC15" w14:textId="77777777" w:rsidR="003663AF" w:rsidRPr="00B7760C" w:rsidRDefault="003663AF" w:rsidP="00E804B7">
            <w:pPr>
              <w:pStyle w:val="Normal6"/>
            </w:pPr>
            <w:r w:rsidRPr="00B7760C">
              <w:t xml:space="preserve">Država članica na spletu objavi poslovnik odbora za spremljanje ter </w:t>
            </w:r>
            <w:r w:rsidRPr="00B7760C">
              <w:rPr>
                <w:b/>
                <w:i/>
              </w:rPr>
              <w:t xml:space="preserve">vse podatke in informacije, ki </w:t>
            </w:r>
            <w:r w:rsidRPr="00B7760C">
              <w:t xml:space="preserve">jih </w:t>
            </w:r>
            <w:r w:rsidRPr="00B7760C">
              <w:rPr>
                <w:b/>
                <w:i/>
              </w:rPr>
              <w:t>deli z odborom za spremljanje</w:t>
            </w:r>
            <w:r w:rsidRPr="00B7760C">
              <w:t>.</w:t>
            </w:r>
          </w:p>
        </w:tc>
        <w:tc>
          <w:tcPr>
            <w:tcW w:w="4876" w:type="dxa"/>
            <w:hideMark/>
          </w:tcPr>
          <w:p w14:paraId="0638EA33" w14:textId="77777777" w:rsidR="003663AF" w:rsidRPr="00B7760C" w:rsidRDefault="003663AF" w:rsidP="00E804B7">
            <w:pPr>
              <w:pStyle w:val="Normal6"/>
              <w:rPr>
                <w:szCs w:val="24"/>
              </w:rPr>
            </w:pPr>
            <w:r w:rsidRPr="00B7760C">
              <w:t xml:space="preserve">Država članica na spletu objavi poslovnik </w:t>
            </w:r>
            <w:r w:rsidRPr="00B7760C">
              <w:rPr>
                <w:b/>
                <w:i/>
              </w:rPr>
              <w:t xml:space="preserve">in mnenja </w:t>
            </w:r>
            <w:r w:rsidRPr="00B7760C">
              <w:t xml:space="preserve">odbora za spremljanje ter jih </w:t>
            </w:r>
            <w:r w:rsidRPr="00B7760C">
              <w:rPr>
                <w:b/>
                <w:i/>
              </w:rPr>
              <w:t>posreduje Komisiji</w:t>
            </w:r>
            <w:r w:rsidRPr="00B7760C">
              <w:t>.</w:t>
            </w:r>
          </w:p>
        </w:tc>
      </w:tr>
    </w:tbl>
    <w:p w14:paraId="7237FDF3" w14:textId="77777777" w:rsidR="003663AF" w:rsidRPr="00B7760C" w:rsidRDefault="003663AF" w:rsidP="003663AF"/>
    <w:p w14:paraId="6916417F" w14:textId="56E87BB3" w:rsidR="003663AF" w:rsidRPr="00B7760C" w:rsidRDefault="00877691" w:rsidP="003663AF">
      <w:pPr>
        <w:pStyle w:val="AMNumberTabs"/>
        <w:keepNext/>
      </w:pPr>
      <w:r w:rsidRPr="00B7760C">
        <w:t>Sprememba</w:t>
      </w:r>
      <w:r w:rsidR="003663AF" w:rsidRPr="00B7760C">
        <w:tab/>
      </w:r>
      <w:r w:rsidR="003663AF" w:rsidRPr="00B7760C">
        <w:tab/>
        <w:t>641</w:t>
      </w:r>
    </w:p>
    <w:p w14:paraId="15DB8679" w14:textId="77777777" w:rsidR="003663AF" w:rsidRPr="00B7760C" w:rsidRDefault="003663AF" w:rsidP="003663AF">
      <w:pPr>
        <w:pStyle w:val="NormalBold12b"/>
      </w:pPr>
      <w:r w:rsidRPr="00B7760C">
        <w:t>Predlog uredbe</w:t>
      </w:r>
    </w:p>
    <w:p w14:paraId="21C28190" w14:textId="77777777" w:rsidR="003663AF" w:rsidRPr="00B7760C" w:rsidRDefault="003663AF" w:rsidP="003663AF">
      <w:pPr>
        <w:pStyle w:val="NormalBold"/>
      </w:pPr>
      <w:r w:rsidRPr="00B7760C">
        <w:t>Člen 111 – odstavek 2 – pododstavek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8875AC2" w14:textId="77777777" w:rsidTr="00E804B7">
        <w:trPr>
          <w:jc w:val="center"/>
        </w:trPr>
        <w:tc>
          <w:tcPr>
            <w:tcW w:w="9752" w:type="dxa"/>
            <w:gridSpan w:val="2"/>
          </w:tcPr>
          <w:p w14:paraId="3DF12E3B" w14:textId="77777777" w:rsidR="003663AF" w:rsidRPr="00B7760C" w:rsidRDefault="003663AF" w:rsidP="00E804B7">
            <w:pPr>
              <w:keepNext/>
            </w:pPr>
          </w:p>
        </w:tc>
      </w:tr>
      <w:tr w:rsidR="003663AF" w:rsidRPr="00B7760C" w14:paraId="696A9E1A" w14:textId="77777777" w:rsidTr="00E804B7">
        <w:trPr>
          <w:jc w:val="center"/>
        </w:trPr>
        <w:tc>
          <w:tcPr>
            <w:tcW w:w="4876" w:type="dxa"/>
            <w:hideMark/>
          </w:tcPr>
          <w:p w14:paraId="2BB1AFB3" w14:textId="77777777" w:rsidR="003663AF" w:rsidRPr="00B7760C" w:rsidRDefault="003663AF" w:rsidP="00E804B7">
            <w:pPr>
              <w:pStyle w:val="ColumnHeading"/>
              <w:keepNext/>
            </w:pPr>
            <w:r w:rsidRPr="00B7760C">
              <w:t>Besedilo, ki ga predlaga Komisija</w:t>
            </w:r>
          </w:p>
        </w:tc>
        <w:tc>
          <w:tcPr>
            <w:tcW w:w="4876" w:type="dxa"/>
            <w:hideMark/>
          </w:tcPr>
          <w:p w14:paraId="5AAE3D18" w14:textId="2FDE75DE" w:rsidR="003663AF" w:rsidRPr="00B7760C" w:rsidRDefault="00877691" w:rsidP="00E804B7">
            <w:pPr>
              <w:pStyle w:val="ColumnHeading"/>
              <w:keepNext/>
            </w:pPr>
            <w:r w:rsidRPr="00B7760C">
              <w:t>Sprememba</w:t>
            </w:r>
          </w:p>
        </w:tc>
      </w:tr>
      <w:tr w:rsidR="003663AF" w:rsidRPr="00B7760C" w14:paraId="09C9A44A" w14:textId="77777777" w:rsidTr="00E804B7">
        <w:trPr>
          <w:jc w:val="center"/>
        </w:trPr>
        <w:tc>
          <w:tcPr>
            <w:tcW w:w="4876" w:type="dxa"/>
            <w:hideMark/>
          </w:tcPr>
          <w:p w14:paraId="3A404A3A" w14:textId="77777777" w:rsidR="003663AF" w:rsidRPr="00B7760C" w:rsidRDefault="003663AF" w:rsidP="00E804B7">
            <w:pPr>
              <w:pStyle w:val="Normal6"/>
            </w:pPr>
            <w:r w:rsidRPr="00B7760C">
              <w:t xml:space="preserve">O sestavi </w:t>
            </w:r>
            <w:r w:rsidRPr="00B7760C">
              <w:rPr>
                <w:b/>
                <w:i/>
              </w:rPr>
              <w:t>odbora</w:t>
            </w:r>
            <w:r w:rsidRPr="00B7760C">
              <w:t xml:space="preserve"> za spremljanje odloči država članica in </w:t>
            </w:r>
            <w:r w:rsidRPr="00B7760C">
              <w:rPr>
                <w:b/>
                <w:i/>
              </w:rPr>
              <w:t>zagotovi</w:t>
            </w:r>
            <w:r w:rsidRPr="00B7760C">
              <w:t>, da so v njem uravnoteženo zastopani ustrezni javni organi in posredniški organi ter predstavniki partnerjev iz člena 94(3).</w:t>
            </w:r>
          </w:p>
        </w:tc>
        <w:tc>
          <w:tcPr>
            <w:tcW w:w="4876" w:type="dxa"/>
            <w:hideMark/>
          </w:tcPr>
          <w:p w14:paraId="4F6C536F" w14:textId="77777777" w:rsidR="003663AF" w:rsidRPr="00B7760C" w:rsidRDefault="003663AF" w:rsidP="00E804B7">
            <w:pPr>
              <w:pStyle w:val="Normal6"/>
              <w:rPr>
                <w:szCs w:val="24"/>
              </w:rPr>
            </w:pPr>
            <w:r w:rsidRPr="00B7760C">
              <w:t xml:space="preserve">O sestavi </w:t>
            </w:r>
            <w:r w:rsidRPr="00B7760C">
              <w:rPr>
                <w:b/>
                <w:i/>
              </w:rPr>
              <w:t>odborov</w:t>
            </w:r>
            <w:r w:rsidRPr="00B7760C">
              <w:t xml:space="preserve"> za spremljanje</w:t>
            </w:r>
            <w:r w:rsidRPr="00B7760C">
              <w:rPr>
                <w:b/>
                <w:i/>
              </w:rPr>
              <w:t>, in sicer ob ustreznem upoštevanju preprečevanja nasprotij interesov,</w:t>
            </w:r>
            <w:r w:rsidRPr="00B7760C">
              <w:t xml:space="preserve"> odloči država članica in </w:t>
            </w:r>
            <w:r w:rsidRPr="00B7760C">
              <w:rPr>
                <w:b/>
                <w:i/>
              </w:rPr>
              <w:t>po potrebi regije ter zagotovijo</w:t>
            </w:r>
            <w:r w:rsidRPr="00B7760C">
              <w:t>, da so v njem uravnoteženo zastopani ustrezni javni organi in posredniški organi ter predstavniki partnerjev iz člena 94(3</w:t>
            </w:r>
            <w:r w:rsidRPr="00B7760C">
              <w:rPr>
                <w:b/>
                <w:i/>
              </w:rPr>
              <w:t>), ki so pomembni za izvajanje vseh ciljev iz člena 6(1</w:t>
            </w:r>
            <w:r w:rsidRPr="00B7760C">
              <w:t>).</w:t>
            </w:r>
          </w:p>
        </w:tc>
      </w:tr>
    </w:tbl>
    <w:p w14:paraId="17B071FE" w14:textId="77777777" w:rsidR="003663AF" w:rsidRPr="00B7760C" w:rsidRDefault="003663AF" w:rsidP="003663AF"/>
    <w:p w14:paraId="6711DF35" w14:textId="045C9873" w:rsidR="003663AF" w:rsidRPr="00B7760C" w:rsidRDefault="00877691" w:rsidP="003663AF">
      <w:pPr>
        <w:pStyle w:val="AMNumberTabs"/>
        <w:keepNext/>
      </w:pPr>
      <w:r w:rsidRPr="00B7760C">
        <w:t>Sprememba</w:t>
      </w:r>
      <w:r w:rsidR="003663AF" w:rsidRPr="00B7760C">
        <w:tab/>
      </w:r>
      <w:r w:rsidR="003663AF" w:rsidRPr="00B7760C">
        <w:tab/>
        <w:t>642</w:t>
      </w:r>
    </w:p>
    <w:p w14:paraId="33ACEE77" w14:textId="77777777" w:rsidR="003663AF" w:rsidRPr="00B7760C" w:rsidRDefault="003663AF" w:rsidP="003663AF">
      <w:pPr>
        <w:pStyle w:val="NormalBold12b"/>
      </w:pPr>
      <w:r w:rsidRPr="00B7760C">
        <w:t>Predlog uredbe</w:t>
      </w:r>
    </w:p>
    <w:p w14:paraId="0C450886" w14:textId="77777777" w:rsidR="003663AF" w:rsidRPr="00B7760C" w:rsidRDefault="003663AF" w:rsidP="003663AF">
      <w:pPr>
        <w:pStyle w:val="NormalBold"/>
      </w:pPr>
      <w:r w:rsidRPr="00B7760C">
        <w:t>Člen 111 – odstavek 2 – pododstavek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81F59A9" w14:textId="77777777" w:rsidTr="00E804B7">
        <w:trPr>
          <w:jc w:val="center"/>
        </w:trPr>
        <w:tc>
          <w:tcPr>
            <w:tcW w:w="9752" w:type="dxa"/>
            <w:gridSpan w:val="2"/>
          </w:tcPr>
          <w:p w14:paraId="4F64C67C" w14:textId="77777777" w:rsidR="003663AF" w:rsidRPr="00B7760C" w:rsidRDefault="003663AF" w:rsidP="00E804B7">
            <w:pPr>
              <w:keepNext/>
            </w:pPr>
          </w:p>
        </w:tc>
      </w:tr>
      <w:tr w:rsidR="003663AF" w:rsidRPr="00B7760C" w14:paraId="04A2EB52" w14:textId="77777777" w:rsidTr="00E804B7">
        <w:trPr>
          <w:jc w:val="center"/>
        </w:trPr>
        <w:tc>
          <w:tcPr>
            <w:tcW w:w="4876" w:type="dxa"/>
            <w:hideMark/>
          </w:tcPr>
          <w:p w14:paraId="15BFA7B3" w14:textId="77777777" w:rsidR="003663AF" w:rsidRPr="00B7760C" w:rsidRDefault="003663AF" w:rsidP="00E804B7">
            <w:pPr>
              <w:pStyle w:val="ColumnHeading"/>
              <w:keepNext/>
            </w:pPr>
            <w:r w:rsidRPr="00B7760C">
              <w:t>Besedilo, ki ga predlaga Komisija</w:t>
            </w:r>
          </w:p>
        </w:tc>
        <w:tc>
          <w:tcPr>
            <w:tcW w:w="4876" w:type="dxa"/>
            <w:hideMark/>
          </w:tcPr>
          <w:p w14:paraId="749148CE" w14:textId="6F511C3C" w:rsidR="003663AF" w:rsidRPr="00B7760C" w:rsidRDefault="00877691" w:rsidP="00E804B7">
            <w:pPr>
              <w:pStyle w:val="ColumnHeading"/>
              <w:keepNext/>
            </w:pPr>
            <w:r w:rsidRPr="00B7760C">
              <w:t>Sprememba</w:t>
            </w:r>
          </w:p>
        </w:tc>
      </w:tr>
      <w:tr w:rsidR="003663AF" w:rsidRPr="00B7760C" w14:paraId="3A14ADAA" w14:textId="77777777" w:rsidTr="00E804B7">
        <w:trPr>
          <w:jc w:val="center"/>
        </w:trPr>
        <w:tc>
          <w:tcPr>
            <w:tcW w:w="4876" w:type="dxa"/>
            <w:hideMark/>
          </w:tcPr>
          <w:p w14:paraId="792A4C3A" w14:textId="77777777" w:rsidR="003663AF" w:rsidRPr="00B7760C" w:rsidRDefault="003663AF" w:rsidP="00E804B7">
            <w:pPr>
              <w:pStyle w:val="Normal6"/>
            </w:pPr>
            <w:r w:rsidRPr="00B7760C">
              <w:t>Država članica objavi seznam članov odbora za spremljanje na spletu.</w:t>
            </w:r>
          </w:p>
        </w:tc>
        <w:tc>
          <w:tcPr>
            <w:tcW w:w="4876" w:type="dxa"/>
            <w:hideMark/>
          </w:tcPr>
          <w:p w14:paraId="66BB4A0C" w14:textId="77777777" w:rsidR="003663AF" w:rsidRPr="00B7760C" w:rsidRDefault="003663AF" w:rsidP="00E804B7">
            <w:pPr>
              <w:pStyle w:val="Normal6"/>
              <w:rPr>
                <w:szCs w:val="24"/>
              </w:rPr>
            </w:pPr>
            <w:r w:rsidRPr="00B7760C">
              <w:t>Država članica objavi seznam članov odbora za spremljanje na spletu</w:t>
            </w:r>
            <w:r w:rsidRPr="00B7760C">
              <w:rPr>
                <w:b/>
                <w:i/>
              </w:rPr>
              <w:t xml:space="preserve"> in o njem obvesti Komisijo</w:t>
            </w:r>
            <w:r w:rsidRPr="00B7760C">
              <w:t>.</w:t>
            </w:r>
          </w:p>
        </w:tc>
      </w:tr>
    </w:tbl>
    <w:p w14:paraId="46571D89" w14:textId="77777777" w:rsidR="003663AF" w:rsidRPr="00B7760C" w:rsidRDefault="003663AF" w:rsidP="003663AF"/>
    <w:p w14:paraId="1714F540" w14:textId="15B52D4D" w:rsidR="003663AF" w:rsidRPr="00B7760C" w:rsidRDefault="00877691" w:rsidP="003663AF">
      <w:pPr>
        <w:pStyle w:val="AMNumberTabs"/>
        <w:keepNext/>
      </w:pPr>
      <w:r w:rsidRPr="00B7760C">
        <w:t>Sprememba</w:t>
      </w:r>
      <w:r w:rsidR="003663AF" w:rsidRPr="00B7760C">
        <w:tab/>
      </w:r>
      <w:r w:rsidR="003663AF" w:rsidRPr="00B7760C">
        <w:tab/>
        <w:t>643</w:t>
      </w:r>
    </w:p>
    <w:p w14:paraId="1A1161FB" w14:textId="77777777" w:rsidR="003663AF" w:rsidRPr="00B7760C" w:rsidRDefault="003663AF" w:rsidP="003663AF">
      <w:pPr>
        <w:pStyle w:val="NormalBold12b"/>
      </w:pPr>
      <w:r w:rsidRPr="00B7760C">
        <w:t>Predlog uredbe</w:t>
      </w:r>
    </w:p>
    <w:p w14:paraId="27E8A9D6" w14:textId="77777777" w:rsidR="003663AF" w:rsidRPr="00B7760C" w:rsidRDefault="003663AF" w:rsidP="003663AF">
      <w:pPr>
        <w:pStyle w:val="NormalBold"/>
      </w:pPr>
      <w:r w:rsidRPr="00B7760C">
        <w:t>Člen 111 – odstavek 3 – uvodni del</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1841274" w14:textId="77777777" w:rsidTr="00E804B7">
        <w:trPr>
          <w:jc w:val="center"/>
        </w:trPr>
        <w:tc>
          <w:tcPr>
            <w:tcW w:w="9752" w:type="dxa"/>
            <w:gridSpan w:val="2"/>
          </w:tcPr>
          <w:p w14:paraId="23C82D71" w14:textId="77777777" w:rsidR="003663AF" w:rsidRPr="00B7760C" w:rsidRDefault="003663AF" w:rsidP="00E804B7">
            <w:pPr>
              <w:keepNext/>
            </w:pPr>
          </w:p>
        </w:tc>
      </w:tr>
      <w:tr w:rsidR="003663AF" w:rsidRPr="00B7760C" w14:paraId="1FBF7B49" w14:textId="77777777" w:rsidTr="00E804B7">
        <w:trPr>
          <w:jc w:val="center"/>
        </w:trPr>
        <w:tc>
          <w:tcPr>
            <w:tcW w:w="4876" w:type="dxa"/>
            <w:hideMark/>
          </w:tcPr>
          <w:p w14:paraId="52C4D424" w14:textId="77777777" w:rsidR="003663AF" w:rsidRPr="00B7760C" w:rsidRDefault="003663AF" w:rsidP="00E804B7">
            <w:pPr>
              <w:pStyle w:val="ColumnHeading"/>
              <w:keepNext/>
            </w:pPr>
            <w:r w:rsidRPr="00B7760C">
              <w:t>Besedilo, ki ga predlaga Komisija</w:t>
            </w:r>
          </w:p>
        </w:tc>
        <w:tc>
          <w:tcPr>
            <w:tcW w:w="4876" w:type="dxa"/>
            <w:hideMark/>
          </w:tcPr>
          <w:p w14:paraId="640B4769" w14:textId="62978E0E" w:rsidR="003663AF" w:rsidRPr="00B7760C" w:rsidRDefault="00877691" w:rsidP="00E804B7">
            <w:pPr>
              <w:pStyle w:val="ColumnHeading"/>
              <w:keepNext/>
            </w:pPr>
            <w:r w:rsidRPr="00B7760C">
              <w:t>Sprememba</w:t>
            </w:r>
          </w:p>
        </w:tc>
      </w:tr>
      <w:tr w:rsidR="003663AF" w:rsidRPr="00B7760C" w14:paraId="3E04F7B2" w14:textId="77777777" w:rsidTr="00E804B7">
        <w:trPr>
          <w:jc w:val="center"/>
        </w:trPr>
        <w:tc>
          <w:tcPr>
            <w:tcW w:w="4876" w:type="dxa"/>
            <w:hideMark/>
          </w:tcPr>
          <w:p w14:paraId="0FE967D4" w14:textId="77777777" w:rsidR="003663AF" w:rsidRPr="00B7760C" w:rsidRDefault="003663AF" w:rsidP="00E804B7">
            <w:pPr>
              <w:pStyle w:val="Normal6"/>
            </w:pPr>
            <w:r w:rsidRPr="00B7760C">
              <w:t>3.</w:t>
            </w:r>
            <w:r w:rsidRPr="00B7760C">
              <w:tab/>
            </w:r>
            <w:r w:rsidRPr="00B7760C">
              <w:rPr>
                <w:b/>
                <w:i/>
              </w:rPr>
              <w:t>Odbor</w:t>
            </w:r>
            <w:r w:rsidRPr="00B7760C">
              <w:t xml:space="preserve"> za spremljanje </w:t>
            </w:r>
            <w:r w:rsidRPr="00B7760C">
              <w:rPr>
                <w:b/>
                <w:i/>
              </w:rPr>
              <w:t>preverja</w:t>
            </w:r>
            <w:r w:rsidRPr="00B7760C">
              <w:t xml:space="preserve"> zlasti:</w:t>
            </w:r>
          </w:p>
        </w:tc>
        <w:tc>
          <w:tcPr>
            <w:tcW w:w="4876" w:type="dxa"/>
            <w:hideMark/>
          </w:tcPr>
          <w:p w14:paraId="0840EE5C" w14:textId="77777777" w:rsidR="003663AF" w:rsidRPr="00B7760C" w:rsidRDefault="003663AF" w:rsidP="00E804B7">
            <w:pPr>
              <w:pStyle w:val="Normal6"/>
              <w:rPr>
                <w:szCs w:val="24"/>
              </w:rPr>
            </w:pPr>
            <w:r w:rsidRPr="00B7760C">
              <w:t>3.</w:t>
            </w:r>
            <w:r w:rsidRPr="00B7760C">
              <w:tab/>
            </w:r>
            <w:r w:rsidRPr="00B7760C">
              <w:rPr>
                <w:b/>
                <w:i/>
              </w:rPr>
              <w:t>Odbori</w:t>
            </w:r>
            <w:r w:rsidRPr="00B7760C">
              <w:t xml:space="preserve"> za spremljanje </w:t>
            </w:r>
            <w:r w:rsidRPr="00B7760C">
              <w:rPr>
                <w:b/>
                <w:i/>
              </w:rPr>
              <w:t>preverjajo</w:t>
            </w:r>
            <w:r w:rsidRPr="00B7760C">
              <w:t xml:space="preserve"> zlasti:</w:t>
            </w:r>
          </w:p>
        </w:tc>
      </w:tr>
    </w:tbl>
    <w:p w14:paraId="5F9F2AF3" w14:textId="77777777" w:rsidR="003663AF" w:rsidRPr="00B7760C" w:rsidRDefault="003663AF" w:rsidP="003663AF"/>
    <w:p w14:paraId="7FEB9BAD" w14:textId="77777777" w:rsidR="003663AF" w:rsidRPr="00B7760C" w:rsidRDefault="003663AF" w:rsidP="003663AF"/>
    <w:p w14:paraId="0CC0262D" w14:textId="05230E22" w:rsidR="003663AF" w:rsidRPr="00B7760C" w:rsidRDefault="00877691" w:rsidP="003663AF">
      <w:pPr>
        <w:pStyle w:val="AMNumberTabs"/>
        <w:keepNext/>
      </w:pPr>
      <w:r w:rsidRPr="00B7760C">
        <w:t>Sprememba</w:t>
      </w:r>
      <w:r w:rsidR="003663AF" w:rsidRPr="00B7760C">
        <w:tab/>
      </w:r>
      <w:r w:rsidR="003663AF" w:rsidRPr="00B7760C">
        <w:tab/>
        <w:t>645</w:t>
      </w:r>
    </w:p>
    <w:p w14:paraId="4285363C" w14:textId="77777777" w:rsidR="003663AF" w:rsidRPr="00B7760C" w:rsidRDefault="003663AF" w:rsidP="003663AF">
      <w:pPr>
        <w:pStyle w:val="NormalBold12b"/>
      </w:pPr>
      <w:r w:rsidRPr="00B7760C">
        <w:t>Predlog uredbe</w:t>
      </w:r>
    </w:p>
    <w:p w14:paraId="0B7E63E2" w14:textId="77777777" w:rsidR="003663AF" w:rsidRPr="00B7760C" w:rsidRDefault="003663AF" w:rsidP="003663AF">
      <w:pPr>
        <w:pStyle w:val="NormalBold"/>
      </w:pPr>
      <w:r w:rsidRPr="00B7760C">
        <w:t>Člen 111 – odstavek 3 – točka d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56538C5" w14:textId="77777777" w:rsidTr="00E804B7">
        <w:trPr>
          <w:jc w:val="center"/>
        </w:trPr>
        <w:tc>
          <w:tcPr>
            <w:tcW w:w="9752" w:type="dxa"/>
            <w:gridSpan w:val="2"/>
          </w:tcPr>
          <w:p w14:paraId="0ACA7E8A" w14:textId="77777777" w:rsidR="003663AF" w:rsidRPr="00B7760C" w:rsidRDefault="003663AF" w:rsidP="00E804B7">
            <w:pPr>
              <w:keepNext/>
            </w:pPr>
          </w:p>
        </w:tc>
      </w:tr>
      <w:tr w:rsidR="003663AF" w:rsidRPr="00B7760C" w14:paraId="30F0A015" w14:textId="77777777" w:rsidTr="00E804B7">
        <w:trPr>
          <w:jc w:val="center"/>
        </w:trPr>
        <w:tc>
          <w:tcPr>
            <w:tcW w:w="4876" w:type="dxa"/>
            <w:hideMark/>
          </w:tcPr>
          <w:p w14:paraId="673F9FBA" w14:textId="77777777" w:rsidR="003663AF" w:rsidRPr="00B7760C" w:rsidRDefault="003663AF" w:rsidP="00E804B7">
            <w:pPr>
              <w:pStyle w:val="ColumnHeading"/>
              <w:keepNext/>
            </w:pPr>
            <w:r w:rsidRPr="00B7760C">
              <w:t>Besedilo, ki ga predlaga Komisija</w:t>
            </w:r>
          </w:p>
        </w:tc>
        <w:tc>
          <w:tcPr>
            <w:tcW w:w="4876" w:type="dxa"/>
            <w:hideMark/>
          </w:tcPr>
          <w:p w14:paraId="0EDF8B53" w14:textId="2CE1D5D7" w:rsidR="003663AF" w:rsidRPr="00B7760C" w:rsidRDefault="00877691" w:rsidP="00E804B7">
            <w:pPr>
              <w:pStyle w:val="ColumnHeading"/>
              <w:keepNext/>
            </w:pPr>
            <w:r w:rsidRPr="00B7760C">
              <w:t>Sprememba</w:t>
            </w:r>
          </w:p>
        </w:tc>
      </w:tr>
      <w:tr w:rsidR="003663AF" w:rsidRPr="00B7760C" w14:paraId="707E89D9" w14:textId="77777777" w:rsidTr="00E804B7">
        <w:trPr>
          <w:jc w:val="center"/>
        </w:trPr>
        <w:tc>
          <w:tcPr>
            <w:tcW w:w="4876" w:type="dxa"/>
          </w:tcPr>
          <w:p w14:paraId="1A3A108F" w14:textId="77777777" w:rsidR="003663AF" w:rsidRPr="00B7760C" w:rsidRDefault="003663AF" w:rsidP="00E804B7">
            <w:pPr>
              <w:pStyle w:val="Normal6"/>
            </w:pPr>
          </w:p>
        </w:tc>
        <w:tc>
          <w:tcPr>
            <w:tcW w:w="4876" w:type="dxa"/>
            <w:hideMark/>
          </w:tcPr>
          <w:p w14:paraId="409A0A00" w14:textId="77777777" w:rsidR="003663AF" w:rsidRPr="00B7760C" w:rsidRDefault="003663AF" w:rsidP="00E804B7">
            <w:pPr>
              <w:pStyle w:val="Normal6"/>
              <w:rPr>
                <w:szCs w:val="24"/>
              </w:rPr>
            </w:pPr>
            <w:r w:rsidRPr="00B7760C">
              <w:rPr>
                <w:b/>
                <w:i/>
              </w:rPr>
              <w:t>(da)</w:t>
            </w:r>
            <w:r w:rsidRPr="00B7760C">
              <w:rPr>
                <w:b/>
                <w:i/>
              </w:rPr>
              <w:tab/>
              <w:t>ustrezne informacije, ki jih zagotovi nacionalna mreža SKP;</w:t>
            </w:r>
          </w:p>
        </w:tc>
      </w:tr>
    </w:tbl>
    <w:p w14:paraId="417B4098" w14:textId="77777777" w:rsidR="003663AF" w:rsidRPr="00B7760C" w:rsidRDefault="003663AF" w:rsidP="003663AF"/>
    <w:p w14:paraId="3069DD50" w14:textId="6ED56861" w:rsidR="003663AF" w:rsidRPr="00B7760C" w:rsidRDefault="00877691" w:rsidP="003663AF">
      <w:pPr>
        <w:pStyle w:val="AMNumberTabs"/>
        <w:keepNext/>
      </w:pPr>
      <w:r w:rsidRPr="00B7760C">
        <w:t>Sprememba</w:t>
      </w:r>
      <w:r w:rsidR="003663AF" w:rsidRPr="00B7760C">
        <w:tab/>
      </w:r>
      <w:r w:rsidR="003663AF" w:rsidRPr="00B7760C">
        <w:tab/>
        <w:t>646</w:t>
      </w:r>
    </w:p>
    <w:p w14:paraId="685C1496" w14:textId="77777777" w:rsidR="003663AF" w:rsidRPr="00B7760C" w:rsidRDefault="003663AF" w:rsidP="003663AF">
      <w:pPr>
        <w:pStyle w:val="NormalBold12b"/>
      </w:pPr>
      <w:r w:rsidRPr="00B7760C">
        <w:t>Predlog uredbe</w:t>
      </w:r>
    </w:p>
    <w:p w14:paraId="2F8EA61F" w14:textId="77777777" w:rsidR="003663AF" w:rsidRPr="00B7760C" w:rsidRDefault="003663AF" w:rsidP="003663AF">
      <w:pPr>
        <w:pStyle w:val="NormalBold"/>
      </w:pPr>
      <w:r w:rsidRPr="00B7760C">
        <w:t>Člen 111 – odstavek 3 – točka f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648047F" w14:textId="77777777" w:rsidTr="00E804B7">
        <w:trPr>
          <w:jc w:val="center"/>
        </w:trPr>
        <w:tc>
          <w:tcPr>
            <w:tcW w:w="9752" w:type="dxa"/>
            <w:gridSpan w:val="2"/>
          </w:tcPr>
          <w:p w14:paraId="0E87AEC2" w14:textId="77777777" w:rsidR="003663AF" w:rsidRPr="00B7760C" w:rsidRDefault="003663AF" w:rsidP="00E804B7">
            <w:pPr>
              <w:keepNext/>
            </w:pPr>
          </w:p>
        </w:tc>
      </w:tr>
      <w:tr w:rsidR="003663AF" w:rsidRPr="00B7760C" w14:paraId="44837E7B" w14:textId="77777777" w:rsidTr="00E804B7">
        <w:trPr>
          <w:jc w:val="center"/>
        </w:trPr>
        <w:tc>
          <w:tcPr>
            <w:tcW w:w="4876" w:type="dxa"/>
            <w:hideMark/>
          </w:tcPr>
          <w:p w14:paraId="13E14293" w14:textId="77777777" w:rsidR="003663AF" w:rsidRPr="00B7760C" w:rsidRDefault="003663AF" w:rsidP="00E804B7">
            <w:pPr>
              <w:pStyle w:val="ColumnHeading"/>
              <w:keepNext/>
            </w:pPr>
            <w:r w:rsidRPr="00B7760C">
              <w:t>Besedilo, ki ga predlaga Komisija</w:t>
            </w:r>
          </w:p>
        </w:tc>
        <w:tc>
          <w:tcPr>
            <w:tcW w:w="4876" w:type="dxa"/>
            <w:hideMark/>
          </w:tcPr>
          <w:p w14:paraId="43C3AAFD" w14:textId="0C1231D3" w:rsidR="003663AF" w:rsidRPr="00B7760C" w:rsidRDefault="00877691" w:rsidP="00E804B7">
            <w:pPr>
              <w:pStyle w:val="ColumnHeading"/>
              <w:keepNext/>
            </w:pPr>
            <w:r w:rsidRPr="00B7760C">
              <w:t>Sprememba</w:t>
            </w:r>
          </w:p>
        </w:tc>
      </w:tr>
      <w:tr w:rsidR="003663AF" w:rsidRPr="00B7760C" w14:paraId="6A9274AE" w14:textId="77777777" w:rsidTr="00E804B7">
        <w:trPr>
          <w:jc w:val="center"/>
        </w:trPr>
        <w:tc>
          <w:tcPr>
            <w:tcW w:w="4876" w:type="dxa"/>
          </w:tcPr>
          <w:p w14:paraId="039814F8" w14:textId="77777777" w:rsidR="003663AF" w:rsidRPr="00B7760C" w:rsidRDefault="003663AF" w:rsidP="00E804B7">
            <w:pPr>
              <w:pStyle w:val="Normal6"/>
            </w:pPr>
          </w:p>
        </w:tc>
        <w:tc>
          <w:tcPr>
            <w:tcW w:w="4876" w:type="dxa"/>
            <w:hideMark/>
          </w:tcPr>
          <w:p w14:paraId="7C69313A" w14:textId="77777777" w:rsidR="003663AF" w:rsidRPr="00B7760C" w:rsidRDefault="003663AF" w:rsidP="00E804B7">
            <w:pPr>
              <w:pStyle w:val="Normal6"/>
              <w:rPr>
                <w:szCs w:val="24"/>
              </w:rPr>
            </w:pPr>
            <w:r w:rsidRPr="00B7760C">
              <w:rPr>
                <w:b/>
                <w:i/>
              </w:rPr>
              <w:t>(fa)</w:t>
            </w:r>
            <w:r w:rsidRPr="00B7760C">
              <w:rPr>
                <w:b/>
                <w:i/>
              </w:rPr>
              <w:tab/>
              <w:t>poročila o smotrnosti;</w:t>
            </w:r>
          </w:p>
        </w:tc>
      </w:tr>
    </w:tbl>
    <w:p w14:paraId="0F9325BC" w14:textId="77777777" w:rsidR="003663AF" w:rsidRPr="00B7760C" w:rsidRDefault="003663AF" w:rsidP="003663AF"/>
    <w:p w14:paraId="1B1B4DB4" w14:textId="310E2460" w:rsidR="003663AF" w:rsidRPr="00B7760C" w:rsidRDefault="00877691" w:rsidP="003663AF">
      <w:pPr>
        <w:pStyle w:val="AMNumberTabs"/>
        <w:keepNext/>
      </w:pPr>
      <w:r w:rsidRPr="00B7760C">
        <w:t>Sprememba</w:t>
      </w:r>
      <w:r w:rsidR="003663AF" w:rsidRPr="00B7760C">
        <w:tab/>
      </w:r>
      <w:r w:rsidR="003663AF" w:rsidRPr="00B7760C">
        <w:tab/>
        <w:t>647</w:t>
      </w:r>
    </w:p>
    <w:p w14:paraId="0180B2E8" w14:textId="77777777" w:rsidR="003663AF" w:rsidRPr="00B7760C" w:rsidRDefault="003663AF" w:rsidP="003663AF">
      <w:pPr>
        <w:pStyle w:val="NormalBold12b"/>
      </w:pPr>
      <w:r w:rsidRPr="00B7760C">
        <w:t>Predlog uredbe</w:t>
      </w:r>
    </w:p>
    <w:p w14:paraId="415C30D1" w14:textId="77777777" w:rsidR="003663AF" w:rsidRPr="00B7760C" w:rsidRDefault="003663AF" w:rsidP="003663AF">
      <w:pPr>
        <w:pStyle w:val="NormalBold"/>
      </w:pPr>
      <w:r w:rsidRPr="00B7760C">
        <w:t>Člen 111 – odstavek 3 – točka f b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B1E77AF" w14:textId="77777777" w:rsidTr="00E804B7">
        <w:trPr>
          <w:jc w:val="center"/>
        </w:trPr>
        <w:tc>
          <w:tcPr>
            <w:tcW w:w="9752" w:type="dxa"/>
            <w:gridSpan w:val="2"/>
          </w:tcPr>
          <w:p w14:paraId="08C9A729" w14:textId="77777777" w:rsidR="003663AF" w:rsidRPr="00B7760C" w:rsidRDefault="003663AF" w:rsidP="00E804B7">
            <w:pPr>
              <w:keepNext/>
            </w:pPr>
          </w:p>
        </w:tc>
      </w:tr>
      <w:tr w:rsidR="003663AF" w:rsidRPr="00B7760C" w14:paraId="0D3424D4" w14:textId="77777777" w:rsidTr="00E804B7">
        <w:trPr>
          <w:jc w:val="center"/>
        </w:trPr>
        <w:tc>
          <w:tcPr>
            <w:tcW w:w="4876" w:type="dxa"/>
            <w:hideMark/>
          </w:tcPr>
          <w:p w14:paraId="1AE2395C" w14:textId="77777777" w:rsidR="003663AF" w:rsidRPr="00B7760C" w:rsidRDefault="003663AF" w:rsidP="00E804B7">
            <w:pPr>
              <w:pStyle w:val="ColumnHeading"/>
              <w:keepNext/>
            </w:pPr>
            <w:r w:rsidRPr="00B7760C">
              <w:t>Besedilo, ki ga predlaga Komisija</w:t>
            </w:r>
          </w:p>
        </w:tc>
        <w:tc>
          <w:tcPr>
            <w:tcW w:w="4876" w:type="dxa"/>
            <w:hideMark/>
          </w:tcPr>
          <w:p w14:paraId="73BF4E84" w14:textId="06963D9C" w:rsidR="003663AF" w:rsidRPr="00B7760C" w:rsidRDefault="00877691" w:rsidP="00E804B7">
            <w:pPr>
              <w:pStyle w:val="ColumnHeading"/>
              <w:keepNext/>
            </w:pPr>
            <w:r w:rsidRPr="00B7760C">
              <w:t>Sprememba</w:t>
            </w:r>
          </w:p>
        </w:tc>
      </w:tr>
      <w:tr w:rsidR="003663AF" w:rsidRPr="00B7760C" w14:paraId="3040F46E" w14:textId="77777777" w:rsidTr="00E804B7">
        <w:trPr>
          <w:jc w:val="center"/>
        </w:trPr>
        <w:tc>
          <w:tcPr>
            <w:tcW w:w="4876" w:type="dxa"/>
          </w:tcPr>
          <w:p w14:paraId="24758AB2" w14:textId="77777777" w:rsidR="003663AF" w:rsidRPr="00B7760C" w:rsidRDefault="003663AF" w:rsidP="00E804B7">
            <w:pPr>
              <w:pStyle w:val="Normal6"/>
            </w:pPr>
          </w:p>
        </w:tc>
        <w:tc>
          <w:tcPr>
            <w:tcW w:w="4876" w:type="dxa"/>
            <w:hideMark/>
          </w:tcPr>
          <w:p w14:paraId="4C56928C" w14:textId="77777777" w:rsidR="003663AF" w:rsidRPr="00B7760C" w:rsidRDefault="003663AF" w:rsidP="00E804B7">
            <w:pPr>
              <w:pStyle w:val="Normal6"/>
              <w:rPr>
                <w:szCs w:val="24"/>
              </w:rPr>
            </w:pPr>
            <w:r w:rsidRPr="00B7760C">
              <w:rPr>
                <w:b/>
                <w:i/>
              </w:rPr>
              <w:t>(fb)</w:t>
            </w:r>
            <w:r w:rsidRPr="00B7760C">
              <w:rPr>
                <w:b/>
                <w:i/>
              </w:rPr>
              <w:tab/>
              <w:t>napredek pri poenostavitvi in zmanjšanju upravnega bremena za končne upravičence.</w:t>
            </w:r>
          </w:p>
        </w:tc>
      </w:tr>
    </w:tbl>
    <w:p w14:paraId="46EDE532" w14:textId="77777777" w:rsidR="003663AF" w:rsidRPr="00B7760C" w:rsidRDefault="003663AF" w:rsidP="003663AF"/>
    <w:p w14:paraId="2F7E82B6" w14:textId="4CC64F21" w:rsidR="003663AF" w:rsidRPr="00B7760C" w:rsidRDefault="00877691" w:rsidP="003663AF">
      <w:pPr>
        <w:pStyle w:val="AMNumberTabs"/>
        <w:keepNext/>
      </w:pPr>
      <w:r w:rsidRPr="00B7760C">
        <w:t>Sprememba</w:t>
      </w:r>
      <w:r w:rsidR="003663AF" w:rsidRPr="00B7760C">
        <w:tab/>
      </w:r>
      <w:r w:rsidR="003663AF" w:rsidRPr="00B7760C">
        <w:tab/>
        <w:t>648</w:t>
      </w:r>
    </w:p>
    <w:p w14:paraId="236947E7" w14:textId="77777777" w:rsidR="003663AF" w:rsidRPr="00B7760C" w:rsidRDefault="003663AF" w:rsidP="003663AF">
      <w:pPr>
        <w:pStyle w:val="NormalBold12b"/>
      </w:pPr>
      <w:r w:rsidRPr="00B7760C">
        <w:t>Predlog uredbe</w:t>
      </w:r>
    </w:p>
    <w:p w14:paraId="18F81CD9" w14:textId="77777777" w:rsidR="003663AF" w:rsidRPr="00B7760C" w:rsidRDefault="003663AF" w:rsidP="003663AF">
      <w:pPr>
        <w:pStyle w:val="NormalBold"/>
      </w:pPr>
      <w:r w:rsidRPr="00B7760C">
        <w:t>Člen 111 – odstavek 4 – točka 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B9AE484" w14:textId="77777777" w:rsidTr="00E804B7">
        <w:trPr>
          <w:jc w:val="center"/>
        </w:trPr>
        <w:tc>
          <w:tcPr>
            <w:tcW w:w="9752" w:type="dxa"/>
            <w:gridSpan w:val="2"/>
          </w:tcPr>
          <w:p w14:paraId="01775F97" w14:textId="77777777" w:rsidR="003663AF" w:rsidRPr="00B7760C" w:rsidRDefault="003663AF" w:rsidP="00E804B7">
            <w:pPr>
              <w:keepNext/>
            </w:pPr>
          </w:p>
        </w:tc>
      </w:tr>
      <w:tr w:rsidR="003663AF" w:rsidRPr="00B7760C" w14:paraId="55ABC829" w14:textId="77777777" w:rsidTr="00E804B7">
        <w:trPr>
          <w:jc w:val="center"/>
        </w:trPr>
        <w:tc>
          <w:tcPr>
            <w:tcW w:w="4876" w:type="dxa"/>
            <w:hideMark/>
          </w:tcPr>
          <w:p w14:paraId="603D92CA" w14:textId="77777777" w:rsidR="003663AF" w:rsidRPr="00B7760C" w:rsidRDefault="003663AF" w:rsidP="00E804B7">
            <w:pPr>
              <w:pStyle w:val="ColumnHeading"/>
              <w:keepNext/>
            </w:pPr>
            <w:r w:rsidRPr="00B7760C">
              <w:t>Besedilo, ki ga predlaga Komisija</w:t>
            </w:r>
          </w:p>
        </w:tc>
        <w:tc>
          <w:tcPr>
            <w:tcW w:w="4876" w:type="dxa"/>
            <w:hideMark/>
          </w:tcPr>
          <w:p w14:paraId="353537D5" w14:textId="6ED68D70" w:rsidR="003663AF" w:rsidRPr="00B7760C" w:rsidRDefault="00877691" w:rsidP="00E804B7">
            <w:pPr>
              <w:pStyle w:val="ColumnHeading"/>
              <w:keepNext/>
            </w:pPr>
            <w:r w:rsidRPr="00B7760C">
              <w:t>Sprememba</w:t>
            </w:r>
          </w:p>
        </w:tc>
      </w:tr>
      <w:tr w:rsidR="003663AF" w:rsidRPr="00B7760C" w14:paraId="1C74F231" w14:textId="77777777" w:rsidTr="00E804B7">
        <w:trPr>
          <w:jc w:val="center"/>
        </w:trPr>
        <w:tc>
          <w:tcPr>
            <w:tcW w:w="4876" w:type="dxa"/>
            <w:hideMark/>
          </w:tcPr>
          <w:p w14:paraId="3A2AA84F" w14:textId="77777777" w:rsidR="003663AF" w:rsidRPr="00B7760C" w:rsidRDefault="003663AF" w:rsidP="00E804B7">
            <w:pPr>
              <w:pStyle w:val="Normal6"/>
            </w:pPr>
            <w:r w:rsidRPr="00B7760C">
              <w:rPr>
                <w:b/>
                <w:i/>
              </w:rPr>
              <w:t>(a)</w:t>
            </w:r>
            <w:r w:rsidRPr="00B7760C">
              <w:rPr>
                <w:b/>
                <w:i/>
              </w:rPr>
              <w:tab/>
              <w:t>osnutku strateškega načrta SKP;</w:t>
            </w:r>
          </w:p>
        </w:tc>
        <w:tc>
          <w:tcPr>
            <w:tcW w:w="4876" w:type="dxa"/>
            <w:hideMark/>
          </w:tcPr>
          <w:p w14:paraId="1187A942" w14:textId="77777777" w:rsidR="003663AF" w:rsidRPr="00B7760C" w:rsidRDefault="003663AF" w:rsidP="00E804B7">
            <w:pPr>
              <w:pStyle w:val="Normal6"/>
              <w:rPr>
                <w:szCs w:val="24"/>
              </w:rPr>
            </w:pPr>
            <w:r w:rsidRPr="00B7760C">
              <w:rPr>
                <w:b/>
                <w:i/>
              </w:rPr>
              <w:t>črtano</w:t>
            </w:r>
          </w:p>
        </w:tc>
      </w:tr>
    </w:tbl>
    <w:p w14:paraId="4D7BF188" w14:textId="77777777" w:rsidR="003663AF" w:rsidRPr="00B7760C" w:rsidRDefault="003663AF" w:rsidP="003663AF"/>
    <w:p w14:paraId="26EDBCEF" w14:textId="7BAF4E14" w:rsidR="003663AF" w:rsidRPr="00B7760C" w:rsidRDefault="00877691" w:rsidP="003663AF">
      <w:pPr>
        <w:pStyle w:val="AMNumberTabs"/>
        <w:keepNext/>
      </w:pPr>
      <w:r w:rsidRPr="00B7760C">
        <w:t>Sprememba</w:t>
      </w:r>
      <w:r w:rsidR="003663AF" w:rsidRPr="00B7760C">
        <w:tab/>
      </w:r>
      <w:r w:rsidR="003663AF" w:rsidRPr="00B7760C">
        <w:tab/>
        <w:t>649</w:t>
      </w:r>
    </w:p>
    <w:p w14:paraId="0975DE17" w14:textId="77777777" w:rsidR="003663AF" w:rsidRPr="00B7760C" w:rsidRDefault="003663AF" w:rsidP="003663AF">
      <w:pPr>
        <w:pStyle w:val="NormalBold12b"/>
      </w:pPr>
      <w:r w:rsidRPr="00B7760C">
        <w:t>Predlog uredbe</w:t>
      </w:r>
    </w:p>
    <w:p w14:paraId="09D5D3DA" w14:textId="77777777" w:rsidR="003663AF" w:rsidRPr="00B7760C" w:rsidRDefault="003663AF" w:rsidP="003663AF">
      <w:pPr>
        <w:pStyle w:val="NormalBold"/>
      </w:pPr>
      <w:r w:rsidRPr="00B7760C">
        <w:t>Člen 111 – odstavek 4 – točka c</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A871A6A" w14:textId="77777777" w:rsidTr="00E804B7">
        <w:trPr>
          <w:jc w:val="center"/>
        </w:trPr>
        <w:tc>
          <w:tcPr>
            <w:tcW w:w="9752" w:type="dxa"/>
            <w:gridSpan w:val="2"/>
          </w:tcPr>
          <w:p w14:paraId="6B2D0E36" w14:textId="77777777" w:rsidR="003663AF" w:rsidRPr="00B7760C" w:rsidRDefault="003663AF" w:rsidP="00E804B7">
            <w:pPr>
              <w:keepNext/>
            </w:pPr>
          </w:p>
        </w:tc>
      </w:tr>
      <w:tr w:rsidR="003663AF" w:rsidRPr="00B7760C" w14:paraId="5C7E0C55" w14:textId="77777777" w:rsidTr="00E804B7">
        <w:trPr>
          <w:jc w:val="center"/>
        </w:trPr>
        <w:tc>
          <w:tcPr>
            <w:tcW w:w="4876" w:type="dxa"/>
            <w:hideMark/>
          </w:tcPr>
          <w:p w14:paraId="6C0D2474" w14:textId="77777777" w:rsidR="003663AF" w:rsidRPr="00B7760C" w:rsidRDefault="003663AF" w:rsidP="00E804B7">
            <w:pPr>
              <w:pStyle w:val="ColumnHeading"/>
              <w:keepNext/>
            </w:pPr>
            <w:r w:rsidRPr="00B7760C">
              <w:t>Besedilo, ki ga predlaga Komisija</w:t>
            </w:r>
          </w:p>
        </w:tc>
        <w:tc>
          <w:tcPr>
            <w:tcW w:w="4876" w:type="dxa"/>
            <w:hideMark/>
          </w:tcPr>
          <w:p w14:paraId="4F3C6F13" w14:textId="0F534D27" w:rsidR="003663AF" w:rsidRPr="00B7760C" w:rsidRDefault="00877691" w:rsidP="00E804B7">
            <w:pPr>
              <w:pStyle w:val="ColumnHeading"/>
              <w:keepNext/>
            </w:pPr>
            <w:r w:rsidRPr="00B7760C">
              <w:t>Sprememba</w:t>
            </w:r>
          </w:p>
        </w:tc>
      </w:tr>
      <w:tr w:rsidR="003663AF" w:rsidRPr="00B7760C" w14:paraId="5EF55A27" w14:textId="77777777" w:rsidTr="00E804B7">
        <w:trPr>
          <w:jc w:val="center"/>
        </w:trPr>
        <w:tc>
          <w:tcPr>
            <w:tcW w:w="4876" w:type="dxa"/>
            <w:hideMark/>
          </w:tcPr>
          <w:p w14:paraId="6AAC1050" w14:textId="77777777" w:rsidR="003663AF" w:rsidRPr="00B7760C" w:rsidRDefault="003663AF" w:rsidP="00E804B7">
            <w:pPr>
              <w:pStyle w:val="Normal6"/>
            </w:pPr>
            <w:r w:rsidRPr="00B7760C">
              <w:t>(c)</w:t>
            </w:r>
            <w:r w:rsidRPr="00B7760C">
              <w:tab/>
            </w:r>
            <w:r w:rsidRPr="00B7760C">
              <w:rPr>
                <w:b/>
                <w:i/>
              </w:rPr>
              <w:t>letnih</w:t>
            </w:r>
            <w:r w:rsidRPr="00B7760C">
              <w:t xml:space="preserve"> poročilih o smotrnosti;</w:t>
            </w:r>
          </w:p>
        </w:tc>
        <w:tc>
          <w:tcPr>
            <w:tcW w:w="4876" w:type="dxa"/>
            <w:hideMark/>
          </w:tcPr>
          <w:p w14:paraId="65FABB6E" w14:textId="77777777" w:rsidR="003663AF" w:rsidRPr="00B7760C" w:rsidRDefault="003663AF" w:rsidP="00E804B7">
            <w:pPr>
              <w:pStyle w:val="Normal6"/>
              <w:rPr>
                <w:szCs w:val="24"/>
              </w:rPr>
            </w:pPr>
            <w:r w:rsidRPr="00B7760C">
              <w:t>(c)</w:t>
            </w:r>
            <w:r w:rsidRPr="00B7760C">
              <w:tab/>
              <w:t>poročilih o smotrnosti;</w:t>
            </w:r>
          </w:p>
        </w:tc>
      </w:tr>
    </w:tbl>
    <w:p w14:paraId="0590794A" w14:textId="77777777" w:rsidR="003663AF" w:rsidRPr="00B7760C" w:rsidRDefault="003663AF" w:rsidP="003663AF"/>
    <w:p w14:paraId="1289CDAC" w14:textId="09C39CA0" w:rsidR="003663AF" w:rsidRPr="00B7760C" w:rsidRDefault="00877691" w:rsidP="003663AF">
      <w:pPr>
        <w:pStyle w:val="AMNumberTabs"/>
        <w:keepNext/>
      </w:pPr>
      <w:r w:rsidRPr="00B7760C">
        <w:t>Sprememba</w:t>
      </w:r>
      <w:r w:rsidR="003663AF" w:rsidRPr="00B7760C">
        <w:tab/>
      </w:r>
      <w:r w:rsidR="003663AF" w:rsidRPr="00B7760C">
        <w:tab/>
        <w:t>650</w:t>
      </w:r>
    </w:p>
    <w:p w14:paraId="4BA40564" w14:textId="77777777" w:rsidR="003663AF" w:rsidRPr="00B7760C" w:rsidRDefault="003663AF" w:rsidP="003663AF">
      <w:pPr>
        <w:pStyle w:val="NormalBold12b"/>
      </w:pPr>
      <w:r w:rsidRPr="00B7760C">
        <w:t>Predlog uredbe</w:t>
      </w:r>
    </w:p>
    <w:p w14:paraId="6E6FB939" w14:textId="77777777" w:rsidR="003663AF" w:rsidRPr="00B7760C" w:rsidRDefault="003663AF" w:rsidP="003663AF">
      <w:pPr>
        <w:pStyle w:val="NormalBold"/>
      </w:pPr>
      <w:r w:rsidRPr="00B7760C">
        <w:t>Člen 111 – odstavek 4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A483C5C" w14:textId="77777777" w:rsidTr="00E804B7">
        <w:trPr>
          <w:jc w:val="center"/>
        </w:trPr>
        <w:tc>
          <w:tcPr>
            <w:tcW w:w="9752" w:type="dxa"/>
            <w:gridSpan w:val="2"/>
          </w:tcPr>
          <w:p w14:paraId="4F21AF20" w14:textId="77777777" w:rsidR="003663AF" w:rsidRPr="00B7760C" w:rsidRDefault="003663AF" w:rsidP="00E804B7">
            <w:pPr>
              <w:keepNext/>
            </w:pPr>
          </w:p>
        </w:tc>
      </w:tr>
      <w:tr w:rsidR="003663AF" w:rsidRPr="00B7760C" w14:paraId="4F489878" w14:textId="77777777" w:rsidTr="00E804B7">
        <w:trPr>
          <w:jc w:val="center"/>
        </w:trPr>
        <w:tc>
          <w:tcPr>
            <w:tcW w:w="4876" w:type="dxa"/>
            <w:hideMark/>
          </w:tcPr>
          <w:p w14:paraId="2040782E" w14:textId="77777777" w:rsidR="003663AF" w:rsidRPr="00B7760C" w:rsidRDefault="003663AF" w:rsidP="00E804B7">
            <w:pPr>
              <w:pStyle w:val="ColumnHeading"/>
              <w:keepNext/>
            </w:pPr>
            <w:r w:rsidRPr="00B7760C">
              <w:t>Besedilo, ki ga predlaga Komisija</w:t>
            </w:r>
          </w:p>
        </w:tc>
        <w:tc>
          <w:tcPr>
            <w:tcW w:w="4876" w:type="dxa"/>
            <w:hideMark/>
          </w:tcPr>
          <w:p w14:paraId="644F3F9F" w14:textId="305C563B" w:rsidR="003663AF" w:rsidRPr="00B7760C" w:rsidRDefault="00877691" w:rsidP="00E804B7">
            <w:pPr>
              <w:pStyle w:val="ColumnHeading"/>
              <w:keepNext/>
            </w:pPr>
            <w:r w:rsidRPr="00B7760C">
              <w:t>Sprememba</w:t>
            </w:r>
          </w:p>
        </w:tc>
      </w:tr>
      <w:tr w:rsidR="003663AF" w:rsidRPr="00B7760C" w14:paraId="54CB43E6" w14:textId="77777777" w:rsidTr="00E804B7">
        <w:trPr>
          <w:jc w:val="center"/>
        </w:trPr>
        <w:tc>
          <w:tcPr>
            <w:tcW w:w="4876" w:type="dxa"/>
          </w:tcPr>
          <w:p w14:paraId="2F0E080A" w14:textId="77777777" w:rsidR="003663AF" w:rsidRPr="00B7760C" w:rsidRDefault="003663AF" w:rsidP="00E804B7">
            <w:pPr>
              <w:pStyle w:val="Normal6"/>
            </w:pPr>
          </w:p>
        </w:tc>
        <w:tc>
          <w:tcPr>
            <w:tcW w:w="4876" w:type="dxa"/>
            <w:hideMark/>
          </w:tcPr>
          <w:p w14:paraId="4857364F" w14:textId="77777777" w:rsidR="003663AF" w:rsidRPr="00B7760C" w:rsidRDefault="003663AF" w:rsidP="00E804B7">
            <w:pPr>
              <w:pStyle w:val="Normal6"/>
              <w:rPr>
                <w:szCs w:val="24"/>
              </w:rPr>
            </w:pPr>
            <w:r w:rsidRPr="00B7760C">
              <w:rPr>
                <w:b/>
                <w:i/>
              </w:rPr>
              <w:t>4a.</w:t>
            </w:r>
            <w:r w:rsidRPr="00B7760C">
              <w:rPr>
                <w:b/>
                <w:i/>
              </w:rPr>
              <w:tab/>
              <w:t>Odbori za spremljanje lahko nacionalno mrežo SKP zaprosijo za informacije in analize, povezane s specifičnimi intervencijami.</w:t>
            </w:r>
          </w:p>
        </w:tc>
      </w:tr>
    </w:tbl>
    <w:p w14:paraId="14F8A82C" w14:textId="77777777" w:rsidR="003663AF" w:rsidRPr="00B7760C" w:rsidRDefault="003663AF" w:rsidP="003663AF"/>
    <w:p w14:paraId="22585CC1" w14:textId="6164E06F" w:rsidR="003663AF" w:rsidRPr="00B7760C" w:rsidRDefault="00877691" w:rsidP="003663AF">
      <w:pPr>
        <w:pStyle w:val="AMNumberTabs"/>
        <w:keepNext/>
      </w:pPr>
      <w:r w:rsidRPr="00B7760C">
        <w:t>Sprememba</w:t>
      </w:r>
      <w:r w:rsidR="003663AF" w:rsidRPr="00B7760C">
        <w:tab/>
      </w:r>
      <w:r w:rsidR="003663AF" w:rsidRPr="00B7760C">
        <w:tab/>
        <w:t>651</w:t>
      </w:r>
    </w:p>
    <w:p w14:paraId="32EB1781" w14:textId="77777777" w:rsidR="003663AF" w:rsidRPr="00B7760C" w:rsidRDefault="003663AF" w:rsidP="003663AF">
      <w:pPr>
        <w:pStyle w:val="NormalBold12b"/>
      </w:pPr>
      <w:r w:rsidRPr="00B7760C">
        <w:t>Predlog uredbe</w:t>
      </w:r>
    </w:p>
    <w:p w14:paraId="7FF17CF6" w14:textId="77777777" w:rsidR="003663AF" w:rsidRPr="00B7760C" w:rsidRDefault="003663AF" w:rsidP="003663AF">
      <w:pPr>
        <w:pStyle w:val="NormalBold"/>
      </w:pPr>
      <w:r w:rsidRPr="00B7760C">
        <w:t>Člen 113 – 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3AD3DCB" w14:textId="77777777" w:rsidTr="00E804B7">
        <w:trPr>
          <w:jc w:val="center"/>
        </w:trPr>
        <w:tc>
          <w:tcPr>
            <w:tcW w:w="9752" w:type="dxa"/>
            <w:gridSpan w:val="2"/>
          </w:tcPr>
          <w:p w14:paraId="6E53E60C" w14:textId="77777777" w:rsidR="003663AF" w:rsidRPr="00B7760C" w:rsidRDefault="003663AF" w:rsidP="00E804B7">
            <w:pPr>
              <w:keepNext/>
            </w:pPr>
          </w:p>
        </w:tc>
      </w:tr>
      <w:tr w:rsidR="003663AF" w:rsidRPr="00B7760C" w14:paraId="57CE9C71" w14:textId="77777777" w:rsidTr="00E804B7">
        <w:trPr>
          <w:jc w:val="center"/>
        </w:trPr>
        <w:tc>
          <w:tcPr>
            <w:tcW w:w="4876" w:type="dxa"/>
            <w:hideMark/>
          </w:tcPr>
          <w:p w14:paraId="482849B8" w14:textId="77777777" w:rsidR="003663AF" w:rsidRPr="00B7760C" w:rsidRDefault="003663AF" w:rsidP="00E804B7">
            <w:pPr>
              <w:pStyle w:val="ColumnHeading"/>
              <w:keepNext/>
            </w:pPr>
            <w:r w:rsidRPr="00B7760C">
              <w:t>Besedilo, ki ga predlaga Komisija</w:t>
            </w:r>
          </w:p>
        </w:tc>
        <w:tc>
          <w:tcPr>
            <w:tcW w:w="4876" w:type="dxa"/>
            <w:hideMark/>
          </w:tcPr>
          <w:p w14:paraId="4CA101CB" w14:textId="7602FBB4" w:rsidR="003663AF" w:rsidRPr="00B7760C" w:rsidRDefault="00877691" w:rsidP="00E804B7">
            <w:pPr>
              <w:pStyle w:val="ColumnHeading"/>
              <w:keepNext/>
            </w:pPr>
            <w:r w:rsidRPr="00B7760C">
              <w:t>Sprememba</w:t>
            </w:r>
          </w:p>
        </w:tc>
      </w:tr>
      <w:tr w:rsidR="003663AF" w:rsidRPr="00B7760C" w14:paraId="776BE7E6" w14:textId="77777777" w:rsidTr="00E804B7">
        <w:trPr>
          <w:jc w:val="center"/>
        </w:trPr>
        <w:tc>
          <w:tcPr>
            <w:tcW w:w="4876" w:type="dxa"/>
            <w:hideMark/>
          </w:tcPr>
          <w:p w14:paraId="2C5470C5" w14:textId="77777777" w:rsidR="003663AF" w:rsidRPr="00B7760C" w:rsidRDefault="003663AF" w:rsidP="00E804B7">
            <w:pPr>
              <w:pStyle w:val="Normal6"/>
            </w:pPr>
            <w:r w:rsidRPr="00B7760C">
              <w:t>1.</w:t>
            </w:r>
            <w:r w:rsidRPr="00B7760C">
              <w:tab/>
              <w:t>Vsaka država članica najkasneje 12 mesecev po tem, ko Komisija odobri strateški načrt SKP, vzpostavi nacionalno mrežo za skupno kmetijsko politiko (v nadaljnjem besedilu: nacionalna mreža SKP), namenjeno povezovanju organizacij in organov, svetovalcev, raziskovalcev in drugih inovacijskih akterjev na področju kmetijstva in razvoja podeželja na nacionalni ravni.</w:t>
            </w:r>
          </w:p>
        </w:tc>
        <w:tc>
          <w:tcPr>
            <w:tcW w:w="4876" w:type="dxa"/>
            <w:hideMark/>
          </w:tcPr>
          <w:p w14:paraId="3E77079D" w14:textId="77777777" w:rsidR="003663AF" w:rsidRPr="00B7760C" w:rsidRDefault="003663AF" w:rsidP="00E804B7">
            <w:pPr>
              <w:pStyle w:val="Normal6"/>
              <w:rPr>
                <w:szCs w:val="24"/>
              </w:rPr>
            </w:pPr>
            <w:r w:rsidRPr="00B7760C">
              <w:t>1.</w:t>
            </w:r>
            <w:r w:rsidRPr="00B7760C">
              <w:tab/>
              <w:t>Vsaka država članica najkasneje 12 mesecev po tem, ko Komisija odobri strateški načrt SKP, vzpostavi nacionalno mrežo za skupno kmetijsko politiko (v nadaljnjem besedilu: nacionalna mreža SKP), namenjeno povezovanju organizacij</w:t>
            </w:r>
            <w:r w:rsidRPr="00B7760C">
              <w:rPr>
                <w:b/>
                <w:i/>
              </w:rPr>
              <w:t>, predstavnikov kmetijskega sektorja</w:t>
            </w:r>
            <w:r w:rsidRPr="00B7760C">
              <w:t xml:space="preserve"> in organov, svetovalcev, raziskovalcev in drugih inovacijskih akterjev </w:t>
            </w:r>
            <w:r w:rsidRPr="00B7760C">
              <w:rPr>
                <w:b/>
                <w:i/>
              </w:rPr>
              <w:t xml:space="preserve">ter drugih akterjev </w:t>
            </w:r>
            <w:r w:rsidRPr="00B7760C">
              <w:t xml:space="preserve">na področju kmetijstva in razvoja podeželja na nacionalni ravni. </w:t>
            </w:r>
            <w:r w:rsidRPr="00B7760C">
              <w:rPr>
                <w:b/>
                <w:i/>
              </w:rPr>
              <w:t>Nacionalna mreža SKP bo nadgradila obstoječe omrežne strukture v državah članicah.</w:t>
            </w:r>
          </w:p>
        </w:tc>
      </w:tr>
    </w:tbl>
    <w:p w14:paraId="01AC68E8" w14:textId="77777777" w:rsidR="003663AF" w:rsidRPr="00B7760C" w:rsidRDefault="003663AF" w:rsidP="003663AF"/>
    <w:p w14:paraId="4E41339E" w14:textId="6B7F327B" w:rsidR="003663AF" w:rsidRPr="00B7760C" w:rsidRDefault="00877691" w:rsidP="003663AF">
      <w:pPr>
        <w:pStyle w:val="AMNumberTabs"/>
        <w:keepNext/>
      </w:pPr>
      <w:r w:rsidRPr="00B7760C">
        <w:t>Sprememba</w:t>
      </w:r>
      <w:r w:rsidR="003663AF" w:rsidRPr="00B7760C">
        <w:tab/>
      </w:r>
      <w:r w:rsidR="003663AF" w:rsidRPr="00B7760C">
        <w:tab/>
        <w:t>652</w:t>
      </w:r>
    </w:p>
    <w:p w14:paraId="36661C1A" w14:textId="77777777" w:rsidR="003663AF" w:rsidRPr="00B7760C" w:rsidRDefault="003663AF" w:rsidP="003663AF">
      <w:pPr>
        <w:pStyle w:val="NormalBold12b"/>
      </w:pPr>
      <w:r w:rsidRPr="00B7760C">
        <w:t>Predlog uredbe</w:t>
      </w:r>
    </w:p>
    <w:p w14:paraId="0650EAEA" w14:textId="77777777" w:rsidR="003663AF" w:rsidRPr="00B7760C" w:rsidRDefault="003663AF" w:rsidP="003663AF">
      <w:pPr>
        <w:pStyle w:val="NormalBold"/>
      </w:pPr>
      <w:r w:rsidRPr="00B7760C">
        <w:t>Člen 113 – odstavek 4 – točka j</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A291CBC" w14:textId="77777777" w:rsidTr="00E804B7">
        <w:trPr>
          <w:jc w:val="center"/>
        </w:trPr>
        <w:tc>
          <w:tcPr>
            <w:tcW w:w="9752" w:type="dxa"/>
            <w:gridSpan w:val="2"/>
          </w:tcPr>
          <w:p w14:paraId="6950C1D6" w14:textId="77777777" w:rsidR="003663AF" w:rsidRPr="00B7760C" w:rsidRDefault="003663AF" w:rsidP="00E804B7">
            <w:pPr>
              <w:keepNext/>
            </w:pPr>
          </w:p>
        </w:tc>
      </w:tr>
      <w:tr w:rsidR="003663AF" w:rsidRPr="00B7760C" w14:paraId="2DAE1535" w14:textId="77777777" w:rsidTr="00E804B7">
        <w:trPr>
          <w:jc w:val="center"/>
        </w:trPr>
        <w:tc>
          <w:tcPr>
            <w:tcW w:w="4876" w:type="dxa"/>
            <w:hideMark/>
          </w:tcPr>
          <w:p w14:paraId="76404B02" w14:textId="77777777" w:rsidR="003663AF" w:rsidRPr="00B7760C" w:rsidRDefault="003663AF" w:rsidP="00E804B7">
            <w:pPr>
              <w:pStyle w:val="ColumnHeading"/>
              <w:keepNext/>
            </w:pPr>
            <w:r w:rsidRPr="00B7760C">
              <w:t>Besedilo, ki ga predlaga Komisija</w:t>
            </w:r>
          </w:p>
        </w:tc>
        <w:tc>
          <w:tcPr>
            <w:tcW w:w="4876" w:type="dxa"/>
            <w:hideMark/>
          </w:tcPr>
          <w:p w14:paraId="1B8A8F74" w14:textId="09C08FE6" w:rsidR="003663AF" w:rsidRPr="00B7760C" w:rsidRDefault="00877691" w:rsidP="00E804B7">
            <w:pPr>
              <w:pStyle w:val="ColumnHeading"/>
              <w:keepNext/>
            </w:pPr>
            <w:r w:rsidRPr="00B7760C">
              <w:t>Sprememba</w:t>
            </w:r>
          </w:p>
        </w:tc>
      </w:tr>
      <w:tr w:rsidR="003663AF" w:rsidRPr="00B7760C" w14:paraId="5D9D78C0" w14:textId="77777777" w:rsidTr="00E804B7">
        <w:trPr>
          <w:jc w:val="center"/>
        </w:trPr>
        <w:tc>
          <w:tcPr>
            <w:tcW w:w="4876" w:type="dxa"/>
            <w:hideMark/>
          </w:tcPr>
          <w:p w14:paraId="0A705159" w14:textId="77777777" w:rsidR="003663AF" w:rsidRPr="00B7760C" w:rsidRDefault="003663AF" w:rsidP="00E804B7">
            <w:pPr>
              <w:pStyle w:val="Normal6"/>
            </w:pPr>
            <w:r w:rsidRPr="00B7760C">
              <w:t>(j)</w:t>
            </w:r>
            <w:r w:rsidRPr="00B7760C">
              <w:tab/>
              <w:t>v primeru nacionalnih mrež SKP sodelovanje pri dejavnostih evropske mreže SKP in prispevanje k njim</w:t>
            </w:r>
            <w:r w:rsidRPr="00B7760C">
              <w:rPr>
                <w:b/>
                <w:i/>
              </w:rPr>
              <w:t>.</w:t>
            </w:r>
          </w:p>
        </w:tc>
        <w:tc>
          <w:tcPr>
            <w:tcW w:w="4876" w:type="dxa"/>
            <w:hideMark/>
          </w:tcPr>
          <w:p w14:paraId="11ED7490" w14:textId="77777777" w:rsidR="003663AF" w:rsidRPr="00B7760C" w:rsidRDefault="003663AF" w:rsidP="00E804B7">
            <w:pPr>
              <w:pStyle w:val="Normal6"/>
              <w:rPr>
                <w:szCs w:val="24"/>
              </w:rPr>
            </w:pPr>
            <w:r w:rsidRPr="00B7760C">
              <w:t>(j)</w:t>
            </w:r>
            <w:r w:rsidRPr="00B7760C">
              <w:tab/>
              <w:t>v primeru nacionalnih mrež SKP sodelovanje pri dejavnostih evropske mreže SKP in prispevanje k njim</w:t>
            </w:r>
            <w:r w:rsidRPr="00B7760C">
              <w:rPr>
                <w:b/>
                <w:i/>
              </w:rPr>
              <w:t>;</w:t>
            </w:r>
          </w:p>
        </w:tc>
      </w:tr>
    </w:tbl>
    <w:p w14:paraId="7D2E3FAE" w14:textId="77777777" w:rsidR="003663AF" w:rsidRPr="00B7760C" w:rsidRDefault="003663AF" w:rsidP="003663AF"/>
    <w:p w14:paraId="724DDF8F" w14:textId="7E4A6B18" w:rsidR="003663AF" w:rsidRPr="00B7760C" w:rsidRDefault="00877691" w:rsidP="003663AF">
      <w:pPr>
        <w:pStyle w:val="AMNumberTabs"/>
        <w:keepNext/>
      </w:pPr>
      <w:r w:rsidRPr="00B7760C">
        <w:t>Sprememba</w:t>
      </w:r>
      <w:r w:rsidR="003663AF" w:rsidRPr="00B7760C">
        <w:tab/>
      </w:r>
      <w:r w:rsidR="003663AF" w:rsidRPr="00B7760C">
        <w:tab/>
        <w:t>653</w:t>
      </w:r>
    </w:p>
    <w:p w14:paraId="308659C6" w14:textId="77777777" w:rsidR="003663AF" w:rsidRPr="00B7760C" w:rsidRDefault="003663AF" w:rsidP="003663AF">
      <w:pPr>
        <w:pStyle w:val="NormalBold12b"/>
      </w:pPr>
      <w:r w:rsidRPr="00B7760C">
        <w:t>Predlog uredbe</w:t>
      </w:r>
    </w:p>
    <w:p w14:paraId="2D2EDF44" w14:textId="77777777" w:rsidR="003663AF" w:rsidRPr="00B7760C" w:rsidRDefault="003663AF" w:rsidP="003663AF">
      <w:pPr>
        <w:pStyle w:val="NormalBold"/>
      </w:pPr>
      <w:r w:rsidRPr="00B7760C">
        <w:t>Člen 113 – odstavek 4 – točka j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19D93FD" w14:textId="77777777" w:rsidTr="00E804B7">
        <w:trPr>
          <w:jc w:val="center"/>
        </w:trPr>
        <w:tc>
          <w:tcPr>
            <w:tcW w:w="9752" w:type="dxa"/>
            <w:gridSpan w:val="2"/>
          </w:tcPr>
          <w:p w14:paraId="7A38017A" w14:textId="77777777" w:rsidR="003663AF" w:rsidRPr="00B7760C" w:rsidRDefault="003663AF" w:rsidP="00E804B7">
            <w:pPr>
              <w:keepNext/>
            </w:pPr>
          </w:p>
        </w:tc>
      </w:tr>
      <w:tr w:rsidR="003663AF" w:rsidRPr="00B7760C" w14:paraId="378941A9" w14:textId="77777777" w:rsidTr="00E804B7">
        <w:trPr>
          <w:jc w:val="center"/>
        </w:trPr>
        <w:tc>
          <w:tcPr>
            <w:tcW w:w="4876" w:type="dxa"/>
            <w:hideMark/>
          </w:tcPr>
          <w:p w14:paraId="254335B1" w14:textId="77777777" w:rsidR="003663AF" w:rsidRPr="00B7760C" w:rsidRDefault="003663AF" w:rsidP="00E804B7">
            <w:pPr>
              <w:pStyle w:val="ColumnHeading"/>
              <w:keepNext/>
            </w:pPr>
            <w:r w:rsidRPr="00B7760C">
              <w:t>Besedilo, ki ga predlaga Komisija</w:t>
            </w:r>
          </w:p>
        </w:tc>
        <w:tc>
          <w:tcPr>
            <w:tcW w:w="4876" w:type="dxa"/>
            <w:hideMark/>
          </w:tcPr>
          <w:p w14:paraId="1E6F868B" w14:textId="07FB6199" w:rsidR="003663AF" w:rsidRPr="00B7760C" w:rsidRDefault="00877691" w:rsidP="00E804B7">
            <w:pPr>
              <w:pStyle w:val="ColumnHeading"/>
              <w:keepNext/>
            </w:pPr>
            <w:r w:rsidRPr="00B7760C">
              <w:t>Sprememba</w:t>
            </w:r>
          </w:p>
        </w:tc>
      </w:tr>
      <w:tr w:rsidR="003663AF" w:rsidRPr="00B7760C" w14:paraId="48C1B118" w14:textId="77777777" w:rsidTr="00E804B7">
        <w:trPr>
          <w:jc w:val="center"/>
        </w:trPr>
        <w:tc>
          <w:tcPr>
            <w:tcW w:w="4876" w:type="dxa"/>
          </w:tcPr>
          <w:p w14:paraId="27A8CEF5" w14:textId="77777777" w:rsidR="003663AF" w:rsidRPr="00B7760C" w:rsidRDefault="003663AF" w:rsidP="00E804B7">
            <w:pPr>
              <w:pStyle w:val="Normal6"/>
            </w:pPr>
          </w:p>
        </w:tc>
        <w:tc>
          <w:tcPr>
            <w:tcW w:w="4876" w:type="dxa"/>
            <w:hideMark/>
          </w:tcPr>
          <w:p w14:paraId="12184953" w14:textId="77777777" w:rsidR="003663AF" w:rsidRPr="00B7760C" w:rsidRDefault="003663AF" w:rsidP="00E804B7">
            <w:pPr>
              <w:pStyle w:val="Normal6"/>
              <w:rPr>
                <w:szCs w:val="24"/>
              </w:rPr>
            </w:pPr>
            <w:r w:rsidRPr="00B7760C">
              <w:rPr>
                <w:b/>
                <w:i/>
              </w:rPr>
              <w:t>(ja)</w:t>
            </w:r>
            <w:r w:rsidRPr="00B7760C">
              <w:rPr>
                <w:b/>
                <w:i/>
              </w:rPr>
              <w:tab/>
              <w:t>v primeru evropskih mrež SKP sodelovanje pri dejavnostih nacionalnih mrež in prispevanje k njim;</w:t>
            </w:r>
          </w:p>
        </w:tc>
      </w:tr>
    </w:tbl>
    <w:p w14:paraId="49B3CB8C" w14:textId="77777777" w:rsidR="003663AF" w:rsidRPr="00B7760C" w:rsidRDefault="003663AF" w:rsidP="003663AF"/>
    <w:p w14:paraId="11948DEF" w14:textId="51DBD105" w:rsidR="003663AF" w:rsidRPr="00B7760C" w:rsidRDefault="00877691" w:rsidP="003663AF">
      <w:pPr>
        <w:pStyle w:val="AMNumberTabs"/>
        <w:keepNext/>
      </w:pPr>
      <w:r w:rsidRPr="00B7760C">
        <w:t>Sprememba</w:t>
      </w:r>
      <w:r w:rsidR="003663AF" w:rsidRPr="00B7760C">
        <w:tab/>
      </w:r>
      <w:r w:rsidR="003663AF" w:rsidRPr="00B7760C">
        <w:tab/>
        <w:t>654</w:t>
      </w:r>
    </w:p>
    <w:p w14:paraId="0B15B5A9" w14:textId="77777777" w:rsidR="003663AF" w:rsidRPr="00B7760C" w:rsidRDefault="003663AF" w:rsidP="003663AF">
      <w:pPr>
        <w:pStyle w:val="NormalBold12b"/>
      </w:pPr>
      <w:r w:rsidRPr="00B7760C">
        <w:t>Predlog uredbe</w:t>
      </w:r>
    </w:p>
    <w:p w14:paraId="5AE6D1D6" w14:textId="77777777" w:rsidR="003663AF" w:rsidRPr="00B7760C" w:rsidRDefault="003663AF" w:rsidP="003663AF">
      <w:pPr>
        <w:pStyle w:val="NormalBold"/>
      </w:pPr>
      <w:r w:rsidRPr="00B7760C">
        <w:t>Člen 113 – odstavek 4 – točka j b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B8D216C" w14:textId="77777777" w:rsidTr="00E804B7">
        <w:trPr>
          <w:jc w:val="center"/>
        </w:trPr>
        <w:tc>
          <w:tcPr>
            <w:tcW w:w="9752" w:type="dxa"/>
            <w:gridSpan w:val="2"/>
          </w:tcPr>
          <w:p w14:paraId="640CD67B" w14:textId="77777777" w:rsidR="003663AF" w:rsidRPr="00B7760C" w:rsidRDefault="003663AF" w:rsidP="00E804B7">
            <w:pPr>
              <w:keepNext/>
            </w:pPr>
          </w:p>
        </w:tc>
      </w:tr>
      <w:tr w:rsidR="003663AF" w:rsidRPr="00B7760C" w14:paraId="157D8503" w14:textId="77777777" w:rsidTr="00E804B7">
        <w:trPr>
          <w:jc w:val="center"/>
        </w:trPr>
        <w:tc>
          <w:tcPr>
            <w:tcW w:w="4876" w:type="dxa"/>
            <w:hideMark/>
          </w:tcPr>
          <w:p w14:paraId="504805EC" w14:textId="77777777" w:rsidR="003663AF" w:rsidRPr="00B7760C" w:rsidRDefault="003663AF" w:rsidP="00E804B7">
            <w:pPr>
              <w:pStyle w:val="ColumnHeading"/>
              <w:keepNext/>
            </w:pPr>
            <w:r w:rsidRPr="00B7760C">
              <w:t>Besedilo, ki ga predlaga Komisija</w:t>
            </w:r>
          </w:p>
        </w:tc>
        <w:tc>
          <w:tcPr>
            <w:tcW w:w="4876" w:type="dxa"/>
            <w:hideMark/>
          </w:tcPr>
          <w:p w14:paraId="761818D4" w14:textId="78EE8D9F" w:rsidR="003663AF" w:rsidRPr="00B7760C" w:rsidRDefault="00877691" w:rsidP="00E804B7">
            <w:pPr>
              <w:pStyle w:val="ColumnHeading"/>
              <w:keepNext/>
            </w:pPr>
            <w:r w:rsidRPr="00B7760C">
              <w:t>Sprememba</w:t>
            </w:r>
          </w:p>
        </w:tc>
      </w:tr>
      <w:tr w:rsidR="003663AF" w:rsidRPr="00B7760C" w14:paraId="65E36CAC" w14:textId="77777777" w:rsidTr="00E804B7">
        <w:trPr>
          <w:jc w:val="center"/>
        </w:trPr>
        <w:tc>
          <w:tcPr>
            <w:tcW w:w="4876" w:type="dxa"/>
          </w:tcPr>
          <w:p w14:paraId="0B6491A5" w14:textId="77777777" w:rsidR="003663AF" w:rsidRPr="00B7760C" w:rsidRDefault="003663AF" w:rsidP="00E804B7">
            <w:pPr>
              <w:pStyle w:val="Normal6"/>
            </w:pPr>
          </w:p>
        </w:tc>
        <w:tc>
          <w:tcPr>
            <w:tcW w:w="4876" w:type="dxa"/>
            <w:hideMark/>
          </w:tcPr>
          <w:p w14:paraId="2C341A58" w14:textId="77777777" w:rsidR="003663AF" w:rsidRPr="00B7760C" w:rsidRDefault="003663AF" w:rsidP="00E804B7">
            <w:pPr>
              <w:pStyle w:val="Normal6"/>
              <w:rPr>
                <w:szCs w:val="24"/>
              </w:rPr>
            </w:pPr>
            <w:r w:rsidRPr="00B7760C">
              <w:rPr>
                <w:b/>
                <w:i/>
              </w:rPr>
              <w:t>(jb)</w:t>
            </w:r>
            <w:r w:rsidRPr="00B7760C">
              <w:rPr>
                <w:b/>
                <w:i/>
              </w:rPr>
              <w:tab/>
              <w:t>zagotavljanje informacij, za katere zaprosijo odbori za spremljanje iz člena 111.</w:t>
            </w:r>
          </w:p>
        </w:tc>
      </w:tr>
    </w:tbl>
    <w:p w14:paraId="60CCDFFE" w14:textId="77777777" w:rsidR="003663AF" w:rsidRPr="00B7760C" w:rsidRDefault="003663AF" w:rsidP="003663AF"/>
    <w:p w14:paraId="2EBA077D" w14:textId="72BC00AC" w:rsidR="003663AF" w:rsidRPr="00B7760C" w:rsidRDefault="00877691" w:rsidP="003663AF">
      <w:pPr>
        <w:pStyle w:val="AMNumberTabs"/>
        <w:keepNext/>
      </w:pPr>
      <w:r w:rsidRPr="00B7760C">
        <w:t>Sprememba</w:t>
      </w:r>
      <w:r w:rsidR="003663AF" w:rsidRPr="00B7760C">
        <w:tab/>
      </w:r>
      <w:r w:rsidR="003663AF" w:rsidRPr="00B7760C">
        <w:tab/>
        <w:t>655</w:t>
      </w:r>
    </w:p>
    <w:p w14:paraId="31BE15AF" w14:textId="77777777" w:rsidR="003663AF" w:rsidRPr="00B7760C" w:rsidRDefault="003663AF" w:rsidP="003663AF">
      <w:pPr>
        <w:pStyle w:val="NormalBold12b"/>
      </w:pPr>
      <w:r w:rsidRPr="00B7760C">
        <w:t>Predlog uredbe</w:t>
      </w:r>
    </w:p>
    <w:p w14:paraId="6452BB28" w14:textId="77777777" w:rsidR="003663AF" w:rsidRPr="00B7760C" w:rsidRDefault="003663AF" w:rsidP="003663AF">
      <w:pPr>
        <w:pStyle w:val="NormalBold"/>
      </w:pPr>
      <w:r w:rsidRPr="00B7760C">
        <w:t>Člen 114 – odstavek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BCDB043" w14:textId="77777777" w:rsidTr="00E804B7">
        <w:trPr>
          <w:jc w:val="center"/>
        </w:trPr>
        <w:tc>
          <w:tcPr>
            <w:tcW w:w="9752" w:type="dxa"/>
            <w:gridSpan w:val="2"/>
          </w:tcPr>
          <w:p w14:paraId="54E2CC8A" w14:textId="77777777" w:rsidR="003663AF" w:rsidRPr="00B7760C" w:rsidRDefault="003663AF" w:rsidP="00E804B7">
            <w:pPr>
              <w:keepNext/>
            </w:pPr>
          </w:p>
        </w:tc>
      </w:tr>
      <w:tr w:rsidR="003663AF" w:rsidRPr="00B7760C" w14:paraId="786A58B7" w14:textId="77777777" w:rsidTr="00E804B7">
        <w:trPr>
          <w:jc w:val="center"/>
        </w:trPr>
        <w:tc>
          <w:tcPr>
            <w:tcW w:w="4876" w:type="dxa"/>
            <w:hideMark/>
          </w:tcPr>
          <w:p w14:paraId="3CEFC3EC" w14:textId="77777777" w:rsidR="003663AF" w:rsidRPr="00B7760C" w:rsidRDefault="003663AF" w:rsidP="00E804B7">
            <w:pPr>
              <w:pStyle w:val="ColumnHeading"/>
              <w:keepNext/>
            </w:pPr>
            <w:r w:rsidRPr="00B7760C">
              <w:t>Besedilo, ki ga predlaga Komisija</w:t>
            </w:r>
          </w:p>
        </w:tc>
        <w:tc>
          <w:tcPr>
            <w:tcW w:w="4876" w:type="dxa"/>
            <w:hideMark/>
          </w:tcPr>
          <w:p w14:paraId="553BF672" w14:textId="3172C6B0" w:rsidR="003663AF" w:rsidRPr="00B7760C" w:rsidRDefault="00877691" w:rsidP="00E804B7">
            <w:pPr>
              <w:pStyle w:val="ColumnHeading"/>
              <w:keepNext/>
            </w:pPr>
            <w:r w:rsidRPr="00B7760C">
              <w:t>Sprememba</w:t>
            </w:r>
          </w:p>
        </w:tc>
      </w:tr>
      <w:tr w:rsidR="003663AF" w:rsidRPr="00B7760C" w14:paraId="6DCD54C3" w14:textId="77777777" w:rsidTr="00E804B7">
        <w:trPr>
          <w:jc w:val="center"/>
        </w:trPr>
        <w:tc>
          <w:tcPr>
            <w:tcW w:w="4876" w:type="dxa"/>
            <w:hideMark/>
          </w:tcPr>
          <w:p w14:paraId="22DA5480" w14:textId="77777777" w:rsidR="003663AF" w:rsidRPr="00B7760C" w:rsidRDefault="003663AF" w:rsidP="00E804B7">
            <w:pPr>
              <w:pStyle w:val="Normal6"/>
            </w:pPr>
            <w:r w:rsidRPr="00B7760C">
              <w:t>2.</w:t>
            </w:r>
            <w:r w:rsidRPr="00B7760C">
              <w:tab/>
              <w:t>Namen EIP je spodbuditi inovacije in izboljšati izmenjavo znanja.</w:t>
            </w:r>
          </w:p>
        </w:tc>
        <w:tc>
          <w:tcPr>
            <w:tcW w:w="4876" w:type="dxa"/>
            <w:hideMark/>
          </w:tcPr>
          <w:p w14:paraId="2CE87B42" w14:textId="77777777" w:rsidR="003663AF" w:rsidRPr="00B7760C" w:rsidRDefault="003663AF" w:rsidP="00E804B7">
            <w:pPr>
              <w:pStyle w:val="Normal6"/>
              <w:rPr>
                <w:szCs w:val="24"/>
              </w:rPr>
            </w:pPr>
            <w:r w:rsidRPr="00B7760C">
              <w:t>2.</w:t>
            </w:r>
            <w:r w:rsidRPr="00B7760C">
              <w:tab/>
              <w:t xml:space="preserve">Namen EIP je spodbuditi </w:t>
            </w:r>
            <w:r w:rsidRPr="00B7760C">
              <w:rPr>
                <w:b/>
                <w:i/>
              </w:rPr>
              <w:t xml:space="preserve">trajnostne </w:t>
            </w:r>
            <w:r w:rsidRPr="00B7760C">
              <w:t>inovacije in izboljšati izmenjavo znanja.</w:t>
            </w:r>
          </w:p>
        </w:tc>
      </w:tr>
    </w:tbl>
    <w:p w14:paraId="7939A91C" w14:textId="77777777" w:rsidR="003663AF" w:rsidRPr="00B7760C" w:rsidRDefault="003663AF" w:rsidP="003663AF"/>
    <w:p w14:paraId="34198325" w14:textId="1B3D1FB0" w:rsidR="003663AF" w:rsidRPr="00B7760C" w:rsidRDefault="00877691" w:rsidP="003663AF">
      <w:pPr>
        <w:pStyle w:val="AMNumberTabs"/>
        <w:keepNext/>
      </w:pPr>
      <w:r w:rsidRPr="00B7760C">
        <w:t>Sprememba</w:t>
      </w:r>
      <w:r w:rsidR="003663AF" w:rsidRPr="00B7760C">
        <w:tab/>
      </w:r>
      <w:r w:rsidR="003663AF" w:rsidRPr="00B7760C">
        <w:tab/>
        <w:t>656</w:t>
      </w:r>
    </w:p>
    <w:p w14:paraId="51C8F28A" w14:textId="77777777" w:rsidR="003663AF" w:rsidRPr="00B7760C" w:rsidRDefault="003663AF" w:rsidP="003663AF">
      <w:pPr>
        <w:pStyle w:val="NormalBold12b"/>
      </w:pPr>
      <w:r w:rsidRPr="00B7760C">
        <w:t>Predlog uredbe</w:t>
      </w:r>
    </w:p>
    <w:p w14:paraId="250D78A4" w14:textId="77777777" w:rsidR="003663AF" w:rsidRPr="00B7760C" w:rsidRDefault="003663AF" w:rsidP="003663AF">
      <w:pPr>
        <w:pStyle w:val="NormalBold"/>
      </w:pPr>
      <w:r w:rsidRPr="00B7760C">
        <w:t>Člen 114 – odstavek 4 – pododstavek 1 – točka c</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6C9AEA6" w14:textId="77777777" w:rsidTr="00E804B7">
        <w:trPr>
          <w:jc w:val="center"/>
        </w:trPr>
        <w:tc>
          <w:tcPr>
            <w:tcW w:w="9752" w:type="dxa"/>
            <w:gridSpan w:val="2"/>
          </w:tcPr>
          <w:p w14:paraId="10DA039F" w14:textId="77777777" w:rsidR="003663AF" w:rsidRPr="00B7760C" w:rsidRDefault="003663AF" w:rsidP="00E804B7">
            <w:pPr>
              <w:keepNext/>
            </w:pPr>
          </w:p>
        </w:tc>
      </w:tr>
      <w:tr w:rsidR="003663AF" w:rsidRPr="00B7760C" w14:paraId="664C9732" w14:textId="77777777" w:rsidTr="00E804B7">
        <w:trPr>
          <w:jc w:val="center"/>
        </w:trPr>
        <w:tc>
          <w:tcPr>
            <w:tcW w:w="4876" w:type="dxa"/>
            <w:hideMark/>
          </w:tcPr>
          <w:p w14:paraId="523DDF82" w14:textId="77777777" w:rsidR="003663AF" w:rsidRPr="00B7760C" w:rsidRDefault="003663AF" w:rsidP="00E804B7">
            <w:pPr>
              <w:pStyle w:val="ColumnHeading"/>
              <w:keepNext/>
            </w:pPr>
            <w:r w:rsidRPr="00B7760C">
              <w:t>Besedilo, ki ga predlaga Komisija</w:t>
            </w:r>
          </w:p>
        </w:tc>
        <w:tc>
          <w:tcPr>
            <w:tcW w:w="4876" w:type="dxa"/>
            <w:hideMark/>
          </w:tcPr>
          <w:p w14:paraId="2AB469D3" w14:textId="12F55CEF" w:rsidR="003663AF" w:rsidRPr="00B7760C" w:rsidRDefault="00877691" w:rsidP="00E804B7">
            <w:pPr>
              <w:pStyle w:val="ColumnHeading"/>
              <w:keepNext/>
            </w:pPr>
            <w:r w:rsidRPr="00B7760C">
              <w:t>Sprememba</w:t>
            </w:r>
          </w:p>
        </w:tc>
      </w:tr>
      <w:tr w:rsidR="003663AF" w:rsidRPr="00B7760C" w14:paraId="52866E07" w14:textId="77777777" w:rsidTr="00E804B7">
        <w:trPr>
          <w:jc w:val="center"/>
        </w:trPr>
        <w:tc>
          <w:tcPr>
            <w:tcW w:w="4876" w:type="dxa"/>
            <w:hideMark/>
          </w:tcPr>
          <w:p w14:paraId="23514750" w14:textId="77777777" w:rsidR="003663AF" w:rsidRPr="00B7760C" w:rsidRDefault="003663AF" w:rsidP="00E804B7">
            <w:pPr>
              <w:pStyle w:val="Normal6"/>
            </w:pPr>
            <w:r w:rsidRPr="00B7760C">
              <w:t>(c)</w:t>
            </w:r>
            <w:r w:rsidRPr="00B7760C">
              <w:tab/>
              <w:t>spodbuja hitrejši in širši prenos inovativnih rešitev v prakso ter</w:t>
            </w:r>
          </w:p>
        </w:tc>
        <w:tc>
          <w:tcPr>
            <w:tcW w:w="4876" w:type="dxa"/>
            <w:hideMark/>
          </w:tcPr>
          <w:p w14:paraId="00297BFE" w14:textId="77777777" w:rsidR="003663AF" w:rsidRPr="00B7760C" w:rsidRDefault="003663AF" w:rsidP="00E804B7">
            <w:pPr>
              <w:pStyle w:val="Normal6"/>
              <w:rPr>
                <w:szCs w:val="24"/>
              </w:rPr>
            </w:pPr>
            <w:r w:rsidRPr="00B7760C">
              <w:t>(c)</w:t>
            </w:r>
            <w:r w:rsidRPr="00B7760C">
              <w:tab/>
              <w:t>spodbuja hitrejši in širši prenos inovativnih rešitev v prakso</w:t>
            </w:r>
            <w:r w:rsidRPr="00B7760C">
              <w:rPr>
                <w:b/>
                <w:i/>
              </w:rPr>
              <w:t>, vključno z izmenjavo med kmeti</w:t>
            </w:r>
            <w:r w:rsidRPr="00B7760C">
              <w:t xml:space="preserve"> ter</w:t>
            </w:r>
          </w:p>
        </w:tc>
      </w:tr>
    </w:tbl>
    <w:p w14:paraId="0A37E993" w14:textId="77777777" w:rsidR="003663AF" w:rsidRPr="00B7760C" w:rsidRDefault="003663AF" w:rsidP="003663AF"/>
    <w:p w14:paraId="1E0864E7" w14:textId="69FB06ED" w:rsidR="003663AF" w:rsidRPr="00B7760C" w:rsidRDefault="00877691" w:rsidP="003663AF">
      <w:pPr>
        <w:pStyle w:val="AMNumberTabs"/>
        <w:keepNext/>
      </w:pPr>
      <w:r w:rsidRPr="00B7760C">
        <w:t>Sprememba</w:t>
      </w:r>
      <w:r w:rsidR="003663AF" w:rsidRPr="00B7760C">
        <w:tab/>
      </w:r>
      <w:r w:rsidR="003663AF" w:rsidRPr="00B7760C">
        <w:tab/>
        <w:t>657</w:t>
      </w:r>
    </w:p>
    <w:p w14:paraId="4313A3BF" w14:textId="77777777" w:rsidR="003663AF" w:rsidRPr="00B7760C" w:rsidRDefault="003663AF" w:rsidP="003663AF">
      <w:pPr>
        <w:pStyle w:val="NormalBold12b"/>
      </w:pPr>
      <w:r w:rsidRPr="00B7760C">
        <w:t>Predlog uredbe</w:t>
      </w:r>
    </w:p>
    <w:p w14:paraId="637DA835" w14:textId="77777777" w:rsidR="003663AF" w:rsidRPr="00B7760C" w:rsidRDefault="003663AF" w:rsidP="003663AF">
      <w:pPr>
        <w:pStyle w:val="NormalBold"/>
      </w:pPr>
      <w:r w:rsidRPr="00B7760C">
        <w:t>Člen 114 – odstavek 4 – pododstavek 1 – točka d</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4767A1D" w14:textId="77777777" w:rsidTr="00E804B7">
        <w:trPr>
          <w:jc w:val="center"/>
        </w:trPr>
        <w:tc>
          <w:tcPr>
            <w:tcW w:w="9752" w:type="dxa"/>
            <w:gridSpan w:val="2"/>
          </w:tcPr>
          <w:p w14:paraId="66AAE094" w14:textId="77777777" w:rsidR="003663AF" w:rsidRPr="00B7760C" w:rsidRDefault="003663AF" w:rsidP="00E804B7">
            <w:pPr>
              <w:keepNext/>
            </w:pPr>
          </w:p>
        </w:tc>
      </w:tr>
      <w:tr w:rsidR="003663AF" w:rsidRPr="00B7760C" w14:paraId="04D0BBB7" w14:textId="77777777" w:rsidTr="00E804B7">
        <w:trPr>
          <w:jc w:val="center"/>
        </w:trPr>
        <w:tc>
          <w:tcPr>
            <w:tcW w:w="4876" w:type="dxa"/>
            <w:hideMark/>
          </w:tcPr>
          <w:p w14:paraId="1037770A" w14:textId="77777777" w:rsidR="003663AF" w:rsidRPr="00B7760C" w:rsidRDefault="003663AF" w:rsidP="00E804B7">
            <w:pPr>
              <w:pStyle w:val="ColumnHeading"/>
              <w:keepNext/>
            </w:pPr>
            <w:r w:rsidRPr="00B7760C">
              <w:t>Besedilo, ki ga predlaga Komisija</w:t>
            </w:r>
          </w:p>
        </w:tc>
        <w:tc>
          <w:tcPr>
            <w:tcW w:w="4876" w:type="dxa"/>
            <w:hideMark/>
          </w:tcPr>
          <w:p w14:paraId="3ADE7F91" w14:textId="5E45A496" w:rsidR="003663AF" w:rsidRPr="00B7760C" w:rsidRDefault="00877691" w:rsidP="00E804B7">
            <w:pPr>
              <w:pStyle w:val="ColumnHeading"/>
              <w:keepNext/>
            </w:pPr>
            <w:r w:rsidRPr="00B7760C">
              <w:t>Sprememba</w:t>
            </w:r>
          </w:p>
        </w:tc>
      </w:tr>
      <w:tr w:rsidR="003663AF" w:rsidRPr="00B7760C" w14:paraId="281D7C89" w14:textId="77777777" w:rsidTr="00E804B7">
        <w:trPr>
          <w:jc w:val="center"/>
        </w:trPr>
        <w:tc>
          <w:tcPr>
            <w:tcW w:w="4876" w:type="dxa"/>
            <w:hideMark/>
          </w:tcPr>
          <w:p w14:paraId="56BE0D62" w14:textId="77777777" w:rsidR="003663AF" w:rsidRPr="00B7760C" w:rsidRDefault="003663AF" w:rsidP="00E804B7">
            <w:pPr>
              <w:pStyle w:val="Normal6"/>
            </w:pPr>
            <w:r w:rsidRPr="00B7760C">
              <w:t>(d)</w:t>
            </w:r>
            <w:r w:rsidRPr="00B7760C">
              <w:tab/>
              <w:t>obvešča znanstveno skupnost o potrebah po raziskavah kmetijske prakse.</w:t>
            </w:r>
          </w:p>
        </w:tc>
        <w:tc>
          <w:tcPr>
            <w:tcW w:w="4876" w:type="dxa"/>
            <w:hideMark/>
          </w:tcPr>
          <w:p w14:paraId="54144164" w14:textId="77777777" w:rsidR="003663AF" w:rsidRPr="00B7760C" w:rsidRDefault="003663AF" w:rsidP="00E804B7">
            <w:pPr>
              <w:pStyle w:val="Normal6"/>
              <w:rPr>
                <w:szCs w:val="24"/>
              </w:rPr>
            </w:pPr>
            <w:r w:rsidRPr="00B7760C">
              <w:t>(d)</w:t>
            </w:r>
            <w:r w:rsidRPr="00B7760C">
              <w:tab/>
              <w:t>obvešča znanstveno skupnost o potrebah po raziskavah kmetijske prakse</w:t>
            </w:r>
            <w:r w:rsidRPr="00B7760C">
              <w:rPr>
                <w:b/>
                <w:i/>
              </w:rPr>
              <w:t xml:space="preserve"> in kmetov</w:t>
            </w:r>
            <w:r w:rsidRPr="00B7760C">
              <w:t>.</w:t>
            </w:r>
          </w:p>
        </w:tc>
      </w:tr>
    </w:tbl>
    <w:p w14:paraId="0E3F5A21" w14:textId="77777777" w:rsidR="003663AF" w:rsidRPr="00B7760C" w:rsidRDefault="003663AF" w:rsidP="003663AF"/>
    <w:p w14:paraId="2F716CF8" w14:textId="30C7FD50" w:rsidR="003663AF" w:rsidRPr="00B7760C" w:rsidRDefault="00877691" w:rsidP="003663AF">
      <w:pPr>
        <w:pStyle w:val="AMNumberTabs"/>
        <w:keepNext/>
      </w:pPr>
      <w:r w:rsidRPr="00B7760C">
        <w:t>Sprememba</w:t>
      </w:r>
      <w:r w:rsidR="003663AF" w:rsidRPr="00B7760C">
        <w:tab/>
      </w:r>
      <w:r w:rsidR="003663AF" w:rsidRPr="00B7760C">
        <w:tab/>
        <w:t>658</w:t>
      </w:r>
    </w:p>
    <w:p w14:paraId="2D6E3CCA" w14:textId="77777777" w:rsidR="003663AF" w:rsidRPr="00B7760C" w:rsidRDefault="003663AF" w:rsidP="003663AF">
      <w:pPr>
        <w:pStyle w:val="NormalBold12b"/>
      </w:pPr>
      <w:r w:rsidRPr="00B7760C">
        <w:t>Predlog uredbe</w:t>
      </w:r>
    </w:p>
    <w:p w14:paraId="791ECAED" w14:textId="77777777" w:rsidR="003663AF" w:rsidRPr="00B7760C" w:rsidRDefault="003663AF" w:rsidP="003663AF">
      <w:pPr>
        <w:pStyle w:val="NormalBold"/>
      </w:pPr>
      <w:r w:rsidRPr="00B7760C">
        <w:t>Člen 114 – odstavek 4 – pododstavek 2 – uvodni del</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6BF0AD4" w14:textId="77777777" w:rsidTr="00E804B7">
        <w:trPr>
          <w:jc w:val="center"/>
        </w:trPr>
        <w:tc>
          <w:tcPr>
            <w:tcW w:w="9752" w:type="dxa"/>
            <w:gridSpan w:val="2"/>
          </w:tcPr>
          <w:p w14:paraId="2D5BD31F" w14:textId="77777777" w:rsidR="003663AF" w:rsidRPr="00B7760C" w:rsidRDefault="003663AF" w:rsidP="00E804B7">
            <w:pPr>
              <w:keepNext/>
            </w:pPr>
          </w:p>
        </w:tc>
      </w:tr>
      <w:tr w:rsidR="003663AF" w:rsidRPr="00B7760C" w14:paraId="2C99404D" w14:textId="77777777" w:rsidTr="00E804B7">
        <w:trPr>
          <w:jc w:val="center"/>
        </w:trPr>
        <w:tc>
          <w:tcPr>
            <w:tcW w:w="4876" w:type="dxa"/>
            <w:hideMark/>
          </w:tcPr>
          <w:p w14:paraId="5A0F3431" w14:textId="77777777" w:rsidR="003663AF" w:rsidRPr="00B7760C" w:rsidRDefault="003663AF" w:rsidP="00E804B7">
            <w:pPr>
              <w:pStyle w:val="ColumnHeading"/>
              <w:keepNext/>
            </w:pPr>
            <w:r w:rsidRPr="00B7760C">
              <w:t>Besedilo, ki ga predlaga Komisija</w:t>
            </w:r>
          </w:p>
        </w:tc>
        <w:tc>
          <w:tcPr>
            <w:tcW w:w="4876" w:type="dxa"/>
            <w:hideMark/>
          </w:tcPr>
          <w:p w14:paraId="14521917" w14:textId="034DB258" w:rsidR="003663AF" w:rsidRPr="00B7760C" w:rsidRDefault="00877691" w:rsidP="00E804B7">
            <w:pPr>
              <w:pStyle w:val="ColumnHeading"/>
              <w:keepNext/>
            </w:pPr>
            <w:r w:rsidRPr="00B7760C">
              <w:t>Sprememba</w:t>
            </w:r>
          </w:p>
        </w:tc>
      </w:tr>
      <w:tr w:rsidR="003663AF" w:rsidRPr="00B7760C" w14:paraId="5573A890" w14:textId="77777777" w:rsidTr="00E804B7">
        <w:trPr>
          <w:jc w:val="center"/>
        </w:trPr>
        <w:tc>
          <w:tcPr>
            <w:tcW w:w="4876" w:type="dxa"/>
            <w:hideMark/>
          </w:tcPr>
          <w:p w14:paraId="0E44A59D" w14:textId="77777777" w:rsidR="003663AF" w:rsidRPr="00B7760C" w:rsidRDefault="003663AF" w:rsidP="00E804B7">
            <w:pPr>
              <w:pStyle w:val="Normal6"/>
            </w:pPr>
            <w:r w:rsidRPr="00B7760C">
              <w:t>Operativne skupine EIP</w:t>
            </w:r>
            <w:r w:rsidRPr="00B7760C">
              <w:rPr>
                <w:b/>
                <w:i/>
              </w:rPr>
              <w:t xml:space="preserve"> so del EIP</w:t>
            </w:r>
            <w:r w:rsidRPr="00B7760C">
              <w:t>. Pripravijo načrt za razvoj, testiranje, prilagoditev ali izvajanje inovativnih projektov, in sicer na podlagi interaktivnega inovacijskega modela z naslednjimi ključnimi načeli:</w:t>
            </w:r>
          </w:p>
        </w:tc>
        <w:tc>
          <w:tcPr>
            <w:tcW w:w="4876" w:type="dxa"/>
            <w:hideMark/>
          </w:tcPr>
          <w:p w14:paraId="7A923121" w14:textId="77777777" w:rsidR="003663AF" w:rsidRPr="00B7760C" w:rsidRDefault="003663AF" w:rsidP="00E804B7">
            <w:pPr>
              <w:pStyle w:val="Normal6"/>
              <w:rPr>
                <w:szCs w:val="24"/>
              </w:rPr>
            </w:pPr>
            <w:r w:rsidRPr="00B7760C">
              <w:rPr>
                <w:b/>
                <w:i/>
              </w:rPr>
              <w:t xml:space="preserve">Za uresničevanje EIP se oblikujejo </w:t>
            </w:r>
            <w:r w:rsidRPr="00B7760C">
              <w:t>operativne skupine EIP</w:t>
            </w:r>
            <w:r w:rsidRPr="00B7760C">
              <w:rPr>
                <w:b/>
                <w:i/>
              </w:rPr>
              <w:t>, ki jih lahko med drugim oblikujejo proizvajalci in medpanožne organizacije, sestavljajo pa jih lahko člani iz različnih držav članic</w:t>
            </w:r>
            <w:r w:rsidRPr="00B7760C">
              <w:t>. Pripravijo načrt za razvoj, testiranje, prilagoditev ali izvajanje inovativnih projektov, in sicer na podlagi interaktivnega inovacijskega modela z naslednjimi ključnimi načeli:</w:t>
            </w:r>
          </w:p>
        </w:tc>
      </w:tr>
    </w:tbl>
    <w:p w14:paraId="5116739A" w14:textId="77777777" w:rsidR="003663AF" w:rsidRPr="00B7760C" w:rsidRDefault="003663AF" w:rsidP="003663AF"/>
    <w:p w14:paraId="655DCC3C" w14:textId="56BF89FF" w:rsidR="003663AF" w:rsidRPr="00B7760C" w:rsidRDefault="00877691" w:rsidP="003663AF">
      <w:pPr>
        <w:pStyle w:val="AMNumberTabs"/>
        <w:keepNext/>
      </w:pPr>
      <w:r w:rsidRPr="00B7760C">
        <w:t>Sprememba</w:t>
      </w:r>
      <w:r w:rsidR="003663AF" w:rsidRPr="00B7760C">
        <w:tab/>
      </w:r>
      <w:r w:rsidR="003663AF" w:rsidRPr="00B7760C">
        <w:tab/>
        <w:t>659</w:t>
      </w:r>
    </w:p>
    <w:p w14:paraId="5A710C36" w14:textId="77777777" w:rsidR="003663AF" w:rsidRPr="00B7760C" w:rsidRDefault="003663AF" w:rsidP="003663AF">
      <w:pPr>
        <w:pStyle w:val="NormalBold12b"/>
      </w:pPr>
      <w:r w:rsidRPr="00B7760C">
        <w:t>Predlog uredbe</w:t>
      </w:r>
    </w:p>
    <w:p w14:paraId="3DEE5B78" w14:textId="77777777" w:rsidR="003663AF" w:rsidRPr="00B7760C" w:rsidRDefault="003663AF" w:rsidP="003663AF">
      <w:pPr>
        <w:pStyle w:val="NormalBold"/>
      </w:pPr>
      <w:r w:rsidRPr="00B7760C">
        <w:t>Člen 114 – odstavek 4 – pododstavek 2 – točka 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5D9184C" w14:textId="77777777" w:rsidTr="00E804B7">
        <w:trPr>
          <w:jc w:val="center"/>
        </w:trPr>
        <w:tc>
          <w:tcPr>
            <w:tcW w:w="9752" w:type="dxa"/>
            <w:gridSpan w:val="2"/>
          </w:tcPr>
          <w:p w14:paraId="7C37DAFD" w14:textId="77777777" w:rsidR="003663AF" w:rsidRPr="00B7760C" w:rsidRDefault="003663AF" w:rsidP="00E804B7">
            <w:pPr>
              <w:keepNext/>
            </w:pPr>
          </w:p>
        </w:tc>
      </w:tr>
      <w:tr w:rsidR="003663AF" w:rsidRPr="00B7760C" w14:paraId="711475F9" w14:textId="77777777" w:rsidTr="00E804B7">
        <w:trPr>
          <w:jc w:val="center"/>
        </w:trPr>
        <w:tc>
          <w:tcPr>
            <w:tcW w:w="4876" w:type="dxa"/>
            <w:hideMark/>
          </w:tcPr>
          <w:p w14:paraId="7485BCCD" w14:textId="77777777" w:rsidR="003663AF" w:rsidRPr="00B7760C" w:rsidRDefault="003663AF" w:rsidP="00E804B7">
            <w:pPr>
              <w:pStyle w:val="ColumnHeading"/>
              <w:keepNext/>
            </w:pPr>
            <w:r w:rsidRPr="00B7760C">
              <w:t>Besedilo, ki ga predlaga Komisija</w:t>
            </w:r>
          </w:p>
        </w:tc>
        <w:tc>
          <w:tcPr>
            <w:tcW w:w="4876" w:type="dxa"/>
            <w:hideMark/>
          </w:tcPr>
          <w:p w14:paraId="49A8F038" w14:textId="0D1DE60A" w:rsidR="003663AF" w:rsidRPr="00B7760C" w:rsidRDefault="00877691" w:rsidP="00E804B7">
            <w:pPr>
              <w:pStyle w:val="ColumnHeading"/>
              <w:keepNext/>
            </w:pPr>
            <w:r w:rsidRPr="00B7760C">
              <w:t>Sprememba</w:t>
            </w:r>
          </w:p>
        </w:tc>
      </w:tr>
      <w:tr w:rsidR="003663AF" w:rsidRPr="00B7760C" w14:paraId="5D6B6F58" w14:textId="77777777" w:rsidTr="00E804B7">
        <w:trPr>
          <w:jc w:val="center"/>
        </w:trPr>
        <w:tc>
          <w:tcPr>
            <w:tcW w:w="4876" w:type="dxa"/>
            <w:hideMark/>
          </w:tcPr>
          <w:p w14:paraId="38FEC54C" w14:textId="77777777" w:rsidR="003663AF" w:rsidRPr="00B7760C" w:rsidRDefault="003663AF" w:rsidP="00E804B7">
            <w:pPr>
              <w:pStyle w:val="Normal6"/>
            </w:pPr>
            <w:r w:rsidRPr="00B7760C">
              <w:t>(a)</w:t>
            </w:r>
            <w:r w:rsidRPr="00B7760C">
              <w:tab/>
              <w:t>razvoj inovativnih rešitev s poudarkom na potrebah kmetov ali gozdarjev in hkratna obravnava interakcij v celotni dobavni verigi, kadar je to koristno;</w:t>
            </w:r>
          </w:p>
        </w:tc>
        <w:tc>
          <w:tcPr>
            <w:tcW w:w="4876" w:type="dxa"/>
            <w:hideMark/>
          </w:tcPr>
          <w:p w14:paraId="20E3C78F" w14:textId="77777777" w:rsidR="003663AF" w:rsidRPr="00B7760C" w:rsidRDefault="003663AF" w:rsidP="00E804B7">
            <w:pPr>
              <w:pStyle w:val="Normal6"/>
              <w:rPr>
                <w:szCs w:val="24"/>
              </w:rPr>
            </w:pPr>
            <w:r w:rsidRPr="00B7760C">
              <w:t>(a)</w:t>
            </w:r>
            <w:r w:rsidRPr="00B7760C">
              <w:tab/>
              <w:t>razvoj inovativnih rešitev s poudarkom na potrebah kmetov ali gozdarjev in hkratna obravnava interakcij v celotni dobavni verigi, kadar je to koristno</w:t>
            </w:r>
            <w:r w:rsidRPr="00B7760C">
              <w:rPr>
                <w:b/>
                <w:i/>
              </w:rPr>
              <w:t>, pa tudi ob upoštevanju interesov potrošnikov</w:t>
            </w:r>
            <w:r w:rsidRPr="00B7760C">
              <w:t>;</w:t>
            </w:r>
          </w:p>
        </w:tc>
      </w:tr>
    </w:tbl>
    <w:p w14:paraId="7D9B7E39" w14:textId="77777777" w:rsidR="003663AF" w:rsidRPr="00B7760C" w:rsidRDefault="003663AF" w:rsidP="003663AF"/>
    <w:p w14:paraId="51464931" w14:textId="4F0ED56A" w:rsidR="003663AF" w:rsidRPr="00B7760C" w:rsidRDefault="00877691" w:rsidP="003663AF">
      <w:pPr>
        <w:pStyle w:val="AMNumberTabs"/>
        <w:keepNext/>
      </w:pPr>
      <w:r w:rsidRPr="00B7760C">
        <w:t>Sprememba</w:t>
      </w:r>
      <w:r w:rsidR="003663AF" w:rsidRPr="00B7760C">
        <w:tab/>
      </w:r>
      <w:r w:rsidR="003663AF" w:rsidRPr="00B7760C">
        <w:tab/>
        <w:t>660</w:t>
      </w:r>
    </w:p>
    <w:p w14:paraId="1072B9A4" w14:textId="77777777" w:rsidR="003663AF" w:rsidRPr="00B7760C" w:rsidRDefault="003663AF" w:rsidP="003663AF">
      <w:pPr>
        <w:pStyle w:val="NormalBold12b"/>
      </w:pPr>
      <w:r w:rsidRPr="00B7760C">
        <w:t>Predlog uredbe</w:t>
      </w:r>
    </w:p>
    <w:p w14:paraId="1C487E14" w14:textId="77777777" w:rsidR="003663AF" w:rsidRPr="00B7760C" w:rsidRDefault="003663AF" w:rsidP="003663AF">
      <w:pPr>
        <w:pStyle w:val="NormalBold"/>
      </w:pPr>
      <w:r w:rsidRPr="00B7760C">
        <w:t>Člen 114 – odstavek 4 – pododstavek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43374EB" w14:textId="77777777" w:rsidTr="00E804B7">
        <w:trPr>
          <w:jc w:val="center"/>
        </w:trPr>
        <w:tc>
          <w:tcPr>
            <w:tcW w:w="9752" w:type="dxa"/>
            <w:gridSpan w:val="2"/>
          </w:tcPr>
          <w:p w14:paraId="24199345" w14:textId="77777777" w:rsidR="003663AF" w:rsidRPr="00B7760C" w:rsidRDefault="003663AF" w:rsidP="00E804B7">
            <w:pPr>
              <w:keepNext/>
            </w:pPr>
          </w:p>
        </w:tc>
      </w:tr>
      <w:tr w:rsidR="003663AF" w:rsidRPr="00B7760C" w14:paraId="49DE2470" w14:textId="77777777" w:rsidTr="00E804B7">
        <w:trPr>
          <w:jc w:val="center"/>
        </w:trPr>
        <w:tc>
          <w:tcPr>
            <w:tcW w:w="4876" w:type="dxa"/>
            <w:hideMark/>
          </w:tcPr>
          <w:p w14:paraId="45190D59" w14:textId="77777777" w:rsidR="003663AF" w:rsidRPr="00B7760C" w:rsidRDefault="003663AF" w:rsidP="00E804B7">
            <w:pPr>
              <w:pStyle w:val="ColumnHeading"/>
              <w:keepNext/>
            </w:pPr>
            <w:r w:rsidRPr="00B7760C">
              <w:t>Besedilo, ki ga predlaga Komisija</w:t>
            </w:r>
          </w:p>
        </w:tc>
        <w:tc>
          <w:tcPr>
            <w:tcW w:w="4876" w:type="dxa"/>
            <w:hideMark/>
          </w:tcPr>
          <w:p w14:paraId="6D21EF17" w14:textId="071E1DCD" w:rsidR="003663AF" w:rsidRPr="00B7760C" w:rsidRDefault="00877691" w:rsidP="00E804B7">
            <w:pPr>
              <w:pStyle w:val="ColumnHeading"/>
              <w:keepNext/>
            </w:pPr>
            <w:r w:rsidRPr="00B7760C">
              <w:t>Sprememba</w:t>
            </w:r>
          </w:p>
        </w:tc>
      </w:tr>
      <w:tr w:rsidR="003663AF" w:rsidRPr="00B7760C" w14:paraId="333D3FAA" w14:textId="77777777" w:rsidTr="00E804B7">
        <w:trPr>
          <w:jc w:val="center"/>
        </w:trPr>
        <w:tc>
          <w:tcPr>
            <w:tcW w:w="4876" w:type="dxa"/>
            <w:hideMark/>
          </w:tcPr>
          <w:p w14:paraId="6A28C9DB" w14:textId="77777777" w:rsidR="003663AF" w:rsidRPr="00B7760C" w:rsidRDefault="003663AF" w:rsidP="00E804B7">
            <w:pPr>
              <w:pStyle w:val="Normal6"/>
            </w:pPr>
            <w:r w:rsidRPr="00B7760C">
              <w:t>Načrtovane inovacije lahko temeljijo tako na novih kot tradicionalnih praksah v novih geografskih ali okoljskih razmerah.</w:t>
            </w:r>
          </w:p>
        </w:tc>
        <w:tc>
          <w:tcPr>
            <w:tcW w:w="4876" w:type="dxa"/>
            <w:hideMark/>
          </w:tcPr>
          <w:p w14:paraId="39D4C959" w14:textId="77777777" w:rsidR="003663AF" w:rsidRPr="00B7760C" w:rsidRDefault="003663AF" w:rsidP="00E804B7">
            <w:pPr>
              <w:pStyle w:val="Normal6"/>
              <w:rPr>
                <w:szCs w:val="24"/>
              </w:rPr>
            </w:pPr>
            <w:r w:rsidRPr="00B7760C">
              <w:t xml:space="preserve">Načrtovane inovacije lahko temeljijo tako na novih kot tradicionalnih </w:t>
            </w:r>
            <w:r w:rsidRPr="00B7760C">
              <w:rPr>
                <w:b/>
                <w:i/>
              </w:rPr>
              <w:t xml:space="preserve">in agroekoloških </w:t>
            </w:r>
            <w:r w:rsidRPr="00B7760C">
              <w:t>praksah v novih geografskih ali okoljskih razmerah.</w:t>
            </w:r>
          </w:p>
        </w:tc>
      </w:tr>
    </w:tbl>
    <w:p w14:paraId="4FC0188D" w14:textId="77777777" w:rsidR="003663AF" w:rsidRPr="00B7760C" w:rsidRDefault="003663AF" w:rsidP="003663AF"/>
    <w:p w14:paraId="177AB11E" w14:textId="2969F03B" w:rsidR="003663AF" w:rsidRPr="00B7760C" w:rsidRDefault="00877691" w:rsidP="003663AF">
      <w:pPr>
        <w:pStyle w:val="AMNumberTabs"/>
        <w:keepNext/>
      </w:pPr>
      <w:r w:rsidRPr="00B7760C">
        <w:t>Sprememba</w:t>
      </w:r>
      <w:r w:rsidR="003663AF" w:rsidRPr="00B7760C">
        <w:tab/>
      </w:r>
      <w:r w:rsidR="003663AF" w:rsidRPr="00B7760C">
        <w:tab/>
        <w:t>661</w:t>
      </w:r>
    </w:p>
    <w:p w14:paraId="58E981D8" w14:textId="77777777" w:rsidR="003663AF" w:rsidRPr="00B7760C" w:rsidRDefault="003663AF" w:rsidP="003663AF">
      <w:pPr>
        <w:pStyle w:val="NormalBold12b"/>
      </w:pPr>
      <w:r w:rsidRPr="00B7760C">
        <w:t>Predlog uredbe</w:t>
      </w:r>
    </w:p>
    <w:p w14:paraId="11273348" w14:textId="77777777" w:rsidR="003663AF" w:rsidRPr="00B7760C" w:rsidRDefault="003663AF" w:rsidP="003663AF">
      <w:pPr>
        <w:pStyle w:val="NormalBold"/>
      </w:pPr>
      <w:r w:rsidRPr="00B7760C">
        <w:t>Člen 114 – odstavek 4 – pododstavek 4</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7360F2A" w14:textId="77777777" w:rsidTr="00E804B7">
        <w:trPr>
          <w:jc w:val="center"/>
        </w:trPr>
        <w:tc>
          <w:tcPr>
            <w:tcW w:w="9752" w:type="dxa"/>
            <w:gridSpan w:val="2"/>
          </w:tcPr>
          <w:p w14:paraId="27E715A4" w14:textId="77777777" w:rsidR="003663AF" w:rsidRPr="00B7760C" w:rsidRDefault="003663AF" w:rsidP="00E804B7">
            <w:pPr>
              <w:keepNext/>
            </w:pPr>
          </w:p>
        </w:tc>
      </w:tr>
      <w:tr w:rsidR="003663AF" w:rsidRPr="00B7760C" w14:paraId="1CAB3DB8" w14:textId="77777777" w:rsidTr="00E804B7">
        <w:trPr>
          <w:jc w:val="center"/>
        </w:trPr>
        <w:tc>
          <w:tcPr>
            <w:tcW w:w="4876" w:type="dxa"/>
            <w:hideMark/>
          </w:tcPr>
          <w:p w14:paraId="1FF0AF41" w14:textId="77777777" w:rsidR="003663AF" w:rsidRPr="00B7760C" w:rsidRDefault="003663AF" w:rsidP="00E804B7">
            <w:pPr>
              <w:pStyle w:val="ColumnHeading"/>
              <w:keepNext/>
            </w:pPr>
            <w:r w:rsidRPr="00B7760C">
              <w:t>Besedilo, ki ga predlaga Komisija</w:t>
            </w:r>
          </w:p>
        </w:tc>
        <w:tc>
          <w:tcPr>
            <w:tcW w:w="4876" w:type="dxa"/>
            <w:hideMark/>
          </w:tcPr>
          <w:p w14:paraId="6F8000CA" w14:textId="6031C818" w:rsidR="003663AF" w:rsidRPr="00B7760C" w:rsidRDefault="00877691" w:rsidP="00E804B7">
            <w:pPr>
              <w:pStyle w:val="ColumnHeading"/>
              <w:keepNext/>
            </w:pPr>
            <w:r w:rsidRPr="00B7760C">
              <w:t>Sprememba</w:t>
            </w:r>
          </w:p>
        </w:tc>
      </w:tr>
      <w:tr w:rsidR="003663AF" w:rsidRPr="00B7760C" w14:paraId="18C4B62C" w14:textId="77777777" w:rsidTr="00E804B7">
        <w:trPr>
          <w:jc w:val="center"/>
        </w:trPr>
        <w:tc>
          <w:tcPr>
            <w:tcW w:w="4876" w:type="dxa"/>
            <w:hideMark/>
          </w:tcPr>
          <w:p w14:paraId="706B8AE4" w14:textId="77777777" w:rsidR="003663AF" w:rsidRPr="00B7760C" w:rsidRDefault="003663AF" w:rsidP="00E804B7">
            <w:pPr>
              <w:pStyle w:val="Normal6"/>
            </w:pPr>
            <w:r w:rsidRPr="00B7760C">
              <w:t>Operativne skupine razširjajo svoje načrte in rezultate svojih projektov, zlasti prek mrež SKP.</w:t>
            </w:r>
          </w:p>
        </w:tc>
        <w:tc>
          <w:tcPr>
            <w:tcW w:w="4876" w:type="dxa"/>
            <w:hideMark/>
          </w:tcPr>
          <w:p w14:paraId="68BC3EDE" w14:textId="77777777" w:rsidR="003663AF" w:rsidRPr="00B7760C" w:rsidRDefault="003663AF" w:rsidP="00E804B7">
            <w:pPr>
              <w:pStyle w:val="Normal6"/>
              <w:rPr>
                <w:szCs w:val="24"/>
              </w:rPr>
            </w:pPr>
            <w:r w:rsidRPr="00B7760C">
              <w:t>Operativne skupine razširjajo svoje načrte in rezultate svojih projektov, zlasti prek mrež SKP</w:t>
            </w:r>
            <w:r w:rsidRPr="00B7760C">
              <w:rPr>
                <w:b/>
                <w:i/>
              </w:rPr>
              <w:t>, njihovi člani pa lahko prihajajo iz več kot ene države članice</w:t>
            </w:r>
            <w:r w:rsidRPr="00B7760C">
              <w:t>.</w:t>
            </w:r>
          </w:p>
        </w:tc>
      </w:tr>
    </w:tbl>
    <w:p w14:paraId="4D8D8290" w14:textId="77777777" w:rsidR="003663AF" w:rsidRPr="00B7760C" w:rsidRDefault="003663AF" w:rsidP="003663AF"/>
    <w:p w14:paraId="48D69A37" w14:textId="70D6378D" w:rsidR="003663AF" w:rsidRPr="00B7760C" w:rsidRDefault="00877691" w:rsidP="003663AF">
      <w:pPr>
        <w:pStyle w:val="AMNumberTabs"/>
        <w:keepNext/>
      </w:pPr>
      <w:r w:rsidRPr="00B7760C">
        <w:t>Sprememba</w:t>
      </w:r>
      <w:r w:rsidR="003663AF" w:rsidRPr="00B7760C">
        <w:tab/>
      </w:r>
      <w:r w:rsidR="003663AF" w:rsidRPr="00B7760C">
        <w:tab/>
        <w:t>662</w:t>
      </w:r>
    </w:p>
    <w:p w14:paraId="6BE709E4" w14:textId="77777777" w:rsidR="003663AF" w:rsidRPr="00B7760C" w:rsidRDefault="003663AF" w:rsidP="003663AF">
      <w:pPr>
        <w:pStyle w:val="NormalBold12b"/>
      </w:pPr>
      <w:r w:rsidRPr="00B7760C">
        <w:t>Predlog uredbe</w:t>
      </w:r>
    </w:p>
    <w:p w14:paraId="19736ED6" w14:textId="77777777" w:rsidR="003663AF" w:rsidRPr="00B7760C" w:rsidRDefault="003663AF" w:rsidP="003663AF">
      <w:pPr>
        <w:pStyle w:val="NormalBold"/>
      </w:pPr>
      <w:r w:rsidRPr="00B7760C">
        <w:t>Člen 115 – odstavek 2 – točka 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4C1ACC6" w14:textId="77777777" w:rsidTr="00E804B7">
        <w:trPr>
          <w:jc w:val="center"/>
        </w:trPr>
        <w:tc>
          <w:tcPr>
            <w:tcW w:w="9752" w:type="dxa"/>
            <w:gridSpan w:val="2"/>
          </w:tcPr>
          <w:p w14:paraId="7C6FB6B8" w14:textId="77777777" w:rsidR="003663AF" w:rsidRPr="00B7760C" w:rsidRDefault="003663AF" w:rsidP="00E804B7">
            <w:pPr>
              <w:keepNext/>
            </w:pPr>
          </w:p>
        </w:tc>
      </w:tr>
      <w:tr w:rsidR="003663AF" w:rsidRPr="00B7760C" w14:paraId="3DBA0935" w14:textId="77777777" w:rsidTr="00E804B7">
        <w:trPr>
          <w:jc w:val="center"/>
        </w:trPr>
        <w:tc>
          <w:tcPr>
            <w:tcW w:w="4876" w:type="dxa"/>
            <w:hideMark/>
          </w:tcPr>
          <w:p w14:paraId="750E128D" w14:textId="77777777" w:rsidR="003663AF" w:rsidRPr="00B7760C" w:rsidRDefault="003663AF" w:rsidP="00E804B7">
            <w:pPr>
              <w:pStyle w:val="ColumnHeading"/>
              <w:keepNext/>
            </w:pPr>
            <w:r w:rsidRPr="00B7760C">
              <w:t>Besedilo, ki ga predlaga Komisija</w:t>
            </w:r>
          </w:p>
        </w:tc>
        <w:tc>
          <w:tcPr>
            <w:tcW w:w="4876" w:type="dxa"/>
            <w:hideMark/>
          </w:tcPr>
          <w:p w14:paraId="37EA9745" w14:textId="651E1F92" w:rsidR="003663AF" w:rsidRPr="00B7760C" w:rsidRDefault="00877691" w:rsidP="00E804B7">
            <w:pPr>
              <w:pStyle w:val="ColumnHeading"/>
              <w:keepNext/>
            </w:pPr>
            <w:r w:rsidRPr="00B7760C">
              <w:t>Sprememba</w:t>
            </w:r>
          </w:p>
        </w:tc>
      </w:tr>
      <w:tr w:rsidR="003663AF" w:rsidRPr="00B7760C" w14:paraId="1D996FD6" w14:textId="77777777" w:rsidTr="00E804B7">
        <w:trPr>
          <w:jc w:val="center"/>
        </w:trPr>
        <w:tc>
          <w:tcPr>
            <w:tcW w:w="4876" w:type="dxa"/>
            <w:hideMark/>
          </w:tcPr>
          <w:p w14:paraId="2500199C" w14:textId="77777777" w:rsidR="003663AF" w:rsidRPr="00B7760C" w:rsidRDefault="003663AF" w:rsidP="00E804B7">
            <w:pPr>
              <w:pStyle w:val="Normal6"/>
            </w:pPr>
            <w:r w:rsidRPr="00B7760C">
              <w:t>(a)</w:t>
            </w:r>
            <w:r w:rsidRPr="00B7760C">
              <w:tab/>
              <w:t>niz kazalnikov ozadja, izložkov, rezultatov in učinka</w:t>
            </w:r>
            <w:r w:rsidRPr="00B7760C">
              <w:rPr>
                <w:b/>
                <w:i/>
              </w:rPr>
              <w:t>, vključno s tistimi</w:t>
            </w:r>
            <w:r w:rsidRPr="00B7760C">
              <w:t xml:space="preserve"> iz člena 7, ki se uporabijo kot podlaga za spremljanje, ocenjevanje in</w:t>
            </w:r>
            <w:r w:rsidRPr="00B7760C">
              <w:rPr>
                <w:b/>
                <w:i/>
              </w:rPr>
              <w:t xml:space="preserve"> letno</w:t>
            </w:r>
            <w:r w:rsidRPr="00B7760C">
              <w:t xml:space="preserve"> poročanje o smotrnosti;</w:t>
            </w:r>
          </w:p>
        </w:tc>
        <w:tc>
          <w:tcPr>
            <w:tcW w:w="4876" w:type="dxa"/>
            <w:hideMark/>
          </w:tcPr>
          <w:p w14:paraId="0FE349F8" w14:textId="77777777" w:rsidR="003663AF" w:rsidRPr="00B7760C" w:rsidRDefault="003663AF" w:rsidP="00E804B7">
            <w:pPr>
              <w:pStyle w:val="Normal6"/>
              <w:rPr>
                <w:szCs w:val="24"/>
              </w:rPr>
            </w:pPr>
            <w:r w:rsidRPr="00B7760C">
              <w:t>(a)</w:t>
            </w:r>
            <w:r w:rsidRPr="00B7760C">
              <w:tab/>
              <w:t>niz kazalnikov ozadja, izložkov, rezultatov in učinka iz člena 7, ki se uporabijo kot podlaga za spremljanje, ocenjevanje in poročanje o smotrnosti;</w:t>
            </w:r>
          </w:p>
        </w:tc>
      </w:tr>
    </w:tbl>
    <w:p w14:paraId="226415D3" w14:textId="77777777" w:rsidR="003663AF" w:rsidRPr="00B7760C" w:rsidRDefault="003663AF" w:rsidP="003663AF"/>
    <w:p w14:paraId="74A5F227" w14:textId="4FAE0DE9" w:rsidR="003663AF" w:rsidRPr="00B7760C" w:rsidRDefault="00877691" w:rsidP="003663AF">
      <w:pPr>
        <w:pStyle w:val="AMNumberTabs"/>
        <w:keepNext/>
      </w:pPr>
      <w:r w:rsidRPr="00B7760C">
        <w:t>Sprememba</w:t>
      </w:r>
      <w:r w:rsidR="003663AF" w:rsidRPr="00B7760C">
        <w:tab/>
      </w:r>
      <w:r w:rsidR="003663AF" w:rsidRPr="00B7760C">
        <w:tab/>
        <w:t>663</w:t>
      </w:r>
    </w:p>
    <w:p w14:paraId="1D47AC58" w14:textId="77777777" w:rsidR="003663AF" w:rsidRPr="00B7760C" w:rsidRDefault="003663AF" w:rsidP="003663AF">
      <w:pPr>
        <w:pStyle w:val="NormalBold12b"/>
      </w:pPr>
      <w:r w:rsidRPr="00B7760C">
        <w:t>Predlog uredbe</w:t>
      </w:r>
    </w:p>
    <w:p w14:paraId="61AB6E47" w14:textId="77777777" w:rsidR="003663AF" w:rsidRPr="00B7760C" w:rsidRDefault="003663AF" w:rsidP="003663AF">
      <w:pPr>
        <w:pStyle w:val="NormalBold"/>
      </w:pPr>
      <w:r w:rsidRPr="00B7760C">
        <w:t>Člen 115 – odstavek 2 – točka b</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55D8DBC" w14:textId="77777777" w:rsidTr="00E804B7">
        <w:trPr>
          <w:jc w:val="center"/>
        </w:trPr>
        <w:tc>
          <w:tcPr>
            <w:tcW w:w="9752" w:type="dxa"/>
            <w:gridSpan w:val="2"/>
          </w:tcPr>
          <w:p w14:paraId="08B2907C" w14:textId="77777777" w:rsidR="003663AF" w:rsidRPr="00B7760C" w:rsidRDefault="003663AF" w:rsidP="00E804B7">
            <w:pPr>
              <w:keepNext/>
            </w:pPr>
          </w:p>
        </w:tc>
      </w:tr>
      <w:tr w:rsidR="003663AF" w:rsidRPr="00B7760C" w14:paraId="73AEC904" w14:textId="77777777" w:rsidTr="00E804B7">
        <w:trPr>
          <w:jc w:val="center"/>
        </w:trPr>
        <w:tc>
          <w:tcPr>
            <w:tcW w:w="4876" w:type="dxa"/>
            <w:hideMark/>
          </w:tcPr>
          <w:p w14:paraId="311330FA" w14:textId="77777777" w:rsidR="003663AF" w:rsidRPr="00B7760C" w:rsidRDefault="003663AF" w:rsidP="00E804B7">
            <w:pPr>
              <w:pStyle w:val="ColumnHeading"/>
              <w:keepNext/>
            </w:pPr>
            <w:r w:rsidRPr="00B7760C">
              <w:t>Besedilo, ki ga predlaga Komisija</w:t>
            </w:r>
          </w:p>
        </w:tc>
        <w:tc>
          <w:tcPr>
            <w:tcW w:w="4876" w:type="dxa"/>
            <w:hideMark/>
          </w:tcPr>
          <w:p w14:paraId="484AABD4" w14:textId="635896BC" w:rsidR="003663AF" w:rsidRPr="00B7760C" w:rsidRDefault="00877691" w:rsidP="00E804B7">
            <w:pPr>
              <w:pStyle w:val="ColumnHeading"/>
              <w:keepNext/>
            </w:pPr>
            <w:r w:rsidRPr="00B7760C">
              <w:t>Sprememba</w:t>
            </w:r>
          </w:p>
        </w:tc>
      </w:tr>
      <w:tr w:rsidR="003663AF" w:rsidRPr="00B7760C" w14:paraId="47D896F6" w14:textId="77777777" w:rsidTr="00E804B7">
        <w:trPr>
          <w:jc w:val="center"/>
        </w:trPr>
        <w:tc>
          <w:tcPr>
            <w:tcW w:w="4876" w:type="dxa"/>
            <w:hideMark/>
          </w:tcPr>
          <w:p w14:paraId="136298F7" w14:textId="77777777" w:rsidR="003663AF" w:rsidRPr="00B7760C" w:rsidRDefault="003663AF" w:rsidP="00E804B7">
            <w:pPr>
              <w:pStyle w:val="Normal6"/>
            </w:pPr>
            <w:r w:rsidRPr="00B7760C">
              <w:t>(b)</w:t>
            </w:r>
            <w:r w:rsidRPr="00B7760C">
              <w:tab/>
              <w:t>ciljne vrednosti in letne mejnike, določene glede na ustrezni specifični cilj z uporabo kazalnikov rezultatov;</w:t>
            </w:r>
          </w:p>
        </w:tc>
        <w:tc>
          <w:tcPr>
            <w:tcW w:w="4876" w:type="dxa"/>
            <w:hideMark/>
          </w:tcPr>
          <w:p w14:paraId="4892EE9B" w14:textId="77777777" w:rsidR="003663AF" w:rsidRPr="00B7760C" w:rsidRDefault="003663AF" w:rsidP="00E804B7">
            <w:pPr>
              <w:pStyle w:val="Normal6"/>
              <w:rPr>
                <w:szCs w:val="24"/>
              </w:rPr>
            </w:pPr>
            <w:r w:rsidRPr="00B7760C">
              <w:t>(b)</w:t>
            </w:r>
            <w:r w:rsidRPr="00B7760C">
              <w:tab/>
              <w:t xml:space="preserve">ciljne vrednosti in letne </w:t>
            </w:r>
            <w:r w:rsidRPr="00B7760C">
              <w:rPr>
                <w:b/>
                <w:i/>
              </w:rPr>
              <w:t xml:space="preserve">ali po potrebi večletne </w:t>
            </w:r>
            <w:r w:rsidRPr="00B7760C">
              <w:t>mejnike, določene glede na ustrezni specifični cilj z uporabo kazalnikov rezultatov;</w:t>
            </w:r>
          </w:p>
        </w:tc>
      </w:tr>
    </w:tbl>
    <w:p w14:paraId="5B242F5C" w14:textId="77777777" w:rsidR="003663AF" w:rsidRPr="00B7760C" w:rsidRDefault="003663AF" w:rsidP="003663AF"/>
    <w:p w14:paraId="1639CE04" w14:textId="589B8422" w:rsidR="003663AF" w:rsidRPr="00B7760C" w:rsidRDefault="00877691" w:rsidP="003663AF">
      <w:pPr>
        <w:pStyle w:val="AMNumberTabs"/>
        <w:keepNext/>
      </w:pPr>
      <w:r w:rsidRPr="00B7760C">
        <w:t>Sprememba</w:t>
      </w:r>
      <w:r w:rsidR="003663AF" w:rsidRPr="00B7760C">
        <w:tab/>
      </w:r>
      <w:r w:rsidR="003663AF" w:rsidRPr="00B7760C">
        <w:tab/>
        <w:t>664</w:t>
      </w:r>
    </w:p>
    <w:p w14:paraId="42A13104" w14:textId="77777777" w:rsidR="003663AF" w:rsidRPr="00B7760C" w:rsidRDefault="003663AF" w:rsidP="003663AF">
      <w:pPr>
        <w:pStyle w:val="NormalBold12b"/>
      </w:pPr>
      <w:r w:rsidRPr="00B7760C">
        <w:t>Predlog uredbe</w:t>
      </w:r>
    </w:p>
    <w:p w14:paraId="3CE23DD2" w14:textId="77777777" w:rsidR="003663AF" w:rsidRPr="00B7760C" w:rsidRDefault="003663AF" w:rsidP="003663AF">
      <w:pPr>
        <w:pStyle w:val="NormalBold"/>
      </w:pPr>
      <w:r w:rsidRPr="00B7760C">
        <w:t>Člen 115 – odstavek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4D1C05E" w14:textId="77777777" w:rsidTr="00E804B7">
        <w:trPr>
          <w:jc w:val="center"/>
        </w:trPr>
        <w:tc>
          <w:tcPr>
            <w:tcW w:w="9752" w:type="dxa"/>
            <w:gridSpan w:val="2"/>
          </w:tcPr>
          <w:p w14:paraId="4E6A732F" w14:textId="77777777" w:rsidR="003663AF" w:rsidRPr="00B7760C" w:rsidRDefault="003663AF" w:rsidP="00E804B7">
            <w:pPr>
              <w:keepNext/>
            </w:pPr>
          </w:p>
        </w:tc>
      </w:tr>
      <w:tr w:rsidR="003663AF" w:rsidRPr="00B7760C" w14:paraId="4AD3EE86" w14:textId="77777777" w:rsidTr="00E804B7">
        <w:trPr>
          <w:jc w:val="center"/>
        </w:trPr>
        <w:tc>
          <w:tcPr>
            <w:tcW w:w="4876" w:type="dxa"/>
            <w:hideMark/>
          </w:tcPr>
          <w:p w14:paraId="5DCDBE5F" w14:textId="77777777" w:rsidR="003663AF" w:rsidRPr="00B7760C" w:rsidRDefault="003663AF" w:rsidP="00E804B7">
            <w:pPr>
              <w:pStyle w:val="ColumnHeading"/>
              <w:keepNext/>
            </w:pPr>
            <w:r w:rsidRPr="00B7760C">
              <w:t>Besedilo, ki ga predlaga Komisija</w:t>
            </w:r>
          </w:p>
        </w:tc>
        <w:tc>
          <w:tcPr>
            <w:tcW w:w="4876" w:type="dxa"/>
            <w:hideMark/>
          </w:tcPr>
          <w:p w14:paraId="390D35C1" w14:textId="61290463" w:rsidR="003663AF" w:rsidRPr="00B7760C" w:rsidRDefault="00877691" w:rsidP="00E804B7">
            <w:pPr>
              <w:pStyle w:val="ColumnHeading"/>
              <w:keepNext/>
            </w:pPr>
            <w:r w:rsidRPr="00B7760C">
              <w:t>Sprememba</w:t>
            </w:r>
          </w:p>
        </w:tc>
      </w:tr>
      <w:tr w:rsidR="003663AF" w:rsidRPr="00B7760C" w14:paraId="69ADDC43" w14:textId="77777777" w:rsidTr="00E804B7">
        <w:trPr>
          <w:jc w:val="center"/>
        </w:trPr>
        <w:tc>
          <w:tcPr>
            <w:tcW w:w="4876" w:type="dxa"/>
            <w:hideMark/>
          </w:tcPr>
          <w:p w14:paraId="3F727A79" w14:textId="77777777" w:rsidR="003663AF" w:rsidRPr="00B7760C" w:rsidRDefault="003663AF" w:rsidP="00E804B7">
            <w:pPr>
              <w:pStyle w:val="Normal6"/>
            </w:pPr>
            <w:r w:rsidRPr="00B7760C">
              <w:t>3.</w:t>
            </w:r>
            <w:r w:rsidRPr="00B7760C">
              <w:tab/>
              <w:t>Okvir smotrnosti zajema</w:t>
            </w:r>
            <w:r w:rsidRPr="00B7760C">
              <w:rPr>
                <w:b/>
                <w:i/>
              </w:rPr>
              <w:t>:</w:t>
            </w:r>
          </w:p>
        </w:tc>
        <w:tc>
          <w:tcPr>
            <w:tcW w:w="4876" w:type="dxa"/>
            <w:hideMark/>
          </w:tcPr>
          <w:p w14:paraId="25D14E19" w14:textId="77777777" w:rsidR="003663AF" w:rsidRPr="00B7760C" w:rsidRDefault="003663AF" w:rsidP="00E804B7">
            <w:pPr>
              <w:pStyle w:val="Normal6"/>
              <w:rPr>
                <w:szCs w:val="24"/>
              </w:rPr>
            </w:pPr>
            <w:r w:rsidRPr="00B7760C">
              <w:t>3.</w:t>
            </w:r>
            <w:r w:rsidRPr="00B7760C">
              <w:tab/>
              <w:t>Okvir smotrnosti zajema</w:t>
            </w:r>
            <w:r w:rsidRPr="00B7760C">
              <w:rPr>
                <w:b/>
                <w:i/>
              </w:rPr>
              <w:t xml:space="preserve"> vsebino strateških načrtov SKP, po potrebi vključno z regionalnimi programi intervencij.</w:t>
            </w:r>
          </w:p>
        </w:tc>
      </w:tr>
      <w:tr w:rsidR="003663AF" w:rsidRPr="00B7760C" w14:paraId="108543B9" w14:textId="77777777" w:rsidTr="00E804B7">
        <w:trPr>
          <w:jc w:val="center"/>
        </w:trPr>
        <w:tc>
          <w:tcPr>
            <w:tcW w:w="4876" w:type="dxa"/>
          </w:tcPr>
          <w:p w14:paraId="4DE7E59C" w14:textId="77777777" w:rsidR="003663AF" w:rsidRPr="00B7760C" w:rsidRDefault="003663AF" w:rsidP="00E804B7">
            <w:pPr>
              <w:pStyle w:val="Normal6"/>
            </w:pPr>
            <w:r w:rsidRPr="00B7760C">
              <w:rPr>
                <w:b/>
                <w:i/>
              </w:rPr>
              <w:t>(a)</w:t>
            </w:r>
            <w:r w:rsidRPr="00B7760C">
              <w:rPr>
                <w:b/>
                <w:i/>
              </w:rPr>
              <w:tab/>
              <w:t>vsebino strateških načrtov SKP,</w:t>
            </w:r>
          </w:p>
        </w:tc>
        <w:tc>
          <w:tcPr>
            <w:tcW w:w="4876" w:type="dxa"/>
          </w:tcPr>
          <w:p w14:paraId="54606165" w14:textId="77777777" w:rsidR="003663AF" w:rsidRPr="00B7760C" w:rsidRDefault="003663AF" w:rsidP="00E804B7">
            <w:pPr>
              <w:pStyle w:val="Normal6"/>
            </w:pPr>
          </w:p>
        </w:tc>
      </w:tr>
      <w:tr w:rsidR="003663AF" w:rsidRPr="00B7760C" w14:paraId="495C36D5" w14:textId="77777777" w:rsidTr="00E804B7">
        <w:trPr>
          <w:jc w:val="center"/>
        </w:trPr>
        <w:tc>
          <w:tcPr>
            <w:tcW w:w="4876" w:type="dxa"/>
          </w:tcPr>
          <w:p w14:paraId="6383D67D" w14:textId="77777777" w:rsidR="003663AF" w:rsidRPr="00B7760C" w:rsidRDefault="003663AF" w:rsidP="00E804B7">
            <w:pPr>
              <w:pStyle w:val="Normal6"/>
            </w:pPr>
            <w:r w:rsidRPr="00B7760C">
              <w:rPr>
                <w:b/>
                <w:i/>
              </w:rPr>
              <w:t>(b)</w:t>
            </w:r>
            <w:r w:rsidRPr="00B7760C">
              <w:rPr>
                <w:b/>
                <w:i/>
              </w:rPr>
              <w:tab/>
              <w:t>tržne ukrepe in druge intervencije iz Uredbe (EU) št. 1308/2013.</w:t>
            </w:r>
          </w:p>
        </w:tc>
        <w:tc>
          <w:tcPr>
            <w:tcW w:w="4876" w:type="dxa"/>
          </w:tcPr>
          <w:p w14:paraId="53C861C9" w14:textId="77777777" w:rsidR="003663AF" w:rsidRPr="00B7760C" w:rsidRDefault="003663AF" w:rsidP="00E804B7">
            <w:pPr>
              <w:pStyle w:val="Normal6"/>
            </w:pPr>
          </w:p>
        </w:tc>
      </w:tr>
    </w:tbl>
    <w:p w14:paraId="71B068E9" w14:textId="77777777" w:rsidR="003663AF" w:rsidRPr="00B7760C" w:rsidRDefault="003663AF" w:rsidP="003663AF"/>
    <w:p w14:paraId="17B5A331" w14:textId="7D9A235A" w:rsidR="003663AF" w:rsidRPr="00B7760C" w:rsidRDefault="00877691" w:rsidP="003663AF">
      <w:pPr>
        <w:pStyle w:val="AMNumberTabs"/>
        <w:keepNext/>
      </w:pPr>
      <w:r w:rsidRPr="00B7760C">
        <w:t>Sprememba</w:t>
      </w:r>
      <w:r w:rsidR="003663AF" w:rsidRPr="00B7760C">
        <w:tab/>
      </w:r>
      <w:r w:rsidR="003663AF" w:rsidRPr="00B7760C">
        <w:tab/>
        <w:t>665</w:t>
      </w:r>
    </w:p>
    <w:p w14:paraId="2E423BAF" w14:textId="77777777" w:rsidR="003663AF" w:rsidRPr="00B7760C" w:rsidRDefault="003663AF" w:rsidP="003663AF">
      <w:pPr>
        <w:pStyle w:val="NormalBold12b"/>
      </w:pPr>
      <w:r w:rsidRPr="00B7760C">
        <w:t>Predlog uredbe</w:t>
      </w:r>
    </w:p>
    <w:p w14:paraId="3DF87AD9" w14:textId="77777777" w:rsidR="003663AF" w:rsidRPr="00B7760C" w:rsidRDefault="003663AF" w:rsidP="003663AF">
      <w:pPr>
        <w:pStyle w:val="NormalBold"/>
      </w:pPr>
      <w:r w:rsidRPr="00B7760C">
        <w:t>Člen 116 – odstavek 1 – točka 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3896D24" w14:textId="77777777" w:rsidTr="00E804B7">
        <w:trPr>
          <w:jc w:val="center"/>
        </w:trPr>
        <w:tc>
          <w:tcPr>
            <w:tcW w:w="9752" w:type="dxa"/>
            <w:gridSpan w:val="2"/>
          </w:tcPr>
          <w:p w14:paraId="008D9B3F" w14:textId="77777777" w:rsidR="003663AF" w:rsidRPr="00B7760C" w:rsidRDefault="003663AF" w:rsidP="00E804B7">
            <w:pPr>
              <w:keepNext/>
            </w:pPr>
          </w:p>
        </w:tc>
      </w:tr>
      <w:tr w:rsidR="003663AF" w:rsidRPr="00B7760C" w14:paraId="3B9DEFCD" w14:textId="77777777" w:rsidTr="00E804B7">
        <w:trPr>
          <w:jc w:val="center"/>
        </w:trPr>
        <w:tc>
          <w:tcPr>
            <w:tcW w:w="4876" w:type="dxa"/>
            <w:hideMark/>
          </w:tcPr>
          <w:p w14:paraId="5A2CF331" w14:textId="77777777" w:rsidR="003663AF" w:rsidRPr="00B7760C" w:rsidRDefault="003663AF" w:rsidP="00E804B7">
            <w:pPr>
              <w:pStyle w:val="ColumnHeading"/>
              <w:keepNext/>
            </w:pPr>
            <w:r w:rsidRPr="00B7760C">
              <w:t>Besedilo, ki ga predlaga Komisija</w:t>
            </w:r>
          </w:p>
        </w:tc>
        <w:tc>
          <w:tcPr>
            <w:tcW w:w="4876" w:type="dxa"/>
            <w:hideMark/>
          </w:tcPr>
          <w:p w14:paraId="097A8070" w14:textId="1D4B2849" w:rsidR="003663AF" w:rsidRPr="00B7760C" w:rsidRDefault="00877691" w:rsidP="00E804B7">
            <w:pPr>
              <w:pStyle w:val="ColumnHeading"/>
              <w:keepNext/>
            </w:pPr>
            <w:r w:rsidRPr="00B7760C">
              <w:t>Sprememba</w:t>
            </w:r>
          </w:p>
        </w:tc>
      </w:tr>
      <w:tr w:rsidR="003663AF" w:rsidRPr="00B7760C" w14:paraId="1BB246F7" w14:textId="77777777" w:rsidTr="00E804B7">
        <w:trPr>
          <w:jc w:val="center"/>
        </w:trPr>
        <w:tc>
          <w:tcPr>
            <w:tcW w:w="4876" w:type="dxa"/>
            <w:hideMark/>
          </w:tcPr>
          <w:p w14:paraId="35055E45" w14:textId="77777777" w:rsidR="003663AF" w:rsidRPr="00B7760C" w:rsidRDefault="003663AF" w:rsidP="00E804B7">
            <w:pPr>
              <w:pStyle w:val="Normal6"/>
            </w:pPr>
            <w:r w:rsidRPr="00B7760C">
              <w:t>(a)</w:t>
            </w:r>
            <w:r w:rsidRPr="00B7760C">
              <w:tab/>
              <w:t>oceniti učinek, uspešnost, učinkovitost, ustreznost, usklajenost in dodano vrednost Unije SKP;</w:t>
            </w:r>
          </w:p>
        </w:tc>
        <w:tc>
          <w:tcPr>
            <w:tcW w:w="4876" w:type="dxa"/>
            <w:hideMark/>
          </w:tcPr>
          <w:p w14:paraId="29FE4BE5" w14:textId="77777777" w:rsidR="003663AF" w:rsidRPr="00B7760C" w:rsidRDefault="003663AF" w:rsidP="00E804B7">
            <w:pPr>
              <w:pStyle w:val="Normal6"/>
              <w:rPr>
                <w:szCs w:val="24"/>
              </w:rPr>
            </w:pPr>
            <w:r w:rsidRPr="00B7760C">
              <w:t>(a)</w:t>
            </w:r>
            <w:r w:rsidRPr="00B7760C">
              <w:tab/>
              <w:t>oceniti učinek, uspešnost, učinkovitost, ustreznost, usklajenost in dodano vrednost Unije SKP</w:t>
            </w:r>
            <w:r w:rsidRPr="00B7760C">
              <w:rPr>
                <w:b/>
                <w:i/>
              </w:rPr>
              <w:t>, pa tudi poenostavitev za upravičence</w:t>
            </w:r>
            <w:r w:rsidRPr="00B7760C">
              <w:t>;</w:t>
            </w:r>
          </w:p>
        </w:tc>
      </w:tr>
    </w:tbl>
    <w:p w14:paraId="2159431B" w14:textId="77777777" w:rsidR="003663AF" w:rsidRPr="00B7760C" w:rsidRDefault="003663AF" w:rsidP="003663AF"/>
    <w:p w14:paraId="78702052" w14:textId="67554445" w:rsidR="003663AF" w:rsidRPr="00B7760C" w:rsidRDefault="00877691" w:rsidP="003663AF">
      <w:pPr>
        <w:pStyle w:val="AMNumberTabs"/>
        <w:keepNext/>
      </w:pPr>
      <w:r w:rsidRPr="00B7760C">
        <w:t>Sprememba</w:t>
      </w:r>
      <w:r w:rsidR="003663AF" w:rsidRPr="00B7760C">
        <w:tab/>
      </w:r>
      <w:r w:rsidR="003663AF" w:rsidRPr="00B7760C">
        <w:tab/>
        <w:t>666</w:t>
      </w:r>
    </w:p>
    <w:p w14:paraId="0094EEDE" w14:textId="77777777" w:rsidR="003663AF" w:rsidRPr="00B7760C" w:rsidRDefault="003663AF" w:rsidP="003663AF">
      <w:pPr>
        <w:pStyle w:val="NormalBold12b"/>
      </w:pPr>
      <w:r w:rsidRPr="00B7760C">
        <w:t>Predlog uredbe</w:t>
      </w:r>
    </w:p>
    <w:p w14:paraId="6C9C5E89" w14:textId="77777777" w:rsidR="003663AF" w:rsidRPr="00B7760C" w:rsidRDefault="003663AF" w:rsidP="003663AF">
      <w:pPr>
        <w:pStyle w:val="NormalBold"/>
      </w:pPr>
      <w:r w:rsidRPr="00B7760C">
        <w:t>Člen 116 – odstavek 1 – točka e</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A9EA648" w14:textId="77777777" w:rsidTr="00E804B7">
        <w:trPr>
          <w:jc w:val="center"/>
        </w:trPr>
        <w:tc>
          <w:tcPr>
            <w:tcW w:w="9752" w:type="dxa"/>
            <w:gridSpan w:val="2"/>
          </w:tcPr>
          <w:p w14:paraId="45E3AE33" w14:textId="77777777" w:rsidR="003663AF" w:rsidRPr="00B7760C" w:rsidRDefault="003663AF" w:rsidP="00E804B7">
            <w:pPr>
              <w:keepNext/>
            </w:pPr>
          </w:p>
        </w:tc>
      </w:tr>
      <w:tr w:rsidR="003663AF" w:rsidRPr="00B7760C" w14:paraId="6D9F4B50" w14:textId="77777777" w:rsidTr="00E804B7">
        <w:trPr>
          <w:jc w:val="center"/>
        </w:trPr>
        <w:tc>
          <w:tcPr>
            <w:tcW w:w="4876" w:type="dxa"/>
            <w:hideMark/>
          </w:tcPr>
          <w:p w14:paraId="435DE422" w14:textId="77777777" w:rsidR="003663AF" w:rsidRPr="00B7760C" w:rsidRDefault="003663AF" w:rsidP="00E804B7">
            <w:pPr>
              <w:pStyle w:val="ColumnHeading"/>
              <w:keepNext/>
            </w:pPr>
            <w:r w:rsidRPr="00B7760C">
              <w:t>Besedilo, ki ga predlaga Komisija</w:t>
            </w:r>
          </w:p>
        </w:tc>
        <w:tc>
          <w:tcPr>
            <w:tcW w:w="4876" w:type="dxa"/>
            <w:hideMark/>
          </w:tcPr>
          <w:p w14:paraId="0405CD3D" w14:textId="4D28FD68" w:rsidR="003663AF" w:rsidRPr="00B7760C" w:rsidRDefault="00877691" w:rsidP="00E804B7">
            <w:pPr>
              <w:pStyle w:val="ColumnHeading"/>
              <w:keepNext/>
            </w:pPr>
            <w:r w:rsidRPr="00B7760C">
              <w:t>Sprememba</w:t>
            </w:r>
          </w:p>
        </w:tc>
      </w:tr>
      <w:tr w:rsidR="003663AF" w:rsidRPr="00B7760C" w14:paraId="217AC843" w14:textId="77777777" w:rsidTr="00E804B7">
        <w:trPr>
          <w:jc w:val="center"/>
        </w:trPr>
        <w:tc>
          <w:tcPr>
            <w:tcW w:w="4876" w:type="dxa"/>
            <w:hideMark/>
          </w:tcPr>
          <w:p w14:paraId="13193812" w14:textId="77777777" w:rsidR="003663AF" w:rsidRPr="00B7760C" w:rsidRDefault="003663AF" w:rsidP="00E804B7">
            <w:pPr>
              <w:pStyle w:val="Normal6"/>
            </w:pPr>
            <w:r w:rsidRPr="00B7760C">
              <w:t>(e)</w:t>
            </w:r>
            <w:r w:rsidRPr="00B7760C">
              <w:tab/>
              <w:t>podpirati skupni proces pridobivanja znanja in izkušenj v zvezi s spremljanjem in ocenjevanjem.</w:t>
            </w:r>
          </w:p>
        </w:tc>
        <w:tc>
          <w:tcPr>
            <w:tcW w:w="4876" w:type="dxa"/>
            <w:hideMark/>
          </w:tcPr>
          <w:p w14:paraId="4988D5B1" w14:textId="77777777" w:rsidR="003663AF" w:rsidRPr="00B7760C" w:rsidRDefault="003663AF" w:rsidP="00E804B7">
            <w:pPr>
              <w:pStyle w:val="Normal6"/>
              <w:rPr>
                <w:szCs w:val="24"/>
              </w:rPr>
            </w:pPr>
            <w:r w:rsidRPr="00B7760C">
              <w:t>(e)</w:t>
            </w:r>
            <w:r w:rsidRPr="00B7760C">
              <w:tab/>
              <w:t>podpirati skupni proces pridobivanja znanja in izkušenj v zvezi s spremljanjem in ocenjevanjem</w:t>
            </w:r>
            <w:r w:rsidRPr="00B7760C">
              <w:rPr>
                <w:b/>
                <w:i/>
              </w:rPr>
              <w:t>, ob upoštevanju področij, na katerih ni ali ni dovolj osnovnih podatkov in za katere je mogoče razviti ustreznejše in natančnejše kazalnike</w:t>
            </w:r>
            <w:r w:rsidRPr="00B7760C">
              <w:t>.</w:t>
            </w:r>
          </w:p>
        </w:tc>
      </w:tr>
    </w:tbl>
    <w:p w14:paraId="7E616776" w14:textId="77777777" w:rsidR="003663AF" w:rsidRPr="00B7760C" w:rsidRDefault="003663AF" w:rsidP="003663AF"/>
    <w:p w14:paraId="79CB11C0" w14:textId="388E5FAA" w:rsidR="003663AF" w:rsidRPr="00B7760C" w:rsidRDefault="00877691" w:rsidP="003663AF">
      <w:pPr>
        <w:pStyle w:val="AMNumberTabs"/>
      </w:pPr>
      <w:r w:rsidRPr="00B7760C">
        <w:t>Sprememba</w:t>
      </w:r>
      <w:r w:rsidR="003663AF" w:rsidRPr="00B7760C">
        <w:tab/>
      </w:r>
      <w:r w:rsidR="003663AF" w:rsidRPr="00B7760C">
        <w:tab/>
        <w:t>667</w:t>
      </w:r>
    </w:p>
    <w:p w14:paraId="7E74E490" w14:textId="77777777" w:rsidR="003663AF" w:rsidRPr="00B7760C" w:rsidRDefault="003663AF" w:rsidP="003663AF">
      <w:pPr>
        <w:pStyle w:val="NormalBold12b"/>
      </w:pPr>
      <w:r w:rsidRPr="00B7760C">
        <w:t>Predlog uredbe</w:t>
      </w:r>
    </w:p>
    <w:p w14:paraId="65716537" w14:textId="77777777" w:rsidR="003663AF" w:rsidRPr="00B7760C" w:rsidRDefault="003663AF" w:rsidP="003663AF">
      <w:pPr>
        <w:pStyle w:val="NormalBold"/>
      </w:pPr>
      <w:r w:rsidRPr="00B7760C">
        <w:t>Člen 117 – 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06DBD32" w14:textId="77777777" w:rsidTr="00E804B7">
        <w:trPr>
          <w:trHeight w:hRule="exact" w:val="240"/>
          <w:jc w:val="center"/>
        </w:trPr>
        <w:tc>
          <w:tcPr>
            <w:tcW w:w="9752" w:type="dxa"/>
            <w:gridSpan w:val="2"/>
          </w:tcPr>
          <w:p w14:paraId="4A44E764" w14:textId="77777777" w:rsidR="003663AF" w:rsidRPr="00B7760C" w:rsidRDefault="003663AF" w:rsidP="00E804B7"/>
        </w:tc>
      </w:tr>
      <w:tr w:rsidR="003663AF" w:rsidRPr="00B7760C" w14:paraId="32DFFEB2" w14:textId="77777777" w:rsidTr="00E804B7">
        <w:trPr>
          <w:trHeight w:val="240"/>
          <w:jc w:val="center"/>
        </w:trPr>
        <w:tc>
          <w:tcPr>
            <w:tcW w:w="4876" w:type="dxa"/>
          </w:tcPr>
          <w:p w14:paraId="1D000726" w14:textId="77777777" w:rsidR="003663AF" w:rsidRPr="00B7760C" w:rsidRDefault="003663AF" w:rsidP="00E804B7">
            <w:pPr>
              <w:pStyle w:val="ColumnHeading"/>
            </w:pPr>
            <w:r w:rsidRPr="00B7760C">
              <w:t>Besedilo, ki ga predlaga Komisija</w:t>
            </w:r>
          </w:p>
        </w:tc>
        <w:tc>
          <w:tcPr>
            <w:tcW w:w="4876" w:type="dxa"/>
          </w:tcPr>
          <w:p w14:paraId="251F0A6F" w14:textId="48F8D147" w:rsidR="003663AF" w:rsidRPr="00B7760C" w:rsidRDefault="00877691" w:rsidP="00E804B7">
            <w:pPr>
              <w:pStyle w:val="ColumnHeading"/>
            </w:pPr>
            <w:r w:rsidRPr="00B7760C">
              <w:t>Sprememba</w:t>
            </w:r>
          </w:p>
        </w:tc>
      </w:tr>
      <w:tr w:rsidR="003663AF" w:rsidRPr="00B7760C" w14:paraId="57890D42" w14:textId="77777777" w:rsidTr="00E804B7">
        <w:trPr>
          <w:jc w:val="center"/>
        </w:trPr>
        <w:tc>
          <w:tcPr>
            <w:tcW w:w="4876" w:type="dxa"/>
          </w:tcPr>
          <w:p w14:paraId="563AB93F" w14:textId="77777777" w:rsidR="003663AF" w:rsidRPr="00B7760C" w:rsidRDefault="003663AF" w:rsidP="00E804B7">
            <w:pPr>
              <w:pStyle w:val="Normal6"/>
            </w:pPr>
            <w:r w:rsidRPr="00B7760C">
              <w:t>Države članice vzpostavijo elektronski informacijski sistem, v katerem beležijo in hranijo ključne informacije o izvajanju strateškega načrta SKP, ki so potrebne za spremljanje in ocenjevanje, zlasti o posameznih intervencijah, izbranih za financiranje, ter zaključenih intervencijah, vključno z informacijami o posameznih upravičencih in operacijah.</w:t>
            </w:r>
          </w:p>
        </w:tc>
        <w:tc>
          <w:tcPr>
            <w:tcW w:w="4876" w:type="dxa"/>
          </w:tcPr>
          <w:p w14:paraId="25E183C6" w14:textId="77777777" w:rsidR="003663AF" w:rsidRPr="00B7760C" w:rsidRDefault="003663AF" w:rsidP="00E804B7">
            <w:pPr>
              <w:pStyle w:val="Normal6"/>
            </w:pPr>
            <w:r w:rsidRPr="00B7760C">
              <w:t>Države članice vzpostavijo elektronski informacijski sistem</w:t>
            </w:r>
            <w:r w:rsidRPr="00B7760C">
              <w:rPr>
                <w:b/>
                <w:i/>
              </w:rPr>
              <w:t xml:space="preserve"> ali uporabljajo obstoječega</w:t>
            </w:r>
            <w:r w:rsidRPr="00B7760C">
              <w:t>, v katerem beležijo in hranijo ključne informacije o izvajanju strateškega načrta SKP, ki so potrebne za spremljanje in ocenjevanje, zlasti o posameznih intervencijah, izbranih za financiranje, ter zaključenih intervencijah, vključno z informacijami o posameznih upravičencih in operacijah.</w:t>
            </w:r>
          </w:p>
        </w:tc>
      </w:tr>
    </w:tbl>
    <w:p w14:paraId="3FCE7E02" w14:textId="77777777" w:rsidR="003663AF" w:rsidRPr="00B7760C" w:rsidRDefault="003663AF" w:rsidP="003663AF"/>
    <w:p w14:paraId="6FC4F52E" w14:textId="0C816671" w:rsidR="003663AF" w:rsidRPr="00B7760C" w:rsidRDefault="00877691" w:rsidP="003663AF">
      <w:pPr>
        <w:pStyle w:val="AMNumberTabs"/>
        <w:keepNext/>
      </w:pPr>
      <w:r w:rsidRPr="00B7760C">
        <w:t>Sprememba</w:t>
      </w:r>
      <w:r w:rsidR="003663AF" w:rsidRPr="00B7760C">
        <w:tab/>
      </w:r>
      <w:r w:rsidR="003663AF" w:rsidRPr="00B7760C">
        <w:tab/>
        <w:t>668</w:t>
      </w:r>
    </w:p>
    <w:p w14:paraId="71FED979" w14:textId="77777777" w:rsidR="003663AF" w:rsidRPr="00B7760C" w:rsidRDefault="003663AF" w:rsidP="003663AF">
      <w:pPr>
        <w:pStyle w:val="NormalBold12b"/>
      </w:pPr>
      <w:r w:rsidRPr="00B7760C">
        <w:t>Predlog uredbe</w:t>
      </w:r>
    </w:p>
    <w:p w14:paraId="58E9E939" w14:textId="77777777" w:rsidR="003663AF" w:rsidRPr="00B7760C" w:rsidRDefault="003663AF" w:rsidP="003663AF">
      <w:pPr>
        <w:pStyle w:val="NormalBold"/>
      </w:pPr>
      <w:r w:rsidRPr="00B7760C">
        <w:t>Člen 118 – 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671D145" w14:textId="77777777" w:rsidTr="00E804B7">
        <w:trPr>
          <w:jc w:val="center"/>
        </w:trPr>
        <w:tc>
          <w:tcPr>
            <w:tcW w:w="9752" w:type="dxa"/>
            <w:gridSpan w:val="2"/>
          </w:tcPr>
          <w:p w14:paraId="20A509B3" w14:textId="77777777" w:rsidR="003663AF" w:rsidRPr="00B7760C" w:rsidRDefault="003663AF" w:rsidP="00E804B7">
            <w:pPr>
              <w:keepNext/>
            </w:pPr>
          </w:p>
        </w:tc>
      </w:tr>
      <w:tr w:rsidR="003663AF" w:rsidRPr="00B7760C" w14:paraId="52ACFC9A" w14:textId="77777777" w:rsidTr="00E804B7">
        <w:trPr>
          <w:jc w:val="center"/>
        </w:trPr>
        <w:tc>
          <w:tcPr>
            <w:tcW w:w="4876" w:type="dxa"/>
            <w:hideMark/>
          </w:tcPr>
          <w:p w14:paraId="07763B95" w14:textId="77777777" w:rsidR="003663AF" w:rsidRPr="00B7760C" w:rsidRDefault="003663AF" w:rsidP="00E804B7">
            <w:pPr>
              <w:pStyle w:val="ColumnHeading"/>
              <w:keepNext/>
            </w:pPr>
            <w:r w:rsidRPr="00B7760C">
              <w:t>Besedilo, ki ga predlaga Komisija</w:t>
            </w:r>
          </w:p>
        </w:tc>
        <w:tc>
          <w:tcPr>
            <w:tcW w:w="4876" w:type="dxa"/>
            <w:hideMark/>
          </w:tcPr>
          <w:p w14:paraId="5DD86BD0" w14:textId="4CA1B631" w:rsidR="003663AF" w:rsidRPr="00B7760C" w:rsidRDefault="00877691" w:rsidP="00E804B7">
            <w:pPr>
              <w:pStyle w:val="ColumnHeading"/>
              <w:keepNext/>
            </w:pPr>
            <w:r w:rsidRPr="00B7760C">
              <w:t>Sprememba</w:t>
            </w:r>
          </w:p>
        </w:tc>
      </w:tr>
      <w:tr w:rsidR="003663AF" w:rsidRPr="00B7760C" w14:paraId="442C5B1B" w14:textId="77777777" w:rsidTr="00E804B7">
        <w:trPr>
          <w:jc w:val="center"/>
        </w:trPr>
        <w:tc>
          <w:tcPr>
            <w:tcW w:w="4876" w:type="dxa"/>
            <w:hideMark/>
          </w:tcPr>
          <w:p w14:paraId="51638B51" w14:textId="77777777" w:rsidR="003663AF" w:rsidRPr="00B7760C" w:rsidRDefault="003663AF" w:rsidP="00E804B7">
            <w:pPr>
              <w:pStyle w:val="Normal6"/>
            </w:pPr>
            <w:r w:rsidRPr="00B7760C">
              <w:t>Države članice zagotovijo, da upravičenci do podpore v okviru intervencij strateškega načrta SKP in lokalne akcijske skupine organu upravljanja ali drugim organom, pooblaščenim za izvajanje njegovih funkcij v njegovem imenu, zagotovijo vse informacije, potrebne za spremljanje in ocenjevanje strateškega načrta SKP.</w:t>
            </w:r>
          </w:p>
        </w:tc>
        <w:tc>
          <w:tcPr>
            <w:tcW w:w="4876" w:type="dxa"/>
            <w:hideMark/>
          </w:tcPr>
          <w:p w14:paraId="72E4876D" w14:textId="77777777" w:rsidR="003663AF" w:rsidRPr="00B7760C" w:rsidRDefault="003663AF" w:rsidP="00E804B7">
            <w:pPr>
              <w:pStyle w:val="Normal6"/>
              <w:rPr>
                <w:szCs w:val="24"/>
              </w:rPr>
            </w:pPr>
            <w:r w:rsidRPr="00B7760C">
              <w:t xml:space="preserve">Države članice zagotovijo, da upravičenci do podpore v okviru intervencij strateškega načrta SKP in lokalne akcijske skupine organu upravljanja ali </w:t>
            </w:r>
            <w:r w:rsidRPr="00B7760C">
              <w:rPr>
                <w:b/>
                <w:i/>
              </w:rPr>
              <w:t xml:space="preserve">regionalnim organom upravljanja ali </w:t>
            </w:r>
            <w:r w:rsidRPr="00B7760C">
              <w:t>drugim organom, pooblaščenim za izvajanje njegovih funkcij v njegovem imenu, zagotovijo vse informacije, potrebne za spremljanje in ocenjevanje strateškega načrta SKP.</w:t>
            </w:r>
          </w:p>
        </w:tc>
      </w:tr>
    </w:tbl>
    <w:p w14:paraId="74AFF40C" w14:textId="77777777" w:rsidR="003663AF" w:rsidRPr="00B7760C" w:rsidRDefault="003663AF" w:rsidP="003663AF"/>
    <w:p w14:paraId="1D325703" w14:textId="72D75568" w:rsidR="003663AF" w:rsidRPr="00B7760C" w:rsidRDefault="00877691" w:rsidP="003663AF">
      <w:pPr>
        <w:pStyle w:val="AMNumberTabs"/>
        <w:keepNext/>
      </w:pPr>
      <w:r w:rsidRPr="00B7760C">
        <w:t>Sprememba</w:t>
      </w:r>
      <w:r w:rsidR="003663AF" w:rsidRPr="00B7760C">
        <w:tab/>
      </w:r>
      <w:r w:rsidR="003663AF" w:rsidRPr="00B7760C">
        <w:tab/>
        <w:t>669</w:t>
      </w:r>
    </w:p>
    <w:p w14:paraId="2F40E23C" w14:textId="77777777" w:rsidR="003663AF" w:rsidRPr="00B7760C" w:rsidRDefault="003663AF" w:rsidP="003663AF">
      <w:pPr>
        <w:pStyle w:val="NormalBold12b"/>
      </w:pPr>
      <w:r w:rsidRPr="00B7760C">
        <w:t>Predlog uredbe</w:t>
      </w:r>
    </w:p>
    <w:p w14:paraId="6733F0F6" w14:textId="77777777" w:rsidR="003663AF" w:rsidRPr="00B7760C" w:rsidRDefault="003663AF" w:rsidP="003663AF">
      <w:pPr>
        <w:pStyle w:val="NormalBold"/>
      </w:pPr>
      <w:r w:rsidRPr="00B7760C">
        <w:t>Člen 118 – odstavek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E25E3D6" w14:textId="77777777" w:rsidTr="00E804B7">
        <w:trPr>
          <w:jc w:val="center"/>
        </w:trPr>
        <w:tc>
          <w:tcPr>
            <w:tcW w:w="9752" w:type="dxa"/>
            <w:gridSpan w:val="2"/>
          </w:tcPr>
          <w:p w14:paraId="4EAFED0D" w14:textId="77777777" w:rsidR="003663AF" w:rsidRPr="00B7760C" w:rsidRDefault="003663AF" w:rsidP="00E804B7">
            <w:pPr>
              <w:keepNext/>
            </w:pPr>
          </w:p>
        </w:tc>
      </w:tr>
      <w:tr w:rsidR="003663AF" w:rsidRPr="00B7760C" w14:paraId="221802C0" w14:textId="77777777" w:rsidTr="00E804B7">
        <w:trPr>
          <w:jc w:val="center"/>
        </w:trPr>
        <w:tc>
          <w:tcPr>
            <w:tcW w:w="4876" w:type="dxa"/>
            <w:hideMark/>
          </w:tcPr>
          <w:p w14:paraId="1EA279F6" w14:textId="77777777" w:rsidR="003663AF" w:rsidRPr="00B7760C" w:rsidRDefault="003663AF" w:rsidP="00E804B7">
            <w:pPr>
              <w:pStyle w:val="ColumnHeading"/>
              <w:keepNext/>
            </w:pPr>
            <w:r w:rsidRPr="00B7760C">
              <w:t>Besedilo, ki ga predlaga Komisija</w:t>
            </w:r>
          </w:p>
        </w:tc>
        <w:tc>
          <w:tcPr>
            <w:tcW w:w="4876" w:type="dxa"/>
            <w:hideMark/>
          </w:tcPr>
          <w:p w14:paraId="5A2D9773" w14:textId="49F46E4B" w:rsidR="003663AF" w:rsidRPr="00B7760C" w:rsidRDefault="00877691" w:rsidP="00E804B7">
            <w:pPr>
              <w:pStyle w:val="ColumnHeading"/>
              <w:keepNext/>
            </w:pPr>
            <w:r w:rsidRPr="00B7760C">
              <w:t>Sprememba</w:t>
            </w:r>
          </w:p>
        </w:tc>
      </w:tr>
      <w:tr w:rsidR="003663AF" w:rsidRPr="00B7760C" w14:paraId="0CFE2FC2" w14:textId="77777777" w:rsidTr="00E804B7">
        <w:trPr>
          <w:jc w:val="center"/>
        </w:trPr>
        <w:tc>
          <w:tcPr>
            <w:tcW w:w="4876" w:type="dxa"/>
            <w:hideMark/>
          </w:tcPr>
          <w:p w14:paraId="0E2E4FC7" w14:textId="77777777" w:rsidR="003663AF" w:rsidRPr="00B7760C" w:rsidRDefault="003663AF" w:rsidP="00E804B7">
            <w:pPr>
              <w:pStyle w:val="Normal6"/>
            </w:pPr>
            <w:r w:rsidRPr="00B7760C">
              <w:t xml:space="preserve">Države članice zagotovijo, da se ustvarijo celoviti, </w:t>
            </w:r>
            <w:r w:rsidRPr="00B7760C">
              <w:rPr>
                <w:b/>
                <w:i/>
              </w:rPr>
              <w:t xml:space="preserve">popolni, </w:t>
            </w:r>
            <w:r w:rsidRPr="00B7760C">
              <w:t>pravočasni in zanesljivi viri podatkov, da se omogoči dejansko nadaljnje spremljanje napredka politike k ciljem z uporabo kazalnikov izložkov, rezultatov in učinka.</w:t>
            </w:r>
          </w:p>
        </w:tc>
        <w:tc>
          <w:tcPr>
            <w:tcW w:w="4876" w:type="dxa"/>
            <w:hideMark/>
          </w:tcPr>
          <w:p w14:paraId="21B73879" w14:textId="77777777" w:rsidR="003663AF" w:rsidRPr="00B7760C" w:rsidRDefault="003663AF" w:rsidP="00E804B7">
            <w:pPr>
              <w:pStyle w:val="Normal6"/>
              <w:rPr>
                <w:szCs w:val="24"/>
              </w:rPr>
            </w:pPr>
            <w:r w:rsidRPr="00B7760C">
              <w:t>Države članice zagotovijo, da se ustvarijo celoviti, pravočasni in zanesljivi viri</w:t>
            </w:r>
            <w:r w:rsidRPr="00B7760C">
              <w:rPr>
                <w:b/>
                <w:i/>
              </w:rPr>
              <w:t xml:space="preserve"> podatkov, vključno z zbirkami</w:t>
            </w:r>
            <w:r w:rsidRPr="00B7760C">
              <w:t xml:space="preserve"> podatkov, da se omogoči dejansko nadaljnje spremljanje napredka politike k ciljem z uporabo kazalnikov izložkov, rezultatov in učinka.</w:t>
            </w:r>
          </w:p>
        </w:tc>
      </w:tr>
    </w:tbl>
    <w:p w14:paraId="0E7AE8FE" w14:textId="77777777" w:rsidR="003663AF" w:rsidRPr="00B7760C" w:rsidRDefault="003663AF" w:rsidP="003663AF"/>
    <w:p w14:paraId="1C48FEA4" w14:textId="1CBCE94A" w:rsidR="003663AF" w:rsidRPr="00B7760C" w:rsidRDefault="00877691" w:rsidP="003663AF">
      <w:pPr>
        <w:pStyle w:val="AMNumberTabs"/>
        <w:keepNext/>
      </w:pPr>
      <w:r w:rsidRPr="00B7760C">
        <w:t>Sprememba</w:t>
      </w:r>
      <w:r w:rsidR="003663AF" w:rsidRPr="00B7760C">
        <w:tab/>
      </w:r>
      <w:r w:rsidR="003663AF" w:rsidRPr="00B7760C">
        <w:tab/>
        <w:t>670</w:t>
      </w:r>
    </w:p>
    <w:p w14:paraId="375D8D0E" w14:textId="77777777" w:rsidR="003663AF" w:rsidRPr="00B7760C" w:rsidRDefault="003663AF" w:rsidP="003663AF">
      <w:pPr>
        <w:pStyle w:val="NormalBold12b"/>
      </w:pPr>
      <w:r w:rsidRPr="00B7760C">
        <w:t>Predlog uredbe</w:t>
      </w:r>
    </w:p>
    <w:p w14:paraId="1AF923C3" w14:textId="77777777" w:rsidR="003663AF" w:rsidRPr="00B7760C" w:rsidRDefault="003663AF" w:rsidP="003663AF">
      <w:pPr>
        <w:pStyle w:val="NormalBold"/>
      </w:pPr>
      <w:r w:rsidRPr="00B7760C">
        <w:t>Člen 119 – 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BBDECDF" w14:textId="77777777" w:rsidTr="00E804B7">
        <w:trPr>
          <w:jc w:val="center"/>
        </w:trPr>
        <w:tc>
          <w:tcPr>
            <w:tcW w:w="9752" w:type="dxa"/>
            <w:gridSpan w:val="2"/>
          </w:tcPr>
          <w:p w14:paraId="62DDA2DD" w14:textId="77777777" w:rsidR="003663AF" w:rsidRPr="00B7760C" w:rsidRDefault="003663AF" w:rsidP="00E804B7">
            <w:pPr>
              <w:keepNext/>
            </w:pPr>
          </w:p>
        </w:tc>
      </w:tr>
      <w:tr w:rsidR="003663AF" w:rsidRPr="00B7760C" w14:paraId="06DA0E90" w14:textId="77777777" w:rsidTr="00E804B7">
        <w:trPr>
          <w:jc w:val="center"/>
        </w:trPr>
        <w:tc>
          <w:tcPr>
            <w:tcW w:w="4876" w:type="dxa"/>
            <w:hideMark/>
          </w:tcPr>
          <w:p w14:paraId="70351920" w14:textId="77777777" w:rsidR="003663AF" w:rsidRPr="00B7760C" w:rsidRDefault="003663AF" w:rsidP="00E804B7">
            <w:pPr>
              <w:pStyle w:val="ColumnHeading"/>
              <w:keepNext/>
            </w:pPr>
            <w:r w:rsidRPr="00B7760C">
              <w:t>Besedilo, ki ga predlaga Komisija</w:t>
            </w:r>
          </w:p>
        </w:tc>
        <w:tc>
          <w:tcPr>
            <w:tcW w:w="4876" w:type="dxa"/>
            <w:hideMark/>
          </w:tcPr>
          <w:p w14:paraId="4011D30A" w14:textId="164E80E5" w:rsidR="003663AF" w:rsidRPr="00B7760C" w:rsidRDefault="00877691" w:rsidP="00E804B7">
            <w:pPr>
              <w:pStyle w:val="ColumnHeading"/>
              <w:keepNext/>
            </w:pPr>
            <w:r w:rsidRPr="00B7760C">
              <w:t>Sprememba</w:t>
            </w:r>
          </w:p>
        </w:tc>
      </w:tr>
      <w:tr w:rsidR="003663AF" w:rsidRPr="00B7760C" w14:paraId="4493AC29" w14:textId="77777777" w:rsidTr="00E804B7">
        <w:trPr>
          <w:jc w:val="center"/>
        </w:trPr>
        <w:tc>
          <w:tcPr>
            <w:tcW w:w="4876" w:type="dxa"/>
            <w:hideMark/>
          </w:tcPr>
          <w:p w14:paraId="766D5B50" w14:textId="77777777" w:rsidR="003663AF" w:rsidRPr="00B7760C" w:rsidRDefault="003663AF" w:rsidP="00E804B7">
            <w:pPr>
              <w:pStyle w:val="Normal6"/>
            </w:pPr>
            <w:r w:rsidRPr="00B7760C">
              <w:t>Organ upravljanja in odbor za spremljanje spremljata izvajanje strateškega načrta SKP in napredka pri doseganju ciljnih vrednosti strateškega načrta SKP na podlagi kazalnikov izložkov in rezultatov.</w:t>
            </w:r>
          </w:p>
        </w:tc>
        <w:tc>
          <w:tcPr>
            <w:tcW w:w="4876" w:type="dxa"/>
            <w:hideMark/>
          </w:tcPr>
          <w:p w14:paraId="5C550452" w14:textId="77777777" w:rsidR="003663AF" w:rsidRPr="00B7760C" w:rsidRDefault="003663AF" w:rsidP="00E804B7">
            <w:pPr>
              <w:pStyle w:val="Normal6"/>
              <w:rPr>
                <w:szCs w:val="24"/>
              </w:rPr>
            </w:pPr>
            <w:r w:rsidRPr="00B7760C">
              <w:t xml:space="preserve">Organ upravljanja in odbor za spremljanje </w:t>
            </w:r>
            <w:r w:rsidRPr="00B7760C">
              <w:rPr>
                <w:b/>
                <w:i/>
              </w:rPr>
              <w:t xml:space="preserve">po potrebi v sodelovanju z regionalnimi organi upravljanja in regionalnimi organi za spremljanje </w:t>
            </w:r>
            <w:r w:rsidRPr="00B7760C">
              <w:t>spremljata izvajanje strateškega načrta SKP in napredka pri doseganju ciljnih vrednosti strateškega načrta SKP na podlagi kazalnikov izložkov in rezultatov.</w:t>
            </w:r>
          </w:p>
        </w:tc>
      </w:tr>
    </w:tbl>
    <w:p w14:paraId="704069B9" w14:textId="77777777" w:rsidR="003663AF" w:rsidRPr="00B7760C" w:rsidRDefault="003663AF" w:rsidP="003663AF"/>
    <w:p w14:paraId="7224CD53" w14:textId="5CB38FD4" w:rsidR="003663AF" w:rsidRPr="00B7760C" w:rsidRDefault="00877691" w:rsidP="003663AF">
      <w:pPr>
        <w:pStyle w:val="AMNumberTabs"/>
        <w:keepNext/>
      </w:pPr>
      <w:r w:rsidRPr="00B7760C">
        <w:t>Sprememba</w:t>
      </w:r>
      <w:r w:rsidR="003663AF" w:rsidRPr="00B7760C">
        <w:tab/>
      </w:r>
      <w:r w:rsidR="003663AF" w:rsidRPr="00B7760C">
        <w:tab/>
        <w:t>671</w:t>
      </w:r>
    </w:p>
    <w:p w14:paraId="08E5D162" w14:textId="77777777" w:rsidR="003663AF" w:rsidRPr="00B7760C" w:rsidRDefault="003663AF" w:rsidP="003663AF">
      <w:pPr>
        <w:pStyle w:val="NormalBold12b"/>
      </w:pPr>
      <w:r w:rsidRPr="00B7760C">
        <w:t>Predlog uredbe</w:t>
      </w:r>
    </w:p>
    <w:p w14:paraId="739E4330" w14:textId="77777777" w:rsidR="003663AF" w:rsidRPr="00B7760C" w:rsidRDefault="003663AF" w:rsidP="003663AF">
      <w:pPr>
        <w:pStyle w:val="NormalBold"/>
      </w:pPr>
      <w:r w:rsidRPr="00B7760C">
        <w:t>Člen 120 – naslov</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9DD0B89" w14:textId="77777777" w:rsidTr="00E804B7">
        <w:trPr>
          <w:jc w:val="center"/>
        </w:trPr>
        <w:tc>
          <w:tcPr>
            <w:tcW w:w="9752" w:type="dxa"/>
            <w:gridSpan w:val="2"/>
          </w:tcPr>
          <w:p w14:paraId="1984772F" w14:textId="77777777" w:rsidR="003663AF" w:rsidRPr="00B7760C" w:rsidRDefault="003663AF" w:rsidP="00E804B7">
            <w:pPr>
              <w:keepNext/>
            </w:pPr>
          </w:p>
        </w:tc>
      </w:tr>
      <w:tr w:rsidR="003663AF" w:rsidRPr="00B7760C" w14:paraId="0D367406" w14:textId="77777777" w:rsidTr="00E804B7">
        <w:trPr>
          <w:jc w:val="center"/>
        </w:trPr>
        <w:tc>
          <w:tcPr>
            <w:tcW w:w="4876" w:type="dxa"/>
            <w:hideMark/>
          </w:tcPr>
          <w:p w14:paraId="001048DC" w14:textId="77777777" w:rsidR="003663AF" w:rsidRPr="00B7760C" w:rsidRDefault="003663AF" w:rsidP="00E804B7">
            <w:pPr>
              <w:pStyle w:val="ColumnHeading"/>
              <w:keepNext/>
            </w:pPr>
            <w:r w:rsidRPr="00B7760C">
              <w:t>Besedilo, ki ga predlaga Komisija</w:t>
            </w:r>
          </w:p>
        </w:tc>
        <w:tc>
          <w:tcPr>
            <w:tcW w:w="4876" w:type="dxa"/>
            <w:hideMark/>
          </w:tcPr>
          <w:p w14:paraId="0BC7DB58" w14:textId="6FA1B285" w:rsidR="003663AF" w:rsidRPr="00B7760C" w:rsidRDefault="00877691" w:rsidP="00E804B7">
            <w:pPr>
              <w:pStyle w:val="ColumnHeading"/>
              <w:keepNext/>
            </w:pPr>
            <w:r w:rsidRPr="00B7760C">
              <w:t>Sprememba</w:t>
            </w:r>
          </w:p>
        </w:tc>
      </w:tr>
      <w:tr w:rsidR="003663AF" w:rsidRPr="00B7760C" w14:paraId="147FFECB" w14:textId="77777777" w:rsidTr="00E804B7">
        <w:trPr>
          <w:jc w:val="center"/>
        </w:trPr>
        <w:tc>
          <w:tcPr>
            <w:tcW w:w="4876" w:type="dxa"/>
            <w:hideMark/>
          </w:tcPr>
          <w:p w14:paraId="7D0DBC06" w14:textId="77777777" w:rsidR="003663AF" w:rsidRPr="00B7760C" w:rsidRDefault="003663AF" w:rsidP="00E804B7">
            <w:pPr>
              <w:pStyle w:val="Normal6"/>
            </w:pPr>
            <w:r w:rsidRPr="00B7760C">
              <w:rPr>
                <w:b/>
                <w:i/>
              </w:rPr>
              <w:t>Izvedbena</w:t>
            </w:r>
            <w:r w:rsidRPr="00B7760C">
              <w:t xml:space="preserve"> pooblastila za okvir smotrnosti</w:t>
            </w:r>
          </w:p>
        </w:tc>
        <w:tc>
          <w:tcPr>
            <w:tcW w:w="4876" w:type="dxa"/>
            <w:hideMark/>
          </w:tcPr>
          <w:p w14:paraId="12F32285" w14:textId="77777777" w:rsidR="003663AF" w:rsidRPr="00B7760C" w:rsidRDefault="003663AF" w:rsidP="00E804B7">
            <w:pPr>
              <w:pStyle w:val="Normal6"/>
              <w:rPr>
                <w:szCs w:val="24"/>
              </w:rPr>
            </w:pPr>
            <w:r w:rsidRPr="00B7760C">
              <w:rPr>
                <w:b/>
                <w:i/>
              </w:rPr>
              <w:t>Prenesena</w:t>
            </w:r>
            <w:r w:rsidRPr="00B7760C">
              <w:t xml:space="preserve"> pooblastila za okvir smotrnosti</w:t>
            </w:r>
          </w:p>
        </w:tc>
      </w:tr>
    </w:tbl>
    <w:p w14:paraId="0D5E6740" w14:textId="77777777" w:rsidR="003663AF" w:rsidRPr="00B7760C" w:rsidRDefault="003663AF" w:rsidP="003663AF"/>
    <w:p w14:paraId="79ABA9E2" w14:textId="294A97D9" w:rsidR="003663AF" w:rsidRPr="00B7760C" w:rsidRDefault="00877691" w:rsidP="003663AF">
      <w:pPr>
        <w:pStyle w:val="AMNumberTabs"/>
        <w:keepNext/>
      </w:pPr>
      <w:r w:rsidRPr="00B7760C">
        <w:t>Sprememba</w:t>
      </w:r>
      <w:r w:rsidR="003663AF" w:rsidRPr="00B7760C">
        <w:tab/>
      </w:r>
      <w:r w:rsidR="003663AF" w:rsidRPr="00B7760C">
        <w:tab/>
        <w:t>672</w:t>
      </w:r>
    </w:p>
    <w:p w14:paraId="49A146AD" w14:textId="77777777" w:rsidR="003663AF" w:rsidRPr="00B7760C" w:rsidRDefault="003663AF" w:rsidP="003663AF">
      <w:pPr>
        <w:pStyle w:val="NormalBold12b"/>
      </w:pPr>
      <w:r w:rsidRPr="00B7760C">
        <w:t>Predlog uredbe</w:t>
      </w:r>
    </w:p>
    <w:p w14:paraId="4B213330" w14:textId="77777777" w:rsidR="003663AF" w:rsidRPr="00B7760C" w:rsidRDefault="003663AF" w:rsidP="003663AF">
      <w:pPr>
        <w:pStyle w:val="NormalBold"/>
      </w:pPr>
      <w:r w:rsidRPr="00B7760C">
        <w:t>Člen 120 – 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89C953F" w14:textId="77777777" w:rsidTr="00E804B7">
        <w:trPr>
          <w:jc w:val="center"/>
        </w:trPr>
        <w:tc>
          <w:tcPr>
            <w:tcW w:w="9752" w:type="dxa"/>
            <w:gridSpan w:val="2"/>
          </w:tcPr>
          <w:p w14:paraId="53B59832" w14:textId="77777777" w:rsidR="003663AF" w:rsidRPr="00B7760C" w:rsidRDefault="003663AF" w:rsidP="00E804B7">
            <w:pPr>
              <w:keepNext/>
            </w:pPr>
          </w:p>
        </w:tc>
      </w:tr>
      <w:tr w:rsidR="003663AF" w:rsidRPr="00B7760C" w14:paraId="256DC1D1" w14:textId="77777777" w:rsidTr="00E804B7">
        <w:trPr>
          <w:jc w:val="center"/>
        </w:trPr>
        <w:tc>
          <w:tcPr>
            <w:tcW w:w="4876" w:type="dxa"/>
            <w:hideMark/>
          </w:tcPr>
          <w:p w14:paraId="2A167EFC" w14:textId="77777777" w:rsidR="003663AF" w:rsidRPr="00B7760C" w:rsidRDefault="003663AF" w:rsidP="00E804B7">
            <w:pPr>
              <w:pStyle w:val="ColumnHeading"/>
              <w:keepNext/>
            </w:pPr>
            <w:r w:rsidRPr="00B7760C">
              <w:t>Besedilo, ki ga predlaga Komisija</w:t>
            </w:r>
          </w:p>
        </w:tc>
        <w:tc>
          <w:tcPr>
            <w:tcW w:w="4876" w:type="dxa"/>
            <w:hideMark/>
          </w:tcPr>
          <w:p w14:paraId="3C124F02" w14:textId="2DB0194E" w:rsidR="003663AF" w:rsidRPr="00B7760C" w:rsidRDefault="00877691" w:rsidP="00E804B7">
            <w:pPr>
              <w:pStyle w:val="ColumnHeading"/>
              <w:keepNext/>
            </w:pPr>
            <w:r w:rsidRPr="00B7760C">
              <w:t>Sprememba</w:t>
            </w:r>
          </w:p>
        </w:tc>
      </w:tr>
      <w:tr w:rsidR="003663AF" w:rsidRPr="00B7760C" w14:paraId="6C4F7327" w14:textId="77777777" w:rsidTr="00E804B7">
        <w:trPr>
          <w:jc w:val="center"/>
        </w:trPr>
        <w:tc>
          <w:tcPr>
            <w:tcW w:w="4876" w:type="dxa"/>
            <w:hideMark/>
          </w:tcPr>
          <w:p w14:paraId="7EB12A57" w14:textId="77777777" w:rsidR="003663AF" w:rsidRPr="00B7760C" w:rsidRDefault="003663AF" w:rsidP="00E804B7">
            <w:pPr>
              <w:pStyle w:val="Normal6"/>
            </w:pPr>
            <w:r w:rsidRPr="00B7760C">
              <w:t xml:space="preserve">Komisija sprejme </w:t>
            </w:r>
            <w:r w:rsidRPr="00B7760C">
              <w:rPr>
                <w:b/>
                <w:i/>
              </w:rPr>
              <w:t>izvedbene</w:t>
            </w:r>
            <w:r w:rsidRPr="00B7760C">
              <w:t xml:space="preserve"> akte</w:t>
            </w:r>
            <w:r w:rsidRPr="00B7760C">
              <w:rPr>
                <w:b/>
                <w:i/>
              </w:rPr>
              <w:t xml:space="preserve"> o vsebini</w:t>
            </w:r>
            <w:r w:rsidRPr="00B7760C">
              <w:t xml:space="preserve"> okvira smotrnosti. Ti akti vsebujejo seznam kazalnikov ozadja, drugih kazalnikov, potrebnih za ustrezno spremljanje in ocenjevanje politike, metode za izračun kazalnikov in določbe, potrebne za zagotavljanje točnosti in zanesljivosti podatkov, ki jih zberejo države članice. Ti </w:t>
            </w:r>
            <w:r w:rsidRPr="00B7760C">
              <w:rPr>
                <w:b/>
                <w:i/>
              </w:rPr>
              <w:t>izvedbeni</w:t>
            </w:r>
            <w:r w:rsidRPr="00B7760C">
              <w:t xml:space="preserve"> akti se sprejmejo v skladu s </w:t>
            </w:r>
            <w:r w:rsidRPr="00B7760C">
              <w:rPr>
                <w:b/>
                <w:i/>
              </w:rPr>
              <w:t>postopkom pregleda iz člena</w:t>
            </w:r>
            <w:r w:rsidRPr="00B7760C">
              <w:t> </w:t>
            </w:r>
            <w:r w:rsidRPr="00B7760C">
              <w:rPr>
                <w:b/>
                <w:i/>
              </w:rPr>
              <w:t>139(2)</w:t>
            </w:r>
            <w:r w:rsidRPr="00B7760C">
              <w:t>.</w:t>
            </w:r>
          </w:p>
        </w:tc>
        <w:tc>
          <w:tcPr>
            <w:tcW w:w="4876" w:type="dxa"/>
            <w:hideMark/>
          </w:tcPr>
          <w:p w14:paraId="6DB24D61" w14:textId="77777777" w:rsidR="003663AF" w:rsidRPr="00B7760C" w:rsidRDefault="003663AF" w:rsidP="00E804B7">
            <w:pPr>
              <w:pStyle w:val="Normal6"/>
              <w:rPr>
                <w:szCs w:val="24"/>
              </w:rPr>
            </w:pPr>
            <w:r w:rsidRPr="00B7760C">
              <w:t xml:space="preserve">Komisija sprejme </w:t>
            </w:r>
            <w:r w:rsidRPr="00B7760C">
              <w:rPr>
                <w:b/>
                <w:i/>
              </w:rPr>
              <w:t>delegirane</w:t>
            </w:r>
            <w:r w:rsidRPr="00B7760C">
              <w:t xml:space="preserve"> akte</w:t>
            </w:r>
            <w:r w:rsidRPr="00B7760C">
              <w:rPr>
                <w:b/>
                <w:i/>
              </w:rPr>
              <w:t>, s katerimi dopolni to uredbo, tako da določi vsebino</w:t>
            </w:r>
            <w:r w:rsidRPr="00B7760C">
              <w:t xml:space="preserve"> okvira smotrnosti. Ti akti vsebujejo seznam kazalnikov ozadja, drugih kazalnikov, potrebnih za ustrezno spremljanje in ocenjevanje politike, metode za izračun kazalnikov in določbe, potrebne za zagotavljanje točnosti in zanesljivosti podatkov, ki jih zberejo države članice. Ti </w:t>
            </w:r>
            <w:r w:rsidRPr="00B7760C">
              <w:rPr>
                <w:b/>
                <w:i/>
              </w:rPr>
              <w:t>delegirani</w:t>
            </w:r>
            <w:r w:rsidRPr="00B7760C">
              <w:t xml:space="preserve"> akti se sprejmejo v skladu s </w:t>
            </w:r>
            <w:r w:rsidRPr="00B7760C">
              <w:rPr>
                <w:b/>
                <w:i/>
              </w:rPr>
              <w:t>členom</w:t>
            </w:r>
            <w:r w:rsidRPr="00B7760C">
              <w:t> </w:t>
            </w:r>
            <w:r w:rsidRPr="00B7760C">
              <w:rPr>
                <w:b/>
                <w:i/>
              </w:rPr>
              <w:t>138</w:t>
            </w:r>
            <w:r w:rsidRPr="00B7760C">
              <w:t>.</w:t>
            </w:r>
          </w:p>
        </w:tc>
      </w:tr>
    </w:tbl>
    <w:p w14:paraId="3F01952E" w14:textId="77777777" w:rsidR="003663AF" w:rsidRPr="00B7760C" w:rsidRDefault="003663AF" w:rsidP="003663AF"/>
    <w:p w14:paraId="3AC4E2D9" w14:textId="57C78506" w:rsidR="003663AF" w:rsidRPr="00B7760C" w:rsidRDefault="00877691" w:rsidP="003663AF">
      <w:pPr>
        <w:pStyle w:val="AMNumberTabs"/>
        <w:keepNext/>
      </w:pPr>
      <w:r w:rsidRPr="00B7760C">
        <w:t>Sprememba</w:t>
      </w:r>
      <w:r w:rsidR="003663AF" w:rsidRPr="00B7760C">
        <w:tab/>
      </w:r>
      <w:r w:rsidR="003663AF" w:rsidRPr="00B7760C">
        <w:tab/>
        <w:t>673</w:t>
      </w:r>
    </w:p>
    <w:p w14:paraId="2E3F7035" w14:textId="77777777" w:rsidR="003663AF" w:rsidRPr="00B7760C" w:rsidRDefault="003663AF" w:rsidP="003663AF">
      <w:pPr>
        <w:pStyle w:val="NormalBold12b"/>
      </w:pPr>
      <w:r w:rsidRPr="00B7760C">
        <w:t>Predlog uredbe</w:t>
      </w:r>
    </w:p>
    <w:p w14:paraId="52C05EC5" w14:textId="77777777" w:rsidR="003663AF" w:rsidRPr="00B7760C" w:rsidRDefault="003663AF" w:rsidP="003663AF">
      <w:pPr>
        <w:pStyle w:val="NormalBold"/>
      </w:pPr>
      <w:r w:rsidRPr="00B7760C">
        <w:t>Člen 121 – naslov</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4C5900C" w14:textId="77777777" w:rsidTr="00E804B7">
        <w:trPr>
          <w:jc w:val="center"/>
        </w:trPr>
        <w:tc>
          <w:tcPr>
            <w:tcW w:w="9752" w:type="dxa"/>
            <w:gridSpan w:val="2"/>
          </w:tcPr>
          <w:p w14:paraId="39008A47" w14:textId="77777777" w:rsidR="003663AF" w:rsidRPr="00B7760C" w:rsidRDefault="003663AF" w:rsidP="00E804B7">
            <w:pPr>
              <w:keepNext/>
            </w:pPr>
          </w:p>
        </w:tc>
      </w:tr>
      <w:tr w:rsidR="003663AF" w:rsidRPr="00B7760C" w14:paraId="2F44BF97" w14:textId="77777777" w:rsidTr="00E804B7">
        <w:trPr>
          <w:jc w:val="center"/>
        </w:trPr>
        <w:tc>
          <w:tcPr>
            <w:tcW w:w="4876" w:type="dxa"/>
            <w:hideMark/>
          </w:tcPr>
          <w:p w14:paraId="0A33F66D" w14:textId="77777777" w:rsidR="003663AF" w:rsidRPr="00B7760C" w:rsidRDefault="003663AF" w:rsidP="00E804B7">
            <w:pPr>
              <w:pStyle w:val="ColumnHeading"/>
              <w:keepNext/>
            </w:pPr>
            <w:r w:rsidRPr="00B7760C">
              <w:t>Besedilo, ki ga predlaga Komisija</w:t>
            </w:r>
          </w:p>
        </w:tc>
        <w:tc>
          <w:tcPr>
            <w:tcW w:w="4876" w:type="dxa"/>
            <w:hideMark/>
          </w:tcPr>
          <w:p w14:paraId="068173D1" w14:textId="1C472028" w:rsidR="003663AF" w:rsidRPr="00B7760C" w:rsidRDefault="00877691" w:rsidP="00E804B7">
            <w:pPr>
              <w:pStyle w:val="ColumnHeading"/>
              <w:keepNext/>
            </w:pPr>
            <w:r w:rsidRPr="00B7760C">
              <w:t>Sprememba</w:t>
            </w:r>
          </w:p>
        </w:tc>
      </w:tr>
      <w:tr w:rsidR="003663AF" w:rsidRPr="00B7760C" w14:paraId="1B211F17" w14:textId="77777777" w:rsidTr="00E804B7">
        <w:trPr>
          <w:jc w:val="center"/>
        </w:trPr>
        <w:tc>
          <w:tcPr>
            <w:tcW w:w="4876" w:type="dxa"/>
            <w:hideMark/>
          </w:tcPr>
          <w:p w14:paraId="7B76D334" w14:textId="77777777" w:rsidR="003663AF" w:rsidRPr="00B7760C" w:rsidRDefault="003663AF" w:rsidP="00E804B7">
            <w:pPr>
              <w:pStyle w:val="Normal6"/>
            </w:pPr>
            <w:r w:rsidRPr="00B7760C">
              <w:rPr>
                <w:b/>
                <w:i/>
              </w:rPr>
              <w:t xml:space="preserve">Letna </w:t>
            </w:r>
            <w:r w:rsidRPr="00B7760C">
              <w:t>poročila o smotrnosti</w:t>
            </w:r>
          </w:p>
        </w:tc>
        <w:tc>
          <w:tcPr>
            <w:tcW w:w="4876" w:type="dxa"/>
            <w:hideMark/>
          </w:tcPr>
          <w:p w14:paraId="18915972" w14:textId="77777777" w:rsidR="003663AF" w:rsidRPr="00B7760C" w:rsidRDefault="003663AF" w:rsidP="00E804B7">
            <w:pPr>
              <w:pStyle w:val="Normal6"/>
              <w:rPr>
                <w:szCs w:val="24"/>
              </w:rPr>
            </w:pPr>
            <w:r w:rsidRPr="00B7760C">
              <w:t>Poročila o smotrnosti</w:t>
            </w:r>
          </w:p>
        </w:tc>
      </w:tr>
    </w:tbl>
    <w:p w14:paraId="60B2836E" w14:textId="77777777" w:rsidR="003663AF" w:rsidRPr="00B7760C" w:rsidRDefault="003663AF" w:rsidP="003663AF"/>
    <w:p w14:paraId="3B68F724" w14:textId="6FA9645D" w:rsidR="003663AF" w:rsidRPr="00B7760C" w:rsidRDefault="00877691" w:rsidP="003663AF">
      <w:pPr>
        <w:pStyle w:val="AMNumberTabs"/>
        <w:keepNext/>
      </w:pPr>
      <w:r w:rsidRPr="00B7760C">
        <w:t>Sprememba</w:t>
      </w:r>
      <w:r w:rsidR="003663AF" w:rsidRPr="00B7760C">
        <w:tab/>
      </w:r>
      <w:r w:rsidR="003663AF" w:rsidRPr="00B7760C">
        <w:tab/>
        <w:t>674</w:t>
      </w:r>
    </w:p>
    <w:p w14:paraId="44DDF44C" w14:textId="77777777" w:rsidR="003663AF" w:rsidRPr="00B7760C" w:rsidRDefault="003663AF" w:rsidP="003663AF">
      <w:pPr>
        <w:pStyle w:val="NormalBold12b"/>
      </w:pPr>
      <w:r w:rsidRPr="00B7760C">
        <w:t>Predlog uredbe</w:t>
      </w:r>
    </w:p>
    <w:p w14:paraId="11F1E7BF" w14:textId="77777777" w:rsidR="003663AF" w:rsidRPr="00B7760C" w:rsidRDefault="003663AF" w:rsidP="003663AF">
      <w:pPr>
        <w:pStyle w:val="NormalBold"/>
      </w:pPr>
      <w:r w:rsidRPr="00B7760C">
        <w:t>Člen 121 – 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31835FC" w14:textId="77777777" w:rsidTr="00E804B7">
        <w:trPr>
          <w:jc w:val="center"/>
        </w:trPr>
        <w:tc>
          <w:tcPr>
            <w:tcW w:w="9752" w:type="dxa"/>
            <w:gridSpan w:val="2"/>
          </w:tcPr>
          <w:p w14:paraId="08543F97" w14:textId="77777777" w:rsidR="003663AF" w:rsidRPr="00B7760C" w:rsidRDefault="003663AF" w:rsidP="00E804B7">
            <w:pPr>
              <w:keepNext/>
            </w:pPr>
          </w:p>
        </w:tc>
      </w:tr>
      <w:tr w:rsidR="003663AF" w:rsidRPr="00B7760C" w14:paraId="4C9214AF" w14:textId="77777777" w:rsidTr="00E804B7">
        <w:trPr>
          <w:jc w:val="center"/>
        </w:trPr>
        <w:tc>
          <w:tcPr>
            <w:tcW w:w="4876" w:type="dxa"/>
            <w:hideMark/>
          </w:tcPr>
          <w:p w14:paraId="72DBCBE0" w14:textId="77777777" w:rsidR="003663AF" w:rsidRPr="00B7760C" w:rsidRDefault="003663AF" w:rsidP="00E804B7">
            <w:pPr>
              <w:pStyle w:val="ColumnHeading"/>
              <w:keepNext/>
            </w:pPr>
            <w:r w:rsidRPr="00B7760C">
              <w:t>Besedilo, ki ga predlaga Komisija</w:t>
            </w:r>
          </w:p>
        </w:tc>
        <w:tc>
          <w:tcPr>
            <w:tcW w:w="4876" w:type="dxa"/>
            <w:hideMark/>
          </w:tcPr>
          <w:p w14:paraId="75294D94" w14:textId="507C28B7" w:rsidR="003663AF" w:rsidRPr="00B7760C" w:rsidRDefault="00877691" w:rsidP="00E804B7">
            <w:pPr>
              <w:pStyle w:val="ColumnHeading"/>
              <w:keepNext/>
            </w:pPr>
            <w:r w:rsidRPr="00B7760C">
              <w:t>Sprememba</w:t>
            </w:r>
          </w:p>
        </w:tc>
      </w:tr>
      <w:tr w:rsidR="003663AF" w:rsidRPr="00B7760C" w14:paraId="0B6BB6DD" w14:textId="77777777" w:rsidTr="00E804B7">
        <w:trPr>
          <w:jc w:val="center"/>
        </w:trPr>
        <w:tc>
          <w:tcPr>
            <w:tcW w:w="4876" w:type="dxa"/>
            <w:hideMark/>
          </w:tcPr>
          <w:p w14:paraId="1B306966" w14:textId="77777777" w:rsidR="003663AF" w:rsidRPr="00B7760C" w:rsidRDefault="003663AF" w:rsidP="00E804B7">
            <w:pPr>
              <w:pStyle w:val="Normal6"/>
            </w:pPr>
            <w:r w:rsidRPr="00B7760C">
              <w:t>1.</w:t>
            </w:r>
            <w:r w:rsidRPr="00B7760C">
              <w:tab/>
              <w:t xml:space="preserve">Države članice Komisiji predložijo </w:t>
            </w:r>
            <w:r w:rsidRPr="00B7760C">
              <w:rPr>
                <w:b/>
                <w:i/>
              </w:rPr>
              <w:t>letno poročilo</w:t>
            </w:r>
            <w:r w:rsidRPr="00B7760C">
              <w:t xml:space="preserve"> o smotrnosti izvajanja strateškega načrta SKP v </w:t>
            </w:r>
            <w:r w:rsidRPr="00B7760C">
              <w:rPr>
                <w:b/>
                <w:i/>
              </w:rPr>
              <w:t>preteklem koledarskem letu do 15. februarja 2023 in do 15. februarja vsakega naslednjega leta do vključno leta 2030. Poročilo, predloženo leta 2023, zajema proračunski leti 2021 in 2022. Za neposredna plačila iz poglavja II naslova III poročilo zajema le proračunsko leto 2022</w:t>
            </w:r>
            <w:r w:rsidRPr="00B7760C">
              <w:t>.</w:t>
            </w:r>
          </w:p>
        </w:tc>
        <w:tc>
          <w:tcPr>
            <w:tcW w:w="4876" w:type="dxa"/>
            <w:hideMark/>
          </w:tcPr>
          <w:p w14:paraId="2B483025" w14:textId="77777777" w:rsidR="003663AF" w:rsidRPr="00B7760C" w:rsidRDefault="003663AF" w:rsidP="00E804B7">
            <w:pPr>
              <w:pStyle w:val="Normal6"/>
              <w:rPr>
                <w:szCs w:val="24"/>
              </w:rPr>
            </w:pPr>
            <w:r w:rsidRPr="00B7760C">
              <w:t>1.</w:t>
            </w:r>
            <w:r w:rsidRPr="00B7760C">
              <w:tab/>
              <w:t xml:space="preserve">Države članice Komisiji predložijo </w:t>
            </w:r>
            <w:r w:rsidRPr="00B7760C">
              <w:rPr>
                <w:b/>
                <w:i/>
              </w:rPr>
              <w:t>poročila</w:t>
            </w:r>
            <w:r w:rsidRPr="00B7760C">
              <w:t xml:space="preserve"> o smotrnosti izvajanja strateškega načrta SKP v </w:t>
            </w:r>
            <w:r w:rsidRPr="00B7760C">
              <w:rPr>
                <w:b/>
                <w:i/>
              </w:rPr>
              <w:t>skladu s členom 8 Uredbe (EU) [HZU]</w:t>
            </w:r>
          </w:p>
        </w:tc>
      </w:tr>
    </w:tbl>
    <w:p w14:paraId="3E52F156" w14:textId="77777777" w:rsidR="003663AF" w:rsidRPr="00B7760C" w:rsidRDefault="003663AF" w:rsidP="003663AF"/>
    <w:p w14:paraId="0F013ACD" w14:textId="4632C1BB" w:rsidR="003663AF" w:rsidRPr="00B7760C" w:rsidRDefault="00877691" w:rsidP="003663AF">
      <w:pPr>
        <w:pStyle w:val="AMNumberTabs"/>
        <w:keepNext/>
      </w:pPr>
      <w:r w:rsidRPr="00B7760C">
        <w:t>Sprememba</w:t>
      </w:r>
      <w:r w:rsidR="003663AF" w:rsidRPr="00B7760C">
        <w:tab/>
      </w:r>
      <w:r w:rsidR="003663AF" w:rsidRPr="00B7760C">
        <w:tab/>
        <w:t>675</w:t>
      </w:r>
    </w:p>
    <w:p w14:paraId="3D3973AF" w14:textId="77777777" w:rsidR="003663AF" w:rsidRPr="00B7760C" w:rsidRDefault="003663AF" w:rsidP="003663AF">
      <w:pPr>
        <w:pStyle w:val="NormalBold12b"/>
      </w:pPr>
      <w:r w:rsidRPr="00B7760C">
        <w:t>Predlog uredbe</w:t>
      </w:r>
    </w:p>
    <w:p w14:paraId="6017D6AA" w14:textId="77777777" w:rsidR="003663AF" w:rsidRPr="00B7760C" w:rsidRDefault="003663AF" w:rsidP="003663AF">
      <w:pPr>
        <w:pStyle w:val="NormalBold"/>
      </w:pPr>
      <w:r w:rsidRPr="00B7760C">
        <w:t>Člen 121 – odstavek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2249D91" w14:textId="77777777" w:rsidTr="00E804B7">
        <w:trPr>
          <w:jc w:val="center"/>
        </w:trPr>
        <w:tc>
          <w:tcPr>
            <w:tcW w:w="9752" w:type="dxa"/>
            <w:gridSpan w:val="2"/>
          </w:tcPr>
          <w:p w14:paraId="0D932CA6" w14:textId="77777777" w:rsidR="003663AF" w:rsidRPr="00B7760C" w:rsidRDefault="003663AF" w:rsidP="00E804B7">
            <w:pPr>
              <w:keepNext/>
            </w:pPr>
          </w:p>
        </w:tc>
      </w:tr>
      <w:tr w:rsidR="003663AF" w:rsidRPr="00B7760C" w14:paraId="11E9EFD2" w14:textId="77777777" w:rsidTr="00E804B7">
        <w:trPr>
          <w:jc w:val="center"/>
        </w:trPr>
        <w:tc>
          <w:tcPr>
            <w:tcW w:w="4876" w:type="dxa"/>
            <w:hideMark/>
          </w:tcPr>
          <w:p w14:paraId="31BDA589" w14:textId="77777777" w:rsidR="003663AF" w:rsidRPr="00B7760C" w:rsidRDefault="003663AF" w:rsidP="00E804B7">
            <w:pPr>
              <w:pStyle w:val="ColumnHeading"/>
              <w:keepNext/>
            </w:pPr>
            <w:r w:rsidRPr="00B7760C">
              <w:t>Besedilo, ki ga predlaga Komisija</w:t>
            </w:r>
          </w:p>
        </w:tc>
        <w:tc>
          <w:tcPr>
            <w:tcW w:w="4876" w:type="dxa"/>
            <w:hideMark/>
          </w:tcPr>
          <w:p w14:paraId="538434C9" w14:textId="243F0731" w:rsidR="003663AF" w:rsidRPr="00B7760C" w:rsidRDefault="00877691" w:rsidP="00E804B7">
            <w:pPr>
              <w:pStyle w:val="ColumnHeading"/>
              <w:keepNext/>
            </w:pPr>
            <w:r w:rsidRPr="00B7760C">
              <w:t>Sprememba</w:t>
            </w:r>
          </w:p>
        </w:tc>
      </w:tr>
      <w:tr w:rsidR="003663AF" w:rsidRPr="00B7760C" w14:paraId="0009AF33" w14:textId="77777777" w:rsidTr="00E804B7">
        <w:trPr>
          <w:jc w:val="center"/>
        </w:trPr>
        <w:tc>
          <w:tcPr>
            <w:tcW w:w="4876" w:type="dxa"/>
            <w:hideMark/>
          </w:tcPr>
          <w:p w14:paraId="56A1F4E0" w14:textId="77777777" w:rsidR="003663AF" w:rsidRPr="00B7760C" w:rsidRDefault="003663AF" w:rsidP="00E804B7">
            <w:pPr>
              <w:pStyle w:val="Normal6"/>
            </w:pPr>
            <w:r w:rsidRPr="00B7760C">
              <w:t>2.</w:t>
            </w:r>
            <w:r w:rsidRPr="00B7760C">
              <w:tab/>
              <w:t xml:space="preserve">Zadnje </w:t>
            </w:r>
            <w:r w:rsidRPr="00B7760C">
              <w:rPr>
                <w:b/>
                <w:i/>
              </w:rPr>
              <w:t xml:space="preserve">letno </w:t>
            </w:r>
            <w:r w:rsidRPr="00B7760C">
              <w:t>poročilo o smotrnosti, ki ga je treba predložiti</w:t>
            </w:r>
            <w:r w:rsidRPr="00B7760C">
              <w:rPr>
                <w:b/>
                <w:i/>
              </w:rPr>
              <w:t xml:space="preserve"> do 15. februarja 2030</w:t>
            </w:r>
            <w:r w:rsidRPr="00B7760C">
              <w:t>, vsebuje povzetek ocenjevanj, opravljenih v obdobju izvajanja.</w:t>
            </w:r>
          </w:p>
        </w:tc>
        <w:tc>
          <w:tcPr>
            <w:tcW w:w="4876" w:type="dxa"/>
            <w:hideMark/>
          </w:tcPr>
          <w:p w14:paraId="1E3C07F3" w14:textId="77777777" w:rsidR="003663AF" w:rsidRPr="00B7760C" w:rsidRDefault="003663AF" w:rsidP="00E804B7">
            <w:pPr>
              <w:pStyle w:val="Normal6"/>
              <w:rPr>
                <w:szCs w:val="24"/>
              </w:rPr>
            </w:pPr>
            <w:r w:rsidRPr="00B7760C">
              <w:t>2.</w:t>
            </w:r>
            <w:r w:rsidRPr="00B7760C">
              <w:tab/>
              <w:t>Zadnje poročilo o smotrnosti, ki ga je treba predložiti, vsebuje povzetek ocenjevanj, opravljenih v obdobju izvajanja.</w:t>
            </w:r>
          </w:p>
        </w:tc>
      </w:tr>
    </w:tbl>
    <w:p w14:paraId="0E92FAAB" w14:textId="77777777" w:rsidR="003663AF" w:rsidRPr="00B7760C" w:rsidRDefault="003663AF" w:rsidP="003663AF"/>
    <w:p w14:paraId="37A71C02" w14:textId="210397A1" w:rsidR="003663AF" w:rsidRPr="00B7760C" w:rsidRDefault="00877691" w:rsidP="003663AF">
      <w:pPr>
        <w:pStyle w:val="AMNumberTabs"/>
        <w:keepNext/>
      </w:pPr>
      <w:r w:rsidRPr="00B7760C">
        <w:t>Sprememba</w:t>
      </w:r>
      <w:r w:rsidR="003663AF" w:rsidRPr="00B7760C">
        <w:tab/>
      </w:r>
      <w:r w:rsidR="003663AF" w:rsidRPr="00B7760C">
        <w:tab/>
        <w:t>676</w:t>
      </w:r>
    </w:p>
    <w:p w14:paraId="20EA4E77" w14:textId="77777777" w:rsidR="003663AF" w:rsidRPr="00B7760C" w:rsidRDefault="003663AF" w:rsidP="003663AF">
      <w:pPr>
        <w:pStyle w:val="NormalBold12b"/>
      </w:pPr>
      <w:r w:rsidRPr="00B7760C">
        <w:t>Predlog uredbe</w:t>
      </w:r>
    </w:p>
    <w:p w14:paraId="57D0F569" w14:textId="77777777" w:rsidR="003663AF" w:rsidRPr="00B7760C" w:rsidRDefault="003663AF" w:rsidP="003663AF">
      <w:pPr>
        <w:pStyle w:val="NormalBold"/>
      </w:pPr>
      <w:r w:rsidRPr="00B7760C">
        <w:t>Člen 121 – odstavek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4A15EDC" w14:textId="77777777" w:rsidTr="00E804B7">
        <w:trPr>
          <w:jc w:val="center"/>
        </w:trPr>
        <w:tc>
          <w:tcPr>
            <w:tcW w:w="9752" w:type="dxa"/>
            <w:gridSpan w:val="2"/>
          </w:tcPr>
          <w:p w14:paraId="0663903E" w14:textId="77777777" w:rsidR="003663AF" w:rsidRPr="00B7760C" w:rsidRDefault="003663AF" w:rsidP="00E804B7">
            <w:pPr>
              <w:keepNext/>
            </w:pPr>
          </w:p>
        </w:tc>
      </w:tr>
      <w:tr w:rsidR="003663AF" w:rsidRPr="00B7760C" w14:paraId="12563F3A" w14:textId="77777777" w:rsidTr="00E804B7">
        <w:trPr>
          <w:jc w:val="center"/>
        </w:trPr>
        <w:tc>
          <w:tcPr>
            <w:tcW w:w="4876" w:type="dxa"/>
            <w:hideMark/>
          </w:tcPr>
          <w:p w14:paraId="2DC0EA93" w14:textId="77777777" w:rsidR="003663AF" w:rsidRPr="00B7760C" w:rsidRDefault="003663AF" w:rsidP="00E804B7">
            <w:pPr>
              <w:pStyle w:val="ColumnHeading"/>
              <w:keepNext/>
            </w:pPr>
            <w:r w:rsidRPr="00B7760C">
              <w:t>Besedilo, ki ga predlaga Komisija</w:t>
            </w:r>
          </w:p>
        </w:tc>
        <w:tc>
          <w:tcPr>
            <w:tcW w:w="4876" w:type="dxa"/>
            <w:hideMark/>
          </w:tcPr>
          <w:p w14:paraId="5CF3DC46" w14:textId="21DCB124" w:rsidR="003663AF" w:rsidRPr="00B7760C" w:rsidRDefault="00877691" w:rsidP="00E804B7">
            <w:pPr>
              <w:pStyle w:val="ColumnHeading"/>
              <w:keepNext/>
            </w:pPr>
            <w:r w:rsidRPr="00B7760C">
              <w:t>Sprememba</w:t>
            </w:r>
          </w:p>
        </w:tc>
      </w:tr>
      <w:tr w:rsidR="003663AF" w:rsidRPr="00B7760C" w14:paraId="12308900" w14:textId="77777777" w:rsidTr="00E804B7">
        <w:trPr>
          <w:jc w:val="center"/>
        </w:trPr>
        <w:tc>
          <w:tcPr>
            <w:tcW w:w="4876" w:type="dxa"/>
            <w:hideMark/>
          </w:tcPr>
          <w:p w14:paraId="11C446BA" w14:textId="77777777" w:rsidR="003663AF" w:rsidRPr="00B7760C" w:rsidRDefault="003663AF" w:rsidP="00E804B7">
            <w:pPr>
              <w:pStyle w:val="Normal6"/>
            </w:pPr>
            <w:r w:rsidRPr="00B7760C">
              <w:t>3.</w:t>
            </w:r>
            <w:r w:rsidRPr="00B7760C">
              <w:tab/>
            </w:r>
            <w:r w:rsidRPr="00B7760C">
              <w:rPr>
                <w:b/>
                <w:i/>
              </w:rPr>
              <w:t>Letno</w:t>
            </w:r>
            <w:r w:rsidRPr="00B7760C">
              <w:t xml:space="preserve"> poročilo o smotrnosti je dopustno le, če vsebuje vse informacije, ki se zahtevajo v odstavkih 4, 5 in 6. Komisija državo članico v 15 delovnih dneh po datumu prejema</w:t>
            </w:r>
            <w:r w:rsidRPr="00B7760C">
              <w:rPr>
                <w:b/>
                <w:i/>
              </w:rPr>
              <w:t xml:space="preserve"> letnega</w:t>
            </w:r>
            <w:r w:rsidRPr="00B7760C">
              <w:t xml:space="preserve"> poročila o smotrnosti obvesti, če poročilo ni dopustno, sicer se poročilo šteje za dopustno.</w:t>
            </w:r>
          </w:p>
        </w:tc>
        <w:tc>
          <w:tcPr>
            <w:tcW w:w="4876" w:type="dxa"/>
            <w:hideMark/>
          </w:tcPr>
          <w:p w14:paraId="31D9F8F4" w14:textId="77777777" w:rsidR="003663AF" w:rsidRPr="00B7760C" w:rsidRDefault="003663AF" w:rsidP="00E804B7">
            <w:pPr>
              <w:pStyle w:val="Normal6"/>
              <w:rPr>
                <w:szCs w:val="24"/>
              </w:rPr>
            </w:pPr>
            <w:r w:rsidRPr="00B7760C">
              <w:t>3.</w:t>
            </w:r>
            <w:r w:rsidRPr="00B7760C">
              <w:tab/>
              <w:t>Poročilo o smotrnosti je dopustno le, če vsebuje vse informacije, ki se zahtevajo v odstavkih 4, 5 in 6. Komisija državo članico v 15 delovnih dneh po datumu prejema poročila o smotrnosti obvesti, če poročilo ni dopustno, sicer se poročilo šteje za dopustno.</w:t>
            </w:r>
          </w:p>
        </w:tc>
      </w:tr>
    </w:tbl>
    <w:p w14:paraId="6B048F1A" w14:textId="77777777" w:rsidR="003663AF" w:rsidRPr="00B7760C" w:rsidRDefault="003663AF" w:rsidP="003663AF"/>
    <w:p w14:paraId="28F2CAF0" w14:textId="2A8467A7" w:rsidR="003663AF" w:rsidRPr="00B7760C" w:rsidRDefault="00877691" w:rsidP="003663AF">
      <w:pPr>
        <w:pStyle w:val="AMNumberTabs"/>
        <w:keepNext/>
      </w:pPr>
      <w:r w:rsidRPr="00B7760C">
        <w:t>Sprememba</w:t>
      </w:r>
      <w:r w:rsidR="003663AF" w:rsidRPr="00B7760C">
        <w:tab/>
      </w:r>
      <w:r w:rsidR="003663AF" w:rsidRPr="00B7760C">
        <w:tab/>
        <w:t>677</w:t>
      </w:r>
    </w:p>
    <w:p w14:paraId="056021A6" w14:textId="77777777" w:rsidR="003663AF" w:rsidRPr="00B7760C" w:rsidRDefault="003663AF" w:rsidP="003663AF">
      <w:pPr>
        <w:pStyle w:val="NormalBold12b"/>
      </w:pPr>
      <w:r w:rsidRPr="00B7760C">
        <w:t>Predlog uredbe</w:t>
      </w:r>
    </w:p>
    <w:p w14:paraId="53F78338" w14:textId="77777777" w:rsidR="003663AF" w:rsidRPr="00B7760C" w:rsidRDefault="003663AF" w:rsidP="003663AF">
      <w:pPr>
        <w:pStyle w:val="NormalBold"/>
      </w:pPr>
      <w:r w:rsidRPr="00B7760C">
        <w:t>Člen 121 – odstavek 4 – pododstavek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E8803B1" w14:textId="77777777" w:rsidTr="00E804B7">
        <w:trPr>
          <w:jc w:val="center"/>
        </w:trPr>
        <w:tc>
          <w:tcPr>
            <w:tcW w:w="9752" w:type="dxa"/>
            <w:gridSpan w:val="2"/>
          </w:tcPr>
          <w:p w14:paraId="5971D1BC" w14:textId="77777777" w:rsidR="003663AF" w:rsidRPr="00B7760C" w:rsidRDefault="003663AF" w:rsidP="00E804B7">
            <w:pPr>
              <w:keepNext/>
            </w:pPr>
          </w:p>
        </w:tc>
      </w:tr>
      <w:tr w:rsidR="003663AF" w:rsidRPr="00B7760C" w14:paraId="67856FF7" w14:textId="77777777" w:rsidTr="00E804B7">
        <w:trPr>
          <w:jc w:val="center"/>
        </w:trPr>
        <w:tc>
          <w:tcPr>
            <w:tcW w:w="4876" w:type="dxa"/>
            <w:hideMark/>
          </w:tcPr>
          <w:p w14:paraId="43029ACE" w14:textId="77777777" w:rsidR="003663AF" w:rsidRPr="00B7760C" w:rsidRDefault="003663AF" w:rsidP="00E804B7">
            <w:pPr>
              <w:pStyle w:val="ColumnHeading"/>
              <w:keepNext/>
            </w:pPr>
            <w:r w:rsidRPr="00B7760C">
              <w:t>Besedilo, ki ga predlaga Komisija</w:t>
            </w:r>
          </w:p>
        </w:tc>
        <w:tc>
          <w:tcPr>
            <w:tcW w:w="4876" w:type="dxa"/>
            <w:hideMark/>
          </w:tcPr>
          <w:p w14:paraId="55F9B444" w14:textId="348946A3" w:rsidR="003663AF" w:rsidRPr="00B7760C" w:rsidRDefault="00877691" w:rsidP="00E804B7">
            <w:pPr>
              <w:pStyle w:val="ColumnHeading"/>
              <w:keepNext/>
            </w:pPr>
            <w:r w:rsidRPr="00B7760C">
              <w:t>Sprememba</w:t>
            </w:r>
          </w:p>
        </w:tc>
      </w:tr>
      <w:tr w:rsidR="003663AF" w:rsidRPr="00B7760C" w14:paraId="795FF02A" w14:textId="77777777" w:rsidTr="00E804B7">
        <w:trPr>
          <w:jc w:val="center"/>
        </w:trPr>
        <w:tc>
          <w:tcPr>
            <w:tcW w:w="4876" w:type="dxa"/>
            <w:hideMark/>
          </w:tcPr>
          <w:p w14:paraId="052539B7" w14:textId="77777777" w:rsidR="003663AF" w:rsidRPr="00B7760C" w:rsidRDefault="003663AF" w:rsidP="00E804B7">
            <w:pPr>
              <w:pStyle w:val="Normal6"/>
            </w:pPr>
            <w:r w:rsidRPr="00B7760C">
              <w:t xml:space="preserve">V </w:t>
            </w:r>
            <w:r w:rsidRPr="00B7760C">
              <w:rPr>
                <w:b/>
                <w:i/>
              </w:rPr>
              <w:t xml:space="preserve">letnih </w:t>
            </w:r>
            <w:r w:rsidRPr="00B7760C">
              <w:t xml:space="preserve">poročilih o smotrnosti so navedene ključne kvalitativne in kvantitativne informacije </w:t>
            </w:r>
            <w:r w:rsidRPr="00B7760C">
              <w:rPr>
                <w:b/>
                <w:i/>
              </w:rPr>
              <w:t>o izvajanju</w:t>
            </w:r>
            <w:r w:rsidRPr="00B7760C">
              <w:t xml:space="preserve"> strateškega načrta SKP s sklicevanjem na finančne podatke, kazalnike izložkov in rezultatov ter informacije v skladu z drugim pododstavkom člena</w:t>
            </w:r>
            <w:r w:rsidRPr="00B7760C">
              <w:rPr>
                <w:b/>
                <w:i/>
              </w:rPr>
              <w:t xml:space="preserve"> </w:t>
            </w:r>
            <w:r w:rsidRPr="00B7760C">
              <w:t>118. Vsebujejo tudi informacije o realiziranih izložkih, realiziranih odhodkih, realiziranih rezultatih in oddaljenosti od ustreznih ciljev.</w:t>
            </w:r>
          </w:p>
        </w:tc>
        <w:tc>
          <w:tcPr>
            <w:tcW w:w="4876" w:type="dxa"/>
            <w:hideMark/>
          </w:tcPr>
          <w:p w14:paraId="0023D2F0" w14:textId="77777777" w:rsidR="003663AF" w:rsidRPr="00B7760C" w:rsidRDefault="003663AF" w:rsidP="00E804B7">
            <w:pPr>
              <w:pStyle w:val="Normal6"/>
              <w:rPr>
                <w:szCs w:val="24"/>
              </w:rPr>
            </w:pPr>
            <w:r w:rsidRPr="00B7760C">
              <w:t xml:space="preserve">V poročilih o smotrnosti so navedene ključne kvalitativne in kvantitativne informacije </w:t>
            </w:r>
            <w:r w:rsidRPr="00B7760C">
              <w:rPr>
                <w:b/>
                <w:i/>
              </w:rPr>
              <w:t>v zvezi z izvajanjem</w:t>
            </w:r>
            <w:r w:rsidRPr="00B7760C">
              <w:t xml:space="preserve"> strateškega načrta SKP s sklicevanjem na finančne podatke, kazalnike izložkov in rezultatov ter informacije v skladu z drugim pododstavkom člena</w:t>
            </w:r>
            <w:r w:rsidRPr="00B7760C">
              <w:rPr>
                <w:b/>
                <w:i/>
              </w:rPr>
              <w:t> </w:t>
            </w:r>
            <w:r w:rsidRPr="00B7760C">
              <w:t>118. Vsebujejo tudi informacije o realiziranih izložkih, realiziranih odhodkih, realiziranih rezultatih in oddaljenosti od ustreznih ciljev.</w:t>
            </w:r>
          </w:p>
        </w:tc>
      </w:tr>
    </w:tbl>
    <w:p w14:paraId="708D7730" w14:textId="77777777" w:rsidR="003663AF" w:rsidRPr="00B7760C" w:rsidRDefault="003663AF" w:rsidP="003663AF"/>
    <w:p w14:paraId="7E22654B" w14:textId="1167B44F" w:rsidR="003663AF" w:rsidRPr="00B7760C" w:rsidRDefault="00877691" w:rsidP="003663AF">
      <w:pPr>
        <w:pStyle w:val="AMNumberTabs"/>
        <w:keepNext/>
      </w:pPr>
      <w:r w:rsidRPr="00B7760C">
        <w:t>Sprememba</w:t>
      </w:r>
      <w:r w:rsidR="003663AF" w:rsidRPr="00B7760C">
        <w:tab/>
      </w:r>
      <w:r w:rsidR="003663AF" w:rsidRPr="00B7760C">
        <w:tab/>
        <w:t>678</w:t>
      </w:r>
    </w:p>
    <w:p w14:paraId="0894EE01" w14:textId="77777777" w:rsidR="003663AF" w:rsidRPr="00B7760C" w:rsidRDefault="003663AF" w:rsidP="003663AF">
      <w:pPr>
        <w:pStyle w:val="NormalBold12b"/>
      </w:pPr>
      <w:r w:rsidRPr="00B7760C">
        <w:t>Predlog uredbe</w:t>
      </w:r>
    </w:p>
    <w:p w14:paraId="547B444D" w14:textId="77777777" w:rsidR="003663AF" w:rsidRPr="00B7760C" w:rsidRDefault="003663AF" w:rsidP="003663AF">
      <w:pPr>
        <w:pStyle w:val="NormalBold"/>
      </w:pPr>
      <w:r w:rsidRPr="00B7760C">
        <w:t>Člen 121 – odstavek 4 – pododstavek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2A54486" w14:textId="77777777" w:rsidTr="00E804B7">
        <w:trPr>
          <w:jc w:val="center"/>
        </w:trPr>
        <w:tc>
          <w:tcPr>
            <w:tcW w:w="9752" w:type="dxa"/>
            <w:gridSpan w:val="2"/>
          </w:tcPr>
          <w:p w14:paraId="17F810B2" w14:textId="77777777" w:rsidR="003663AF" w:rsidRPr="00B7760C" w:rsidRDefault="003663AF" w:rsidP="00E804B7">
            <w:pPr>
              <w:keepNext/>
            </w:pPr>
          </w:p>
        </w:tc>
      </w:tr>
      <w:tr w:rsidR="003663AF" w:rsidRPr="00B7760C" w14:paraId="6FC48374" w14:textId="77777777" w:rsidTr="00E804B7">
        <w:trPr>
          <w:jc w:val="center"/>
        </w:trPr>
        <w:tc>
          <w:tcPr>
            <w:tcW w:w="4876" w:type="dxa"/>
            <w:hideMark/>
          </w:tcPr>
          <w:p w14:paraId="39428393" w14:textId="77777777" w:rsidR="003663AF" w:rsidRPr="00B7760C" w:rsidRDefault="003663AF" w:rsidP="00E804B7">
            <w:pPr>
              <w:pStyle w:val="ColumnHeading"/>
              <w:keepNext/>
            </w:pPr>
            <w:r w:rsidRPr="00B7760C">
              <w:t>Besedilo, ki ga predlaga Komisija</w:t>
            </w:r>
          </w:p>
        </w:tc>
        <w:tc>
          <w:tcPr>
            <w:tcW w:w="4876" w:type="dxa"/>
            <w:hideMark/>
          </w:tcPr>
          <w:p w14:paraId="47BE6F66" w14:textId="527CED0D" w:rsidR="003663AF" w:rsidRPr="00B7760C" w:rsidRDefault="00877691" w:rsidP="00E804B7">
            <w:pPr>
              <w:pStyle w:val="ColumnHeading"/>
              <w:keepNext/>
            </w:pPr>
            <w:r w:rsidRPr="00B7760C">
              <w:t>Sprememba</w:t>
            </w:r>
          </w:p>
        </w:tc>
      </w:tr>
      <w:tr w:rsidR="003663AF" w:rsidRPr="00B7760C" w14:paraId="3DD505A5" w14:textId="77777777" w:rsidTr="00E804B7">
        <w:trPr>
          <w:jc w:val="center"/>
        </w:trPr>
        <w:tc>
          <w:tcPr>
            <w:tcW w:w="4876" w:type="dxa"/>
            <w:hideMark/>
          </w:tcPr>
          <w:p w14:paraId="60F3EC74" w14:textId="77777777" w:rsidR="003663AF" w:rsidRPr="00B7760C" w:rsidRDefault="003663AF" w:rsidP="00E804B7">
            <w:pPr>
              <w:pStyle w:val="Normal6"/>
            </w:pPr>
            <w:r w:rsidRPr="00B7760C">
              <w:rPr>
                <w:b/>
                <w:i/>
              </w:rPr>
              <w:t>Za vrste intervencij, ki niso predmet člena 89 te uredbe, in kadar razmerje med realiziranimi izložki in realiziranimi odhodki odstopa od načrtovanega letnega razmerja med izložki in odhodki za 50 %, države članice predložijo utemeljitev za to odstopanje.</w:t>
            </w:r>
          </w:p>
        </w:tc>
        <w:tc>
          <w:tcPr>
            <w:tcW w:w="4876" w:type="dxa"/>
            <w:hideMark/>
          </w:tcPr>
          <w:p w14:paraId="08C30CF7" w14:textId="77777777" w:rsidR="003663AF" w:rsidRPr="00B7760C" w:rsidRDefault="003663AF" w:rsidP="00E804B7">
            <w:pPr>
              <w:pStyle w:val="Normal6"/>
              <w:rPr>
                <w:szCs w:val="24"/>
              </w:rPr>
            </w:pPr>
            <w:r w:rsidRPr="00B7760C">
              <w:rPr>
                <w:b/>
                <w:i/>
              </w:rPr>
              <w:t>črtano</w:t>
            </w:r>
          </w:p>
        </w:tc>
      </w:tr>
    </w:tbl>
    <w:p w14:paraId="30466156" w14:textId="77777777" w:rsidR="003663AF" w:rsidRPr="00B7760C" w:rsidRDefault="003663AF" w:rsidP="003663AF"/>
    <w:p w14:paraId="1710E448" w14:textId="1D9EE7F6" w:rsidR="003663AF" w:rsidRPr="00B7760C" w:rsidRDefault="00877691" w:rsidP="003663AF">
      <w:pPr>
        <w:pStyle w:val="AMNumberTabs"/>
        <w:keepNext/>
      </w:pPr>
      <w:r w:rsidRPr="00B7760C">
        <w:t>Sprememba</w:t>
      </w:r>
      <w:r w:rsidR="003663AF" w:rsidRPr="00B7760C">
        <w:tab/>
      </w:r>
      <w:r w:rsidR="003663AF" w:rsidRPr="00B7760C">
        <w:tab/>
        <w:t>679</w:t>
      </w:r>
    </w:p>
    <w:p w14:paraId="7E124EEE" w14:textId="77777777" w:rsidR="003663AF" w:rsidRPr="00B7760C" w:rsidRDefault="003663AF" w:rsidP="003663AF">
      <w:pPr>
        <w:pStyle w:val="NormalBold12b"/>
      </w:pPr>
      <w:r w:rsidRPr="00B7760C">
        <w:t>Predlog uredbe</w:t>
      </w:r>
    </w:p>
    <w:p w14:paraId="1F6B0A2E" w14:textId="77777777" w:rsidR="003663AF" w:rsidRPr="00B7760C" w:rsidRDefault="003663AF" w:rsidP="003663AF">
      <w:pPr>
        <w:pStyle w:val="NormalBold"/>
      </w:pPr>
      <w:r w:rsidRPr="00B7760C">
        <w:t>Člen 121 – odstavek 5</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61FDC36" w14:textId="77777777" w:rsidTr="00E804B7">
        <w:trPr>
          <w:jc w:val="center"/>
        </w:trPr>
        <w:tc>
          <w:tcPr>
            <w:tcW w:w="9752" w:type="dxa"/>
            <w:gridSpan w:val="2"/>
          </w:tcPr>
          <w:p w14:paraId="68725B27" w14:textId="77777777" w:rsidR="003663AF" w:rsidRPr="00B7760C" w:rsidRDefault="003663AF" w:rsidP="00E804B7">
            <w:pPr>
              <w:keepNext/>
            </w:pPr>
          </w:p>
        </w:tc>
      </w:tr>
      <w:tr w:rsidR="003663AF" w:rsidRPr="00B7760C" w14:paraId="1D714A3F" w14:textId="77777777" w:rsidTr="00E804B7">
        <w:trPr>
          <w:jc w:val="center"/>
        </w:trPr>
        <w:tc>
          <w:tcPr>
            <w:tcW w:w="4876" w:type="dxa"/>
            <w:hideMark/>
          </w:tcPr>
          <w:p w14:paraId="0F4FAC75" w14:textId="77777777" w:rsidR="003663AF" w:rsidRPr="00B7760C" w:rsidRDefault="003663AF" w:rsidP="00E804B7">
            <w:pPr>
              <w:pStyle w:val="ColumnHeading"/>
              <w:keepNext/>
            </w:pPr>
            <w:r w:rsidRPr="00B7760C">
              <w:t>Besedilo, ki ga predlaga Komisija</w:t>
            </w:r>
          </w:p>
        </w:tc>
        <w:tc>
          <w:tcPr>
            <w:tcW w:w="4876" w:type="dxa"/>
            <w:hideMark/>
          </w:tcPr>
          <w:p w14:paraId="7E97B7C0" w14:textId="743592D8" w:rsidR="003663AF" w:rsidRPr="00B7760C" w:rsidRDefault="00877691" w:rsidP="00E804B7">
            <w:pPr>
              <w:pStyle w:val="ColumnHeading"/>
              <w:keepNext/>
            </w:pPr>
            <w:r w:rsidRPr="00B7760C">
              <w:t>Sprememba</w:t>
            </w:r>
          </w:p>
        </w:tc>
      </w:tr>
      <w:tr w:rsidR="003663AF" w:rsidRPr="00B7760C" w14:paraId="647B6366" w14:textId="77777777" w:rsidTr="00E804B7">
        <w:trPr>
          <w:jc w:val="center"/>
        </w:trPr>
        <w:tc>
          <w:tcPr>
            <w:tcW w:w="4876" w:type="dxa"/>
            <w:hideMark/>
          </w:tcPr>
          <w:p w14:paraId="1E3A125A" w14:textId="77777777" w:rsidR="003663AF" w:rsidRPr="00B7760C" w:rsidRDefault="003663AF" w:rsidP="00E804B7">
            <w:pPr>
              <w:pStyle w:val="Normal6"/>
            </w:pPr>
            <w:r w:rsidRPr="00B7760C">
              <w:t>5.</w:t>
            </w:r>
            <w:r w:rsidRPr="00B7760C">
              <w:tab/>
              <w:t xml:space="preserve">Poslani podatki se nanašajo na dosežene vrednosti kazalnikov za delno in v celoti izvedene ukrepe. Prav tako se v njih navedejo sinteza stanja izvajanja strateškega načrta SKP, </w:t>
            </w:r>
            <w:r w:rsidRPr="00B7760C">
              <w:rPr>
                <w:b/>
                <w:i/>
              </w:rPr>
              <w:t xml:space="preserve">realiziranega v preteklem proračunskem letu, </w:t>
            </w:r>
            <w:r w:rsidRPr="00B7760C">
              <w:t>kakršna koli vprašanja, ki vplivajo na smotrnost strateškega načrta SKP, zlasti v zvezi z odstopanji od mejnikov, in sicer z razlogi in po potrebi opisom sprejetih ukrepov.</w:t>
            </w:r>
          </w:p>
        </w:tc>
        <w:tc>
          <w:tcPr>
            <w:tcW w:w="4876" w:type="dxa"/>
            <w:hideMark/>
          </w:tcPr>
          <w:p w14:paraId="34DEDAC4" w14:textId="77777777" w:rsidR="003663AF" w:rsidRPr="00B7760C" w:rsidRDefault="003663AF" w:rsidP="00E804B7">
            <w:pPr>
              <w:pStyle w:val="Normal6"/>
              <w:rPr>
                <w:szCs w:val="24"/>
              </w:rPr>
            </w:pPr>
            <w:r w:rsidRPr="00B7760C">
              <w:t>5.</w:t>
            </w:r>
            <w:r w:rsidRPr="00B7760C">
              <w:tab/>
              <w:t>Poslani podatki se nanašajo na dosežene vrednosti kazalnikov za delno in v celoti izvedene ukrepe. Prav tako se v njih navedejo sinteza stanja izvajanja strateškega načrta SKP, kakršna koli vprašanja, ki vplivajo na smotrnost strateškega načrta SKP, zlasti v zvezi z odstopanji od mejnikov, in sicer z razlogi in po potrebi opisom sprejetih ukrepov.</w:t>
            </w:r>
          </w:p>
        </w:tc>
      </w:tr>
    </w:tbl>
    <w:p w14:paraId="6CA123DB" w14:textId="77777777" w:rsidR="003663AF" w:rsidRPr="00B7760C" w:rsidRDefault="003663AF" w:rsidP="003663AF"/>
    <w:p w14:paraId="7CE986A9" w14:textId="464F5770" w:rsidR="003663AF" w:rsidRPr="00B7760C" w:rsidRDefault="00877691" w:rsidP="003663AF">
      <w:pPr>
        <w:pStyle w:val="AMNumberTabs"/>
        <w:keepNext/>
      </w:pPr>
      <w:r w:rsidRPr="00B7760C">
        <w:t>Sprememba</w:t>
      </w:r>
      <w:r w:rsidR="003663AF" w:rsidRPr="00B7760C">
        <w:tab/>
      </w:r>
      <w:r w:rsidR="003663AF" w:rsidRPr="00B7760C">
        <w:tab/>
        <w:t>680</w:t>
      </w:r>
    </w:p>
    <w:p w14:paraId="25DFF636" w14:textId="77777777" w:rsidR="003663AF" w:rsidRPr="00B7760C" w:rsidRDefault="003663AF" w:rsidP="003663AF">
      <w:pPr>
        <w:pStyle w:val="NormalBold12b"/>
      </w:pPr>
      <w:r w:rsidRPr="00B7760C">
        <w:t>Predlog uredbe</w:t>
      </w:r>
    </w:p>
    <w:p w14:paraId="1BF52FFD" w14:textId="77777777" w:rsidR="003663AF" w:rsidRPr="00B7760C" w:rsidRDefault="003663AF" w:rsidP="003663AF">
      <w:pPr>
        <w:pStyle w:val="NormalBold"/>
      </w:pPr>
      <w:r w:rsidRPr="00B7760C">
        <w:t>Člen 121 – odstavek 7</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ADE96AA" w14:textId="77777777" w:rsidTr="00E804B7">
        <w:trPr>
          <w:jc w:val="center"/>
        </w:trPr>
        <w:tc>
          <w:tcPr>
            <w:tcW w:w="9752" w:type="dxa"/>
            <w:gridSpan w:val="2"/>
          </w:tcPr>
          <w:p w14:paraId="283EC37F" w14:textId="77777777" w:rsidR="003663AF" w:rsidRPr="00B7760C" w:rsidRDefault="003663AF" w:rsidP="00E804B7">
            <w:pPr>
              <w:keepNext/>
            </w:pPr>
          </w:p>
        </w:tc>
      </w:tr>
      <w:tr w:rsidR="003663AF" w:rsidRPr="00B7760C" w14:paraId="5490AB9D" w14:textId="77777777" w:rsidTr="00E804B7">
        <w:trPr>
          <w:jc w:val="center"/>
        </w:trPr>
        <w:tc>
          <w:tcPr>
            <w:tcW w:w="4876" w:type="dxa"/>
            <w:hideMark/>
          </w:tcPr>
          <w:p w14:paraId="18469BBA" w14:textId="77777777" w:rsidR="003663AF" w:rsidRPr="00B7760C" w:rsidRDefault="003663AF" w:rsidP="00E804B7">
            <w:pPr>
              <w:pStyle w:val="ColumnHeading"/>
              <w:keepNext/>
            </w:pPr>
            <w:r w:rsidRPr="00B7760C">
              <w:t>Besedilo, ki ga predlaga Komisija</w:t>
            </w:r>
          </w:p>
        </w:tc>
        <w:tc>
          <w:tcPr>
            <w:tcW w:w="4876" w:type="dxa"/>
            <w:hideMark/>
          </w:tcPr>
          <w:p w14:paraId="67D0E93D" w14:textId="6CDA3DF9" w:rsidR="003663AF" w:rsidRPr="00B7760C" w:rsidRDefault="00877691" w:rsidP="00E804B7">
            <w:pPr>
              <w:pStyle w:val="ColumnHeading"/>
              <w:keepNext/>
            </w:pPr>
            <w:r w:rsidRPr="00B7760C">
              <w:t>Sprememba</w:t>
            </w:r>
          </w:p>
        </w:tc>
      </w:tr>
      <w:tr w:rsidR="003663AF" w:rsidRPr="00B7760C" w14:paraId="50A071EB" w14:textId="77777777" w:rsidTr="00E804B7">
        <w:trPr>
          <w:jc w:val="center"/>
        </w:trPr>
        <w:tc>
          <w:tcPr>
            <w:tcW w:w="4876" w:type="dxa"/>
            <w:hideMark/>
          </w:tcPr>
          <w:p w14:paraId="4D1499CD" w14:textId="77777777" w:rsidR="003663AF" w:rsidRPr="00B7760C" w:rsidRDefault="003663AF" w:rsidP="00E804B7">
            <w:pPr>
              <w:pStyle w:val="Normal6"/>
            </w:pPr>
            <w:r w:rsidRPr="00B7760C">
              <w:rPr>
                <w:b/>
                <w:i/>
              </w:rPr>
              <w:t>7.</w:t>
            </w:r>
            <w:r w:rsidRPr="00B7760C">
              <w:rPr>
                <w:b/>
                <w:i/>
              </w:rPr>
              <w:tab/>
              <w:t>Komisija izvede letni pregled smotrnosti in letno potrditev smotrnosti iz člena [52] Uredbe (EU) [HZU] na podlagi informacij iz letnih poročil o smotrnosti.</w:t>
            </w:r>
          </w:p>
        </w:tc>
        <w:tc>
          <w:tcPr>
            <w:tcW w:w="4876" w:type="dxa"/>
            <w:hideMark/>
          </w:tcPr>
          <w:p w14:paraId="2A5D194D" w14:textId="77777777" w:rsidR="003663AF" w:rsidRPr="00B7760C" w:rsidRDefault="003663AF" w:rsidP="00E804B7">
            <w:pPr>
              <w:pStyle w:val="Normal6"/>
              <w:rPr>
                <w:szCs w:val="24"/>
              </w:rPr>
            </w:pPr>
            <w:r w:rsidRPr="00B7760C">
              <w:rPr>
                <w:b/>
                <w:i/>
              </w:rPr>
              <w:t>črtano</w:t>
            </w:r>
          </w:p>
        </w:tc>
      </w:tr>
    </w:tbl>
    <w:p w14:paraId="363F2122" w14:textId="77777777" w:rsidR="003663AF" w:rsidRPr="00B7760C" w:rsidRDefault="003663AF" w:rsidP="003663AF"/>
    <w:p w14:paraId="2EE6EA3F" w14:textId="0B8874F1" w:rsidR="003663AF" w:rsidRPr="00B7760C" w:rsidRDefault="00877691" w:rsidP="003663AF">
      <w:pPr>
        <w:pStyle w:val="AMNumberTabs"/>
        <w:keepNext/>
      </w:pPr>
      <w:r w:rsidRPr="00B7760C">
        <w:t>Sprememba</w:t>
      </w:r>
      <w:r w:rsidR="003663AF" w:rsidRPr="00B7760C">
        <w:tab/>
      </w:r>
      <w:r w:rsidR="003663AF" w:rsidRPr="00B7760C">
        <w:tab/>
        <w:t>681</w:t>
      </w:r>
    </w:p>
    <w:p w14:paraId="6BB54501" w14:textId="77777777" w:rsidR="003663AF" w:rsidRPr="00B7760C" w:rsidRDefault="003663AF" w:rsidP="003663AF">
      <w:pPr>
        <w:pStyle w:val="NormalBold12b"/>
      </w:pPr>
      <w:r w:rsidRPr="00B7760C">
        <w:t>Predlog uredbe</w:t>
      </w:r>
    </w:p>
    <w:p w14:paraId="24253A91" w14:textId="77777777" w:rsidR="003663AF" w:rsidRPr="00B7760C" w:rsidRDefault="003663AF" w:rsidP="003663AF">
      <w:pPr>
        <w:pStyle w:val="NormalBold"/>
      </w:pPr>
      <w:r w:rsidRPr="00B7760C">
        <w:t>Člen 121 – odstavek 8 – pododstavek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645A638" w14:textId="77777777" w:rsidTr="00E804B7">
        <w:trPr>
          <w:jc w:val="center"/>
        </w:trPr>
        <w:tc>
          <w:tcPr>
            <w:tcW w:w="9752" w:type="dxa"/>
            <w:gridSpan w:val="2"/>
          </w:tcPr>
          <w:p w14:paraId="43448240" w14:textId="77777777" w:rsidR="003663AF" w:rsidRPr="00B7760C" w:rsidRDefault="003663AF" w:rsidP="00E804B7">
            <w:pPr>
              <w:keepNext/>
            </w:pPr>
          </w:p>
        </w:tc>
      </w:tr>
      <w:tr w:rsidR="003663AF" w:rsidRPr="00B7760C" w14:paraId="14C82DDF" w14:textId="77777777" w:rsidTr="00E804B7">
        <w:trPr>
          <w:jc w:val="center"/>
        </w:trPr>
        <w:tc>
          <w:tcPr>
            <w:tcW w:w="4876" w:type="dxa"/>
            <w:hideMark/>
          </w:tcPr>
          <w:p w14:paraId="29068B6F" w14:textId="77777777" w:rsidR="003663AF" w:rsidRPr="00B7760C" w:rsidRDefault="003663AF" w:rsidP="00E804B7">
            <w:pPr>
              <w:pStyle w:val="ColumnHeading"/>
              <w:keepNext/>
            </w:pPr>
            <w:r w:rsidRPr="00B7760C">
              <w:t>Besedilo, ki ga predlaga Komisija</w:t>
            </w:r>
          </w:p>
        </w:tc>
        <w:tc>
          <w:tcPr>
            <w:tcW w:w="4876" w:type="dxa"/>
            <w:hideMark/>
          </w:tcPr>
          <w:p w14:paraId="7B1FFA09" w14:textId="0CFB0238" w:rsidR="003663AF" w:rsidRPr="00B7760C" w:rsidRDefault="00877691" w:rsidP="00E804B7">
            <w:pPr>
              <w:pStyle w:val="ColumnHeading"/>
              <w:keepNext/>
            </w:pPr>
            <w:r w:rsidRPr="00B7760C">
              <w:t>Sprememba</w:t>
            </w:r>
          </w:p>
        </w:tc>
      </w:tr>
      <w:tr w:rsidR="003663AF" w:rsidRPr="00B7760C" w14:paraId="78980D57" w14:textId="77777777" w:rsidTr="00E804B7">
        <w:trPr>
          <w:jc w:val="center"/>
        </w:trPr>
        <w:tc>
          <w:tcPr>
            <w:tcW w:w="4876" w:type="dxa"/>
            <w:hideMark/>
          </w:tcPr>
          <w:p w14:paraId="5E948E90" w14:textId="77777777" w:rsidR="003663AF" w:rsidRPr="00B7760C" w:rsidRDefault="003663AF" w:rsidP="00E804B7">
            <w:pPr>
              <w:pStyle w:val="Normal6"/>
            </w:pPr>
            <w:r w:rsidRPr="00B7760C">
              <w:t xml:space="preserve">Komisija </w:t>
            </w:r>
            <w:r w:rsidRPr="00B7760C">
              <w:rPr>
                <w:b/>
                <w:i/>
              </w:rPr>
              <w:t>lahko v enem mesecu od predložitve letnih</w:t>
            </w:r>
            <w:r w:rsidRPr="00B7760C">
              <w:t xml:space="preserve"> poročil o smotrnosti v </w:t>
            </w:r>
            <w:r w:rsidRPr="00B7760C">
              <w:rPr>
                <w:b/>
                <w:i/>
              </w:rPr>
              <w:t>letnem pregledu smotrnosti navede</w:t>
            </w:r>
            <w:r w:rsidRPr="00B7760C">
              <w:t xml:space="preserve"> pripombe </w:t>
            </w:r>
            <w:r w:rsidRPr="00B7760C">
              <w:rPr>
                <w:b/>
                <w:i/>
              </w:rPr>
              <w:t>o teh poročilih</w:t>
            </w:r>
            <w:r w:rsidRPr="00B7760C">
              <w:t>. Kadar Komisija v navedenem roku ne predloži pripomb, se poročila štejejo za sprejeta.</w:t>
            </w:r>
          </w:p>
        </w:tc>
        <w:tc>
          <w:tcPr>
            <w:tcW w:w="4876" w:type="dxa"/>
            <w:hideMark/>
          </w:tcPr>
          <w:p w14:paraId="042E2041" w14:textId="77777777" w:rsidR="003663AF" w:rsidRPr="00B7760C" w:rsidRDefault="003663AF" w:rsidP="00E804B7">
            <w:pPr>
              <w:pStyle w:val="Normal6"/>
              <w:rPr>
                <w:szCs w:val="24"/>
              </w:rPr>
            </w:pPr>
            <w:r w:rsidRPr="00B7760C">
              <w:t xml:space="preserve">Komisija </w:t>
            </w:r>
            <w:r w:rsidRPr="00B7760C">
              <w:rPr>
                <w:b/>
                <w:i/>
              </w:rPr>
              <w:t>izvede pregled smotrnosti na podlagi informacij iz</w:t>
            </w:r>
            <w:r w:rsidRPr="00B7760C">
              <w:t xml:space="preserve"> poročil o smotrnosti </w:t>
            </w:r>
            <w:r w:rsidRPr="00B7760C">
              <w:rPr>
                <w:b/>
                <w:i/>
              </w:rPr>
              <w:t xml:space="preserve">in lahko </w:t>
            </w:r>
            <w:r w:rsidRPr="00B7760C">
              <w:t xml:space="preserve">v </w:t>
            </w:r>
            <w:r w:rsidRPr="00B7760C">
              <w:rPr>
                <w:b/>
                <w:i/>
              </w:rPr>
              <w:t>enem mesecu od njihove predložitve v celoti poda</w:t>
            </w:r>
            <w:r w:rsidRPr="00B7760C">
              <w:t xml:space="preserve"> pripombe </w:t>
            </w:r>
            <w:r w:rsidRPr="00B7760C">
              <w:rPr>
                <w:b/>
                <w:i/>
              </w:rPr>
              <w:t>k tem poročilom</w:t>
            </w:r>
            <w:r w:rsidRPr="00B7760C">
              <w:t>. Kadar Komisija v navedenem roku ne predloži pripomb, se poročila štejejo za sprejeta.</w:t>
            </w:r>
          </w:p>
        </w:tc>
      </w:tr>
    </w:tbl>
    <w:p w14:paraId="7C44B77E" w14:textId="77777777" w:rsidR="003663AF" w:rsidRPr="00B7760C" w:rsidRDefault="003663AF" w:rsidP="003663AF"/>
    <w:p w14:paraId="73404465" w14:textId="1490C875" w:rsidR="003663AF" w:rsidRPr="00B7760C" w:rsidRDefault="00877691" w:rsidP="003663AF">
      <w:pPr>
        <w:pStyle w:val="AMNumberTabs"/>
        <w:keepNext/>
      </w:pPr>
      <w:r w:rsidRPr="00B7760C">
        <w:t>Sprememba</w:t>
      </w:r>
      <w:r w:rsidR="003663AF" w:rsidRPr="00B7760C">
        <w:tab/>
      </w:r>
      <w:r w:rsidR="003663AF" w:rsidRPr="00B7760C">
        <w:tab/>
        <w:t>682</w:t>
      </w:r>
    </w:p>
    <w:p w14:paraId="038CDEFD" w14:textId="77777777" w:rsidR="003663AF" w:rsidRPr="00B7760C" w:rsidRDefault="003663AF" w:rsidP="003663AF">
      <w:pPr>
        <w:pStyle w:val="NormalBold12b"/>
      </w:pPr>
      <w:r w:rsidRPr="00B7760C">
        <w:t>Predlog uredbe</w:t>
      </w:r>
    </w:p>
    <w:p w14:paraId="4E5352F8" w14:textId="77777777" w:rsidR="003663AF" w:rsidRPr="00B7760C" w:rsidRDefault="003663AF" w:rsidP="003663AF">
      <w:pPr>
        <w:pStyle w:val="NormalBold"/>
      </w:pPr>
      <w:r w:rsidRPr="00B7760C">
        <w:t>Člen 121 – odstavek 9</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D0795DD" w14:textId="77777777" w:rsidTr="00E804B7">
        <w:trPr>
          <w:jc w:val="center"/>
        </w:trPr>
        <w:tc>
          <w:tcPr>
            <w:tcW w:w="9752" w:type="dxa"/>
            <w:gridSpan w:val="2"/>
          </w:tcPr>
          <w:p w14:paraId="6DA2E3BC" w14:textId="77777777" w:rsidR="003663AF" w:rsidRPr="00B7760C" w:rsidRDefault="003663AF" w:rsidP="00E804B7">
            <w:pPr>
              <w:keepNext/>
            </w:pPr>
          </w:p>
        </w:tc>
      </w:tr>
      <w:tr w:rsidR="003663AF" w:rsidRPr="00B7760C" w14:paraId="3794D217" w14:textId="77777777" w:rsidTr="00E804B7">
        <w:trPr>
          <w:jc w:val="center"/>
        </w:trPr>
        <w:tc>
          <w:tcPr>
            <w:tcW w:w="4876" w:type="dxa"/>
            <w:hideMark/>
          </w:tcPr>
          <w:p w14:paraId="470D0EC9" w14:textId="77777777" w:rsidR="003663AF" w:rsidRPr="00B7760C" w:rsidRDefault="003663AF" w:rsidP="00E804B7">
            <w:pPr>
              <w:pStyle w:val="ColumnHeading"/>
              <w:keepNext/>
            </w:pPr>
            <w:r w:rsidRPr="00B7760C">
              <w:t>Besedilo, ki ga predlaga Komisija</w:t>
            </w:r>
          </w:p>
        </w:tc>
        <w:tc>
          <w:tcPr>
            <w:tcW w:w="4876" w:type="dxa"/>
            <w:hideMark/>
          </w:tcPr>
          <w:p w14:paraId="5AFD0424" w14:textId="1166E721" w:rsidR="003663AF" w:rsidRPr="00B7760C" w:rsidRDefault="00877691" w:rsidP="00E804B7">
            <w:pPr>
              <w:pStyle w:val="ColumnHeading"/>
              <w:keepNext/>
            </w:pPr>
            <w:r w:rsidRPr="00B7760C">
              <w:t>Sprememba</w:t>
            </w:r>
          </w:p>
        </w:tc>
      </w:tr>
      <w:tr w:rsidR="003663AF" w:rsidRPr="00B7760C" w14:paraId="6F8FA68A" w14:textId="77777777" w:rsidTr="00E804B7">
        <w:trPr>
          <w:jc w:val="center"/>
        </w:trPr>
        <w:tc>
          <w:tcPr>
            <w:tcW w:w="4876" w:type="dxa"/>
            <w:hideMark/>
          </w:tcPr>
          <w:p w14:paraId="634C7D3E" w14:textId="77777777" w:rsidR="003663AF" w:rsidRPr="00B7760C" w:rsidRDefault="003663AF" w:rsidP="00E804B7">
            <w:pPr>
              <w:pStyle w:val="Normal6"/>
            </w:pPr>
            <w:r w:rsidRPr="00B7760C">
              <w:t>9.</w:t>
            </w:r>
            <w:r w:rsidRPr="00B7760C">
              <w:tab/>
              <w:t xml:space="preserve">Kadar sporočena vrednost enega ali več kazalnikov rezultatov razkrije več kot 25-odstoten odmik od posameznega mejnika za zadevno leto poročanja, </w:t>
            </w:r>
            <w:r w:rsidRPr="00B7760C">
              <w:rPr>
                <w:b/>
                <w:i/>
              </w:rPr>
              <w:t>lahko</w:t>
            </w:r>
            <w:r w:rsidRPr="00B7760C">
              <w:t xml:space="preserve"> Komisija od države članice zahteva predložitev akcijskega načrta v skladu s členom 39(1) Uredbe (EU) [HZU], ki opisuje popravne ukrepe in pričakovani časovni okvir.</w:t>
            </w:r>
          </w:p>
        </w:tc>
        <w:tc>
          <w:tcPr>
            <w:tcW w:w="4876" w:type="dxa"/>
            <w:hideMark/>
          </w:tcPr>
          <w:p w14:paraId="086D98E8" w14:textId="77777777" w:rsidR="003663AF" w:rsidRPr="00B7760C" w:rsidRDefault="003663AF" w:rsidP="00E804B7">
            <w:pPr>
              <w:pStyle w:val="Normal6"/>
              <w:rPr>
                <w:szCs w:val="24"/>
              </w:rPr>
            </w:pPr>
            <w:r w:rsidRPr="00B7760C">
              <w:t>9.</w:t>
            </w:r>
            <w:r w:rsidRPr="00B7760C">
              <w:tab/>
              <w:t xml:space="preserve">Kadar sporočena vrednost enega ali več kazalnikov rezultatov razkrije več kot 25-odstoten odmik od posameznega mejnika za zadevno leto poročanja, </w:t>
            </w:r>
            <w:r w:rsidRPr="00B7760C">
              <w:rPr>
                <w:b/>
                <w:i/>
              </w:rPr>
              <w:t xml:space="preserve">država članica predloži utemeljitev te razlike. </w:t>
            </w:r>
            <w:r w:rsidRPr="00B7760C">
              <w:t>Komisija</w:t>
            </w:r>
            <w:r w:rsidRPr="00B7760C">
              <w:rPr>
                <w:b/>
                <w:i/>
              </w:rPr>
              <w:t xml:space="preserve"> lahko po potrebi</w:t>
            </w:r>
            <w:r w:rsidRPr="00B7760C">
              <w:t xml:space="preserve"> od države članice zahteva predložitev akcijskega načrta</w:t>
            </w:r>
            <w:r w:rsidRPr="00B7760C">
              <w:rPr>
                <w:b/>
                <w:i/>
              </w:rPr>
              <w:t>, pripravljenega v posvetovanju s Komisijo</w:t>
            </w:r>
            <w:r w:rsidRPr="00B7760C">
              <w:t xml:space="preserve"> v skladu s členom 39(1) Uredbe (EU) [HZU], ki opisuje popravne ukrepe in pričakovani časovni okvir</w:t>
            </w:r>
            <w:r w:rsidRPr="00B7760C">
              <w:rPr>
                <w:b/>
                <w:i/>
              </w:rPr>
              <w:t xml:space="preserve"> za izvedbo</w:t>
            </w:r>
            <w:r w:rsidRPr="00B7760C">
              <w:t>.</w:t>
            </w:r>
          </w:p>
        </w:tc>
      </w:tr>
    </w:tbl>
    <w:p w14:paraId="74F4E70D" w14:textId="77777777" w:rsidR="003663AF" w:rsidRPr="00B7760C" w:rsidRDefault="003663AF" w:rsidP="003663AF"/>
    <w:p w14:paraId="7250E5B7" w14:textId="33BDA06D" w:rsidR="003663AF" w:rsidRPr="00B7760C" w:rsidRDefault="00877691" w:rsidP="003663AF">
      <w:pPr>
        <w:pStyle w:val="AMNumberTabs"/>
        <w:keepNext/>
      </w:pPr>
      <w:r w:rsidRPr="00B7760C">
        <w:t>Sprememba</w:t>
      </w:r>
      <w:r w:rsidR="003663AF" w:rsidRPr="00B7760C">
        <w:tab/>
      </w:r>
      <w:r w:rsidR="003663AF" w:rsidRPr="00B7760C">
        <w:tab/>
        <w:t>683</w:t>
      </w:r>
    </w:p>
    <w:p w14:paraId="24899166" w14:textId="77777777" w:rsidR="003663AF" w:rsidRPr="00B7760C" w:rsidRDefault="003663AF" w:rsidP="003663AF">
      <w:pPr>
        <w:pStyle w:val="NormalBold12b"/>
      </w:pPr>
      <w:r w:rsidRPr="00B7760C">
        <w:t>Predlog uredbe</w:t>
      </w:r>
    </w:p>
    <w:p w14:paraId="4C9BA988" w14:textId="77777777" w:rsidR="003663AF" w:rsidRPr="00B7760C" w:rsidRDefault="003663AF" w:rsidP="003663AF">
      <w:pPr>
        <w:pStyle w:val="NormalBold"/>
      </w:pPr>
      <w:r w:rsidRPr="00B7760C">
        <w:t>Člen 121 – odstavek 10</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CAE10A9" w14:textId="77777777" w:rsidTr="00E804B7">
        <w:trPr>
          <w:jc w:val="center"/>
        </w:trPr>
        <w:tc>
          <w:tcPr>
            <w:tcW w:w="9752" w:type="dxa"/>
            <w:gridSpan w:val="2"/>
          </w:tcPr>
          <w:p w14:paraId="0AC39815" w14:textId="77777777" w:rsidR="003663AF" w:rsidRPr="00B7760C" w:rsidRDefault="003663AF" w:rsidP="00E804B7">
            <w:pPr>
              <w:keepNext/>
            </w:pPr>
          </w:p>
        </w:tc>
      </w:tr>
      <w:tr w:rsidR="003663AF" w:rsidRPr="00B7760C" w14:paraId="5C67C7E9" w14:textId="77777777" w:rsidTr="00E804B7">
        <w:trPr>
          <w:jc w:val="center"/>
        </w:trPr>
        <w:tc>
          <w:tcPr>
            <w:tcW w:w="4876" w:type="dxa"/>
            <w:hideMark/>
          </w:tcPr>
          <w:p w14:paraId="0CC1CB43" w14:textId="77777777" w:rsidR="003663AF" w:rsidRPr="00B7760C" w:rsidRDefault="003663AF" w:rsidP="00E804B7">
            <w:pPr>
              <w:pStyle w:val="ColumnHeading"/>
              <w:keepNext/>
            </w:pPr>
            <w:r w:rsidRPr="00B7760C">
              <w:t>Besedilo, ki ga predlaga Komisija</w:t>
            </w:r>
          </w:p>
        </w:tc>
        <w:tc>
          <w:tcPr>
            <w:tcW w:w="4876" w:type="dxa"/>
            <w:hideMark/>
          </w:tcPr>
          <w:p w14:paraId="019F6EBC" w14:textId="0CC03B5C" w:rsidR="003663AF" w:rsidRPr="00B7760C" w:rsidRDefault="00877691" w:rsidP="00E804B7">
            <w:pPr>
              <w:pStyle w:val="ColumnHeading"/>
              <w:keepNext/>
            </w:pPr>
            <w:r w:rsidRPr="00B7760C">
              <w:t>Sprememba</w:t>
            </w:r>
          </w:p>
        </w:tc>
      </w:tr>
      <w:tr w:rsidR="003663AF" w:rsidRPr="00B7760C" w14:paraId="5CFAEF2B" w14:textId="77777777" w:rsidTr="00E804B7">
        <w:trPr>
          <w:jc w:val="center"/>
        </w:trPr>
        <w:tc>
          <w:tcPr>
            <w:tcW w:w="4876" w:type="dxa"/>
            <w:hideMark/>
          </w:tcPr>
          <w:p w14:paraId="146D1688" w14:textId="77777777" w:rsidR="003663AF" w:rsidRPr="00B7760C" w:rsidRDefault="003663AF" w:rsidP="00E804B7">
            <w:pPr>
              <w:pStyle w:val="Normal6"/>
            </w:pPr>
            <w:r w:rsidRPr="00B7760C">
              <w:t>10.</w:t>
            </w:r>
            <w:r w:rsidRPr="00B7760C">
              <w:tab/>
            </w:r>
            <w:r w:rsidRPr="00B7760C">
              <w:rPr>
                <w:b/>
                <w:i/>
              </w:rPr>
              <w:t>Letna poročila o smotrnosti ter povzetki njihove vsebine</w:t>
            </w:r>
            <w:r w:rsidRPr="00B7760C">
              <w:t xml:space="preserve"> za državljane se </w:t>
            </w:r>
            <w:r w:rsidRPr="00B7760C">
              <w:rPr>
                <w:b/>
                <w:i/>
              </w:rPr>
              <w:t>dajo</w:t>
            </w:r>
            <w:r w:rsidRPr="00B7760C">
              <w:t xml:space="preserve"> na voljo javnosti.</w:t>
            </w:r>
          </w:p>
        </w:tc>
        <w:tc>
          <w:tcPr>
            <w:tcW w:w="4876" w:type="dxa"/>
            <w:hideMark/>
          </w:tcPr>
          <w:p w14:paraId="38061907" w14:textId="77777777" w:rsidR="003663AF" w:rsidRPr="00B7760C" w:rsidRDefault="003663AF" w:rsidP="00E804B7">
            <w:pPr>
              <w:pStyle w:val="Normal6"/>
              <w:rPr>
                <w:szCs w:val="24"/>
              </w:rPr>
            </w:pPr>
            <w:r w:rsidRPr="00B7760C">
              <w:t>10.</w:t>
            </w:r>
            <w:r w:rsidRPr="00B7760C">
              <w:tab/>
            </w:r>
            <w:r w:rsidRPr="00B7760C">
              <w:rPr>
                <w:b/>
                <w:i/>
              </w:rPr>
              <w:t>Povzetek vsebine poročil o smotrnosti se pripravi</w:t>
            </w:r>
            <w:r w:rsidRPr="00B7760C">
              <w:t xml:space="preserve"> za državljane</w:t>
            </w:r>
            <w:r w:rsidRPr="00B7760C">
              <w:rPr>
                <w:b/>
                <w:i/>
              </w:rPr>
              <w:t xml:space="preserve"> in</w:t>
            </w:r>
            <w:r w:rsidRPr="00B7760C">
              <w:t xml:space="preserve"> se </w:t>
            </w:r>
            <w:r w:rsidRPr="00B7760C">
              <w:rPr>
                <w:b/>
                <w:i/>
              </w:rPr>
              <w:t>da</w:t>
            </w:r>
            <w:r w:rsidRPr="00B7760C">
              <w:t xml:space="preserve"> na voljo javnosti.</w:t>
            </w:r>
          </w:p>
        </w:tc>
      </w:tr>
    </w:tbl>
    <w:p w14:paraId="21B6255B" w14:textId="77777777" w:rsidR="003663AF" w:rsidRPr="00B7760C" w:rsidRDefault="003663AF" w:rsidP="003663AF"/>
    <w:p w14:paraId="63C3DAA4" w14:textId="45B1F005" w:rsidR="003663AF" w:rsidRPr="00B7760C" w:rsidRDefault="00877691" w:rsidP="003663AF">
      <w:pPr>
        <w:pStyle w:val="AMNumberTabs"/>
        <w:keepNext/>
      </w:pPr>
      <w:r w:rsidRPr="00B7760C">
        <w:t>Sprememba</w:t>
      </w:r>
      <w:r w:rsidR="003663AF" w:rsidRPr="00B7760C">
        <w:tab/>
      </w:r>
      <w:r w:rsidR="003663AF" w:rsidRPr="00B7760C">
        <w:tab/>
        <w:t>684</w:t>
      </w:r>
    </w:p>
    <w:p w14:paraId="6BA7A376" w14:textId="77777777" w:rsidR="003663AF" w:rsidRPr="00B7760C" w:rsidRDefault="003663AF" w:rsidP="003663AF">
      <w:pPr>
        <w:pStyle w:val="NormalBold12b"/>
      </w:pPr>
      <w:r w:rsidRPr="00B7760C">
        <w:t>Predlog uredbe</w:t>
      </w:r>
    </w:p>
    <w:p w14:paraId="1936D690" w14:textId="77777777" w:rsidR="003663AF" w:rsidRPr="00B7760C" w:rsidRDefault="003663AF" w:rsidP="003663AF">
      <w:pPr>
        <w:pStyle w:val="NormalBold"/>
      </w:pPr>
      <w:r w:rsidRPr="00B7760C">
        <w:t>Člen 121 – odstavek 11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048DBA5" w14:textId="77777777" w:rsidTr="00E804B7">
        <w:trPr>
          <w:jc w:val="center"/>
        </w:trPr>
        <w:tc>
          <w:tcPr>
            <w:tcW w:w="9752" w:type="dxa"/>
            <w:gridSpan w:val="2"/>
          </w:tcPr>
          <w:p w14:paraId="67D20CFB" w14:textId="77777777" w:rsidR="003663AF" w:rsidRPr="00B7760C" w:rsidRDefault="003663AF" w:rsidP="00E804B7">
            <w:pPr>
              <w:keepNext/>
            </w:pPr>
          </w:p>
        </w:tc>
      </w:tr>
      <w:tr w:rsidR="003663AF" w:rsidRPr="00B7760C" w14:paraId="6DB02068" w14:textId="77777777" w:rsidTr="00E804B7">
        <w:trPr>
          <w:jc w:val="center"/>
        </w:trPr>
        <w:tc>
          <w:tcPr>
            <w:tcW w:w="4876" w:type="dxa"/>
            <w:hideMark/>
          </w:tcPr>
          <w:p w14:paraId="061EEFFC" w14:textId="77777777" w:rsidR="003663AF" w:rsidRPr="00B7760C" w:rsidRDefault="003663AF" w:rsidP="00E804B7">
            <w:pPr>
              <w:pStyle w:val="ColumnHeading"/>
              <w:keepNext/>
            </w:pPr>
            <w:r w:rsidRPr="00B7760C">
              <w:t>Besedilo, ki ga predlaga Komisija</w:t>
            </w:r>
          </w:p>
        </w:tc>
        <w:tc>
          <w:tcPr>
            <w:tcW w:w="4876" w:type="dxa"/>
            <w:hideMark/>
          </w:tcPr>
          <w:p w14:paraId="6BE93C03" w14:textId="5651C11D" w:rsidR="003663AF" w:rsidRPr="00B7760C" w:rsidRDefault="00877691" w:rsidP="00E804B7">
            <w:pPr>
              <w:pStyle w:val="ColumnHeading"/>
              <w:keepNext/>
            </w:pPr>
            <w:r w:rsidRPr="00B7760C">
              <w:t>Sprememba</w:t>
            </w:r>
          </w:p>
        </w:tc>
      </w:tr>
      <w:tr w:rsidR="003663AF" w:rsidRPr="00B7760C" w14:paraId="03B45BB0" w14:textId="77777777" w:rsidTr="00E804B7">
        <w:trPr>
          <w:jc w:val="center"/>
        </w:trPr>
        <w:tc>
          <w:tcPr>
            <w:tcW w:w="4876" w:type="dxa"/>
            <w:hideMark/>
          </w:tcPr>
          <w:p w14:paraId="18D81D43" w14:textId="77777777" w:rsidR="003663AF" w:rsidRPr="00B7760C" w:rsidRDefault="003663AF" w:rsidP="00E804B7">
            <w:pPr>
              <w:pStyle w:val="Normal6"/>
            </w:pPr>
            <w:r w:rsidRPr="00B7760C">
              <w:t>11.</w:t>
            </w:r>
            <w:r w:rsidRPr="00B7760C">
              <w:tab/>
              <w:t xml:space="preserve">Komisija sprejme izvedbene akte, s katerimi določi pravila za predstavitev vsebine </w:t>
            </w:r>
            <w:r w:rsidRPr="00B7760C">
              <w:rPr>
                <w:b/>
                <w:i/>
              </w:rPr>
              <w:t xml:space="preserve">letnega </w:t>
            </w:r>
            <w:r w:rsidRPr="00B7760C">
              <w:t>poročila o smotrnosti. Ti izvedbeni akti se sprejmejo v skladu s postopkom pregleda iz člena 139(2).</w:t>
            </w:r>
          </w:p>
        </w:tc>
        <w:tc>
          <w:tcPr>
            <w:tcW w:w="4876" w:type="dxa"/>
            <w:hideMark/>
          </w:tcPr>
          <w:p w14:paraId="35E740F9" w14:textId="77777777" w:rsidR="003663AF" w:rsidRPr="00B7760C" w:rsidRDefault="003663AF" w:rsidP="00E804B7">
            <w:pPr>
              <w:pStyle w:val="Normal6"/>
              <w:rPr>
                <w:szCs w:val="24"/>
              </w:rPr>
            </w:pPr>
            <w:r w:rsidRPr="00B7760C">
              <w:t>11.</w:t>
            </w:r>
            <w:r w:rsidRPr="00B7760C">
              <w:tab/>
              <w:t>Komisija sprejme izvedbene akte, s katerimi določi pravila za predstavitev vsebine poročila o smotrnosti. Ti izvedbeni akti se sprejmejo v skladu s postopkom pregleda iz člena 139(2).</w:t>
            </w:r>
          </w:p>
        </w:tc>
      </w:tr>
    </w:tbl>
    <w:p w14:paraId="392E3080" w14:textId="77777777" w:rsidR="003663AF" w:rsidRPr="00B7760C" w:rsidRDefault="003663AF" w:rsidP="003663AF"/>
    <w:p w14:paraId="3C0775DE" w14:textId="196A5273" w:rsidR="003663AF" w:rsidRPr="00B7760C" w:rsidRDefault="00877691" w:rsidP="003663AF">
      <w:pPr>
        <w:pStyle w:val="AMNumberTabs"/>
        <w:keepNext/>
      </w:pPr>
      <w:r w:rsidRPr="00B7760C">
        <w:t>Sprememba</w:t>
      </w:r>
      <w:r w:rsidR="003663AF" w:rsidRPr="00B7760C">
        <w:tab/>
      </w:r>
      <w:r w:rsidR="003663AF" w:rsidRPr="00B7760C">
        <w:tab/>
        <w:t>685</w:t>
      </w:r>
    </w:p>
    <w:p w14:paraId="0541978D" w14:textId="77777777" w:rsidR="003663AF" w:rsidRPr="00B7760C" w:rsidRDefault="003663AF" w:rsidP="003663AF">
      <w:pPr>
        <w:pStyle w:val="NormalBold12b"/>
      </w:pPr>
      <w:r w:rsidRPr="00B7760C">
        <w:t>Predlog uredbe</w:t>
      </w:r>
    </w:p>
    <w:p w14:paraId="405F9DCA" w14:textId="77777777" w:rsidR="003663AF" w:rsidRPr="00B7760C" w:rsidRDefault="003663AF" w:rsidP="003663AF">
      <w:pPr>
        <w:pStyle w:val="NormalBold"/>
      </w:pPr>
      <w:r w:rsidRPr="00B7760C">
        <w:t>Člen 122 – naslov</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77CCB8D" w14:textId="77777777" w:rsidTr="00E804B7">
        <w:trPr>
          <w:jc w:val="center"/>
        </w:trPr>
        <w:tc>
          <w:tcPr>
            <w:tcW w:w="9752" w:type="dxa"/>
            <w:gridSpan w:val="2"/>
          </w:tcPr>
          <w:p w14:paraId="2F35369C" w14:textId="77777777" w:rsidR="003663AF" w:rsidRPr="00B7760C" w:rsidRDefault="003663AF" w:rsidP="00E804B7">
            <w:pPr>
              <w:keepNext/>
            </w:pPr>
          </w:p>
        </w:tc>
      </w:tr>
      <w:tr w:rsidR="003663AF" w:rsidRPr="00B7760C" w14:paraId="022A9B16" w14:textId="77777777" w:rsidTr="00E804B7">
        <w:trPr>
          <w:jc w:val="center"/>
        </w:trPr>
        <w:tc>
          <w:tcPr>
            <w:tcW w:w="4876" w:type="dxa"/>
            <w:hideMark/>
          </w:tcPr>
          <w:p w14:paraId="7999A1A2" w14:textId="77777777" w:rsidR="003663AF" w:rsidRPr="00B7760C" w:rsidRDefault="003663AF" w:rsidP="00E804B7">
            <w:pPr>
              <w:pStyle w:val="ColumnHeading"/>
              <w:keepNext/>
            </w:pPr>
            <w:r w:rsidRPr="00B7760C">
              <w:t>Besedilo, ki ga predlaga Komisija</w:t>
            </w:r>
          </w:p>
        </w:tc>
        <w:tc>
          <w:tcPr>
            <w:tcW w:w="4876" w:type="dxa"/>
            <w:hideMark/>
          </w:tcPr>
          <w:p w14:paraId="15DAB3A6" w14:textId="1EE9C23F" w:rsidR="003663AF" w:rsidRPr="00B7760C" w:rsidRDefault="00877691" w:rsidP="00E804B7">
            <w:pPr>
              <w:pStyle w:val="ColumnHeading"/>
              <w:keepNext/>
            </w:pPr>
            <w:r w:rsidRPr="00B7760C">
              <w:t>Sprememba</w:t>
            </w:r>
          </w:p>
        </w:tc>
      </w:tr>
      <w:tr w:rsidR="003663AF" w:rsidRPr="00B7760C" w14:paraId="29F7D952" w14:textId="77777777" w:rsidTr="00E804B7">
        <w:trPr>
          <w:jc w:val="center"/>
        </w:trPr>
        <w:tc>
          <w:tcPr>
            <w:tcW w:w="4876" w:type="dxa"/>
            <w:hideMark/>
          </w:tcPr>
          <w:p w14:paraId="378C3BD0" w14:textId="77777777" w:rsidR="003663AF" w:rsidRPr="00B7760C" w:rsidRDefault="003663AF" w:rsidP="00E804B7">
            <w:pPr>
              <w:pStyle w:val="Normal6"/>
            </w:pPr>
            <w:r w:rsidRPr="00B7760C">
              <w:rPr>
                <w:b/>
                <w:i/>
              </w:rPr>
              <w:t xml:space="preserve">Letne </w:t>
            </w:r>
            <w:r w:rsidRPr="00B7760C">
              <w:t>pregledovalne seje</w:t>
            </w:r>
          </w:p>
        </w:tc>
        <w:tc>
          <w:tcPr>
            <w:tcW w:w="4876" w:type="dxa"/>
            <w:hideMark/>
          </w:tcPr>
          <w:p w14:paraId="19DF6379" w14:textId="77777777" w:rsidR="003663AF" w:rsidRPr="00B7760C" w:rsidRDefault="003663AF" w:rsidP="00E804B7">
            <w:pPr>
              <w:pStyle w:val="Normal6"/>
              <w:rPr>
                <w:szCs w:val="24"/>
              </w:rPr>
            </w:pPr>
            <w:r w:rsidRPr="00B7760C">
              <w:t>Pregledovalne seje</w:t>
            </w:r>
          </w:p>
        </w:tc>
      </w:tr>
    </w:tbl>
    <w:p w14:paraId="2458F9C1" w14:textId="77777777" w:rsidR="003663AF" w:rsidRPr="00B7760C" w:rsidRDefault="003663AF" w:rsidP="003663AF"/>
    <w:p w14:paraId="04722839" w14:textId="08CDB4C5" w:rsidR="003663AF" w:rsidRPr="00B7760C" w:rsidRDefault="00877691" w:rsidP="003663AF">
      <w:pPr>
        <w:pStyle w:val="AMNumberTabs"/>
        <w:keepNext/>
      </w:pPr>
      <w:r w:rsidRPr="00B7760C">
        <w:t>Sprememba</w:t>
      </w:r>
      <w:r w:rsidR="003663AF" w:rsidRPr="00B7760C">
        <w:tab/>
      </w:r>
      <w:r w:rsidR="003663AF" w:rsidRPr="00B7760C">
        <w:tab/>
        <w:t>686</w:t>
      </w:r>
    </w:p>
    <w:p w14:paraId="2A7DD4A5" w14:textId="77777777" w:rsidR="003663AF" w:rsidRPr="00B7760C" w:rsidRDefault="003663AF" w:rsidP="003663AF">
      <w:pPr>
        <w:pStyle w:val="NormalBold12b"/>
      </w:pPr>
      <w:r w:rsidRPr="00B7760C">
        <w:t>Predlog uredbe</w:t>
      </w:r>
    </w:p>
    <w:p w14:paraId="385391C9" w14:textId="77777777" w:rsidR="003663AF" w:rsidRPr="00B7760C" w:rsidRDefault="003663AF" w:rsidP="003663AF">
      <w:pPr>
        <w:pStyle w:val="NormalBold"/>
      </w:pPr>
      <w:r w:rsidRPr="00B7760C">
        <w:t>Člen 122 – 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6BC49A6" w14:textId="77777777" w:rsidTr="00E804B7">
        <w:trPr>
          <w:jc w:val="center"/>
        </w:trPr>
        <w:tc>
          <w:tcPr>
            <w:tcW w:w="9752" w:type="dxa"/>
            <w:gridSpan w:val="2"/>
          </w:tcPr>
          <w:p w14:paraId="790CAFAC" w14:textId="77777777" w:rsidR="003663AF" w:rsidRPr="00B7760C" w:rsidRDefault="003663AF" w:rsidP="00E804B7">
            <w:pPr>
              <w:keepNext/>
            </w:pPr>
          </w:p>
        </w:tc>
      </w:tr>
      <w:tr w:rsidR="003663AF" w:rsidRPr="00B7760C" w14:paraId="267ABA69" w14:textId="77777777" w:rsidTr="00E804B7">
        <w:trPr>
          <w:jc w:val="center"/>
        </w:trPr>
        <w:tc>
          <w:tcPr>
            <w:tcW w:w="4876" w:type="dxa"/>
            <w:hideMark/>
          </w:tcPr>
          <w:p w14:paraId="3062625C" w14:textId="77777777" w:rsidR="003663AF" w:rsidRPr="00B7760C" w:rsidRDefault="003663AF" w:rsidP="00E804B7">
            <w:pPr>
              <w:pStyle w:val="ColumnHeading"/>
              <w:keepNext/>
            </w:pPr>
            <w:r w:rsidRPr="00B7760C">
              <w:t>Besedilo, ki ga predlaga Komisija</w:t>
            </w:r>
          </w:p>
        </w:tc>
        <w:tc>
          <w:tcPr>
            <w:tcW w:w="4876" w:type="dxa"/>
            <w:hideMark/>
          </w:tcPr>
          <w:p w14:paraId="49644368" w14:textId="569CA0CA" w:rsidR="003663AF" w:rsidRPr="00B7760C" w:rsidRDefault="00877691" w:rsidP="00E804B7">
            <w:pPr>
              <w:pStyle w:val="ColumnHeading"/>
              <w:keepNext/>
            </w:pPr>
            <w:r w:rsidRPr="00B7760C">
              <w:t>Sprememba</w:t>
            </w:r>
          </w:p>
        </w:tc>
      </w:tr>
      <w:tr w:rsidR="003663AF" w:rsidRPr="00B7760C" w14:paraId="113543A8" w14:textId="77777777" w:rsidTr="00E804B7">
        <w:trPr>
          <w:jc w:val="center"/>
        </w:trPr>
        <w:tc>
          <w:tcPr>
            <w:tcW w:w="4876" w:type="dxa"/>
            <w:hideMark/>
          </w:tcPr>
          <w:p w14:paraId="4D4E0883" w14:textId="77777777" w:rsidR="003663AF" w:rsidRPr="00B7760C" w:rsidRDefault="003663AF" w:rsidP="00E804B7">
            <w:pPr>
              <w:pStyle w:val="Normal6"/>
            </w:pPr>
            <w:r w:rsidRPr="00B7760C">
              <w:t>1.</w:t>
            </w:r>
            <w:r w:rsidRPr="00B7760C">
              <w:tab/>
              <w:t xml:space="preserve">Države članice vsako leto organizirajo </w:t>
            </w:r>
            <w:r w:rsidRPr="00B7760C">
              <w:rPr>
                <w:b/>
                <w:i/>
              </w:rPr>
              <w:t xml:space="preserve">letno </w:t>
            </w:r>
            <w:r w:rsidRPr="00B7760C">
              <w:t>pregledovalno sejo s Komisijo, in sicer seji predsedujejo skupaj ali ji predseduje Komisija, poteka pa najprej dva meseca po predložitvi</w:t>
            </w:r>
            <w:r w:rsidRPr="00B7760C">
              <w:rPr>
                <w:b/>
                <w:i/>
              </w:rPr>
              <w:t xml:space="preserve"> letnega</w:t>
            </w:r>
            <w:r w:rsidRPr="00B7760C">
              <w:t xml:space="preserve"> poročila o smotrnosti.</w:t>
            </w:r>
          </w:p>
        </w:tc>
        <w:tc>
          <w:tcPr>
            <w:tcW w:w="4876" w:type="dxa"/>
            <w:hideMark/>
          </w:tcPr>
          <w:p w14:paraId="45A97689" w14:textId="77777777" w:rsidR="003663AF" w:rsidRPr="00B7760C" w:rsidRDefault="003663AF" w:rsidP="00E804B7">
            <w:pPr>
              <w:pStyle w:val="Normal6"/>
              <w:rPr>
                <w:szCs w:val="24"/>
              </w:rPr>
            </w:pPr>
            <w:r w:rsidRPr="00B7760C">
              <w:t>1.</w:t>
            </w:r>
            <w:r w:rsidRPr="00B7760C">
              <w:tab/>
              <w:t>Države članice vsako leto organizirajo pregledovalno sejo s Komisijo, in sicer seji predsedujejo skupaj ali ji predseduje Komisija, poteka pa najprej dva meseca po predložitvi poročila o smotrnosti.</w:t>
            </w:r>
          </w:p>
        </w:tc>
      </w:tr>
    </w:tbl>
    <w:p w14:paraId="43714E5C" w14:textId="77777777" w:rsidR="003663AF" w:rsidRPr="00B7760C" w:rsidRDefault="003663AF" w:rsidP="003663AF"/>
    <w:p w14:paraId="6CD80074" w14:textId="51D13A33" w:rsidR="003663AF" w:rsidRPr="00B7760C" w:rsidRDefault="00877691" w:rsidP="003663AF">
      <w:pPr>
        <w:pStyle w:val="AMNumberTabs"/>
        <w:keepNext/>
      </w:pPr>
      <w:r w:rsidRPr="00B7760C">
        <w:t>Sprememba</w:t>
      </w:r>
      <w:r w:rsidR="003663AF" w:rsidRPr="00B7760C">
        <w:tab/>
      </w:r>
      <w:r w:rsidR="003663AF" w:rsidRPr="00B7760C">
        <w:tab/>
        <w:t>687</w:t>
      </w:r>
    </w:p>
    <w:p w14:paraId="35964499" w14:textId="77777777" w:rsidR="003663AF" w:rsidRPr="00B7760C" w:rsidRDefault="003663AF" w:rsidP="003663AF">
      <w:pPr>
        <w:pStyle w:val="NormalBold12b"/>
      </w:pPr>
      <w:r w:rsidRPr="00B7760C">
        <w:t>Predlog uredbe</w:t>
      </w:r>
    </w:p>
    <w:p w14:paraId="60D26F22" w14:textId="77777777" w:rsidR="003663AF" w:rsidRPr="00B7760C" w:rsidRDefault="003663AF" w:rsidP="003663AF">
      <w:pPr>
        <w:pStyle w:val="NormalBold"/>
      </w:pPr>
      <w:r w:rsidRPr="00B7760C">
        <w:t>Člen 122 – odstavek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CAE5A9A" w14:textId="77777777" w:rsidTr="00E804B7">
        <w:trPr>
          <w:jc w:val="center"/>
        </w:trPr>
        <w:tc>
          <w:tcPr>
            <w:tcW w:w="9752" w:type="dxa"/>
            <w:gridSpan w:val="2"/>
          </w:tcPr>
          <w:p w14:paraId="03FE451F" w14:textId="77777777" w:rsidR="003663AF" w:rsidRPr="00B7760C" w:rsidRDefault="003663AF" w:rsidP="00E804B7">
            <w:pPr>
              <w:keepNext/>
            </w:pPr>
          </w:p>
        </w:tc>
      </w:tr>
      <w:tr w:rsidR="003663AF" w:rsidRPr="00B7760C" w14:paraId="00C0AB56" w14:textId="77777777" w:rsidTr="00E804B7">
        <w:trPr>
          <w:jc w:val="center"/>
        </w:trPr>
        <w:tc>
          <w:tcPr>
            <w:tcW w:w="4876" w:type="dxa"/>
            <w:hideMark/>
          </w:tcPr>
          <w:p w14:paraId="57D6A374" w14:textId="77777777" w:rsidR="003663AF" w:rsidRPr="00B7760C" w:rsidRDefault="003663AF" w:rsidP="00E804B7">
            <w:pPr>
              <w:pStyle w:val="ColumnHeading"/>
              <w:keepNext/>
            </w:pPr>
            <w:r w:rsidRPr="00B7760C">
              <w:t>Besedilo, ki ga predlaga Komisija</w:t>
            </w:r>
          </w:p>
        </w:tc>
        <w:tc>
          <w:tcPr>
            <w:tcW w:w="4876" w:type="dxa"/>
            <w:hideMark/>
          </w:tcPr>
          <w:p w14:paraId="60498D5A" w14:textId="62B2A80B" w:rsidR="003663AF" w:rsidRPr="00B7760C" w:rsidRDefault="00877691" w:rsidP="00E804B7">
            <w:pPr>
              <w:pStyle w:val="ColumnHeading"/>
              <w:keepNext/>
            </w:pPr>
            <w:r w:rsidRPr="00B7760C">
              <w:t>Sprememba</w:t>
            </w:r>
          </w:p>
        </w:tc>
      </w:tr>
      <w:tr w:rsidR="003663AF" w:rsidRPr="00B7760C" w14:paraId="4B96580A" w14:textId="77777777" w:rsidTr="00E804B7">
        <w:trPr>
          <w:jc w:val="center"/>
        </w:trPr>
        <w:tc>
          <w:tcPr>
            <w:tcW w:w="4876" w:type="dxa"/>
            <w:hideMark/>
          </w:tcPr>
          <w:p w14:paraId="7A79BC75" w14:textId="77777777" w:rsidR="003663AF" w:rsidRPr="00B7760C" w:rsidRDefault="003663AF" w:rsidP="00E804B7">
            <w:pPr>
              <w:pStyle w:val="Normal6"/>
            </w:pPr>
            <w:r w:rsidRPr="00B7760C">
              <w:t>2.</w:t>
            </w:r>
            <w:r w:rsidRPr="00B7760C">
              <w:tab/>
              <w:t xml:space="preserve">Namen </w:t>
            </w:r>
            <w:r w:rsidRPr="00B7760C">
              <w:rPr>
                <w:b/>
                <w:i/>
              </w:rPr>
              <w:t xml:space="preserve">letne </w:t>
            </w:r>
            <w:r w:rsidRPr="00B7760C">
              <w:t>pregledovalne seje je proučitev smotrnosti posameznega načrta, vključno z napredkom pri doseganju zastavljenih ciljnih vrednosti, morebitnimi vprašanji, ki vplivajo na smotrnost, ter preteklimi in prihodnjimi ukrepi, ki jih je treba sprejeti za njihovo obravnavanje.</w:t>
            </w:r>
          </w:p>
        </w:tc>
        <w:tc>
          <w:tcPr>
            <w:tcW w:w="4876" w:type="dxa"/>
            <w:hideMark/>
          </w:tcPr>
          <w:p w14:paraId="2B3FD9E1" w14:textId="77777777" w:rsidR="003663AF" w:rsidRPr="00B7760C" w:rsidRDefault="003663AF" w:rsidP="00E804B7">
            <w:pPr>
              <w:pStyle w:val="Normal6"/>
              <w:rPr>
                <w:szCs w:val="24"/>
              </w:rPr>
            </w:pPr>
            <w:r w:rsidRPr="00B7760C">
              <w:t>2.</w:t>
            </w:r>
            <w:r w:rsidRPr="00B7760C">
              <w:tab/>
              <w:t xml:space="preserve">Namen pregledovalne seje je proučitev smotrnosti posameznega načrta, vključno z napredkom pri doseganju zastavljenih ciljnih vrednosti, morebitnimi vprašanji, ki vplivajo na smotrnost, ter preteklimi in prihodnjimi ukrepi, ki jih je treba sprejeti za njihovo obravnavanje. </w:t>
            </w:r>
            <w:r w:rsidRPr="00B7760C">
              <w:rPr>
                <w:b/>
                <w:i/>
              </w:rPr>
              <w:t>Te seje se po potrebi uporabijo za preučitev učinka.</w:t>
            </w:r>
          </w:p>
        </w:tc>
      </w:tr>
    </w:tbl>
    <w:p w14:paraId="61BC6686" w14:textId="77777777" w:rsidR="003663AF" w:rsidRPr="00B7760C" w:rsidRDefault="003663AF" w:rsidP="003663AF"/>
    <w:p w14:paraId="13B61C4B" w14:textId="7AE58EF3" w:rsidR="003663AF" w:rsidRPr="00B7760C" w:rsidRDefault="00877691" w:rsidP="003663AF">
      <w:pPr>
        <w:pStyle w:val="AMNumberTabs"/>
        <w:keepNext/>
      </w:pPr>
      <w:r w:rsidRPr="00B7760C">
        <w:t>Sprememba</w:t>
      </w:r>
      <w:r w:rsidR="003663AF" w:rsidRPr="00B7760C">
        <w:tab/>
      </w:r>
      <w:r w:rsidR="003663AF" w:rsidRPr="00B7760C">
        <w:tab/>
        <w:t>688</w:t>
      </w:r>
    </w:p>
    <w:p w14:paraId="4C681527" w14:textId="77777777" w:rsidR="003663AF" w:rsidRPr="00B7760C" w:rsidRDefault="003663AF" w:rsidP="003663AF">
      <w:pPr>
        <w:pStyle w:val="NormalBold12b"/>
      </w:pPr>
      <w:r w:rsidRPr="00B7760C">
        <w:t>Predlog uredbe</w:t>
      </w:r>
    </w:p>
    <w:p w14:paraId="500063F1" w14:textId="77777777" w:rsidR="003663AF" w:rsidRPr="00B7760C" w:rsidRDefault="003663AF" w:rsidP="003663AF">
      <w:pPr>
        <w:pStyle w:val="NormalBold"/>
      </w:pPr>
      <w:r w:rsidRPr="00B7760C">
        <w:t>Člen 123</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605AEBC" w14:textId="77777777" w:rsidTr="00E804B7">
        <w:trPr>
          <w:jc w:val="center"/>
        </w:trPr>
        <w:tc>
          <w:tcPr>
            <w:tcW w:w="9752" w:type="dxa"/>
            <w:gridSpan w:val="2"/>
          </w:tcPr>
          <w:p w14:paraId="3A06E82C" w14:textId="77777777" w:rsidR="003663AF" w:rsidRPr="00B7760C" w:rsidRDefault="003663AF" w:rsidP="00E804B7">
            <w:pPr>
              <w:keepNext/>
            </w:pPr>
          </w:p>
        </w:tc>
      </w:tr>
      <w:tr w:rsidR="003663AF" w:rsidRPr="00B7760C" w14:paraId="024156B7" w14:textId="77777777" w:rsidTr="00E804B7">
        <w:trPr>
          <w:jc w:val="center"/>
        </w:trPr>
        <w:tc>
          <w:tcPr>
            <w:tcW w:w="4876" w:type="dxa"/>
            <w:hideMark/>
          </w:tcPr>
          <w:p w14:paraId="130D3878" w14:textId="77777777" w:rsidR="003663AF" w:rsidRPr="00B7760C" w:rsidRDefault="003663AF" w:rsidP="00E804B7">
            <w:pPr>
              <w:pStyle w:val="ColumnHeading"/>
              <w:keepNext/>
            </w:pPr>
            <w:r w:rsidRPr="00B7760C">
              <w:t>Besedilo, ki ga predlaga Komisija</w:t>
            </w:r>
          </w:p>
        </w:tc>
        <w:tc>
          <w:tcPr>
            <w:tcW w:w="4876" w:type="dxa"/>
            <w:hideMark/>
          </w:tcPr>
          <w:p w14:paraId="7D3C02B8" w14:textId="53AA0221" w:rsidR="003663AF" w:rsidRPr="00B7760C" w:rsidRDefault="00877691" w:rsidP="00E804B7">
            <w:pPr>
              <w:pStyle w:val="ColumnHeading"/>
              <w:keepNext/>
            </w:pPr>
            <w:r w:rsidRPr="00B7760C">
              <w:t>Sprememba</w:t>
            </w:r>
          </w:p>
        </w:tc>
      </w:tr>
      <w:tr w:rsidR="003663AF" w:rsidRPr="00B7760C" w14:paraId="1FFD9DFF" w14:textId="77777777" w:rsidTr="00E804B7">
        <w:trPr>
          <w:jc w:val="center"/>
        </w:trPr>
        <w:tc>
          <w:tcPr>
            <w:tcW w:w="4876" w:type="dxa"/>
            <w:hideMark/>
          </w:tcPr>
          <w:p w14:paraId="1FA8665A" w14:textId="77777777" w:rsidR="003663AF" w:rsidRPr="00B7760C" w:rsidRDefault="003663AF" w:rsidP="00E804B7">
            <w:pPr>
              <w:pStyle w:val="Normal6"/>
              <w:jc w:val="center"/>
            </w:pPr>
            <w:r w:rsidRPr="00B7760C">
              <w:rPr>
                <w:b/>
                <w:i/>
              </w:rPr>
              <w:t>Člen 123</w:t>
            </w:r>
          </w:p>
        </w:tc>
        <w:tc>
          <w:tcPr>
            <w:tcW w:w="4876" w:type="dxa"/>
            <w:hideMark/>
          </w:tcPr>
          <w:p w14:paraId="1A6B4332" w14:textId="77777777" w:rsidR="003663AF" w:rsidRPr="00B7760C" w:rsidRDefault="003663AF" w:rsidP="00E804B7">
            <w:pPr>
              <w:pStyle w:val="Normal6"/>
              <w:rPr>
                <w:szCs w:val="24"/>
              </w:rPr>
            </w:pPr>
            <w:r w:rsidRPr="00B7760C">
              <w:rPr>
                <w:b/>
                <w:i/>
              </w:rPr>
              <w:t>črtano</w:t>
            </w:r>
          </w:p>
        </w:tc>
      </w:tr>
      <w:tr w:rsidR="003663AF" w:rsidRPr="00B7760C" w14:paraId="04025098" w14:textId="77777777" w:rsidTr="00E804B7">
        <w:trPr>
          <w:jc w:val="center"/>
        </w:trPr>
        <w:tc>
          <w:tcPr>
            <w:tcW w:w="4876" w:type="dxa"/>
            <w:hideMark/>
          </w:tcPr>
          <w:p w14:paraId="5FA30864" w14:textId="77777777" w:rsidR="003663AF" w:rsidRPr="00B7760C" w:rsidRDefault="003663AF" w:rsidP="00E804B7">
            <w:pPr>
              <w:pStyle w:val="Normal6"/>
              <w:jc w:val="center"/>
            </w:pPr>
            <w:r w:rsidRPr="00B7760C">
              <w:rPr>
                <w:b/>
                <w:i/>
              </w:rPr>
              <w:t>Dodatek za uspešnost</w:t>
            </w:r>
          </w:p>
        </w:tc>
        <w:tc>
          <w:tcPr>
            <w:tcW w:w="4876" w:type="dxa"/>
          </w:tcPr>
          <w:p w14:paraId="0C85CC7B" w14:textId="77777777" w:rsidR="003663AF" w:rsidRPr="00B7760C" w:rsidRDefault="003663AF" w:rsidP="00E804B7">
            <w:pPr>
              <w:pStyle w:val="Normal6"/>
              <w:rPr>
                <w:szCs w:val="24"/>
              </w:rPr>
            </w:pPr>
          </w:p>
        </w:tc>
      </w:tr>
      <w:tr w:rsidR="003663AF" w:rsidRPr="00B7760C" w14:paraId="7DE88C47" w14:textId="77777777" w:rsidTr="00E804B7">
        <w:trPr>
          <w:jc w:val="center"/>
        </w:trPr>
        <w:tc>
          <w:tcPr>
            <w:tcW w:w="4876" w:type="dxa"/>
            <w:hideMark/>
          </w:tcPr>
          <w:p w14:paraId="67DA9CC0" w14:textId="77777777" w:rsidR="003663AF" w:rsidRPr="00B7760C" w:rsidRDefault="003663AF" w:rsidP="00E804B7">
            <w:pPr>
              <w:pStyle w:val="Normal6"/>
            </w:pPr>
            <w:r w:rsidRPr="00B7760C">
              <w:rPr>
                <w:b/>
                <w:i/>
              </w:rPr>
              <w:t>1.</w:t>
            </w:r>
            <w:r w:rsidRPr="00B7760C">
              <w:rPr>
                <w:b/>
                <w:i/>
              </w:rPr>
              <w:tab/>
              <w:t>Državam članicam se lahko za leto 2026 dodeli dodatek za uspešnost kot nagrada za zadovoljivo uspešnost v zvezi z okoljskimi in podnebnimi cilji, če zadevna država članica izpolnjuje pogoj iz člena 124(1).</w:t>
            </w:r>
          </w:p>
        </w:tc>
        <w:tc>
          <w:tcPr>
            <w:tcW w:w="4876" w:type="dxa"/>
          </w:tcPr>
          <w:p w14:paraId="48BC612B" w14:textId="77777777" w:rsidR="003663AF" w:rsidRPr="00B7760C" w:rsidRDefault="003663AF" w:rsidP="00E804B7">
            <w:pPr>
              <w:pStyle w:val="Normal6"/>
              <w:rPr>
                <w:szCs w:val="24"/>
              </w:rPr>
            </w:pPr>
          </w:p>
        </w:tc>
      </w:tr>
      <w:tr w:rsidR="003663AF" w:rsidRPr="00B7760C" w14:paraId="1FCCF01E" w14:textId="77777777" w:rsidTr="00E804B7">
        <w:trPr>
          <w:jc w:val="center"/>
        </w:trPr>
        <w:tc>
          <w:tcPr>
            <w:tcW w:w="4876" w:type="dxa"/>
            <w:hideMark/>
          </w:tcPr>
          <w:p w14:paraId="5D5A81F1" w14:textId="77777777" w:rsidR="003663AF" w:rsidRPr="00B7760C" w:rsidRDefault="003663AF" w:rsidP="00E804B7">
            <w:pPr>
              <w:pStyle w:val="Normal6"/>
            </w:pPr>
            <w:r w:rsidRPr="00B7760C">
              <w:rPr>
                <w:b/>
                <w:i/>
              </w:rPr>
              <w:t>2.</w:t>
            </w:r>
            <w:r w:rsidRPr="00B7760C">
              <w:rPr>
                <w:b/>
                <w:i/>
              </w:rPr>
              <w:tab/>
              <w:t>Dodatek za uspešnost je enak 5 % zneska na državo članico za proračunsko leto 2027 iz Priloge IX.</w:t>
            </w:r>
          </w:p>
        </w:tc>
        <w:tc>
          <w:tcPr>
            <w:tcW w:w="4876" w:type="dxa"/>
          </w:tcPr>
          <w:p w14:paraId="7437E805" w14:textId="77777777" w:rsidR="003663AF" w:rsidRPr="00B7760C" w:rsidRDefault="003663AF" w:rsidP="00E804B7">
            <w:pPr>
              <w:pStyle w:val="Normal6"/>
              <w:rPr>
                <w:szCs w:val="24"/>
              </w:rPr>
            </w:pPr>
          </w:p>
        </w:tc>
      </w:tr>
      <w:tr w:rsidR="003663AF" w:rsidRPr="00B7760C" w14:paraId="5F795B04" w14:textId="77777777" w:rsidTr="00E804B7">
        <w:trPr>
          <w:jc w:val="center"/>
        </w:trPr>
        <w:tc>
          <w:tcPr>
            <w:tcW w:w="4876" w:type="dxa"/>
            <w:hideMark/>
          </w:tcPr>
          <w:p w14:paraId="142482BF" w14:textId="77777777" w:rsidR="003663AF" w:rsidRPr="00B7760C" w:rsidRDefault="003663AF" w:rsidP="00E804B7">
            <w:pPr>
              <w:pStyle w:val="Normal6"/>
            </w:pPr>
            <w:r w:rsidRPr="00B7760C">
              <w:rPr>
                <w:b/>
                <w:i/>
              </w:rPr>
              <w:t>Viri, prerazporejeni med EKJS in EKSRP na podlagi členov 15 in 90, so izključeni za namene izračuna dodatka za uspešnost.</w:t>
            </w:r>
          </w:p>
        </w:tc>
        <w:tc>
          <w:tcPr>
            <w:tcW w:w="4876" w:type="dxa"/>
          </w:tcPr>
          <w:p w14:paraId="57B896AD" w14:textId="77777777" w:rsidR="003663AF" w:rsidRPr="00B7760C" w:rsidRDefault="003663AF" w:rsidP="00E804B7">
            <w:pPr>
              <w:pStyle w:val="Normal6"/>
              <w:rPr>
                <w:szCs w:val="24"/>
              </w:rPr>
            </w:pPr>
          </w:p>
        </w:tc>
      </w:tr>
    </w:tbl>
    <w:p w14:paraId="4DA57F12" w14:textId="77777777" w:rsidR="003663AF" w:rsidRPr="00B7760C" w:rsidRDefault="003663AF" w:rsidP="003663AF"/>
    <w:p w14:paraId="6108AE7A" w14:textId="457EB5EA" w:rsidR="003663AF" w:rsidRPr="00B7760C" w:rsidRDefault="00877691" w:rsidP="003663AF">
      <w:pPr>
        <w:pStyle w:val="AMNumberTabs"/>
        <w:keepNext/>
      </w:pPr>
      <w:r w:rsidRPr="00B7760C">
        <w:t>Sprememba</w:t>
      </w:r>
      <w:r w:rsidR="003663AF" w:rsidRPr="00B7760C">
        <w:tab/>
      </w:r>
      <w:r w:rsidR="003663AF" w:rsidRPr="00B7760C">
        <w:tab/>
        <w:t>689</w:t>
      </w:r>
    </w:p>
    <w:p w14:paraId="251A6F77" w14:textId="77777777" w:rsidR="003663AF" w:rsidRPr="00B7760C" w:rsidRDefault="003663AF" w:rsidP="003663AF">
      <w:pPr>
        <w:pStyle w:val="NormalBold12b"/>
      </w:pPr>
      <w:r w:rsidRPr="00B7760C">
        <w:t>Predlog uredbe</w:t>
      </w:r>
    </w:p>
    <w:p w14:paraId="0232E65A" w14:textId="77777777" w:rsidR="003663AF" w:rsidRPr="00B7760C" w:rsidRDefault="003663AF" w:rsidP="003663AF">
      <w:pPr>
        <w:pStyle w:val="NormalBold"/>
      </w:pPr>
      <w:r w:rsidRPr="00B7760C">
        <w:t>Člen 124</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C116B77" w14:textId="77777777" w:rsidTr="00E804B7">
        <w:trPr>
          <w:jc w:val="center"/>
        </w:trPr>
        <w:tc>
          <w:tcPr>
            <w:tcW w:w="9752" w:type="dxa"/>
            <w:gridSpan w:val="2"/>
          </w:tcPr>
          <w:p w14:paraId="75BBAE0F" w14:textId="77777777" w:rsidR="003663AF" w:rsidRPr="00B7760C" w:rsidRDefault="003663AF" w:rsidP="00E804B7">
            <w:pPr>
              <w:keepNext/>
            </w:pPr>
          </w:p>
        </w:tc>
      </w:tr>
      <w:tr w:rsidR="003663AF" w:rsidRPr="00B7760C" w14:paraId="70FA60B8" w14:textId="77777777" w:rsidTr="00E804B7">
        <w:trPr>
          <w:jc w:val="center"/>
        </w:trPr>
        <w:tc>
          <w:tcPr>
            <w:tcW w:w="4876" w:type="dxa"/>
            <w:hideMark/>
          </w:tcPr>
          <w:p w14:paraId="035481EF" w14:textId="77777777" w:rsidR="003663AF" w:rsidRPr="00B7760C" w:rsidRDefault="003663AF" w:rsidP="00E804B7">
            <w:pPr>
              <w:pStyle w:val="ColumnHeading"/>
              <w:keepNext/>
            </w:pPr>
            <w:r w:rsidRPr="00B7760C">
              <w:t>Besedilo, ki ga predlaga Komisija</w:t>
            </w:r>
          </w:p>
        </w:tc>
        <w:tc>
          <w:tcPr>
            <w:tcW w:w="4876" w:type="dxa"/>
            <w:hideMark/>
          </w:tcPr>
          <w:p w14:paraId="5C096F29" w14:textId="2915A45B" w:rsidR="003663AF" w:rsidRPr="00B7760C" w:rsidRDefault="00877691" w:rsidP="00E804B7">
            <w:pPr>
              <w:pStyle w:val="ColumnHeading"/>
              <w:keepNext/>
            </w:pPr>
            <w:r w:rsidRPr="00B7760C">
              <w:t>Sprememba</w:t>
            </w:r>
          </w:p>
        </w:tc>
      </w:tr>
      <w:tr w:rsidR="003663AF" w:rsidRPr="00B7760C" w14:paraId="1AF23922" w14:textId="77777777" w:rsidTr="00E804B7">
        <w:trPr>
          <w:jc w:val="center"/>
        </w:trPr>
        <w:tc>
          <w:tcPr>
            <w:tcW w:w="4876" w:type="dxa"/>
            <w:hideMark/>
          </w:tcPr>
          <w:p w14:paraId="505D681B" w14:textId="77777777" w:rsidR="003663AF" w:rsidRPr="00B7760C" w:rsidRDefault="003663AF" w:rsidP="00E804B7">
            <w:pPr>
              <w:pStyle w:val="Normal6"/>
              <w:jc w:val="center"/>
            </w:pPr>
            <w:r w:rsidRPr="00B7760C">
              <w:rPr>
                <w:b/>
                <w:i/>
              </w:rPr>
              <w:t>Člen 124</w:t>
            </w:r>
          </w:p>
        </w:tc>
        <w:tc>
          <w:tcPr>
            <w:tcW w:w="4876" w:type="dxa"/>
            <w:hideMark/>
          </w:tcPr>
          <w:p w14:paraId="2A6FB7FD" w14:textId="77777777" w:rsidR="003663AF" w:rsidRPr="00B7760C" w:rsidRDefault="003663AF" w:rsidP="00E804B7">
            <w:pPr>
              <w:pStyle w:val="Normal6"/>
              <w:rPr>
                <w:szCs w:val="24"/>
              </w:rPr>
            </w:pPr>
            <w:r w:rsidRPr="00B7760C">
              <w:rPr>
                <w:b/>
                <w:i/>
              </w:rPr>
              <w:t>črtano</w:t>
            </w:r>
          </w:p>
        </w:tc>
      </w:tr>
      <w:tr w:rsidR="003663AF" w:rsidRPr="00B7760C" w14:paraId="5ED2F624" w14:textId="77777777" w:rsidTr="00E804B7">
        <w:trPr>
          <w:jc w:val="center"/>
        </w:trPr>
        <w:tc>
          <w:tcPr>
            <w:tcW w:w="4876" w:type="dxa"/>
            <w:hideMark/>
          </w:tcPr>
          <w:p w14:paraId="5986871F" w14:textId="77777777" w:rsidR="003663AF" w:rsidRPr="00B7760C" w:rsidRDefault="003663AF" w:rsidP="00E804B7">
            <w:pPr>
              <w:pStyle w:val="Normal6"/>
              <w:jc w:val="center"/>
            </w:pPr>
            <w:r w:rsidRPr="00B7760C">
              <w:rPr>
                <w:b/>
                <w:i/>
              </w:rPr>
              <w:t>Dodelitev dodatka za uspešnost</w:t>
            </w:r>
          </w:p>
        </w:tc>
        <w:tc>
          <w:tcPr>
            <w:tcW w:w="4876" w:type="dxa"/>
          </w:tcPr>
          <w:p w14:paraId="18FA8BD4" w14:textId="77777777" w:rsidR="003663AF" w:rsidRPr="00B7760C" w:rsidRDefault="003663AF" w:rsidP="00E804B7">
            <w:pPr>
              <w:pStyle w:val="Normal6"/>
              <w:rPr>
                <w:szCs w:val="24"/>
              </w:rPr>
            </w:pPr>
          </w:p>
        </w:tc>
      </w:tr>
      <w:tr w:rsidR="003663AF" w:rsidRPr="00B7760C" w14:paraId="2B22DD6A" w14:textId="77777777" w:rsidTr="00E804B7">
        <w:trPr>
          <w:jc w:val="center"/>
        </w:trPr>
        <w:tc>
          <w:tcPr>
            <w:tcW w:w="4876" w:type="dxa"/>
            <w:hideMark/>
          </w:tcPr>
          <w:p w14:paraId="5E39B0C6" w14:textId="77777777" w:rsidR="003663AF" w:rsidRPr="00B7760C" w:rsidRDefault="003663AF" w:rsidP="00E804B7">
            <w:pPr>
              <w:pStyle w:val="Normal6"/>
            </w:pPr>
            <w:r w:rsidRPr="00B7760C">
              <w:rPr>
                <w:b/>
                <w:i/>
              </w:rPr>
              <w:t>1.</w:t>
            </w:r>
            <w:r w:rsidRPr="00B7760C">
              <w:rPr>
                <w:b/>
                <w:i/>
              </w:rPr>
              <w:tab/>
              <w:t>Na podlagi pregleda smotrnosti za leto 2026 se dodatek za uspešnost, zadržan iz dodeljenih finančnih sredstev države članice po drugem odstavku člena 123, tej državi članici dodeli, če kazalniki rezultatov, ki se uporabljajo za specifične okoljske in podnebne cilje iz točk (d), (e) in (f) člena 6(1) njenega strateškega načrta SKP, dosežejo vsaj 90 % svoje ciljne vrednosti za leto 2025.</w:t>
            </w:r>
          </w:p>
        </w:tc>
        <w:tc>
          <w:tcPr>
            <w:tcW w:w="4876" w:type="dxa"/>
          </w:tcPr>
          <w:p w14:paraId="663F72C5" w14:textId="77777777" w:rsidR="003663AF" w:rsidRPr="00B7760C" w:rsidRDefault="003663AF" w:rsidP="00E804B7">
            <w:pPr>
              <w:pStyle w:val="Normal6"/>
              <w:rPr>
                <w:szCs w:val="24"/>
              </w:rPr>
            </w:pPr>
          </w:p>
        </w:tc>
      </w:tr>
      <w:tr w:rsidR="003663AF" w:rsidRPr="00B7760C" w14:paraId="2C8410C6" w14:textId="77777777" w:rsidTr="00E804B7">
        <w:trPr>
          <w:jc w:val="center"/>
        </w:trPr>
        <w:tc>
          <w:tcPr>
            <w:tcW w:w="4876" w:type="dxa"/>
            <w:hideMark/>
          </w:tcPr>
          <w:p w14:paraId="7394E9EC" w14:textId="77777777" w:rsidR="003663AF" w:rsidRPr="00B7760C" w:rsidRDefault="003663AF" w:rsidP="00E804B7">
            <w:pPr>
              <w:pStyle w:val="Normal6"/>
            </w:pPr>
            <w:r w:rsidRPr="00B7760C">
              <w:rPr>
                <w:b/>
                <w:i/>
              </w:rPr>
              <w:t>2.</w:t>
            </w:r>
            <w:r w:rsidRPr="00B7760C">
              <w:rPr>
                <w:b/>
                <w:i/>
              </w:rPr>
              <w:tab/>
              <w:t>Komisija v dveh mesecih od prejema letnega poročila o smotrnosti za leto 2026 sprejme izvedbeni akt brez uporabe postopka v odboru iz člena 139, s katerim za vsako državo članico odloči, ali je njen strateški načrt SKP dosegel ciljne vrednosti iz odstavka 1 tega člena.</w:t>
            </w:r>
          </w:p>
        </w:tc>
        <w:tc>
          <w:tcPr>
            <w:tcW w:w="4876" w:type="dxa"/>
          </w:tcPr>
          <w:p w14:paraId="32DEE857" w14:textId="77777777" w:rsidR="003663AF" w:rsidRPr="00B7760C" w:rsidRDefault="003663AF" w:rsidP="00E804B7">
            <w:pPr>
              <w:pStyle w:val="Normal6"/>
              <w:rPr>
                <w:szCs w:val="24"/>
              </w:rPr>
            </w:pPr>
          </w:p>
        </w:tc>
      </w:tr>
      <w:tr w:rsidR="003663AF" w:rsidRPr="00B7760C" w14:paraId="07899CA5" w14:textId="77777777" w:rsidTr="00E804B7">
        <w:trPr>
          <w:jc w:val="center"/>
        </w:trPr>
        <w:tc>
          <w:tcPr>
            <w:tcW w:w="4876" w:type="dxa"/>
            <w:hideMark/>
          </w:tcPr>
          <w:p w14:paraId="61843420" w14:textId="77777777" w:rsidR="003663AF" w:rsidRPr="00B7760C" w:rsidRDefault="003663AF" w:rsidP="00E804B7">
            <w:pPr>
              <w:pStyle w:val="Normal6"/>
            </w:pPr>
            <w:r w:rsidRPr="00B7760C">
              <w:rPr>
                <w:b/>
                <w:i/>
              </w:rPr>
              <w:t>3.</w:t>
            </w:r>
            <w:r w:rsidRPr="00B7760C">
              <w:rPr>
                <w:b/>
                <w:i/>
              </w:rPr>
              <w:tab/>
              <w:t>Kadar so ciljne vrednosti iz odstavka 1 dosežene, Komisija zadevni državi članici dodeli znesek dodatka za uspešnost in ta se šteje za dokončno dodeljenega finančnemu letu 2027 na podlagi sklepa iz odstavka 2.</w:t>
            </w:r>
          </w:p>
        </w:tc>
        <w:tc>
          <w:tcPr>
            <w:tcW w:w="4876" w:type="dxa"/>
          </w:tcPr>
          <w:p w14:paraId="27D0924F" w14:textId="77777777" w:rsidR="003663AF" w:rsidRPr="00B7760C" w:rsidRDefault="003663AF" w:rsidP="00E804B7">
            <w:pPr>
              <w:pStyle w:val="Normal6"/>
              <w:rPr>
                <w:szCs w:val="24"/>
              </w:rPr>
            </w:pPr>
          </w:p>
        </w:tc>
      </w:tr>
      <w:tr w:rsidR="003663AF" w:rsidRPr="00B7760C" w14:paraId="2966AF65" w14:textId="77777777" w:rsidTr="00E804B7">
        <w:trPr>
          <w:jc w:val="center"/>
        </w:trPr>
        <w:tc>
          <w:tcPr>
            <w:tcW w:w="4876" w:type="dxa"/>
            <w:hideMark/>
          </w:tcPr>
          <w:p w14:paraId="454B2568" w14:textId="77777777" w:rsidR="003663AF" w:rsidRPr="00B7760C" w:rsidRDefault="003663AF" w:rsidP="00E804B7">
            <w:pPr>
              <w:pStyle w:val="Normal6"/>
            </w:pPr>
            <w:r w:rsidRPr="00B7760C">
              <w:rPr>
                <w:b/>
                <w:i/>
              </w:rPr>
              <w:t>4.</w:t>
            </w:r>
            <w:r w:rsidRPr="00B7760C">
              <w:rPr>
                <w:b/>
                <w:i/>
              </w:rPr>
              <w:tab/>
              <w:t>Kadar ciljne vrednosti iz odstavka 1 niso dosežene, Komisija ne dodeli obveznosti za proračunsko leto 2027 v zvezi z zneskom dodatka za uspešnost zadevnih držav članic.</w:t>
            </w:r>
          </w:p>
        </w:tc>
        <w:tc>
          <w:tcPr>
            <w:tcW w:w="4876" w:type="dxa"/>
          </w:tcPr>
          <w:p w14:paraId="6EE6DAD9" w14:textId="77777777" w:rsidR="003663AF" w:rsidRPr="00B7760C" w:rsidRDefault="003663AF" w:rsidP="00E804B7">
            <w:pPr>
              <w:pStyle w:val="Normal6"/>
              <w:rPr>
                <w:szCs w:val="24"/>
              </w:rPr>
            </w:pPr>
          </w:p>
        </w:tc>
      </w:tr>
      <w:tr w:rsidR="003663AF" w:rsidRPr="00B7760C" w14:paraId="4A774BFC" w14:textId="77777777" w:rsidTr="00E804B7">
        <w:trPr>
          <w:jc w:val="center"/>
        </w:trPr>
        <w:tc>
          <w:tcPr>
            <w:tcW w:w="4876" w:type="dxa"/>
            <w:hideMark/>
          </w:tcPr>
          <w:p w14:paraId="63637335" w14:textId="77777777" w:rsidR="003663AF" w:rsidRPr="00B7760C" w:rsidRDefault="003663AF" w:rsidP="00E804B7">
            <w:pPr>
              <w:pStyle w:val="Normal6"/>
            </w:pPr>
            <w:r w:rsidRPr="00B7760C">
              <w:rPr>
                <w:b/>
                <w:i/>
              </w:rPr>
              <w:t>5.</w:t>
            </w:r>
            <w:r w:rsidRPr="00B7760C">
              <w:rPr>
                <w:b/>
                <w:i/>
              </w:rPr>
              <w:tab/>
              <w:t>Pri dodeljevanju dodatka za uspešnost lahko Komisija upošteva primere višje sile in resnih družbeno-gospodarskih kriz, ki ovirajo doseganje ustreznih mejnikov.</w:t>
            </w:r>
          </w:p>
        </w:tc>
        <w:tc>
          <w:tcPr>
            <w:tcW w:w="4876" w:type="dxa"/>
          </w:tcPr>
          <w:p w14:paraId="794796F6" w14:textId="77777777" w:rsidR="003663AF" w:rsidRPr="00B7760C" w:rsidRDefault="003663AF" w:rsidP="00E804B7">
            <w:pPr>
              <w:pStyle w:val="Normal6"/>
              <w:rPr>
                <w:szCs w:val="24"/>
              </w:rPr>
            </w:pPr>
          </w:p>
        </w:tc>
      </w:tr>
      <w:tr w:rsidR="003663AF" w:rsidRPr="00B7760C" w14:paraId="1BA7552B" w14:textId="77777777" w:rsidTr="00E804B7">
        <w:trPr>
          <w:jc w:val="center"/>
        </w:trPr>
        <w:tc>
          <w:tcPr>
            <w:tcW w:w="4876" w:type="dxa"/>
            <w:hideMark/>
          </w:tcPr>
          <w:p w14:paraId="5DAADCAF" w14:textId="77777777" w:rsidR="003663AF" w:rsidRPr="00B7760C" w:rsidRDefault="003663AF" w:rsidP="00E804B7">
            <w:pPr>
              <w:pStyle w:val="Normal6"/>
            </w:pPr>
            <w:r w:rsidRPr="00B7760C">
              <w:rPr>
                <w:b/>
                <w:i/>
              </w:rPr>
              <w:t>6.</w:t>
            </w:r>
            <w:r w:rsidRPr="00B7760C">
              <w:rPr>
                <w:b/>
                <w:i/>
              </w:rPr>
              <w:tab/>
              <w:t>Komisija sprejme izvedbene akte, s katerimi podrobno določi ureditev za zagotavljanje doslednega pristopa k odločanju o dodelitvi dodatka za uspešnost državam članicam. Ti izvedbeni akti se sprejmejo v skladu s postopkom pregleda iz člena 139(2).</w:t>
            </w:r>
          </w:p>
        </w:tc>
        <w:tc>
          <w:tcPr>
            <w:tcW w:w="4876" w:type="dxa"/>
          </w:tcPr>
          <w:p w14:paraId="7EE1131E" w14:textId="77777777" w:rsidR="003663AF" w:rsidRPr="00B7760C" w:rsidRDefault="003663AF" w:rsidP="00E804B7">
            <w:pPr>
              <w:pStyle w:val="Normal6"/>
              <w:rPr>
                <w:szCs w:val="24"/>
              </w:rPr>
            </w:pPr>
          </w:p>
        </w:tc>
      </w:tr>
    </w:tbl>
    <w:p w14:paraId="7D7B226B" w14:textId="77777777" w:rsidR="003663AF" w:rsidRPr="00B7760C" w:rsidRDefault="003663AF" w:rsidP="003663AF"/>
    <w:p w14:paraId="77E44DDE" w14:textId="3E4F0270" w:rsidR="003663AF" w:rsidRPr="00B7760C" w:rsidRDefault="00877691" w:rsidP="003663AF">
      <w:pPr>
        <w:pStyle w:val="AMNumberTabs"/>
        <w:keepNext/>
      </w:pPr>
      <w:r w:rsidRPr="00B7760C">
        <w:t>Sprememba</w:t>
      </w:r>
      <w:r w:rsidR="003663AF" w:rsidRPr="00B7760C">
        <w:tab/>
      </w:r>
      <w:r w:rsidR="003663AF" w:rsidRPr="00B7760C">
        <w:tab/>
        <w:t>690</w:t>
      </w:r>
    </w:p>
    <w:p w14:paraId="0C8C262D" w14:textId="77777777" w:rsidR="003663AF" w:rsidRPr="00B7760C" w:rsidRDefault="003663AF" w:rsidP="003663AF">
      <w:pPr>
        <w:pStyle w:val="NormalBold12b"/>
      </w:pPr>
      <w:r w:rsidRPr="00B7760C">
        <w:t>Predlog uredbe</w:t>
      </w:r>
    </w:p>
    <w:p w14:paraId="77A14ECE" w14:textId="77777777" w:rsidR="003663AF" w:rsidRPr="00B7760C" w:rsidRDefault="003663AF" w:rsidP="003663AF">
      <w:pPr>
        <w:pStyle w:val="NormalBold"/>
      </w:pPr>
      <w:r w:rsidRPr="00B7760C">
        <w:t>Člen 125 – 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3FE2AD3" w14:textId="77777777" w:rsidTr="00E804B7">
        <w:trPr>
          <w:jc w:val="center"/>
        </w:trPr>
        <w:tc>
          <w:tcPr>
            <w:tcW w:w="9752" w:type="dxa"/>
            <w:gridSpan w:val="2"/>
          </w:tcPr>
          <w:p w14:paraId="02593977" w14:textId="77777777" w:rsidR="003663AF" w:rsidRPr="00B7760C" w:rsidRDefault="003663AF" w:rsidP="00E804B7">
            <w:pPr>
              <w:keepNext/>
            </w:pPr>
          </w:p>
        </w:tc>
      </w:tr>
      <w:tr w:rsidR="003663AF" w:rsidRPr="00B7760C" w14:paraId="16DC5D57" w14:textId="77777777" w:rsidTr="00E804B7">
        <w:trPr>
          <w:jc w:val="center"/>
        </w:trPr>
        <w:tc>
          <w:tcPr>
            <w:tcW w:w="4876" w:type="dxa"/>
            <w:hideMark/>
          </w:tcPr>
          <w:p w14:paraId="38BDBB05" w14:textId="77777777" w:rsidR="003663AF" w:rsidRPr="00B7760C" w:rsidRDefault="003663AF" w:rsidP="00E804B7">
            <w:pPr>
              <w:pStyle w:val="ColumnHeading"/>
              <w:keepNext/>
            </w:pPr>
            <w:r w:rsidRPr="00B7760C">
              <w:t>Besedilo, ki ga predlaga Komisija</w:t>
            </w:r>
          </w:p>
        </w:tc>
        <w:tc>
          <w:tcPr>
            <w:tcW w:w="4876" w:type="dxa"/>
            <w:hideMark/>
          </w:tcPr>
          <w:p w14:paraId="61BC7B8B" w14:textId="781D522F" w:rsidR="003663AF" w:rsidRPr="00B7760C" w:rsidRDefault="00877691" w:rsidP="00E804B7">
            <w:pPr>
              <w:pStyle w:val="ColumnHeading"/>
              <w:keepNext/>
            </w:pPr>
            <w:r w:rsidRPr="00B7760C">
              <w:t>Sprememba</w:t>
            </w:r>
          </w:p>
        </w:tc>
      </w:tr>
      <w:tr w:rsidR="003663AF" w:rsidRPr="00B7760C" w14:paraId="67483E47" w14:textId="77777777" w:rsidTr="00E804B7">
        <w:trPr>
          <w:jc w:val="center"/>
        </w:trPr>
        <w:tc>
          <w:tcPr>
            <w:tcW w:w="4876" w:type="dxa"/>
            <w:hideMark/>
          </w:tcPr>
          <w:p w14:paraId="1EF57DEB" w14:textId="77777777" w:rsidR="003663AF" w:rsidRPr="00B7760C" w:rsidRDefault="003663AF" w:rsidP="00E804B7">
            <w:pPr>
              <w:pStyle w:val="Normal6"/>
            </w:pPr>
            <w:r w:rsidRPr="00B7760C">
              <w:t>1.</w:t>
            </w:r>
            <w:r w:rsidRPr="00B7760C">
              <w:tab/>
              <w:t>Države članice opravijo predhodno ocenjevanje za izboljšanje kakovosti zasnove svojih strateških načrtov SKP.</w:t>
            </w:r>
          </w:p>
        </w:tc>
        <w:tc>
          <w:tcPr>
            <w:tcW w:w="4876" w:type="dxa"/>
            <w:hideMark/>
          </w:tcPr>
          <w:p w14:paraId="4AEC5366" w14:textId="77777777" w:rsidR="003663AF" w:rsidRPr="00B7760C" w:rsidRDefault="003663AF" w:rsidP="00E804B7">
            <w:pPr>
              <w:pStyle w:val="Normal6"/>
              <w:rPr>
                <w:szCs w:val="24"/>
              </w:rPr>
            </w:pPr>
            <w:r w:rsidRPr="00B7760C">
              <w:t>1.</w:t>
            </w:r>
            <w:r w:rsidRPr="00B7760C">
              <w:tab/>
              <w:t xml:space="preserve">Države članice </w:t>
            </w:r>
            <w:r w:rsidRPr="00B7760C">
              <w:rPr>
                <w:b/>
                <w:i/>
              </w:rPr>
              <w:t xml:space="preserve">, po potrebi z regijami, </w:t>
            </w:r>
            <w:r w:rsidRPr="00B7760C">
              <w:t>opravijo predhodno ocenjevanje za izboljšanje kakovosti zasnove svojih strateških načrtov SKP.</w:t>
            </w:r>
          </w:p>
        </w:tc>
      </w:tr>
    </w:tbl>
    <w:p w14:paraId="598A1BE8" w14:textId="77777777" w:rsidR="003663AF" w:rsidRPr="00B7760C" w:rsidRDefault="003663AF" w:rsidP="003663AF"/>
    <w:p w14:paraId="225D85A0" w14:textId="17E6CA91" w:rsidR="003663AF" w:rsidRPr="00B7760C" w:rsidRDefault="00877691" w:rsidP="003663AF">
      <w:pPr>
        <w:pStyle w:val="AMNumberTabs"/>
        <w:keepNext/>
      </w:pPr>
      <w:r w:rsidRPr="00B7760C">
        <w:t>Sprememba</w:t>
      </w:r>
      <w:r w:rsidR="003663AF" w:rsidRPr="00B7760C">
        <w:tab/>
      </w:r>
      <w:r w:rsidR="003663AF" w:rsidRPr="00B7760C">
        <w:tab/>
        <w:t>691</w:t>
      </w:r>
    </w:p>
    <w:p w14:paraId="78DC05A4" w14:textId="77777777" w:rsidR="003663AF" w:rsidRPr="00B7760C" w:rsidRDefault="003663AF" w:rsidP="003663AF">
      <w:pPr>
        <w:pStyle w:val="NormalBold12b"/>
      </w:pPr>
      <w:r w:rsidRPr="00B7760C">
        <w:t>Predlog uredbe</w:t>
      </w:r>
    </w:p>
    <w:p w14:paraId="2BD15F76" w14:textId="77777777" w:rsidR="003663AF" w:rsidRPr="00B7760C" w:rsidRDefault="003663AF" w:rsidP="003663AF">
      <w:pPr>
        <w:pStyle w:val="NormalBold"/>
      </w:pPr>
      <w:r w:rsidRPr="00B7760C">
        <w:t>Člen 125 – odstavek 3 – točka g</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854F7AB" w14:textId="77777777" w:rsidTr="00E804B7">
        <w:trPr>
          <w:jc w:val="center"/>
        </w:trPr>
        <w:tc>
          <w:tcPr>
            <w:tcW w:w="9752" w:type="dxa"/>
            <w:gridSpan w:val="2"/>
          </w:tcPr>
          <w:p w14:paraId="1A480783" w14:textId="77777777" w:rsidR="003663AF" w:rsidRPr="00B7760C" w:rsidRDefault="003663AF" w:rsidP="00E804B7">
            <w:pPr>
              <w:keepNext/>
            </w:pPr>
          </w:p>
        </w:tc>
      </w:tr>
      <w:tr w:rsidR="003663AF" w:rsidRPr="00B7760C" w14:paraId="67CC93CD" w14:textId="77777777" w:rsidTr="00E804B7">
        <w:trPr>
          <w:jc w:val="center"/>
        </w:trPr>
        <w:tc>
          <w:tcPr>
            <w:tcW w:w="4876" w:type="dxa"/>
            <w:hideMark/>
          </w:tcPr>
          <w:p w14:paraId="4EAE351C" w14:textId="77777777" w:rsidR="003663AF" w:rsidRPr="00B7760C" w:rsidRDefault="003663AF" w:rsidP="00E804B7">
            <w:pPr>
              <w:pStyle w:val="ColumnHeading"/>
              <w:keepNext/>
            </w:pPr>
            <w:r w:rsidRPr="00B7760C">
              <w:t>Besedilo, ki ga predlaga Komisija</w:t>
            </w:r>
          </w:p>
        </w:tc>
        <w:tc>
          <w:tcPr>
            <w:tcW w:w="4876" w:type="dxa"/>
            <w:hideMark/>
          </w:tcPr>
          <w:p w14:paraId="0C3852C9" w14:textId="0BF5C8F6" w:rsidR="003663AF" w:rsidRPr="00B7760C" w:rsidRDefault="00877691" w:rsidP="00E804B7">
            <w:pPr>
              <w:pStyle w:val="ColumnHeading"/>
              <w:keepNext/>
            </w:pPr>
            <w:r w:rsidRPr="00B7760C">
              <w:t>Sprememba</w:t>
            </w:r>
          </w:p>
        </w:tc>
      </w:tr>
      <w:tr w:rsidR="003663AF" w:rsidRPr="00B7760C" w14:paraId="29882A90" w14:textId="77777777" w:rsidTr="00E804B7">
        <w:trPr>
          <w:jc w:val="center"/>
        </w:trPr>
        <w:tc>
          <w:tcPr>
            <w:tcW w:w="4876" w:type="dxa"/>
            <w:hideMark/>
          </w:tcPr>
          <w:p w14:paraId="2E4F14D0" w14:textId="77777777" w:rsidR="003663AF" w:rsidRPr="00B7760C" w:rsidRDefault="003663AF" w:rsidP="00E804B7">
            <w:pPr>
              <w:pStyle w:val="Normal6"/>
            </w:pPr>
            <w:r w:rsidRPr="00B7760C">
              <w:t>(g)</w:t>
            </w:r>
            <w:r w:rsidRPr="00B7760C">
              <w:tab/>
              <w:t xml:space="preserve">ustreznost postopkov za spremljanje strateškega načrta SKP in zbiranje podatkov, </w:t>
            </w:r>
            <w:r w:rsidRPr="00B7760C">
              <w:rPr>
                <w:b/>
                <w:i/>
              </w:rPr>
              <w:t>potrebnih</w:t>
            </w:r>
            <w:r w:rsidRPr="00B7760C">
              <w:t xml:space="preserve"> za izvedbo ocenjevanja;</w:t>
            </w:r>
          </w:p>
        </w:tc>
        <w:tc>
          <w:tcPr>
            <w:tcW w:w="4876" w:type="dxa"/>
            <w:hideMark/>
          </w:tcPr>
          <w:p w14:paraId="2ADE3446" w14:textId="77777777" w:rsidR="003663AF" w:rsidRPr="00B7760C" w:rsidRDefault="003663AF" w:rsidP="00E804B7">
            <w:pPr>
              <w:pStyle w:val="Normal6"/>
              <w:rPr>
                <w:szCs w:val="24"/>
              </w:rPr>
            </w:pPr>
            <w:r w:rsidRPr="00B7760C">
              <w:t>(g)</w:t>
            </w:r>
            <w:r w:rsidRPr="00B7760C">
              <w:tab/>
              <w:t xml:space="preserve">ustreznost postopkov za spremljanje strateškega načrta SKP in zbiranje podatkov, </w:t>
            </w:r>
            <w:r w:rsidRPr="00B7760C">
              <w:rPr>
                <w:b/>
                <w:i/>
              </w:rPr>
              <w:t>vključno s podatki, razčlenjenimi po spolu, kjer so potrebni,</w:t>
            </w:r>
            <w:r w:rsidRPr="00B7760C">
              <w:t xml:space="preserve"> za izvedbo ocenjevanja;</w:t>
            </w:r>
          </w:p>
        </w:tc>
      </w:tr>
    </w:tbl>
    <w:p w14:paraId="67D59493" w14:textId="77777777" w:rsidR="003663AF" w:rsidRPr="00B7760C" w:rsidRDefault="003663AF" w:rsidP="003663AF"/>
    <w:p w14:paraId="07B1C96F" w14:textId="6F2B4641" w:rsidR="003663AF" w:rsidRPr="00B7760C" w:rsidRDefault="00877691" w:rsidP="003663AF">
      <w:pPr>
        <w:pStyle w:val="AMNumberTabs"/>
        <w:keepNext/>
      </w:pPr>
      <w:r w:rsidRPr="00B7760C">
        <w:t>Sprememba</w:t>
      </w:r>
      <w:r w:rsidR="003663AF" w:rsidRPr="00B7760C">
        <w:tab/>
      </w:r>
      <w:r w:rsidR="003663AF" w:rsidRPr="00B7760C">
        <w:tab/>
        <w:t>692</w:t>
      </w:r>
    </w:p>
    <w:p w14:paraId="4A896EBB" w14:textId="77777777" w:rsidR="003663AF" w:rsidRPr="00B7760C" w:rsidRDefault="003663AF" w:rsidP="003663AF">
      <w:pPr>
        <w:pStyle w:val="NormalBold12b"/>
      </w:pPr>
      <w:r w:rsidRPr="00B7760C">
        <w:t>Predlog uredbe</w:t>
      </w:r>
    </w:p>
    <w:p w14:paraId="1569D9BF" w14:textId="77777777" w:rsidR="003663AF" w:rsidRPr="00B7760C" w:rsidRDefault="003663AF" w:rsidP="003663AF">
      <w:pPr>
        <w:pStyle w:val="NormalBold"/>
      </w:pPr>
      <w:r w:rsidRPr="00B7760C">
        <w:t>Člen 126 – 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A0E7F89" w14:textId="77777777" w:rsidTr="00E804B7">
        <w:trPr>
          <w:jc w:val="center"/>
        </w:trPr>
        <w:tc>
          <w:tcPr>
            <w:tcW w:w="9752" w:type="dxa"/>
            <w:gridSpan w:val="2"/>
          </w:tcPr>
          <w:p w14:paraId="18D337C0" w14:textId="77777777" w:rsidR="003663AF" w:rsidRPr="00B7760C" w:rsidRDefault="003663AF" w:rsidP="00E804B7">
            <w:pPr>
              <w:keepNext/>
            </w:pPr>
          </w:p>
        </w:tc>
      </w:tr>
      <w:tr w:rsidR="003663AF" w:rsidRPr="00B7760C" w14:paraId="7916FF38" w14:textId="77777777" w:rsidTr="00E804B7">
        <w:trPr>
          <w:jc w:val="center"/>
        </w:trPr>
        <w:tc>
          <w:tcPr>
            <w:tcW w:w="4876" w:type="dxa"/>
            <w:hideMark/>
          </w:tcPr>
          <w:p w14:paraId="193FB337" w14:textId="77777777" w:rsidR="003663AF" w:rsidRPr="00B7760C" w:rsidRDefault="003663AF" w:rsidP="00E804B7">
            <w:pPr>
              <w:pStyle w:val="ColumnHeading"/>
              <w:keepNext/>
            </w:pPr>
            <w:r w:rsidRPr="00B7760C">
              <w:t>Besedilo, ki ga predlaga Komisija</w:t>
            </w:r>
          </w:p>
        </w:tc>
        <w:tc>
          <w:tcPr>
            <w:tcW w:w="4876" w:type="dxa"/>
            <w:hideMark/>
          </w:tcPr>
          <w:p w14:paraId="3BCB15FB" w14:textId="6A3310FD" w:rsidR="003663AF" w:rsidRPr="00B7760C" w:rsidRDefault="00877691" w:rsidP="00E804B7">
            <w:pPr>
              <w:pStyle w:val="ColumnHeading"/>
              <w:keepNext/>
            </w:pPr>
            <w:r w:rsidRPr="00B7760C">
              <w:t>Sprememba</w:t>
            </w:r>
          </w:p>
        </w:tc>
      </w:tr>
      <w:tr w:rsidR="003663AF" w:rsidRPr="00B7760C" w14:paraId="0FAE907A" w14:textId="77777777" w:rsidTr="00E804B7">
        <w:trPr>
          <w:jc w:val="center"/>
        </w:trPr>
        <w:tc>
          <w:tcPr>
            <w:tcW w:w="4876" w:type="dxa"/>
            <w:hideMark/>
          </w:tcPr>
          <w:p w14:paraId="0249FAAA" w14:textId="77777777" w:rsidR="003663AF" w:rsidRPr="00B7760C" w:rsidRDefault="003663AF" w:rsidP="00E804B7">
            <w:pPr>
              <w:pStyle w:val="Normal6"/>
            </w:pPr>
            <w:r w:rsidRPr="00B7760C">
              <w:t>1.</w:t>
            </w:r>
            <w:r w:rsidRPr="00B7760C">
              <w:tab/>
              <w:t>Države članice izvajajo ocene strateških načrtov SKP za izboljšanje kakovosti zasnove in izvajanja načrtov ter za oceno njihove uspešnosti, učinkovitosti, ustreznosti, usklajenosti in dodane vrednosti Unije ter učinka glede njihovega prispevka k splošnim in specifičnim ciljem SKP iz člena 5 in člena 6(1).</w:t>
            </w:r>
          </w:p>
        </w:tc>
        <w:tc>
          <w:tcPr>
            <w:tcW w:w="4876" w:type="dxa"/>
            <w:hideMark/>
          </w:tcPr>
          <w:p w14:paraId="6B21EDD9" w14:textId="77777777" w:rsidR="003663AF" w:rsidRPr="00B7760C" w:rsidRDefault="003663AF" w:rsidP="00E804B7">
            <w:pPr>
              <w:pStyle w:val="Normal6"/>
              <w:rPr>
                <w:szCs w:val="24"/>
              </w:rPr>
            </w:pPr>
            <w:r w:rsidRPr="00B7760C">
              <w:t>1.</w:t>
            </w:r>
            <w:r w:rsidRPr="00B7760C">
              <w:tab/>
              <w:t xml:space="preserve">Države članice </w:t>
            </w:r>
            <w:r w:rsidRPr="00B7760C">
              <w:rPr>
                <w:b/>
                <w:i/>
              </w:rPr>
              <w:t xml:space="preserve">, po potrebi z regijami, </w:t>
            </w:r>
            <w:r w:rsidRPr="00B7760C">
              <w:t>izvajajo ocene strateških načrtov SKP za izboljšanje kakovosti zasnove in izvajanja načrtov ter za oceno njihove uspešnosti, učinkovitosti, ustreznosti, usklajenosti in dodane vrednosti Unije ter učinka glede njihovega prispevka k splošnim in specifičnim ciljem SKP iz člena 5 in člena 6(1).</w:t>
            </w:r>
          </w:p>
        </w:tc>
      </w:tr>
    </w:tbl>
    <w:p w14:paraId="36E95F6E" w14:textId="77777777" w:rsidR="003663AF" w:rsidRPr="00B7760C" w:rsidRDefault="003663AF" w:rsidP="003663AF"/>
    <w:p w14:paraId="31FEC0E6" w14:textId="441FB0F9" w:rsidR="003663AF" w:rsidRPr="00B7760C" w:rsidRDefault="00877691" w:rsidP="003663AF">
      <w:pPr>
        <w:pStyle w:val="AMNumberTabs"/>
        <w:keepNext/>
      </w:pPr>
      <w:r w:rsidRPr="00B7760C">
        <w:t>Sprememba</w:t>
      </w:r>
      <w:r w:rsidR="003663AF" w:rsidRPr="00B7760C">
        <w:tab/>
      </w:r>
      <w:r w:rsidR="003663AF" w:rsidRPr="00B7760C">
        <w:tab/>
        <w:t>693</w:t>
      </w:r>
    </w:p>
    <w:p w14:paraId="153B0B67" w14:textId="77777777" w:rsidR="003663AF" w:rsidRPr="00B7760C" w:rsidRDefault="003663AF" w:rsidP="003663AF">
      <w:pPr>
        <w:pStyle w:val="NormalBold12b"/>
      </w:pPr>
      <w:r w:rsidRPr="00B7760C">
        <w:t>Predlog uredbe</w:t>
      </w:r>
    </w:p>
    <w:p w14:paraId="15312BB6" w14:textId="77777777" w:rsidR="003663AF" w:rsidRPr="00B7760C" w:rsidRDefault="003663AF" w:rsidP="003663AF">
      <w:pPr>
        <w:pStyle w:val="NormalBold"/>
      </w:pPr>
      <w:r w:rsidRPr="00B7760C">
        <w:t>Člen 126 – odstavek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0516A59" w14:textId="77777777" w:rsidTr="00E804B7">
        <w:trPr>
          <w:jc w:val="center"/>
        </w:trPr>
        <w:tc>
          <w:tcPr>
            <w:tcW w:w="9752" w:type="dxa"/>
            <w:gridSpan w:val="2"/>
          </w:tcPr>
          <w:p w14:paraId="1A66AEED" w14:textId="77777777" w:rsidR="003663AF" w:rsidRPr="00B7760C" w:rsidRDefault="003663AF" w:rsidP="00E804B7">
            <w:pPr>
              <w:keepNext/>
            </w:pPr>
          </w:p>
        </w:tc>
      </w:tr>
      <w:tr w:rsidR="003663AF" w:rsidRPr="00B7760C" w14:paraId="4BB99EB3" w14:textId="77777777" w:rsidTr="00E804B7">
        <w:trPr>
          <w:jc w:val="center"/>
        </w:trPr>
        <w:tc>
          <w:tcPr>
            <w:tcW w:w="4876" w:type="dxa"/>
            <w:hideMark/>
          </w:tcPr>
          <w:p w14:paraId="7E69D7A2" w14:textId="77777777" w:rsidR="003663AF" w:rsidRPr="00B7760C" w:rsidRDefault="003663AF" w:rsidP="00E804B7">
            <w:pPr>
              <w:pStyle w:val="ColumnHeading"/>
              <w:keepNext/>
            </w:pPr>
            <w:r w:rsidRPr="00B7760C">
              <w:t>Besedilo, ki ga predlaga Komisija</w:t>
            </w:r>
          </w:p>
        </w:tc>
        <w:tc>
          <w:tcPr>
            <w:tcW w:w="4876" w:type="dxa"/>
            <w:hideMark/>
          </w:tcPr>
          <w:p w14:paraId="3D825312" w14:textId="0ED50BFD" w:rsidR="003663AF" w:rsidRPr="00B7760C" w:rsidRDefault="00877691" w:rsidP="00E804B7">
            <w:pPr>
              <w:pStyle w:val="ColumnHeading"/>
              <w:keepNext/>
            </w:pPr>
            <w:r w:rsidRPr="00B7760C">
              <w:t>Sprememba</w:t>
            </w:r>
          </w:p>
        </w:tc>
      </w:tr>
      <w:tr w:rsidR="003663AF" w:rsidRPr="00B7760C" w14:paraId="3B9E0C88" w14:textId="77777777" w:rsidTr="00E804B7">
        <w:trPr>
          <w:jc w:val="center"/>
        </w:trPr>
        <w:tc>
          <w:tcPr>
            <w:tcW w:w="4876" w:type="dxa"/>
            <w:hideMark/>
          </w:tcPr>
          <w:p w14:paraId="2B0A059B" w14:textId="77777777" w:rsidR="003663AF" w:rsidRPr="00B7760C" w:rsidRDefault="003663AF" w:rsidP="00E804B7">
            <w:pPr>
              <w:pStyle w:val="Normal6"/>
            </w:pPr>
            <w:r w:rsidRPr="00B7760C">
              <w:t>2.</w:t>
            </w:r>
            <w:r w:rsidRPr="00B7760C">
              <w:tab/>
              <w:t>Države članice ocenjevanje zaupajo funkcionalno neodvisnim strokovnjakom.</w:t>
            </w:r>
          </w:p>
        </w:tc>
        <w:tc>
          <w:tcPr>
            <w:tcW w:w="4876" w:type="dxa"/>
            <w:hideMark/>
          </w:tcPr>
          <w:p w14:paraId="3A85D736" w14:textId="77777777" w:rsidR="003663AF" w:rsidRPr="00B7760C" w:rsidRDefault="003663AF" w:rsidP="00E804B7">
            <w:pPr>
              <w:pStyle w:val="Normal6"/>
              <w:rPr>
                <w:szCs w:val="24"/>
              </w:rPr>
            </w:pPr>
            <w:r w:rsidRPr="00B7760C">
              <w:t>2.</w:t>
            </w:r>
            <w:r w:rsidRPr="00B7760C">
              <w:tab/>
              <w:t xml:space="preserve">Države članice </w:t>
            </w:r>
            <w:r w:rsidRPr="00B7760C">
              <w:rPr>
                <w:b/>
                <w:i/>
              </w:rPr>
              <w:t xml:space="preserve">in po potrebi regije </w:t>
            </w:r>
            <w:r w:rsidRPr="00B7760C">
              <w:t>ocenjevanje zaupajo funkcionalno neodvisnim strokovnjakom.</w:t>
            </w:r>
          </w:p>
        </w:tc>
      </w:tr>
    </w:tbl>
    <w:p w14:paraId="3953960C" w14:textId="77777777" w:rsidR="003663AF" w:rsidRPr="00B7760C" w:rsidRDefault="003663AF" w:rsidP="003663AF"/>
    <w:p w14:paraId="56B01FA0" w14:textId="1E399FFC" w:rsidR="003663AF" w:rsidRPr="00B7760C" w:rsidRDefault="00877691" w:rsidP="003663AF">
      <w:pPr>
        <w:pStyle w:val="AMNumberTabs"/>
        <w:keepNext/>
      </w:pPr>
      <w:r w:rsidRPr="00B7760C">
        <w:t>Sprememba</w:t>
      </w:r>
      <w:r w:rsidR="003663AF" w:rsidRPr="00B7760C">
        <w:tab/>
      </w:r>
      <w:r w:rsidR="003663AF" w:rsidRPr="00B7760C">
        <w:tab/>
        <w:t>694</w:t>
      </w:r>
    </w:p>
    <w:p w14:paraId="3DBA3217" w14:textId="77777777" w:rsidR="003663AF" w:rsidRPr="00B7760C" w:rsidRDefault="003663AF" w:rsidP="003663AF">
      <w:pPr>
        <w:pStyle w:val="NormalBold12b"/>
      </w:pPr>
      <w:r w:rsidRPr="00B7760C">
        <w:t>Predlog uredbe</w:t>
      </w:r>
    </w:p>
    <w:p w14:paraId="2B206497" w14:textId="77777777" w:rsidR="003663AF" w:rsidRPr="00B7760C" w:rsidRDefault="003663AF" w:rsidP="003663AF">
      <w:pPr>
        <w:pStyle w:val="NormalBold"/>
      </w:pPr>
      <w:r w:rsidRPr="00B7760C">
        <w:t>Člen 126 – odstavek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83F0FD4" w14:textId="77777777" w:rsidTr="00E804B7">
        <w:trPr>
          <w:jc w:val="center"/>
        </w:trPr>
        <w:tc>
          <w:tcPr>
            <w:tcW w:w="9752" w:type="dxa"/>
            <w:gridSpan w:val="2"/>
          </w:tcPr>
          <w:p w14:paraId="14BFAC3B" w14:textId="77777777" w:rsidR="003663AF" w:rsidRPr="00B7760C" w:rsidRDefault="003663AF" w:rsidP="00E804B7">
            <w:pPr>
              <w:keepNext/>
            </w:pPr>
          </w:p>
        </w:tc>
      </w:tr>
      <w:tr w:rsidR="003663AF" w:rsidRPr="00B7760C" w14:paraId="3352AE48" w14:textId="77777777" w:rsidTr="00E804B7">
        <w:trPr>
          <w:jc w:val="center"/>
        </w:trPr>
        <w:tc>
          <w:tcPr>
            <w:tcW w:w="4876" w:type="dxa"/>
            <w:hideMark/>
          </w:tcPr>
          <w:p w14:paraId="464EFAED" w14:textId="77777777" w:rsidR="003663AF" w:rsidRPr="00B7760C" w:rsidRDefault="003663AF" w:rsidP="00E804B7">
            <w:pPr>
              <w:pStyle w:val="ColumnHeading"/>
              <w:keepNext/>
            </w:pPr>
            <w:r w:rsidRPr="00B7760C">
              <w:t>Besedilo, ki ga predlaga Komisija</w:t>
            </w:r>
          </w:p>
        </w:tc>
        <w:tc>
          <w:tcPr>
            <w:tcW w:w="4876" w:type="dxa"/>
            <w:hideMark/>
          </w:tcPr>
          <w:p w14:paraId="5EFD37CD" w14:textId="6396485B" w:rsidR="003663AF" w:rsidRPr="00B7760C" w:rsidRDefault="00877691" w:rsidP="00E804B7">
            <w:pPr>
              <w:pStyle w:val="ColumnHeading"/>
              <w:keepNext/>
            </w:pPr>
            <w:r w:rsidRPr="00B7760C">
              <w:t>Sprememba</w:t>
            </w:r>
          </w:p>
        </w:tc>
      </w:tr>
      <w:tr w:rsidR="003663AF" w:rsidRPr="00B7760C" w14:paraId="394A5761" w14:textId="77777777" w:rsidTr="00E804B7">
        <w:trPr>
          <w:jc w:val="center"/>
        </w:trPr>
        <w:tc>
          <w:tcPr>
            <w:tcW w:w="4876" w:type="dxa"/>
            <w:hideMark/>
          </w:tcPr>
          <w:p w14:paraId="05F4CED6" w14:textId="77777777" w:rsidR="003663AF" w:rsidRPr="00B7760C" w:rsidRDefault="003663AF" w:rsidP="00E804B7">
            <w:pPr>
              <w:pStyle w:val="Normal6"/>
            </w:pPr>
            <w:r w:rsidRPr="00B7760C">
              <w:t>3.</w:t>
            </w:r>
            <w:r w:rsidRPr="00B7760C">
              <w:tab/>
              <w:t>Države članice zagotovijo, da so vzpostavljeni postopki za pripravo in zbiranje podatkov, ki so potrebni za ocenjevanje.</w:t>
            </w:r>
          </w:p>
        </w:tc>
        <w:tc>
          <w:tcPr>
            <w:tcW w:w="4876" w:type="dxa"/>
            <w:hideMark/>
          </w:tcPr>
          <w:p w14:paraId="1BAF9095" w14:textId="77777777" w:rsidR="003663AF" w:rsidRPr="00B7760C" w:rsidRDefault="003663AF" w:rsidP="00E804B7">
            <w:pPr>
              <w:pStyle w:val="Normal6"/>
              <w:rPr>
                <w:szCs w:val="24"/>
              </w:rPr>
            </w:pPr>
            <w:r w:rsidRPr="00B7760C">
              <w:t>3.</w:t>
            </w:r>
            <w:r w:rsidRPr="00B7760C">
              <w:tab/>
              <w:t xml:space="preserve">Države članice </w:t>
            </w:r>
            <w:r w:rsidRPr="00B7760C">
              <w:rPr>
                <w:b/>
                <w:i/>
              </w:rPr>
              <w:t xml:space="preserve">in po potrebi regije </w:t>
            </w:r>
            <w:r w:rsidRPr="00B7760C">
              <w:t>zagotovijo, da so vzpostavljeni postopki za pripravo in zbiranje podatkov, ki so potrebni za ocenjevanje.</w:t>
            </w:r>
          </w:p>
        </w:tc>
      </w:tr>
    </w:tbl>
    <w:p w14:paraId="7407075E" w14:textId="77777777" w:rsidR="003663AF" w:rsidRPr="00B7760C" w:rsidRDefault="003663AF" w:rsidP="003663AF"/>
    <w:p w14:paraId="4CB286E7" w14:textId="1762AB45" w:rsidR="003663AF" w:rsidRPr="00B7760C" w:rsidRDefault="00877691" w:rsidP="003663AF">
      <w:pPr>
        <w:pStyle w:val="AMNumberTabs"/>
        <w:keepNext/>
      </w:pPr>
      <w:r w:rsidRPr="00B7760C">
        <w:t>Sprememba</w:t>
      </w:r>
      <w:r w:rsidR="003663AF" w:rsidRPr="00B7760C">
        <w:tab/>
      </w:r>
      <w:r w:rsidR="003663AF" w:rsidRPr="00B7760C">
        <w:tab/>
        <w:t>695</w:t>
      </w:r>
    </w:p>
    <w:p w14:paraId="77EE192A" w14:textId="77777777" w:rsidR="003663AF" w:rsidRPr="00B7760C" w:rsidRDefault="003663AF" w:rsidP="003663AF">
      <w:pPr>
        <w:pStyle w:val="NormalBold12b"/>
      </w:pPr>
      <w:r w:rsidRPr="00B7760C">
        <w:t>Predlog uredbe</w:t>
      </w:r>
    </w:p>
    <w:p w14:paraId="04486AE1" w14:textId="77777777" w:rsidR="003663AF" w:rsidRPr="00B7760C" w:rsidRDefault="003663AF" w:rsidP="003663AF">
      <w:pPr>
        <w:pStyle w:val="NormalBold"/>
      </w:pPr>
      <w:r w:rsidRPr="00B7760C">
        <w:t>Člen 126 – odstavek 4</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82AA611" w14:textId="77777777" w:rsidTr="00E804B7">
        <w:trPr>
          <w:jc w:val="center"/>
        </w:trPr>
        <w:tc>
          <w:tcPr>
            <w:tcW w:w="9752" w:type="dxa"/>
            <w:gridSpan w:val="2"/>
          </w:tcPr>
          <w:p w14:paraId="6938EEB6" w14:textId="77777777" w:rsidR="003663AF" w:rsidRPr="00B7760C" w:rsidRDefault="003663AF" w:rsidP="00E804B7">
            <w:pPr>
              <w:keepNext/>
            </w:pPr>
          </w:p>
        </w:tc>
      </w:tr>
      <w:tr w:rsidR="003663AF" w:rsidRPr="00B7760C" w14:paraId="5E2FECFB" w14:textId="77777777" w:rsidTr="00E804B7">
        <w:trPr>
          <w:jc w:val="center"/>
        </w:trPr>
        <w:tc>
          <w:tcPr>
            <w:tcW w:w="4876" w:type="dxa"/>
            <w:hideMark/>
          </w:tcPr>
          <w:p w14:paraId="2731ADDF" w14:textId="77777777" w:rsidR="003663AF" w:rsidRPr="00B7760C" w:rsidRDefault="003663AF" w:rsidP="00E804B7">
            <w:pPr>
              <w:pStyle w:val="ColumnHeading"/>
              <w:keepNext/>
            </w:pPr>
            <w:r w:rsidRPr="00B7760C">
              <w:t>Besedilo, ki ga predlaga Komisija</w:t>
            </w:r>
          </w:p>
        </w:tc>
        <w:tc>
          <w:tcPr>
            <w:tcW w:w="4876" w:type="dxa"/>
            <w:hideMark/>
          </w:tcPr>
          <w:p w14:paraId="37E819BB" w14:textId="3F51323C" w:rsidR="003663AF" w:rsidRPr="00B7760C" w:rsidRDefault="00877691" w:rsidP="00E804B7">
            <w:pPr>
              <w:pStyle w:val="ColumnHeading"/>
              <w:keepNext/>
            </w:pPr>
            <w:r w:rsidRPr="00B7760C">
              <w:t>Sprememba</w:t>
            </w:r>
          </w:p>
        </w:tc>
      </w:tr>
      <w:tr w:rsidR="003663AF" w:rsidRPr="00B7760C" w14:paraId="54891E74" w14:textId="77777777" w:rsidTr="00E804B7">
        <w:trPr>
          <w:jc w:val="center"/>
        </w:trPr>
        <w:tc>
          <w:tcPr>
            <w:tcW w:w="4876" w:type="dxa"/>
            <w:hideMark/>
          </w:tcPr>
          <w:p w14:paraId="6FA32F0D" w14:textId="77777777" w:rsidR="003663AF" w:rsidRPr="00B7760C" w:rsidRDefault="003663AF" w:rsidP="00E804B7">
            <w:pPr>
              <w:pStyle w:val="Normal6"/>
            </w:pPr>
            <w:r w:rsidRPr="00B7760C">
              <w:t>4.</w:t>
            </w:r>
            <w:r w:rsidRPr="00B7760C">
              <w:tab/>
              <w:t>Države članice so odgovorne za ocenjevanje ustreznosti intervencij strateškega načrta SKP za namene doseganja specifičnih ciljev iz člena</w:t>
            </w:r>
            <w:r w:rsidRPr="00B7760C">
              <w:rPr>
                <w:b/>
                <w:i/>
              </w:rPr>
              <w:t xml:space="preserve"> </w:t>
            </w:r>
            <w:r w:rsidRPr="00B7760C">
              <w:t>6(1).</w:t>
            </w:r>
          </w:p>
        </w:tc>
        <w:tc>
          <w:tcPr>
            <w:tcW w:w="4876" w:type="dxa"/>
            <w:hideMark/>
          </w:tcPr>
          <w:p w14:paraId="6250E5B4" w14:textId="77777777" w:rsidR="003663AF" w:rsidRPr="00B7760C" w:rsidRDefault="003663AF" w:rsidP="00E804B7">
            <w:pPr>
              <w:pStyle w:val="Normal6"/>
              <w:rPr>
                <w:szCs w:val="24"/>
              </w:rPr>
            </w:pPr>
            <w:r w:rsidRPr="00B7760C">
              <w:t>4.</w:t>
            </w:r>
            <w:r w:rsidRPr="00B7760C">
              <w:tab/>
              <w:t xml:space="preserve">Države članice </w:t>
            </w:r>
            <w:r w:rsidRPr="00B7760C">
              <w:rPr>
                <w:b/>
                <w:i/>
              </w:rPr>
              <w:t xml:space="preserve">in po potrebi regije </w:t>
            </w:r>
            <w:r w:rsidRPr="00B7760C">
              <w:t>so odgovorne za ocenjevanje ustreznosti intervencij strateškega načrta SKP za namene doseganja specifičnih ciljev iz člena</w:t>
            </w:r>
            <w:r w:rsidRPr="00B7760C">
              <w:rPr>
                <w:b/>
                <w:i/>
              </w:rPr>
              <w:t> </w:t>
            </w:r>
            <w:r w:rsidRPr="00B7760C">
              <w:t>6(1).</w:t>
            </w:r>
          </w:p>
        </w:tc>
      </w:tr>
    </w:tbl>
    <w:p w14:paraId="2B622FD8" w14:textId="77777777" w:rsidR="003663AF" w:rsidRPr="00B7760C" w:rsidRDefault="003663AF" w:rsidP="003663AF"/>
    <w:p w14:paraId="70D233ED" w14:textId="2900FC2B" w:rsidR="003663AF" w:rsidRPr="00B7760C" w:rsidRDefault="00877691" w:rsidP="003663AF">
      <w:pPr>
        <w:pStyle w:val="AMNumberTabs"/>
        <w:keepNext/>
      </w:pPr>
      <w:r w:rsidRPr="00B7760C">
        <w:t>Sprememba</w:t>
      </w:r>
      <w:r w:rsidR="003663AF" w:rsidRPr="00B7760C">
        <w:tab/>
      </w:r>
      <w:r w:rsidR="003663AF" w:rsidRPr="00B7760C">
        <w:tab/>
        <w:t>696</w:t>
      </w:r>
    </w:p>
    <w:p w14:paraId="4B1F0FB8" w14:textId="77777777" w:rsidR="003663AF" w:rsidRPr="00B7760C" w:rsidRDefault="003663AF" w:rsidP="003663AF">
      <w:pPr>
        <w:pStyle w:val="NormalBold12b"/>
      </w:pPr>
      <w:r w:rsidRPr="00B7760C">
        <w:t>Predlog uredbe</w:t>
      </w:r>
    </w:p>
    <w:p w14:paraId="01AAF32B" w14:textId="77777777" w:rsidR="003663AF" w:rsidRPr="00B7760C" w:rsidRDefault="003663AF" w:rsidP="003663AF">
      <w:pPr>
        <w:pStyle w:val="NormalBold"/>
      </w:pPr>
      <w:r w:rsidRPr="00B7760C">
        <w:t>Člen 126 – odstavek 5</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A36EBDB" w14:textId="77777777" w:rsidTr="00E804B7">
        <w:trPr>
          <w:jc w:val="center"/>
        </w:trPr>
        <w:tc>
          <w:tcPr>
            <w:tcW w:w="9752" w:type="dxa"/>
            <w:gridSpan w:val="2"/>
          </w:tcPr>
          <w:p w14:paraId="163F6CA0" w14:textId="77777777" w:rsidR="003663AF" w:rsidRPr="00B7760C" w:rsidRDefault="003663AF" w:rsidP="00E804B7">
            <w:pPr>
              <w:keepNext/>
            </w:pPr>
          </w:p>
        </w:tc>
      </w:tr>
      <w:tr w:rsidR="003663AF" w:rsidRPr="00B7760C" w14:paraId="23107E20" w14:textId="77777777" w:rsidTr="00E804B7">
        <w:trPr>
          <w:jc w:val="center"/>
        </w:trPr>
        <w:tc>
          <w:tcPr>
            <w:tcW w:w="4876" w:type="dxa"/>
            <w:hideMark/>
          </w:tcPr>
          <w:p w14:paraId="4802DDBD" w14:textId="77777777" w:rsidR="003663AF" w:rsidRPr="00B7760C" w:rsidRDefault="003663AF" w:rsidP="00E804B7">
            <w:pPr>
              <w:pStyle w:val="ColumnHeading"/>
              <w:keepNext/>
            </w:pPr>
            <w:r w:rsidRPr="00B7760C">
              <w:t>Besedilo, ki ga predlaga Komisija</w:t>
            </w:r>
          </w:p>
        </w:tc>
        <w:tc>
          <w:tcPr>
            <w:tcW w:w="4876" w:type="dxa"/>
            <w:hideMark/>
          </w:tcPr>
          <w:p w14:paraId="310189CE" w14:textId="25D6C554" w:rsidR="003663AF" w:rsidRPr="00B7760C" w:rsidRDefault="00877691" w:rsidP="00E804B7">
            <w:pPr>
              <w:pStyle w:val="ColumnHeading"/>
              <w:keepNext/>
            </w:pPr>
            <w:r w:rsidRPr="00B7760C">
              <w:t>Sprememba</w:t>
            </w:r>
          </w:p>
        </w:tc>
      </w:tr>
      <w:tr w:rsidR="003663AF" w:rsidRPr="00B7760C" w14:paraId="2D0FB932" w14:textId="77777777" w:rsidTr="00E804B7">
        <w:trPr>
          <w:jc w:val="center"/>
        </w:trPr>
        <w:tc>
          <w:tcPr>
            <w:tcW w:w="4876" w:type="dxa"/>
            <w:hideMark/>
          </w:tcPr>
          <w:p w14:paraId="4AC366BE" w14:textId="77777777" w:rsidR="003663AF" w:rsidRPr="00B7760C" w:rsidRDefault="003663AF" w:rsidP="00E804B7">
            <w:pPr>
              <w:pStyle w:val="Normal6"/>
            </w:pPr>
            <w:r w:rsidRPr="00B7760C">
              <w:t>5.</w:t>
            </w:r>
            <w:r w:rsidRPr="00B7760C">
              <w:tab/>
              <w:t>Države članice pripravijo načrt ocenjevanja in v njem navedejo načrtovane dejavnosti ocenjevanja v obdobju izvajanja.</w:t>
            </w:r>
          </w:p>
        </w:tc>
        <w:tc>
          <w:tcPr>
            <w:tcW w:w="4876" w:type="dxa"/>
            <w:hideMark/>
          </w:tcPr>
          <w:p w14:paraId="45496E0D" w14:textId="77777777" w:rsidR="003663AF" w:rsidRPr="00B7760C" w:rsidRDefault="003663AF" w:rsidP="00E804B7">
            <w:pPr>
              <w:pStyle w:val="Normal6"/>
              <w:rPr>
                <w:szCs w:val="24"/>
              </w:rPr>
            </w:pPr>
            <w:r w:rsidRPr="00B7760C">
              <w:t>5.</w:t>
            </w:r>
            <w:r w:rsidRPr="00B7760C">
              <w:tab/>
              <w:t xml:space="preserve">Države članice </w:t>
            </w:r>
            <w:r w:rsidRPr="00B7760C">
              <w:rPr>
                <w:b/>
                <w:i/>
              </w:rPr>
              <w:t xml:space="preserve">in po potrebi regije </w:t>
            </w:r>
            <w:r w:rsidRPr="00B7760C">
              <w:t>pripravijo načrt ocenjevanja in v njem navedejo načrtovane dejavnosti ocenjevanja v obdobju izvajanja.</w:t>
            </w:r>
          </w:p>
        </w:tc>
      </w:tr>
    </w:tbl>
    <w:p w14:paraId="4F409026" w14:textId="77777777" w:rsidR="003663AF" w:rsidRPr="00B7760C" w:rsidRDefault="003663AF" w:rsidP="003663AF"/>
    <w:p w14:paraId="7AE6EB9A" w14:textId="3B5CFAD6" w:rsidR="003663AF" w:rsidRPr="00B7760C" w:rsidRDefault="00877691" w:rsidP="003663AF">
      <w:pPr>
        <w:pStyle w:val="AMNumberTabs"/>
        <w:keepNext/>
      </w:pPr>
      <w:r w:rsidRPr="00B7760C">
        <w:t>Sprememba</w:t>
      </w:r>
      <w:r w:rsidR="003663AF" w:rsidRPr="00B7760C">
        <w:tab/>
      </w:r>
      <w:r w:rsidR="003663AF" w:rsidRPr="00B7760C">
        <w:tab/>
        <w:t>697</w:t>
      </w:r>
    </w:p>
    <w:p w14:paraId="07E95F12" w14:textId="77777777" w:rsidR="003663AF" w:rsidRPr="00B7760C" w:rsidRDefault="003663AF" w:rsidP="003663AF">
      <w:pPr>
        <w:pStyle w:val="NormalBold12b"/>
      </w:pPr>
      <w:r w:rsidRPr="00B7760C">
        <w:t>Predlog uredbe</w:t>
      </w:r>
    </w:p>
    <w:p w14:paraId="1EF0ED37" w14:textId="77777777" w:rsidR="003663AF" w:rsidRPr="00B7760C" w:rsidRDefault="003663AF" w:rsidP="003663AF">
      <w:pPr>
        <w:pStyle w:val="NormalBold"/>
      </w:pPr>
      <w:r w:rsidRPr="00B7760C">
        <w:t>Člen 126 – odstavek 6</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0A669EE5" w14:textId="77777777" w:rsidTr="00E804B7">
        <w:trPr>
          <w:jc w:val="center"/>
        </w:trPr>
        <w:tc>
          <w:tcPr>
            <w:tcW w:w="9752" w:type="dxa"/>
            <w:gridSpan w:val="2"/>
          </w:tcPr>
          <w:p w14:paraId="1BC908E3" w14:textId="77777777" w:rsidR="003663AF" w:rsidRPr="00B7760C" w:rsidRDefault="003663AF" w:rsidP="00E804B7">
            <w:pPr>
              <w:keepNext/>
            </w:pPr>
          </w:p>
        </w:tc>
      </w:tr>
      <w:tr w:rsidR="003663AF" w:rsidRPr="00B7760C" w14:paraId="28994078" w14:textId="77777777" w:rsidTr="00E804B7">
        <w:trPr>
          <w:jc w:val="center"/>
        </w:trPr>
        <w:tc>
          <w:tcPr>
            <w:tcW w:w="4876" w:type="dxa"/>
            <w:hideMark/>
          </w:tcPr>
          <w:p w14:paraId="1DEA7409" w14:textId="77777777" w:rsidR="003663AF" w:rsidRPr="00B7760C" w:rsidRDefault="003663AF" w:rsidP="00E804B7">
            <w:pPr>
              <w:pStyle w:val="ColumnHeading"/>
              <w:keepNext/>
            </w:pPr>
            <w:r w:rsidRPr="00B7760C">
              <w:t>Besedilo, ki ga predlaga Komisija</w:t>
            </w:r>
          </w:p>
        </w:tc>
        <w:tc>
          <w:tcPr>
            <w:tcW w:w="4876" w:type="dxa"/>
            <w:hideMark/>
          </w:tcPr>
          <w:p w14:paraId="467243A1" w14:textId="790FBCFB" w:rsidR="003663AF" w:rsidRPr="00B7760C" w:rsidRDefault="00877691" w:rsidP="00E804B7">
            <w:pPr>
              <w:pStyle w:val="ColumnHeading"/>
              <w:keepNext/>
            </w:pPr>
            <w:r w:rsidRPr="00B7760C">
              <w:t>Sprememba</w:t>
            </w:r>
          </w:p>
        </w:tc>
      </w:tr>
      <w:tr w:rsidR="003663AF" w:rsidRPr="00B7760C" w14:paraId="7ADEF49D" w14:textId="77777777" w:rsidTr="00E804B7">
        <w:trPr>
          <w:jc w:val="center"/>
        </w:trPr>
        <w:tc>
          <w:tcPr>
            <w:tcW w:w="4876" w:type="dxa"/>
            <w:hideMark/>
          </w:tcPr>
          <w:p w14:paraId="1A4B124A" w14:textId="77777777" w:rsidR="003663AF" w:rsidRPr="00B7760C" w:rsidRDefault="003663AF" w:rsidP="00E804B7">
            <w:pPr>
              <w:pStyle w:val="Normal6"/>
            </w:pPr>
            <w:r w:rsidRPr="00B7760C">
              <w:t>6.</w:t>
            </w:r>
            <w:r w:rsidRPr="00B7760C">
              <w:tab/>
              <w:t>Države članice predložijo načrt ocenjevanja odboru za spremljanje najkasneje eno leto po sprejetju strateškega načrta SKP.</w:t>
            </w:r>
          </w:p>
        </w:tc>
        <w:tc>
          <w:tcPr>
            <w:tcW w:w="4876" w:type="dxa"/>
            <w:hideMark/>
          </w:tcPr>
          <w:p w14:paraId="4D095A6D" w14:textId="77777777" w:rsidR="003663AF" w:rsidRPr="00B7760C" w:rsidRDefault="003663AF" w:rsidP="00E804B7">
            <w:pPr>
              <w:pStyle w:val="Normal6"/>
              <w:rPr>
                <w:szCs w:val="24"/>
              </w:rPr>
            </w:pPr>
            <w:r w:rsidRPr="00B7760C">
              <w:t>6.</w:t>
            </w:r>
            <w:r w:rsidRPr="00B7760C">
              <w:tab/>
              <w:t xml:space="preserve">Države članice </w:t>
            </w:r>
            <w:r w:rsidRPr="00B7760C">
              <w:rPr>
                <w:b/>
                <w:i/>
              </w:rPr>
              <w:t xml:space="preserve">in po potrebi regije </w:t>
            </w:r>
            <w:r w:rsidRPr="00B7760C">
              <w:t>predložijo načrt ocenjevanja odboru za spremljanje najkasneje eno leto po sprejetju strateškega načrta SKP.</w:t>
            </w:r>
          </w:p>
        </w:tc>
      </w:tr>
    </w:tbl>
    <w:p w14:paraId="565B3640" w14:textId="5D526827" w:rsidR="003663AF" w:rsidRPr="00B7760C" w:rsidRDefault="003663AF" w:rsidP="003663AF"/>
    <w:p w14:paraId="7017DE59" w14:textId="0CC15BAC" w:rsidR="008E16DC" w:rsidRPr="00B7760C" w:rsidRDefault="008E16DC" w:rsidP="008E16DC">
      <w:pPr>
        <w:pStyle w:val="AmNumberTabs0"/>
      </w:pPr>
      <w:r w:rsidRPr="00B7760C">
        <w:t>Spremembi</w:t>
      </w:r>
      <w:r w:rsidRPr="00B7760C">
        <w:tab/>
      </w:r>
      <w:r w:rsidRPr="00B7760C">
        <w:tab/>
        <w:t>987 in 1335</w:t>
      </w:r>
    </w:p>
    <w:p w14:paraId="5EB9E621" w14:textId="77777777" w:rsidR="008E16DC" w:rsidRPr="00B7760C" w:rsidRDefault="008E16DC" w:rsidP="008E16DC">
      <w:pPr>
        <w:pStyle w:val="NormalBold12b"/>
      </w:pPr>
      <w:r w:rsidRPr="00B7760C">
        <w:t>Predlog uredbe</w:t>
      </w:r>
    </w:p>
    <w:p w14:paraId="1CBE6C1D" w14:textId="77777777" w:rsidR="008E16DC" w:rsidRPr="00B7760C" w:rsidRDefault="008E16DC" w:rsidP="008E16DC">
      <w:pPr>
        <w:pStyle w:val="NormalBold"/>
      </w:pPr>
      <w:r w:rsidRPr="00B7760C">
        <w:t>Člen 127 – odstavek 1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8E16DC" w:rsidRPr="00B7760C" w14:paraId="33E385A6" w14:textId="77777777" w:rsidTr="00A35DEB">
        <w:trPr>
          <w:trHeight w:hRule="exact" w:val="240"/>
          <w:jc w:val="center"/>
        </w:trPr>
        <w:tc>
          <w:tcPr>
            <w:tcW w:w="9752" w:type="dxa"/>
            <w:gridSpan w:val="2"/>
          </w:tcPr>
          <w:p w14:paraId="50464C22" w14:textId="77777777" w:rsidR="008E16DC" w:rsidRPr="00B7760C" w:rsidRDefault="008E16DC" w:rsidP="00A35DEB"/>
        </w:tc>
      </w:tr>
      <w:tr w:rsidR="008E16DC" w:rsidRPr="00B7760C" w14:paraId="271C9372" w14:textId="77777777" w:rsidTr="00A35DEB">
        <w:trPr>
          <w:trHeight w:val="240"/>
          <w:jc w:val="center"/>
        </w:trPr>
        <w:tc>
          <w:tcPr>
            <w:tcW w:w="4876" w:type="dxa"/>
          </w:tcPr>
          <w:p w14:paraId="3A8B0E37" w14:textId="77777777" w:rsidR="008E16DC" w:rsidRPr="00B7760C" w:rsidRDefault="008E16DC" w:rsidP="00A35DEB">
            <w:pPr>
              <w:pStyle w:val="AmColumnHeading"/>
            </w:pPr>
            <w:r w:rsidRPr="00B7760C">
              <w:t>Besedilo, ki ga predlaga Komisija</w:t>
            </w:r>
          </w:p>
        </w:tc>
        <w:tc>
          <w:tcPr>
            <w:tcW w:w="4876" w:type="dxa"/>
          </w:tcPr>
          <w:p w14:paraId="03AD36D1" w14:textId="04CFA13C" w:rsidR="008E16DC" w:rsidRPr="00B7760C" w:rsidRDefault="008E16DC" w:rsidP="00A35DEB">
            <w:pPr>
              <w:pStyle w:val="AmColumnHeading"/>
            </w:pPr>
            <w:r w:rsidRPr="00B7760C">
              <w:t>Sprememba</w:t>
            </w:r>
          </w:p>
        </w:tc>
      </w:tr>
      <w:tr w:rsidR="008E16DC" w:rsidRPr="00B7760C" w14:paraId="3CCB296C" w14:textId="77777777" w:rsidTr="00A35DEB">
        <w:trPr>
          <w:jc w:val="center"/>
        </w:trPr>
        <w:tc>
          <w:tcPr>
            <w:tcW w:w="4876" w:type="dxa"/>
          </w:tcPr>
          <w:p w14:paraId="0E5133A4" w14:textId="77777777" w:rsidR="008E16DC" w:rsidRPr="00B7760C" w:rsidRDefault="008E16DC" w:rsidP="00A35DEB">
            <w:pPr>
              <w:pStyle w:val="Normal6a"/>
            </w:pPr>
          </w:p>
        </w:tc>
        <w:tc>
          <w:tcPr>
            <w:tcW w:w="4876" w:type="dxa"/>
          </w:tcPr>
          <w:p w14:paraId="5C36C908" w14:textId="14CF460D" w:rsidR="008E16DC" w:rsidRPr="00B7760C" w:rsidRDefault="008E16DC" w:rsidP="00AB1DA6">
            <w:pPr>
              <w:pStyle w:val="Normal6a"/>
            </w:pPr>
            <w:r w:rsidRPr="00B7760C">
              <w:rPr>
                <w:b/>
                <w:i/>
              </w:rPr>
              <w:t>1a.</w:t>
            </w:r>
            <w:r w:rsidRPr="00B7760C">
              <w:tab/>
            </w:r>
            <w:r w:rsidRPr="00B7760C">
              <w:rPr>
                <w:b/>
                <w:i/>
              </w:rPr>
              <w:t xml:space="preserve">Takoj ko bodo odobreni vsi nacionalni strateški načrti SKP, bo </w:t>
            </w:r>
            <w:r w:rsidR="00AB1DA6" w:rsidRPr="00B7760C">
              <w:rPr>
                <w:b/>
                <w:i/>
              </w:rPr>
              <w:t>K</w:t>
            </w:r>
            <w:r w:rsidRPr="00B7760C">
              <w:rPr>
                <w:b/>
                <w:i/>
              </w:rPr>
              <w:t xml:space="preserve">omisija naročila neodvisno oceno njihovega skupnega pričakovanega učinka. Če bo ta analiza pokazala nezadostna skupna prizadevanja v zvezi z ambicijami evropskega zelenega dogovora, bo </w:t>
            </w:r>
            <w:r w:rsidR="00AB1DA6" w:rsidRPr="00B7760C">
              <w:rPr>
                <w:b/>
                <w:i/>
              </w:rPr>
              <w:t>K</w:t>
            </w:r>
            <w:r w:rsidRPr="00B7760C">
              <w:rPr>
                <w:b/>
                <w:i/>
              </w:rPr>
              <w:t>omisija ustrezno ukrepala in lahko zahtevala, da države članice spremenijo strateške načrte SKP ali predlagajo spremembe k tej uredbi.</w:t>
            </w:r>
          </w:p>
        </w:tc>
      </w:tr>
    </w:tbl>
    <w:p w14:paraId="3D729701" w14:textId="01D1D558" w:rsidR="008E16DC" w:rsidRPr="00B7760C" w:rsidRDefault="008E16DC" w:rsidP="003663AF"/>
    <w:p w14:paraId="0F4C8EAD" w14:textId="191A633E" w:rsidR="008E16DC" w:rsidRPr="00B7760C" w:rsidRDefault="008E16DC" w:rsidP="008E16DC">
      <w:pPr>
        <w:pStyle w:val="AmNumberTabs0"/>
      </w:pPr>
      <w:r w:rsidRPr="00B7760C">
        <w:t>Spremembi</w:t>
      </w:r>
      <w:r w:rsidRPr="00B7760C">
        <w:tab/>
      </w:r>
      <w:r w:rsidRPr="00B7760C">
        <w:tab/>
        <w:t>988 in 1336</w:t>
      </w:r>
    </w:p>
    <w:p w14:paraId="070A40E4" w14:textId="77777777" w:rsidR="008E16DC" w:rsidRPr="00B7760C" w:rsidRDefault="008E16DC" w:rsidP="008E16DC">
      <w:pPr>
        <w:pStyle w:val="NormalBold12b"/>
      </w:pPr>
      <w:r w:rsidRPr="00B7760C">
        <w:t>Predlog uredbe</w:t>
      </w:r>
    </w:p>
    <w:p w14:paraId="2F682D97" w14:textId="77777777" w:rsidR="008E16DC" w:rsidRPr="00B7760C" w:rsidRDefault="008E16DC" w:rsidP="008E16DC">
      <w:pPr>
        <w:pStyle w:val="NormalBold"/>
      </w:pPr>
      <w:r w:rsidRPr="00B7760C">
        <w:t>Člen 127 – odstavek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8E16DC" w:rsidRPr="00B7760C" w14:paraId="6F424FCF" w14:textId="77777777" w:rsidTr="00A35DEB">
        <w:trPr>
          <w:trHeight w:hRule="exact" w:val="240"/>
          <w:jc w:val="center"/>
        </w:trPr>
        <w:tc>
          <w:tcPr>
            <w:tcW w:w="9752" w:type="dxa"/>
            <w:gridSpan w:val="2"/>
          </w:tcPr>
          <w:p w14:paraId="4AA9CDA0" w14:textId="77777777" w:rsidR="008E16DC" w:rsidRPr="00B7760C" w:rsidRDefault="008E16DC" w:rsidP="00A35DEB"/>
        </w:tc>
      </w:tr>
      <w:tr w:rsidR="008E16DC" w:rsidRPr="00B7760C" w14:paraId="4F829C21" w14:textId="77777777" w:rsidTr="00A35DEB">
        <w:trPr>
          <w:trHeight w:val="240"/>
          <w:jc w:val="center"/>
        </w:trPr>
        <w:tc>
          <w:tcPr>
            <w:tcW w:w="4876" w:type="dxa"/>
          </w:tcPr>
          <w:p w14:paraId="5DFCAC7D" w14:textId="77777777" w:rsidR="008E16DC" w:rsidRPr="00B7760C" w:rsidRDefault="008E16DC" w:rsidP="00A35DEB">
            <w:pPr>
              <w:pStyle w:val="AmColumnHeading"/>
            </w:pPr>
            <w:r w:rsidRPr="00B7760C">
              <w:t>Besedilo, ki ga predlaga Komisija</w:t>
            </w:r>
          </w:p>
        </w:tc>
        <w:tc>
          <w:tcPr>
            <w:tcW w:w="4876" w:type="dxa"/>
          </w:tcPr>
          <w:p w14:paraId="41720DA7" w14:textId="49E02DD7" w:rsidR="008E16DC" w:rsidRPr="00B7760C" w:rsidRDefault="008E16DC" w:rsidP="00A35DEB">
            <w:pPr>
              <w:pStyle w:val="AmColumnHeading"/>
            </w:pPr>
            <w:r w:rsidRPr="00B7760C">
              <w:t>Sprememba</w:t>
            </w:r>
          </w:p>
        </w:tc>
      </w:tr>
      <w:tr w:rsidR="008E16DC" w:rsidRPr="00B7760C" w14:paraId="7D3CC23C" w14:textId="77777777" w:rsidTr="00A35DEB">
        <w:trPr>
          <w:jc w:val="center"/>
        </w:trPr>
        <w:tc>
          <w:tcPr>
            <w:tcW w:w="4876" w:type="dxa"/>
          </w:tcPr>
          <w:p w14:paraId="60AC7D5F" w14:textId="77777777" w:rsidR="008E16DC" w:rsidRPr="00B7760C" w:rsidRDefault="008E16DC" w:rsidP="00A35DEB">
            <w:pPr>
              <w:pStyle w:val="Normal6a"/>
            </w:pPr>
            <w:r w:rsidRPr="00B7760C">
              <w:t>2.</w:t>
            </w:r>
            <w:r w:rsidRPr="00B7760C">
              <w:tab/>
              <w:t>Komisija pred koncem tretjega leta po začetku izvajanja strateških načrtov SKP opravi vmesno oceno in prouči uspešnost, učinkovitost, ustreznost, usklajenost in dodano vrednost Unije za EKJS in EKSRP ter pri tem upošteva kazalnike iz Priloge I. Komisija lahko uporabi vse ustrezne informacije, ki so že na voljo, v skladu s členom [128] [nove finančne uredbe].</w:t>
            </w:r>
          </w:p>
        </w:tc>
        <w:tc>
          <w:tcPr>
            <w:tcW w:w="4876" w:type="dxa"/>
          </w:tcPr>
          <w:p w14:paraId="5452881E" w14:textId="1E603280" w:rsidR="008E16DC" w:rsidRPr="00B7760C" w:rsidRDefault="008E16DC" w:rsidP="00AB1DA6">
            <w:pPr>
              <w:pStyle w:val="Normal6a"/>
            </w:pPr>
            <w:r w:rsidRPr="00B7760C">
              <w:t>2.</w:t>
            </w:r>
            <w:r w:rsidRPr="00B7760C">
              <w:tab/>
              <w:t xml:space="preserve">Komisija pred koncem tretjega leta po začetku izvajanja strateških načrtov SKP opravi </w:t>
            </w:r>
            <w:r w:rsidRPr="00B7760C">
              <w:rPr>
                <w:b/>
                <w:i/>
              </w:rPr>
              <w:t>in objavi</w:t>
            </w:r>
            <w:r w:rsidRPr="00B7760C">
              <w:t xml:space="preserve"> vmesno oceno in prouči uspešnost, učinkovitost, ustreznost, usklajenost in dodano vrednost Unije za EKJS in EKSRP ter pri tem upošteva kazalnike iz Priloge I. Komisija lahko uporabi vse ustrezne informacije, ki so že na voljo, v skladu s členom [128] [nove finančne uredbe]. </w:t>
            </w:r>
            <w:r w:rsidRPr="00B7760C">
              <w:rPr>
                <w:b/>
                <w:i/>
              </w:rPr>
              <w:t xml:space="preserve">Če vmesna ocena pokaže nezadostna skupna prizadevanja v zvezi z ambicijami evropskega zelenega dogovora ter okoljske in podnebne zakonodaje Unije, </w:t>
            </w:r>
            <w:r w:rsidR="00AB1DA6" w:rsidRPr="00B7760C">
              <w:rPr>
                <w:b/>
                <w:i/>
              </w:rPr>
              <w:t>Komisija izda</w:t>
            </w:r>
            <w:r w:rsidRPr="00B7760C">
              <w:rPr>
                <w:b/>
                <w:i/>
              </w:rPr>
              <w:t xml:space="preserve"> priporočila za države članice, da se zagotovi doseganje ciljev evropskega zelenega dogovora in zakonodaje iz Priloge XI. Države članice v svojem letnem poročilu o smotrnosti navedejo, kako so priporočila upoštevale oziroma zakaj priporočil ali njihovih delov niso obravnavale.</w:t>
            </w:r>
          </w:p>
        </w:tc>
      </w:tr>
    </w:tbl>
    <w:p w14:paraId="69F24BA3" w14:textId="77777777" w:rsidR="008E16DC" w:rsidRPr="00B7760C" w:rsidRDefault="008E16DC" w:rsidP="003663AF"/>
    <w:p w14:paraId="043D21FA" w14:textId="6BD1CFD5" w:rsidR="003663AF" w:rsidRPr="00B7760C" w:rsidRDefault="00877691" w:rsidP="003663AF">
      <w:pPr>
        <w:pStyle w:val="AMNumberTabs"/>
        <w:keepNext/>
      </w:pPr>
      <w:r w:rsidRPr="00B7760C">
        <w:t>Sprememba</w:t>
      </w:r>
      <w:r w:rsidR="003663AF" w:rsidRPr="00B7760C">
        <w:tab/>
      </w:r>
      <w:r w:rsidR="003663AF" w:rsidRPr="00B7760C">
        <w:tab/>
        <w:t>698</w:t>
      </w:r>
    </w:p>
    <w:p w14:paraId="384D1670" w14:textId="77777777" w:rsidR="003663AF" w:rsidRPr="00B7760C" w:rsidRDefault="003663AF" w:rsidP="003663AF">
      <w:pPr>
        <w:pStyle w:val="NormalBold12b"/>
      </w:pPr>
      <w:r w:rsidRPr="00B7760C">
        <w:t>Predlog uredbe</w:t>
      </w:r>
    </w:p>
    <w:p w14:paraId="00629D62" w14:textId="77777777" w:rsidR="003663AF" w:rsidRPr="00B7760C" w:rsidRDefault="003663AF" w:rsidP="003663AF">
      <w:pPr>
        <w:pStyle w:val="NormalBold"/>
      </w:pPr>
      <w:r w:rsidRPr="00B7760C">
        <w:t>Člen 127 – odstavek 4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3F3E277" w14:textId="77777777" w:rsidTr="00E804B7">
        <w:trPr>
          <w:jc w:val="center"/>
        </w:trPr>
        <w:tc>
          <w:tcPr>
            <w:tcW w:w="9752" w:type="dxa"/>
            <w:gridSpan w:val="2"/>
          </w:tcPr>
          <w:p w14:paraId="623C7225" w14:textId="77777777" w:rsidR="003663AF" w:rsidRPr="00B7760C" w:rsidRDefault="003663AF" w:rsidP="00E804B7">
            <w:pPr>
              <w:keepNext/>
            </w:pPr>
          </w:p>
        </w:tc>
      </w:tr>
      <w:tr w:rsidR="003663AF" w:rsidRPr="00B7760C" w14:paraId="5D5826FF" w14:textId="77777777" w:rsidTr="00E804B7">
        <w:trPr>
          <w:jc w:val="center"/>
        </w:trPr>
        <w:tc>
          <w:tcPr>
            <w:tcW w:w="4876" w:type="dxa"/>
            <w:hideMark/>
          </w:tcPr>
          <w:p w14:paraId="7E43BC1A" w14:textId="77777777" w:rsidR="003663AF" w:rsidRPr="00B7760C" w:rsidRDefault="003663AF" w:rsidP="00E804B7">
            <w:pPr>
              <w:pStyle w:val="ColumnHeading"/>
              <w:keepNext/>
            </w:pPr>
            <w:r w:rsidRPr="00B7760C">
              <w:t>Besedilo, ki ga predlaga Komisija</w:t>
            </w:r>
          </w:p>
        </w:tc>
        <w:tc>
          <w:tcPr>
            <w:tcW w:w="4876" w:type="dxa"/>
            <w:hideMark/>
          </w:tcPr>
          <w:p w14:paraId="07943F97" w14:textId="6B1F18E2" w:rsidR="003663AF" w:rsidRPr="00B7760C" w:rsidRDefault="00877691" w:rsidP="00E804B7">
            <w:pPr>
              <w:pStyle w:val="ColumnHeading"/>
              <w:keepNext/>
            </w:pPr>
            <w:r w:rsidRPr="00B7760C">
              <w:t>Sprememba</w:t>
            </w:r>
          </w:p>
        </w:tc>
      </w:tr>
      <w:tr w:rsidR="003663AF" w:rsidRPr="00B7760C" w14:paraId="5C336C0E" w14:textId="77777777" w:rsidTr="00E804B7">
        <w:trPr>
          <w:jc w:val="center"/>
        </w:trPr>
        <w:tc>
          <w:tcPr>
            <w:tcW w:w="4876" w:type="dxa"/>
          </w:tcPr>
          <w:p w14:paraId="19DCE5BF" w14:textId="77777777" w:rsidR="003663AF" w:rsidRPr="00B7760C" w:rsidRDefault="003663AF" w:rsidP="00E804B7">
            <w:pPr>
              <w:pStyle w:val="Normal6"/>
            </w:pPr>
          </w:p>
        </w:tc>
        <w:tc>
          <w:tcPr>
            <w:tcW w:w="4876" w:type="dxa"/>
            <w:hideMark/>
          </w:tcPr>
          <w:p w14:paraId="4A669372" w14:textId="77777777" w:rsidR="003663AF" w:rsidRPr="00B7760C" w:rsidRDefault="003663AF" w:rsidP="00E804B7">
            <w:pPr>
              <w:pStyle w:val="Normal6"/>
              <w:rPr>
                <w:szCs w:val="24"/>
              </w:rPr>
            </w:pPr>
            <w:r w:rsidRPr="00B7760C">
              <w:rPr>
                <w:b/>
                <w:i/>
              </w:rPr>
              <w:t>4a.</w:t>
            </w:r>
            <w:r w:rsidRPr="00B7760C">
              <w:rPr>
                <w:b/>
                <w:i/>
              </w:rPr>
              <w:tab/>
              <w:t>Komisija v svojih poročilih o ocenah upošteva kazalnike iz Priloge I k tej uredbi ter dejavnike izven SKP, ki so vplivali na doseženo smotrnost.</w:t>
            </w:r>
          </w:p>
        </w:tc>
      </w:tr>
    </w:tbl>
    <w:p w14:paraId="3BC547A7" w14:textId="77777777" w:rsidR="003663AF" w:rsidRPr="00B7760C" w:rsidRDefault="003663AF" w:rsidP="003663AF"/>
    <w:p w14:paraId="1A5AA118" w14:textId="230A95B5" w:rsidR="003663AF" w:rsidRPr="00B7760C" w:rsidRDefault="00877691" w:rsidP="003663AF">
      <w:pPr>
        <w:pStyle w:val="AMNumberTabs"/>
        <w:keepNext/>
      </w:pPr>
      <w:r w:rsidRPr="00B7760C">
        <w:t>Sprememba</w:t>
      </w:r>
      <w:r w:rsidR="003663AF" w:rsidRPr="00B7760C">
        <w:tab/>
      </w:r>
      <w:r w:rsidR="003663AF" w:rsidRPr="00B7760C">
        <w:tab/>
        <w:t>699</w:t>
      </w:r>
    </w:p>
    <w:p w14:paraId="21E2DDE0" w14:textId="77777777" w:rsidR="003663AF" w:rsidRPr="00B7760C" w:rsidRDefault="003663AF" w:rsidP="003663AF">
      <w:pPr>
        <w:pStyle w:val="NormalBold12b"/>
      </w:pPr>
      <w:r w:rsidRPr="00B7760C">
        <w:t>Predlog uredbe</w:t>
      </w:r>
    </w:p>
    <w:p w14:paraId="1766B125" w14:textId="77777777" w:rsidR="003663AF" w:rsidRPr="00B7760C" w:rsidRDefault="003663AF" w:rsidP="003663AF">
      <w:pPr>
        <w:pStyle w:val="NormalBold"/>
      </w:pPr>
      <w:r w:rsidRPr="00B7760C">
        <w:t>Člen 129 – odstavek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746B18A" w14:textId="77777777" w:rsidTr="00E804B7">
        <w:trPr>
          <w:jc w:val="center"/>
        </w:trPr>
        <w:tc>
          <w:tcPr>
            <w:tcW w:w="9752" w:type="dxa"/>
            <w:gridSpan w:val="2"/>
          </w:tcPr>
          <w:p w14:paraId="59A698F4" w14:textId="77777777" w:rsidR="003663AF" w:rsidRPr="00B7760C" w:rsidRDefault="003663AF" w:rsidP="00E804B7">
            <w:pPr>
              <w:keepNext/>
            </w:pPr>
          </w:p>
        </w:tc>
      </w:tr>
      <w:tr w:rsidR="003663AF" w:rsidRPr="00B7760C" w14:paraId="4FCA78C2" w14:textId="77777777" w:rsidTr="00E804B7">
        <w:trPr>
          <w:jc w:val="center"/>
        </w:trPr>
        <w:tc>
          <w:tcPr>
            <w:tcW w:w="4876" w:type="dxa"/>
            <w:hideMark/>
          </w:tcPr>
          <w:p w14:paraId="1E15E05D" w14:textId="77777777" w:rsidR="003663AF" w:rsidRPr="00B7760C" w:rsidRDefault="003663AF" w:rsidP="00E804B7">
            <w:pPr>
              <w:pStyle w:val="ColumnHeading"/>
              <w:keepNext/>
            </w:pPr>
            <w:r w:rsidRPr="00B7760C">
              <w:t>Besedilo, ki ga predlaga Komisija</w:t>
            </w:r>
          </w:p>
        </w:tc>
        <w:tc>
          <w:tcPr>
            <w:tcW w:w="4876" w:type="dxa"/>
            <w:hideMark/>
          </w:tcPr>
          <w:p w14:paraId="484D1279" w14:textId="681E011D" w:rsidR="003663AF" w:rsidRPr="00B7760C" w:rsidRDefault="00877691" w:rsidP="00E804B7">
            <w:pPr>
              <w:pStyle w:val="ColumnHeading"/>
              <w:keepNext/>
            </w:pPr>
            <w:r w:rsidRPr="00B7760C">
              <w:t>Sprememba</w:t>
            </w:r>
          </w:p>
        </w:tc>
      </w:tr>
      <w:tr w:rsidR="003663AF" w:rsidRPr="00B7760C" w14:paraId="36EEB54E" w14:textId="77777777" w:rsidTr="00E804B7">
        <w:trPr>
          <w:jc w:val="center"/>
        </w:trPr>
        <w:tc>
          <w:tcPr>
            <w:tcW w:w="4876" w:type="dxa"/>
            <w:hideMark/>
          </w:tcPr>
          <w:p w14:paraId="25878B49" w14:textId="77777777" w:rsidR="003663AF" w:rsidRPr="00B7760C" w:rsidRDefault="003663AF" w:rsidP="00E804B7">
            <w:pPr>
              <w:pStyle w:val="Normal6"/>
            </w:pPr>
            <w:r w:rsidRPr="00B7760C">
              <w:t>2.</w:t>
            </w:r>
            <w:r w:rsidRPr="00B7760C">
              <w:tab/>
              <w:t xml:space="preserve">Podatki, potrebni za kazalnike ozadja in učinka, izhajajo predvsem iz uveljavljenih virov podatkov, kot sta mreža za zbiranje računovodskih podatkov s kmetijskih gospodarstev in Eurostat. Kadar podatki za te kazalnike niso na voljo ali popolni, </w:t>
            </w:r>
            <w:r w:rsidRPr="00B7760C">
              <w:rPr>
                <w:b/>
                <w:i/>
              </w:rPr>
              <w:t>se</w:t>
            </w:r>
            <w:r w:rsidRPr="00B7760C">
              <w:t xml:space="preserve"> vrzeli </w:t>
            </w:r>
            <w:r w:rsidRPr="00B7760C">
              <w:rPr>
                <w:b/>
                <w:i/>
              </w:rPr>
              <w:t>obravnavajo</w:t>
            </w:r>
            <w:r w:rsidRPr="00B7760C">
              <w:t xml:space="preserve"> v okviru evropskega statističnega programa, ustanovljenega na podlagi Uredbe (ES) št.</w:t>
            </w:r>
            <w:r w:rsidRPr="00B7760C">
              <w:rPr>
                <w:b/>
                <w:i/>
              </w:rPr>
              <w:t> </w:t>
            </w:r>
            <w:r w:rsidRPr="00B7760C">
              <w:t>223/2009 Evropskega parlamenta in Sveta</w:t>
            </w:r>
            <w:r w:rsidRPr="00B7760C">
              <w:rPr>
                <w:vertAlign w:val="superscript"/>
              </w:rPr>
              <w:t>40</w:t>
            </w:r>
            <w:r w:rsidRPr="00B7760C">
              <w:t>, pravnega okvira mreže za zbiranje računovodskih podatkov s kmetijskih gospodarstev ali s formalnimi dogovori z drugimi ponudniki podatkov, kot sta Skupno raziskovalno središče in Evropska agencija za okolje.</w:t>
            </w:r>
          </w:p>
        </w:tc>
        <w:tc>
          <w:tcPr>
            <w:tcW w:w="4876" w:type="dxa"/>
            <w:hideMark/>
          </w:tcPr>
          <w:p w14:paraId="5BF73D12" w14:textId="77777777" w:rsidR="003663AF" w:rsidRPr="00B7760C" w:rsidRDefault="003663AF" w:rsidP="00E804B7">
            <w:pPr>
              <w:pStyle w:val="Normal6"/>
              <w:rPr>
                <w:szCs w:val="24"/>
              </w:rPr>
            </w:pPr>
            <w:r w:rsidRPr="00B7760C">
              <w:t>2.</w:t>
            </w:r>
            <w:r w:rsidRPr="00B7760C">
              <w:tab/>
              <w:t xml:space="preserve">Podatki, potrebni za kazalnike ozadja in učinka, izhajajo predvsem iz uveljavljenih virov podatkov, kot sta mreža za zbiranje računovodskih podatkov s kmetijskih gospodarstev in Eurostat. Kadar podatki za te kazalnike niso na voljo ali popolni, </w:t>
            </w:r>
            <w:r w:rsidRPr="00B7760C">
              <w:rPr>
                <w:b/>
                <w:i/>
              </w:rPr>
              <w:t>Evropska komisija</w:t>
            </w:r>
            <w:r w:rsidRPr="00B7760C">
              <w:t xml:space="preserve"> vrzeli </w:t>
            </w:r>
            <w:r w:rsidRPr="00B7760C">
              <w:rPr>
                <w:b/>
                <w:i/>
              </w:rPr>
              <w:t>rešuje</w:t>
            </w:r>
            <w:r w:rsidRPr="00B7760C">
              <w:t xml:space="preserve"> v okviru evropskega statističnega programa, ustanovljenega na podlagi Uredbe (ES) št.</w:t>
            </w:r>
            <w:r w:rsidRPr="00B7760C">
              <w:rPr>
                <w:b/>
                <w:i/>
              </w:rPr>
              <w:t xml:space="preserve"> </w:t>
            </w:r>
            <w:r w:rsidRPr="00B7760C">
              <w:t>223/2009 Evropskega parlamenta in Sveta</w:t>
            </w:r>
            <w:r w:rsidRPr="00B7760C">
              <w:rPr>
                <w:vertAlign w:val="superscript"/>
              </w:rPr>
              <w:t>40</w:t>
            </w:r>
            <w:r w:rsidRPr="00B7760C">
              <w:t>, pravnega okvira mreže za zbiranje računovodskih podatkov s kmetijskih gospodarstev ali s formalnimi dogovori z drugimi ponudniki podatkov, kot sta Skupno raziskovalno središče in Evropska agencija za okolje.</w:t>
            </w:r>
          </w:p>
        </w:tc>
      </w:tr>
      <w:tr w:rsidR="003663AF" w:rsidRPr="00B7760C" w14:paraId="6E313E4A" w14:textId="77777777" w:rsidTr="00E804B7">
        <w:trPr>
          <w:jc w:val="center"/>
        </w:trPr>
        <w:tc>
          <w:tcPr>
            <w:tcW w:w="4876" w:type="dxa"/>
            <w:hideMark/>
          </w:tcPr>
          <w:p w14:paraId="7EAE3C09" w14:textId="77777777" w:rsidR="003663AF" w:rsidRPr="00B7760C" w:rsidRDefault="003663AF" w:rsidP="00E804B7">
            <w:pPr>
              <w:pStyle w:val="Normal6"/>
            </w:pPr>
            <w:r w:rsidRPr="00B7760C">
              <w:t>__________________</w:t>
            </w:r>
          </w:p>
        </w:tc>
        <w:tc>
          <w:tcPr>
            <w:tcW w:w="4876" w:type="dxa"/>
            <w:hideMark/>
          </w:tcPr>
          <w:p w14:paraId="7D422924" w14:textId="77777777" w:rsidR="003663AF" w:rsidRPr="00B7760C" w:rsidRDefault="003663AF" w:rsidP="00E804B7">
            <w:pPr>
              <w:pStyle w:val="Normal6"/>
              <w:rPr>
                <w:szCs w:val="24"/>
              </w:rPr>
            </w:pPr>
            <w:r w:rsidRPr="00B7760C">
              <w:t>__________________</w:t>
            </w:r>
          </w:p>
        </w:tc>
      </w:tr>
      <w:tr w:rsidR="003663AF" w:rsidRPr="00B7760C" w14:paraId="771B1866" w14:textId="77777777" w:rsidTr="00E804B7">
        <w:trPr>
          <w:jc w:val="center"/>
        </w:trPr>
        <w:tc>
          <w:tcPr>
            <w:tcW w:w="4876" w:type="dxa"/>
            <w:hideMark/>
          </w:tcPr>
          <w:p w14:paraId="722F9298" w14:textId="360489F0" w:rsidR="003663AF" w:rsidRPr="00B7760C" w:rsidRDefault="003663AF" w:rsidP="00E804B7">
            <w:pPr>
              <w:pStyle w:val="Normal6"/>
            </w:pPr>
            <w:r w:rsidRPr="00B7760C">
              <w:rPr>
                <w:vertAlign w:val="superscript"/>
              </w:rPr>
              <w:t>40</w:t>
            </w:r>
            <w:r w:rsidRPr="00B7760C">
              <w:t xml:space="preserve"> </w:t>
            </w:r>
            <w:r w:rsidR="00201401" w:rsidRPr="00B7760C">
              <w:tab/>
            </w:r>
            <w:r w:rsidRPr="00B7760C">
              <w:t>Uredba (ES) št. 223/2009 Evropskega parlamenta in Sveta z dne 11. marca 2009 o evropski statistiki ter razveljavitvi Uredbe (ES, Euratom) št. 1101/2008 Evropskega parlamenta in Sveta o prenosu zaupnih podatkov na Statistični urad Evropskih skupnosti, Uredbe Sveta (ES) št. 322/97 o statističnih podatkih Skupnosti in Sklepa Sveta 89/382/EGS, Euratom, o ustanovitvi Odbora za statistične programe Evropskih skupnosti (UL L 87, 31.3.2009, str. 164).</w:t>
            </w:r>
          </w:p>
        </w:tc>
        <w:tc>
          <w:tcPr>
            <w:tcW w:w="4876" w:type="dxa"/>
            <w:hideMark/>
          </w:tcPr>
          <w:p w14:paraId="2617B8D9" w14:textId="6DD80E12" w:rsidR="003663AF" w:rsidRPr="00B7760C" w:rsidRDefault="003663AF" w:rsidP="00E804B7">
            <w:pPr>
              <w:pStyle w:val="Normal6"/>
              <w:rPr>
                <w:szCs w:val="24"/>
              </w:rPr>
            </w:pPr>
            <w:r w:rsidRPr="00B7760C">
              <w:rPr>
                <w:vertAlign w:val="superscript"/>
              </w:rPr>
              <w:t>40</w:t>
            </w:r>
            <w:r w:rsidRPr="00B7760C">
              <w:t xml:space="preserve"> </w:t>
            </w:r>
            <w:r w:rsidR="00201401" w:rsidRPr="00B7760C">
              <w:tab/>
            </w:r>
            <w:r w:rsidRPr="00B7760C">
              <w:t>Uredba (ES) št. 223/2009 Evropskega parlamenta in Sveta z dne 11. marca 2009 o evropski statistiki ter razveljavitvi Uredbe (ES, Euratom) št. 1101/2008 Evropskega parlamenta in Sveta o prenosu zaupnih podatkov na Statistični urad Evropskih skupnosti, Uredbe Sveta (ES) št. 322/97 o statističnih podatkih Skupnosti in Sklepa Sveta 89/382/EGS, Euratom, o ustanovitvi Odbora za statistične programe Evropskih skupnosti (UL L 87, 31.3.2009, str. 164).</w:t>
            </w:r>
          </w:p>
        </w:tc>
      </w:tr>
    </w:tbl>
    <w:p w14:paraId="6583EA67" w14:textId="00C51B61" w:rsidR="003663AF" w:rsidRPr="00B7760C" w:rsidRDefault="003663AF" w:rsidP="003663AF"/>
    <w:p w14:paraId="41CBF27E" w14:textId="77E8A348" w:rsidR="008E16DC" w:rsidRPr="00B7760C" w:rsidRDefault="008E16DC" w:rsidP="008E16DC">
      <w:pPr>
        <w:pStyle w:val="AmNumberTabs0"/>
      </w:pPr>
      <w:r w:rsidRPr="00B7760C">
        <w:t>Sprememba</w:t>
      </w:r>
      <w:r w:rsidRPr="00B7760C">
        <w:tab/>
      </w:r>
      <w:r w:rsidRPr="00B7760C">
        <w:tab/>
        <w:t>1340</w:t>
      </w:r>
    </w:p>
    <w:p w14:paraId="4822A619" w14:textId="77777777" w:rsidR="008E16DC" w:rsidRPr="00B7760C" w:rsidRDefault="008E16DC" w:rsidP="008E16DC">
      <w:pPr>
        <w:pStyle w:val="NormalBold12b"/>
      </w:pPr>
      <w:r w:rsidRPr="00B7760C">
        <w:t>Predlog uredbe</w:t>
      </w:r>
    </w:p>
    <w:p w14:paraId="744AF8D3" w14:textId="77777777" w:rsidR="008E16DC" w:rsidRPr="00B7760C" w:rsidRDefault="008E16DC" w:rsidP="008E16DC">
      <w:pPr>
        <w:pStyle w:val="NormalBold"/>
      </w:pPr>
      <w:r w:rsidRPr="00B7760C">
        <w:t>Člen 129 – odstavek 2 a (novo)</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8E16DC" w:rsidRPr="00B7760C" w14:paraId="4AF0F41D" w14:textId="77777777" w:rsidTr="00A35DEB">
        <w:trPr>
          <w:jc w:val="center"/>
        </w:trPr>
        <w:tc>
          <w:tcPr>
            <w:tcW w:w="9752" w:type="dxa"/>
            <w:gridSpan w:val="2"/>
          </w:tcPr>
          <w:p w14:paraId="7B38BE7E" w14:textId="77777777" w:rsidR="008E16DC" w:rsidRPr="00B7760C" w:rsidRDefault="008E16DC" w:rsidP="00A35DEB">
            <w:pPr>
              <w:keepNext/>
            </w:pPr>
          </w:p>
        </w:tc>
      </w:tr>
      <w:tr w:rsidR="008E16DC" w:rsidRPr="00B7760C" w14:paraId="71BC3E38" w14:textId="77777777" w:rsidTr="00A35DEB">
        <w:trPr>
          <w:jc w:val="center"/>
        </w:trPr>
        <w:tc>
          <w:tcPr>
            <w:tcW w:w="4876" w:type="dxa"/>
          </w:tcPr>
          <w:p w14:paraId="18D1DE9E" w14:textId="77777777" w:rsidR="008E16DC" w:rsidRPr="00B7760C" w:rsidRDefault="008E16DC" w:rsidP="00A35DEB">
            <w:pPr>
              <w:pStyle w:val="AmColumnHeading"/>
              <w:keepNext/>
            </w:pPr>
            <w:r w:rsidRPr="00B7760C">
              <w:t>Besedilo, ki ga predlaga Komisija</w:t>
            </w:r>
          </w:p>
        </w:tc>
        <w:tc>
          <w:tcPr>
            <w:tcW w:w="4876" w:type="dxa"/>
          </w:tcPr>
          <w:p w14:paraId="46562452" w14:textId="390A0A27" w:rsidR="008E16DC" w:rsidRPr="00B7760C" w:rsidRDefault="008E16DC" w:rsidP="00A35DEB">
            <w:pPr>
              <w:pStyle w:val="AmColumnHeading"/>
              <w:keepNext/>
            </w:pPr>
            <w:r w:rsidRPr="00B7760C">
              <w:t>Sprememba</w:t>
            </w:r>
          </w:p>
        </w:tc>
      </w:tr>
      <w:tr w:rsidR="008E16DC" w:rsidRPr="00B7760C" w14:paraId="22446B55" w14:textId="77777777" w:rsidTr="00A35DEB">
        <w:trPr>
          <w:jc w:val="center"/>
        </w:trPr>
        <w:tc>
          <w:tcPr>
            <w:tcW w:w="4876" w:type="dxa"/>
          </w:tcPr>
          <w:p w14:paraId="5DABE1C7" w14:textId="77777777" w:rsidR="008E16DC" w:rsidRPr="00B7760C" w:rsidRDefault="008E16DC" w:rsidP="00A35DEB">
            <w:pPr>
              <w:spacing w:after="120"/>
            </w:pPr>
          </w:p>
        </w:tc>
        <w:tc>
          <w:tcPr>
            <w:tcW w:w="4876" w:type="dxa"/>
          </w:tcPr>
          <w:p w14:paraId="26017DD0" w14:textId="77777777" w:rsidR="008E16DC" w:rsidRPr="00B7760C" w:rsidRDefault="008E16DC" w:rsidP="00A35DEB">
            <w:pPr>
              <w:spacing w:after="120"/>
              <w:rPr>
                <w:szCs w:val="24"/>
              </w:rPr>
            </w:pPr>
            <w:r w:rsidRPr="00B7760C">
              <w:rPr>
                <w:b/>
                <w:i/>
              </w:rPr>
              <w:t>2a.</w:t>
            </w:r>
            <w:r w:rsidRPr="00B7760C">
              <w:rPr>
                <w:b/>
                <w:i/>
              </w:rPr>
              <w:tab/>
              <w:t>Države članice izboljšajo kakovost in pogostost zbiranja podatkov za ključne kmetijske cilje, predvidene v evropskem zelenem dogovoru, ki ustrezajo kazalnikom učinka in ozadja I.10, I.15, I.18, I.19, I.20, I.26, I.27 in C.32. Ti podatki se objavijo in pravočasno predložijo Komisiji, da oceni učinkovitost SKP in omogoči spremljanje napredka pri doseganju ciljev na ravni Unije.</w:t>
            </w:r>
          </w:p>
        </w:tc>
      </w:tr>
    </w:tbl>
    <w:p w14:paraId="24B7FF5A" w14:textId="77777777" w:rsidR="008E16DC" w:rsidRPr="00B7760C" w:rsidRDefault="008E16DC" w:rsidP="003663AF"/>
    <w:p w14:paraId="10C45A3F" w14:textId="621DB6DC" w:rsidR="003663AF" w:rsidRPr="00B7760C" w:rsidRDefault="00877691" w:rsidP="003663AF">
      <w:pPr>
        <w:pStyle w:val="AMNumberTabs"/>
        <w:keepNext/>
      </w:pPr>
      <w:r w:rsidRPr="00B7760C">
        <w:t>Sprememba</w:t>
      </w:r>
      <w:r w:rsidR="003663AF" w:rsidRPr="00B7760C">
        <w:tab/>
      </w:r>
      <w:r w:rsidR="003663AF" w:rsidRPr="00B7760C">
        <w:tab/>
        <w:t>700</w:t>
      </w:r>
    </w:p>
    <w:p w14:paraId="57C6DAC8" w14:textId="77777777" w:rsidR="003663AF" w:rsidRPr="00B7760C" w:rsidRDefault="003663AF" w:rsidP="003663AF">
      <w:pPr>
        <w:pStyle w:val="NormalBold12b"/>
      </w:pPr>
      <w:r w:rsidRPr="00B7760C">
        <w:t>Predlog uredbe</w:t>
      </w:r>
    </w:p>
    <w:p w14:paraId="02C417D5" w14:textId="77777777" w:rsidR="003663AF" w:rsidRPr="00B7760C" w:rsidRDefault="003663AF" w:rsidP="003663AF">
      <w:pPr>
        <w:pStyle w:val="NormalBold"/>
      </w:pPr>
      <w:r w:rsidRPr="00B7760C">
        <w:t>Člen 129 – odstavek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1C58F62" w14:textId="77777777" w:rsidTr="00E804B7">
        <w:trPr>
          <w:jc w:val="center"/>
        </w:trPr>
        <w:tc>
          <w:tcPr>
            <w:tcW w:w="9752" w:type="dxa"/>
            <w:gridSpan w:val="2"/>
          </w:tcPr>
          <w:p w14:paraId="37D2EC71" w14:textId="77777777" w:rsidR="003663AF" w:rsidRPr="00B7760C" w:rsidRDefault="003663AF" w:rsidP="00E804B7">
            <w:pPr>
              <w:keepNext/>
            </w:pPr>
          </w:p>
        </w:tc>
      </w:tr>
      <w:tr w:rsidR="003663AF" w:rsidRPr="00B7760C" w14:paraId="62F3CCE0" w14:textId="77777777" w:rsidTr="00E804B7">
        <w:trPr>
          <w:jc w:val="center"/>
        </w:trPr>
        <w:tc>
          <w:tcPr>
            <w:tcW w:w="4876" w:type="dxa"/>
            <w:hideMark/>
          </w:tcPr>
          <w:p w14:paraId="031A7567" w14:textId="77777777" w:rsidR="003663AF" w:rsidRPr="00B7760C" w:rsidRDefault="003663AF" w:rsidP="00E804B7">
            <w:pPr>
              <w:pStyle w:val="ColumnHeading"/>
              <w:keepNext/>
            </w:pPr>
            <w:r w:rsidRPr="00B7760C">
              <w:t>Besedilo, ki ga predlaga Komisija</w:t>
            </w:r>
          </w:p>
        </w:tc>
        <w:tc>
          <w:tcPr>
            <w:tcW w:w="4876" w:type="dxa"/>
            <w:hideMark/>
          </w:tcPr>
          <w:p w14:paraId="291698E2" w14:textId="28FD0365" w:rsidR="003663AF" w:rsidRPr="00B7760C" w:rsidRDefault="00877691" w:rsidP="00E804B7">
            <w:pPr>
              <w:pStyle w:val="ColumnHeading"/>
              <w:keepNext/>
            </w:pPr>
            <w:r w:rsidRPr="00B7760C">
              <w:t>Sprememba</w:t>
            </w:r>
          </w:p>
        </w:tc>
      </w:tr>
      <w:tr w:rsidR="003663AF" w:rsidRPr="00B7760C" w14:paraId="1EF690D9" w14:textId="77777777" w:rsidTr="00E804B7">
        <w:trPr>
          <w:jc w:val="center"/>
        </w:trPr>
        <w:tc>
          <w:tcPr>
            <w:tcW w:w="4876" w:type="dxa"/>
            <w:hideMark/>
          </w:tcPr>
          <w:p w14:paraId="3E0795C0" w14:textId="77777777" w:rsidR="003663AF" w:rsidRPr="00B7760C" w:rsidRDefault="003663AF" w:rsidP="00E804B7">
            <w:pPr>
              <w:pStyle w:val="Normal6"/>
            </w:pPr>
            <w:r w:rsidRPr="00B7760C">
              <w:t>3.</w:t>
            </w:r>
            <w:r w:rsidRPr="00B7760C">
              <w:tab/>
              <w:t>Ohranijo se obstoječi upravni registri, kot so integrirani administrativni in kontrolni sistem (IAKS), identifikacijski sistem za zemljišča ter registri živali in vinogradov. IAKS in identifikacijski sistem za zemljišča se še naprej razvijata za boljše izpolnjevanje statističnih potreb SKP. Podatki iz upravnih registrov se čim bolj uporabljajo v statistične namene v sodelovanju s statističnimi organi držav članic in Eurostatom.</w:t>
            </w:r>
          </w:p>
        </w:tc>
        <w:tc>
          <w:tcPr>
            <w:tcW w:w="4876" w:type="dxa"/>
            <w:hideMark/>
          </w:tcPr>
          <w:p w14:paraId="4408C190" w14:textId="77777777" w:rsidR="003663AF" w:rsidRPr="00B7760C" w:rsidRDefault="003663AF" w:rsidP="00E804B7">
            <w:pPr>
              <w:pStyle w:val="Normal6"/>
              <w:rPr>
                <w:szCs w:val="24"/>
              </w:rPr>
            </w:pPr>
            <w:r w:rsidRPr="00B7760C">
              <w:t>3.</w:t>
            </w:r>
            <w:r w:rsidRPr="00B7760C">
              <w:tab/>
              <w:t xml:space="preserve">Ohranijo se obstoječi </w:t>
            </w:r>
            <w:r w:rsidRPr="00B7760C">
              <w:rPr>
                <w:b/>
                <w:i/>
              </w:rPr>
              <w:t xml:space="preserve">posodobljeni </w:t>
            </w:r>
            <w:r w:rsidRPr="00B7760C">
              <w:t>upravni registri, kot so integrirani administrativni in kontrolni sistem (IAKS), identifikacijski sistem za zemljišča ter registri živali in vinogradov. IAKS in identifikacijski sistem za zemljišča se še naprej razvijata za boljše izpolnjevanje statističnih potreb SKP. Podatki iz upravnih registrov se čim bolj uporabljajo v statistične namene v sodelovanju s statističnimi organi držav članic in Eurostatom.</w:t>
            </w:r>
          </w:p>
        </w:tc>
      </w:tr>
    </w:tbl>
    <w:p w14:paraId="741F9F02" w14:textId="77777777" w:rsidR="003663AF" w:rsidRPr="00B7760C" w:rsidRDefault="003663AF" w:rsidP="003663AF"/>
    <w:p w14:paraId="7C24092F" w14:textId="0D77FBA2" w:rsidR="003663AF" w:rsidRPr="00B7760C" w:rsidRDefault="00877691" w:rsidP="003663AF">
      <w:pPr>
        <w:pStyle w:val="AMNumberTabs"/>
        <w:keepNext/>
      </w:pPr>
      <w:r w:rsidRPr="00B7760C">
        <w:t>Sprememba</w:t>
      </w:r>
      <w:r w:rsidR="003663AF" w:rsidRPr="00B7760C">
        <w:tab/>
      </w:r>
      <w:r w:rsidR="003663AF" w:rsidRPr="00B7760C">
        <w:tab/>
        <w:t>701</w:t>
      </w:r>
    </w:p>
    <w:p w14:paraId="0D813ADA" w14:textId="77777777" w:rsidR="003663AF" w:rsidRPr="00B7760C" w:rsidRDefault="003663AF" w:rsidP="003663AF">
      <w:pPr>
        <w:pStyle w:val="NormalBold12b"/>
      </w:pPr>
      <w:r w:rsidRPr="00B7760C">
        <w:t>Predlog uredbe</w:t>
      </w:r>
    </w:p>
    <w:p w14:paraId="31BB6A87" w14:textId="77777777" w:rsidR="003663AF" w:rsidRPr="00B7760C" w:rsidRDefault="003663AF" w:rsidP="003663AF">
      <w:pPr>
        <w:pStyle w:val="NormalBold"/>
      </w:pPr>
      <w:r w:rsidRPr="00B7760C">
        <w:t>Člen 129 – odstavek 4</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DF514E3" w14:textId="77777777" w:rsidTr="00E804B7">
        <w:trPr>
          <w:jc w:val="center"/>
        </w:trPr>
        <w:tc>
          <w:tcPr>
            <w:tcW w:w="9752" w:type="dxa"/>
            <w:gridSpan w:val="2"/>
          </w:tcPr>
          <w:p w14:paraId="7DF292C2" w14:textId="77777777" w:rsidR="003663AF" w:rsidRPr="00B7760C" w:rsidRDefault="003663AF" w:rsidP="00E804B7">
            <w:pPr>
              <w:keepNext/>
            </w:pPr>
          </w:p>
        </w:tc>
      </w:tr>
      <w:tr w:rsidR="003663AF" w:rsidRPr="00B7760C" w14:paraId="0D0E8FCE" w14:textId="77777777" w:rsidTr="00E804B7">
        <w:trPr>
          <w:jc w:val="center"/>
        </w:trPr>
        <w:tc>
          <w:tcPr>
            <w:tcW w:w="4876" w:type="dxa"/>
            <w:hideMark/>
          </w:tcPr>
          <w:p w14:paraId="1E2F1E69" w14:textId="77777777" w:rsidR="003663AF" w:rsidRPr="00B7760C" w:rsidRDefault="003663AF" w:rsidP="00E804B7">
            <w:pPr>
              <w:pStyle w:val="ColumnHeading"/>
              <w:keepNext/>
            </w:pPr>
            <w:r w:rsidRPr="00B7760C">
              <w:t>Besedilo, ki ga predlaga Komisija</w:t>
            </w:r>
          </w:p>
        </w:tc>
        <w:tc>
          <w:tcPr>
            <w:tcW w:w="4876" w:type="dxa"/>
            <w:hideMark/>
          </w:tcPr>
          <w:p w14:paraId="10AE62BC" w14:textId="4EFD2355" w:rsidR="003663AF" w:rsidRPr="00B7760C" w:rsidRDefault="00877691" w:rsidP="00E804B7">
            <w:pPr>
              <w:pStyle w:val="ColumnHeading"/>
              <w:keepNext/>
            </w:pPr>
            <w:r w:rsidRPr="00B7760C">
              <w:t>Sprememba</w:t>
            </w:r>
          </w:p>
        </w:tc>
      </w:tr>
      <w:tr w:rsidR="003663AF" w:rsidRPr="00B7760C" w14:paraId="566E6815" w14:textId="77777777" w:rsidTr="00E804B7">
        <w:trPr>
          <w:jc w:val="center"/>
        </w:trPr>
        <w:tc>
          <w:tcPr>
            <w:tcW w:w="4876" w:type="dxa"/>
            <w:hideMark/>
          </w:tcPr>
          <w:p w14:paraId="02AF8C95" w14:textId="77777777" w:rsidR="003663AF" w:rsidRPr="00B7760C" w:rsidRDefault="003663AF" w:rsidP="00E804B7">
            <w:pPr>
              <w:pStyle w:val="Normal6"/>
            </w:pPr>
            <w:r w:rsidRPr="00B7760C">
              <w:rPr>
                <w:b/>
                <w:i/>
              </w:rPr>
              <w:t>4.</w:t>
            </w:r>
            <w:r w:rsidRPr="00B7760C">
              <w:rPr>
                <w:b/>
                <w:i/>
              </w:rPr>
              <w:tab/>
              <w:t>Komisija lahko sprejme izvedbene akte, s katerimi določi pravila o informacijah, ki jih morajo poslati države članice, pri čemer upošteva potrebo po izogibanju kakršnemu koli neupravičenemu upravnemu bremenu ter pravila v zvezi s potrebami po podatkih in sinergijami med potencialnimi viri podatkov. Ti izvedbeni akti se sprejmejo v skladu s postopkom pregleda iz člena 139(2).</w:t>
            </w:r>
          </w:p>
        </w:tc>
        <w:tc>
          <w:tcPr>
            <w:tcW w:w="4876" w:type="dxa"/>
            <w:hideMark/>
          </w:tcPr>
          <w:p w14:paraId="23B0F331" w14:textId="77777777" w:rsidR="003663AF" w:rsidRPr="00B7760C" w:rsidRDefault="003663AF" w:rsidP="00E804B7">
            <w:pPr>
              <w:pStyle w:val="Normal6"/>
              <w:rPr>
                <w:szCs w:val="24"/>
              </w:rPr>
            </w:pPr>
            <w:r w:rsidRPr="00B7760C">
              <w:rPr>
                <w:b/>
                <w:i/>
              </w:rPr>
              <w:t>črtano</w:t>
            </w:r>
          </w:p>
        </w:tc>
      </w:tr>
    </w:tbl>
    <w:p w14:paraId="649BD0D5" w14:textId="77777777" w:rsidR="003663AF" w:rsidRPr="00B7760C" w:rsidRDefault="003663AF" w:rsidP="003663AF"/>
    <w:p w14:paraId="48A7681A" w14:textId="60415788" w:rsidR="003663AF" w:rsidRPr="00B7760C" w:rsidRDefault="00877691" w:rsidP="003663AF">
      <w:pPr>
        <w:pStyle w:val="AMNumberTabs"/>
        <w:keepNext/>
      </w:pPr>
      <w:r w:rsidRPr="00B7760C">
        <w:t>Sprememba</w:t>
      </w:r>
      <w:r w:rsidR="003663AF" w:rsidRPr="00B7760C">
        <w:tab/>
      </w:r>
      <w:r w:rsidR="003663AF" w:rsidRPr="00B7760C">
        <w:tab/>
        <w:t>702</w:t>
      </w:r>
    </w:p>
    <w:p w14:paraId="5951766D" w14:textId="77777777" w:rsidR="003663AF" w:rsidRPr="00B7760C" w:rsidRDefault="003663AF" w:rsidP="003663AF">
      <w:pPr>
        <w:pStyle w:val="NormalBold12b"/>
      </w:pPr>
      <w:r w:rsidRPr="00B7760C">
        <w:t>Predlog uredbe</w:t>
      </w:r>
    </w:p>
    <w:p w14:paraId="25390A4B" w14:textId="77777777" w:rsidR="003663AF" w:rsidRPr="00B7760C" w:rsidRDefault="003663AF" w:rsidP="003663AF">
      <w:pPr>
        <w:pStyle w:val="NormalBold"/>
      </w:pPr>
      <w:r w:rsidRPr="00B7760C">
        <w:t>Člen 130 – 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4D8E6A67" w14:textId="77777777" w:rsidTr="00E804B7">
        <w:trPr>
          <w:jc w:val="center"/>
        </w:trPr>
        <w:tc>
          <w:tcPr>
            <w:tcW w:w="9752" w:type="dxa"/>
            <w:gridSpan w:val="2"/>
          </w:tcPr>
          <w:p w14:paraId="184C98CB" w14:textId="77777777" w:rsidR="003663AF" w:rsidRPr="00B7760C" w:rsidRDefault="003663AF" w:rsidP="00E804B7">
            <w:pPr>
              <w:keepNext/>
            </w:pPr>
          </w:p>
        </w:tc>
      </w:tr>
      <w:tr w:rsidR="003663AF" w:rsidRPr="00B7760C" w14:paraId="6A64ABB2" w14:textId="77777777" w:rsidTr="00E804B7">
        <w:trPr>
          <w:jc w:val="center"/>
        </w:trPr>
        <w:tc>
          <w:tcPr>
            <w:tcW w:w="4876" w:type="dxa"/>
            <w:hideMark/>
          </w:tcPr>
          <w:p w14:paraId="6B94D645" w14:textId="77777777" w:rsidR="003663AF" w:rsidRPr="00B7760C" w:rsidRDefault="003663AF" w:rsidP="00E804B7">
            <w:pPr>
              <w:pStyle w:val="ColumnHeading"/>
              <w:keepNext/>
            </w:pPr>
            <w:r w:rsidRPr="00B7760C">
              <w:t>Besedilo, ki ga predlaga Komisija</w:t>
            </w:r>
          </w:p>
        </w:tc>
        <w:tc>
          <w:tcPr>
            <w:tcW w:w="4876" w:type="dxa"/>
            <w:hideMark/>
          </w:tcPr>
          <w:p w14:paraId="47ED01A3" w14:textId="45C7EC93" w:rsidR="003663AF" w:rsidRPr="00B7760C" w:rsidRDefault="00877691" w:rsidP="00E804B7">
            <w:pPr>
              <w:pStyle w:val="ColumnHeading"/>
              <w:keepNext/>
            </w:pPr>
            <w:r w:rsidRPr="00B7760C">
              <w:t>Sprememba</w:t>
            </w:r>
          </w:p>
        </w:tc>
      </w:tr>
      <w:tr w:rsidR="003663AF" w:rsidRPr="00B7760C" w14:paraId="3A41548E" w14:textId="77777777" w:rsidTr="00E804B7">
        <w:trPr>
          <w:jc w:val="center"/>
        </w:trPr>
        <w:tc>
          <w:tcPr>
            <w:tcW w:w="4876" w:type="dxa"/>
            <w:hideMark/>
          </w:tcPr>
          <w:p w14:paraId="331BB191" w14:textId="77777777" w:rsidR="003663AF" w:rsidRPr="00B7760C" w:rsidRDefault="003663AF" w:rsidP="00E804B7">
            <w:pPr>
              <w:pStyle w:val="Normal6"/>
            </w:pPr>
            <w:r w:rsidRPr="00B7760C">
              <w:t xml:space="preserve">Kadar je podpora v skladu z naslovom III te uredbe odobrena za oblike </w:t>
            </w:r>
            <w:r w:rsidRPr="00B7760C">
              <w:rPr>
                <w:b/>
                <w:i/>
              </w:rPr>
              <w:t>sodelovanja</w:t>
            </w:r>
            <w:r w:rsidRPr="00B7760C">
              <w:t xml:space="preserve"> med podjetji, se lahko odobri le za takšne oblike </w:t>
            </w:r>
            <w:r w:rsidRPr="00B7760C">
              <w:rPr>
                <w:b/>
                <w:i/>
              </w:rPr>
              <w:t>sodelovanja</w:t>
            </w:r>
            <w:r w:rsidRPr="00B7760C">
              <w:t>, ki so skladne s pravili konkurence, kot se uporabljajo na podlagi členov 206–209 Uredbe (EU) št.</w:t>
            </w:r>
            <w:r w:rsidRPr="00B7760C">
              <w:rPr>
                <w:b/>
                <w:i/>
              </w:rPr>
              <w:t> </w:t>
            </w:r>
            <w:r w:rsidRPr="00B7760C">
              <w:t>1308/2013.</w:t>
            </w:r>
          </w:p>
        </w:tc>
        <w:tc>
          <w:tcPr>
            <w:tcW w:w="4876" w:type="dxa"/>
            <w:hideMark/>
          </w:tcPr>
          <w:p w14:paraId="4877E2B7" w14:textId="77777777" w:rsidR="003663AF" w:rsidRPr="00B7760C" w:rsidRDefault="003663AF" w:rsidP="00E804B7">
            <w:pPr>
              <w:pStyle w:val="Normal6"/>
              <w:rPr>
                <w:szCs w:val="24"/>
              </w:rPr>
            </w:pPr>
            <w:r w:rsidRPr="00B7760C">
              <w:t xml:space="preserve">Kadar je podpora v skladu z naslovom III te uredbe odobrena za oblike </w:t>
            </w:r>
            <w:r w:rsidRPr="00B7760C">
              <w:rPr>
                <w:b/>
                <w:i/>
              </w:rPr>
              <w:t>sporazumov, sklepov in usklajenega ravnanja</w:t>
            </w:r>
            <w:r w:rsidRPr="00B7760C">
              <w:t xml:space="preserve"> med podjetji, se lahko odobri le za takšne oblike </w:t>
            </w:r>
            <w:r w:rsidRPr="00B7760C">
              <w:rPr>
                <w:b/>
                <w:i/>
              </w:rPr>
              <w:t>sporazumov, sklepov in usklajenega ravnanja</w:t>
            </w:r>
            <w:r w:rsidRPr="00B7760C">
              <w:t>, ki so skladne s pravili konkurence, kot se uporabljajo na podlagi členov 206–209 Uredbe (EU) št.1308/2013.</w:t>
            </w:r>
          </w:p>
        </w:tc>
      </w:tr>
    </w:tbl>
    <w:p w14:paraId="7755AFC3" w14:textId="5A2C5BA5" w:rsidR="003663AF" w:rsidRPr="00B7760C" w:rsidRDefault="003663AF" w:rsidP="003663AF"/>
    <w:p w14:paraId="7BABA694" w14:textId="1ACC07A9" w:rsidR="008E16DC" w:rsidRPr="00B7760C" w:rsidRDefault="008E16DC" w:rsidP="008E16DC">
      <w:pPr>
        <w:pStyle w:val="AmNumberTabs0"/>
      </w:pPr>
      <w:r w:rsidRPr="00B7760C">
        <w:t>Spremembe</w:t>
      </w:r>
      <w:r w:rsidRPr="00B7760C">
        <w:tab/>
        <w:t>1092, 1146 in 1179</w:t>
      </w:r>
    </w:p>
    <w:p w14:paraId="03227FDE" w14:textId="77777777" w:rsidR="008E16DC" w:rsidRPr="00B7760C" w:rsidRDefault="008E16DC" w:rsidP="008E16DC">
      <w:pPr>
        <w:pStyle w:val="NormalBold12b"/>
      </w:pPr>
      <w:r w:rsidRPr="00B7760C">
        <w:t>Predlog uredbe</w:t>
      </w:r>
    </w:p>
    <w:p w14:paraId="5D90241D" w14:textId="77777777" w:rsidR="008E16DC" w:rsidRPr="00B7760C" w:rsidRDefault="008E16DC" w:rsidP="008E16DC">
      <w:pPr>
        <w:pStyle w:val="NormalBold"/>
      </w:pPr>
      <w:r w:rsidRPr="00B7760C">
        <w:t>Člen 132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8E16DC" w:rsidRPr="00B7760C" w14:paraId="3DE232E2" w14:textId="77777777" w:rsidTr="00A35DEB">
        <w:trPr>
          <w:trHeight w:hRule="exact" w:val="240"/>
          <w:jc w:val="center"/>
        </w:trPr>
        <w:tc>
          <w:tcPr>
            <w:tcW w:w="9752" w:type="dxa"/>
            <w:gridSpan w:val="2"/>
          </w:tcPr>
          <w:p w14:paraId="7DC65CC7" w14:textId="77777777" w:rsidR="008E16DC" w:rsidRPr="00B7760C" w:rsidRDefault="008E16DC" w:rsidP="00A35DEB"/>
        </w:tc>
      </w:tr>
      <w:tr w:rsidR="008E16DC" w:rsidRPr="00B7760C" w14:paraId="43E41CA7" w14:textId="77777777" w:rsidTr="00A35DEB">
        <w:trPr>
          <w:trHeight w:val="240"/>
          <w:jc w:val="center"/>
        </w:trPr>
        <w:tc>
          <w:tcPr>
            <w:tcW w:w="4876" w:type="dxa"/>
          </w:tcPr>
          <w:p w14:paraId="29C6D3DB" w14:textId="77777777" w:rsidR="008E16DC" w:rsidRPr="00B7760C" w:rsidRDefault="008E16DC" w:rsidP="00A35DEB">
            <w:pPr>
              <w:pStyle w:val="AmColumnHeading"/>
            </w:pPr>
            <w:r w:rsidRPr="00B7760C">
              <w:t>Besedilo, ki ga predlaga Komisija</w:t>
            </w:r>
          </w:p>
        </w:tc>
        <w:tc>
          <w:tcPr>
            <w:tcW w:w="4876" w:type="dxa"/>
          </w:tcPr>
          <w:p w14:paraId="4BBA4489" w14:textId="49694575" w:rsidR="008E16DC" w:rsidRPr="00B7760C" w:rsidRDefault="008E16DC" w:rsidP="00A35DEB">
            <w:pPr>
              <w:pStyle w:val="AmColumnHeading"/>
            </w:pPr>
            <w:r w:rsidRPr="00B7760C">
              <w:t>Sprememba</w:t>
            </w:r>
          </w:p>
        </w:tc>
      </w:tr>
      <w:tr w:rsidR="008E16DC" w:rsidRPr="00B7760C" w14:paraId="301CFAB5" w14:textId="77777777" w:rsidTr="00A35DEB">
        <w:trPr>
          <w:jc w:val="center"/>
        </w:trPr>
        <w:tc>
          <w:tcPr>
            <w:tcW w:w="4876" w:type="dxa"/>
          </w:tcPr>
          <w:p w14:paraId="212C0730" w14:textId="77777777" w:rsidR="008E16DC" w:rsidRPr="00B7760C" w:rsidRDefault="008E16DC" w:rsidP="00A35DEB">
            <w:pPr>
              <w:pStyle w:val="Normal6a"/>
            </w:pPr>
          </w:p>
        </w:tc>
        <w:tc>
          <w:tcPr>
            <w:tcW w:w="4876" w:type="dxa"/>
          </w:tcPr>
          <w:p w14:paraId="311C9215" w14:textId="77777777" w:rsidR="008E16DC" w:rsidRPr="00B7760C" w:rsidRDefault="008E16DC" w:rsidP="00A35DEB">
            <w:pPr>
              <w:pStyle w:val="NormalBoldItalicCenter6a"/>
            </w:pPr>
            <w:r w:rsidRPr="00B7760C">
              <w:t>Člen 132 a</w:t>
            </w:r>
          </w:p>
        </w:tc>
      </w:tr>
      <w:tr w:rsidR="008E16DC" w:rsidRPr="00B7760C" w14:paraId="5A5272FF" w14:textId="77777777" w:rsidTr="00A35DEB">
        <w:trPr>
          <w:jc w:val="center"/>
        </w:trPr>
        <w:tc>
          <w:tcPr>
            <w:tcW w:w="4876" w:type="dxa"/>
          </w:tcPr>
          <w:p w14:paraId="62CACBBE" w14:textId="77777777" w:rsidR="008E16DC" w:rsidRPr="00B7760C" w:rsidRDefault="008E16DC" w:rsidP="00A35DEB">
            <w:pPr>
              <w:pStyle w:val="Normal6a"/>
            </w:pPr>
          </w:p>
        </w:tc>
        <w:tc>
          <w:tcPr>
            <w:tcW w:w="4876" w:type="dxa"/>
          </w:tcPr>
          <w:p w14:paraId="18F717A2" w14:textId="77777777" w:rsidR="008E16DC" w:rsidRPr="00B7760C" w:rsidRDefault="008E16DC" w:rsidP="00A35DEB">
            <w:pPr>
              <w:pStyle w:val="NormalBoldItalicCenter6a"/>
            </w:pPr>
            <w:r w:rsidRPr="00B7760C">
              <w:t>Prehodna nacionalna pomoč</w:t>
            </w:r>
          </w:p>
        </w:tc>
      </w:tr>
      <w:tr w:rsidR="008E16DC" w:rsidRPr="00B7760C" w14:paraId="4ABA9689" w14:textId="77777777" w:rsidTr="00A35DEB">
        <w:trPr>
          <w:jc w:val="center"/>
        </w:trPr>
        <w:tc>
          <w:tcPr>
            <w:tcW w:w="4876" w:type="dxa"/>
          </w:tcPr>
          <w:p w14:paraId="281295FA" w14:textId="77777777" w:rsidR="008E16DC" w:rsidRPr="00B7760C" w:rsidRDefault="008E16DC" w:rsidP="00A35DEB">
            <w:pPr>
              <w:pStyle w:val="Normal6a"/>
            </w:pPr>
          </w:p>
        </w:tc>
        <w:tc>
          <w:tcPr>
            <w:tcW w:w="4876" w:type="dxa"/>
          </w:tcPr>
          <w:p w14:paraId="6C105C87" w14:textId="6B7E272C" w:rsidR="008E16DC" w:rsidRPr="00B7760C" w:rsidRDefault="008E16DC" w:rsidP="00A35DEB">
            <w:pPr>
              <w:pStyle w:val="Normal6a"/>
            </w:pPr>
            <w:r w:rsidRPr="00B7760C">
              <w:rPr>
                <w:b/>
                <w:i/>
              </w:rPr>
              <w:t xml:space="preserve">1. </w:t>
            </w:r>
            <w:r w:rsidR="00AB1DA6" w:rsidRPr="00B7760C">
              <w:rPr>
                <w:b/>
                <w:i/>
              </w:rPr>
              <w:tab/>
            </w:r>
            <w:r w:rsidRPr="00B7760C">
              <w:rPr>
                <w:b/>
                <w:i/>
              </w:rPr>
              <w:t>Države članice lahko še naprej dodeljujejo prehodno nacionalno pomoč kmetom v katerem koli sektorju, ki ga je Komisija leta 2013 odobrila v skladu s členom 132(7) ali členom 133a(5) Uredbe (ES) št. 73/2009.</w:t>
            </w:r>
          </w:p>
        </w:tc>
      </w:tr>
      <w:tr w:rsidR="008E16DC" w:rsidRPr="00B7760C" w14:paraId="0BEEDAC4" w14:textId="77777777" w:rsidTr="00A35DEB">
        <w:trPr>
          <w:jc w:val="center"/>
        </w:trPr>
        <w:tc>
          <w:tcPr>
            <w:tcW w:w="4876" w:type="dxa"/>
          </w:tcPr>
          <w:p w14:paraId="732DEA65" w14:textId="77777777" w:rsidR="008E16DC" w:rsidRPr="00B7760C" w:rsidRDefault="008E16DC" w:rsidP="00A35DEB">
            <w:pPr>
              <w:pStyle w:val="Normal6a"/>
            </w:pPr>
          </w:p>
        </w:tc>
        <w:tc>
          <w:tcPr>
            <w:tcW w:w="4876" w:type="dxa"/>
          </w:tcPr>
          <w:p w14:paraId="438622B9" w14:textId="61B1B88C" w:rsidR="008E16DC" w:rsidRPr="00B7760C" w:rsidRDefault="008E16DC" w:rsidP="00A35DEB">
            <w:pPr>
              <w:pStyle w:val="Normal6a"/>
            </w:pPr>
            <w:r w:rsidRPr="00B7760C">
              <w:rPr>
                <w:b/>
                <w:i/>
              </w:rPr>
              <w:t xml:space="preserve">2. </w:t>
            </w:r>
            <w:r w:rsidR="00AB1DA6" w:rsidRPr="00B7760C">
              <w:rPr>
                <w:b/>
                <w:i/>
              </w:rPr>
              <w:tab/>
            </w:r>
            <w:r w:rsidRPr="00B7760C">
              <w:rPr>
                <w:b/>
                <w:i/>
              </w:rPr>
              <w:t>Skupni znesek prehodne nacionalne pomoči, ki se lahko dodeli kmetom, se omeji na 50 % finančnih sredstev za sektorje, kot jih je Komisija leta 2013 odobrila v skladu s členom 132(7) ali členom 133a(5) Uredbe (ES) št. 73/2009.</w:t>
            </w:r>
          </w:p>
        </w:tc>
      </w:tr>
      <w:tr w:rsidR="008E16DC" w:rsidRPr="00B7760C" w14:paraId="0730CB5D" w14:textId="77777777" w:rsidTr="00A35DEB">
        <w:trPr>
          <w:jc w:val="center"/>
        </w:trPr>
        <w:tc>
          <w:tcPr>
            <w:tcW w:w="4876" w:type="dxa"/>
          </w:tcPr>
          <w:p w14:paraId="654B5696" w14:textId="77777777" w:rsidR="008E16DC" w:rsidRPr="00B7760C" w:rsidRDefault="008E16DC" w:rsidP="00A35DEB">
            <w:pPr>
              <w:pStyle w:val="Normal6a"/>
            </w:pPr>
          </w:p>
        </w:tc>
        <w:tc>
          <w:tcPr>
            <w:tcW w:w="4876" w:type="dxa"/>
          </w:tcPr>
          <w:p w14:paraId="164599FA" w14:textId="7A01AC8C" w:rsidR="008E16DC" w:rsidRPr="00B7760C" w:rsidRDefault="008E16DC" w:rsidP="00A35DEB">
            <w:pPr>
              <w:pStyle w:val="Normal6a"/>
            </w:pPr>
            <w:r w:rsidRPr="00B7760C">
              <w:rPr>
                <w:b/>
                <w:i/>
              </w:rPr>
              <w:t xml:space="preserve">3. </w:t>
            </w:r>
            <w:r w:rsidR="00AB1DA6" w:rsidRPr="00B7760C">
              <w:rPr>
                <w:b/>
                <w:i/>
              </w:rPr>
              <w:tab/>
            </w:r>
            <w:r w:rsidRPr="00B7760C">
              <w:rPr>
                <w:b/>
                <w:i/>
              </w:rPr>
              <w:t>Države članice lahko na podlagi objektivnih meril in v okviru omejitev iz odstavka 2 določijo zneske prehodne nacionalne pomoči, ki bodo odobreni.</w:t>
            </w:r>
          </w:p>
        </w:tc>
      </w:tr>
      <w:tr w:rsidR="008E16DC" w:rsidRPr="00B7760C" w14:paraId="5E36C8E1" w14:textId="77777777" w:rsidTr="00A35DEB">
        <w:trPr>
          <w:jc w:val="center"/>
        </w:trPr>
        <w:tc>
          <w:tcPr>
            <w:tcW w:w="4876" w:type="dxa"/>
          </w:tcPr>
          <w:p w14:paraId="75F66375" w14:textId="77777777" w:rsidR="008E16DC" w:rsidRPr="00B7760C" w:rsidRDefault="008E16DC" w:rsidP="00A35DEB">
            <w:pPr>
              <w:pStyle w:val="Normal6a"/>
            </w:pPr>
          </w:p>
        </w:tc>
        <w:tc>
          <w:tcPr>
            <w:tcW w:w="4876" w:type="dxa"/>
          </w:tcPr>
          <w:p w14:paraId="085273F2" w14:textId="2D4560F6" w:rsidR="008E16DC" w:rsidRPr="00B7760C" w:rsidRDefault="008E16DC" w:rsidP="00A35DEB">
            <w:pPr>
              <w:pStyle w:val="Normal6a"/>
            </w:pPr>
            <w:r w:rsidRPr="00B7760C">
              <w:rPr>
                <w:b/>
                <w:i/>
              </w:rPr>
              <w:t xml:space="preserve">4. </w:t>
            </w:r>
            <w:r w:rsidR="00AB1DA6" w:rsidRPr="00B7760C">
              <w:rPr>
                <w:b/>
                <w:i/>
              </w:rPr>
              <w:tab/>
            </w:r>
            <w:r w:rsidRPr="00B7760C">
              <w:rPr>
                <w:b/>
                <w:i/>
              </w:rPr>
              <w:t>Države članice se lahko odločijo, da prilagodijo referenčno obdobje za sheme nevezane prehodne nacionalne pomoči. Prilagojeno referenčno obdobje ne sme biti po 1. juniju 2018.</w:t>
            </w:r>
          </w:p>
        </w:tc>
      </w:tr>
    </w:tbl>
    <w:p w14:paraId="72C49C43" w14:textId="77777777" w:rsidR="008E16DC" w:rsidRPr="00B7760C" w:rsidRDefault="008E16DC" w:rsidP="003663AF"/>
    <w:p w14:paraId="2D44C66D" w14:textId="21CB9A06" w:rsidR="003663AF" w:rsidRPr="00B7760C" w:rsidRDefault="00877691" w:rsidP="003663AF">
      <w:pPr>
        <w:pStyle w:val="AMNumberTabs"/>
      </w:pPr>
      <w:r w:rsidRPr="00B7760C">
        <w:t>Sprememba</w:t>
      </w:r>
      <w:r w:rsidR="003663AF" w:rsidRPr="00B7760C">
        <w:tab/>
      </w:r>
      <w:r w:rsidR="003663AF" w:rsidRPr="00B7760C">
        <w:tab/>
        <w:t>703</w:t>
      </w:r>
    </w:p>
    <w:p w14:paraId="427CFD5E" w14:textId="77777777" w:rsidR="003663AF" w:rsidRPr="00B7760C" w:rsidRDefault="003663AF" w:rsidP="003663AF">
      <w:pPr>
        <w:pStyle w:val="NormalBold12b"/>
      </w:pPr>
      <w:r w:rsidRPr="00B7760C">
        <w:t>Predlog uredbe</w:t>
      </w:r>
    </w:p>
    <w:p w14:paraId="5010DAB6" w14:textId="77777777" w:rsidR="003663AF" w:rsidRPr="00B7760C" w:rsidRDefault="003663AF" w:rsidP="003663AF">
      <w:pPr>
        <w:pStyle w:val="NormalBold"/>
      </w:pPr>
      <w:r w:rsidRPr="00B7760C">
        <w:t>Člen 133 – 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1583800" w14:textId="77777777" w:rsidTr="00E804B7">
        <w:trPr>
          <w:trHeight w:hRule="exact" w:val="240"/>
          <w:jc w:val="center"/>
        </w:trPr>
        <w:tc>
          <w:tcPr>
            <w:tcW w:w="9752" w:type="dxa"/>
            <w:gridSpan w:val="2"/>
          </w:tcPr>
          <w:p w14:paraId="31A3509C" w14:textId="77777777" w:rsidR="003663AF" w:rsidRPr="00B7760C" w:rsidRDefault="003663AF" w:rsidP="00E804B7"/>
        </w:tc>
      </w:tr>
      <w:tr w:rsidR="003663AF" w:rsidRPr="00B7760C" w14:paraId="1674A614" w14:textId="77777777" w:rsidTr="00E804B7">
        <w:trPr>
          <w:trHeight w:val="240"/>
          <w:jc w:val="center"/>
        </w:trPr>
        <w:tc>
          <w:tcPr>
            <w:tcW w:w="4876" w:type="dxa"/>
          </w:tcPr>
          <w:p w14:paraId="10695535" w14:textId="77777777" w:rsidR="003663AF" w:rsidRPr="00B7760C" w:rsidRDefault="003663AF" w:rsidP="00E804B7">
            <w:pPr>
              <w:pStyle w:val="ColumnHeading"/>
            </w:pPr>
            <w:r w:rsidRPr="00B7760C">
              <w:t>Besedilo, ki ga predlaga Komisija</w:t>
            </w:r>
          </w:p>
        </w:tc>
        <w:tc>
          <w:tcPr>
            <w:tcW w:w="4876" w:type="dxa"/>
          </w:tcPr>
          <w:p w14:paraId="33F699BD" w14:textId="1AE08AC2" w:rsidR="003663AF" w:rsidRPr="00B7760C" w:rsidRDefault="00877691" w:rsidP="00E804B7">
            <w:pPr>
              <w:pStyle w:val="ColumnHeading"/>
            </w:pPr>
            <w:r w:rsidRPr="00B7760C">
              <w:t>Sprememba</w:t>
            </w:r>
          </w:p>
        </w:tc>
      </w:tr>
      <w:tr w:rsidR="003663AF" w:rsidRPr="00B7760C" w14:paraId="430658E3" w14:textId="77777777" w:rsidTr="00E804B7">
        <w:trPr>
          <w:jc w:val="center"/>
        </w:trPr>
        <w:tc>
          <w:tcPr>
            <w:tcW w:w="4876" w:type="dxa"/>
          </w:tcPr>
          <w:p w14:paraId="14140C82" w14:textId="77777777" w:rsidR="003663AF" w:rsidRPr="00B7760C" w:rsidRDefault="003663AF" w:rsidP="00E804B7">
            <w:pPr>
              <w:pStyle w:val="Normal6"/>
            </w:pPr>
            <w:r w:rsidRPr="00B7760C">
              <w:t>Členi 107, 108 in 109 PDEU</w:t>
            </w:r>
            <w:r w:rsidRPr="00B7760C">
              <w:rPr>
                <w:b/>
                <w:i/>
              </w:rPr>
              <w:t xml:space="preserve"> se</w:t>
            </w:r>
            <w:r w:rsidRPr="00B7760C">
              <w:t xml:space="preserve"> ne uporabljajo za nacionalne davčne ukrepe, s katerimi se države članice odločijo za odstopanje od splošnih davčnih pravil in dovolijo izračun osnove za davek od dohodkov, ki se uporablja za kmete, na podlagi večletnega obdobja.</w:t>
            </w:r>
          </w:p>
        </w:tc>
        <w:tc>
          <w:tcPr>
            <w:tcW w:w="4876" w:type="dxa"/>
          </w:tcPr>
          <w:p w14:paraId="60309664" w14:textId="77777777" w:rsidR="003663AF" w:rsidRPr="00B7760C" w:rsidRDefault="003663AF" w:rsidP="00E804B7">
            <w:pPr>
              <w:pStyle w:val="Normal6"/>
            </w:pPr>
            <w:r w:rsidRPr="00B7760C">
              <w:rPr>
                <w:b/>
                <w:i/>
              </w:rPr>
              <w:t xml:space="preserve">Da bi se omejili učinki spremenljivosti dohodkov s spodbujanjem kmetov, da varčujejo v dobrih letih, da bi lahko lažje prestali slaba, se </w:t>
            </w:r>
            <w:r w:rsidRPr="00B7760C">
              <w:t>členi 107, 108 in 109 PDEU ne uporabljajo za nacionalne davčne ukrepe, s katerimi se države članice odločijo za odstopanje od splošnih davčnih pravil in dovolijo izračun osnove za davek od dohodkov, ki se uporablja za kmete, na podlagi večletnega obdobja</w:t>
            </w:r>
            <w:r w:rsidRPr="00B7760C">
              <w:rPr>
                <w:b/>
                <w:i/>
              </w:rPr>
              <w:t>, tudi s prenosom dela davčne osnove tako, da se odloži del davčne osnove ali dovoli izključitev zneskov, vloženih v namenski kmetijski varčevalni račun</w:t>
            </w:r>
            <w:r w:rsidRPr="00B7760C">
              <w:t>.</w:t>
            </w:r>
          </w:p>
        </w:tc>
      </w:tr>
    </w:tbl>
    <w:p w14:paraId="658CDF25" w14:textId="4293C9DD" w:rsidR="003663AF" w:rsidRPr="00B7760C" w:rsidRDefault="003663AF" w:rsidP="003663AF"/>
    <w:p w14:paraId="28838975" w14:textId="2A7A0CFB" w:rsidR="008E16DC" w:rsidRPr="00B7760C" w:rsidRDefault="008E16DC" w:rsidP="008E16DC">
      <w:pPr>
        <w:pStyle w:val="AmNumberTabs0"/>
      </w:pPr>
      <w:r w:rsidRPr="00B7760C">
        <w:t>Spremembe</w:t>
      </w:r>
      <w:r w:rsidRPr="00B7760C">
        <w:tab/>
      </w:r>
      <w:r w:rsidRPr="00B7760C">
        <w:tab/>
        <w:t>1097, 1125 in 1180</w:t>
      </w:r>
    </w:p>
    <w:p w14:paraId="593D289E" w14:textId="77777777" w:rsidR="008E16DC" w:rsidRPr="00B7760C" w:rsidRDefault="008E16DC" w:rsidP="008E16DC">
      <w:pPr>
        <w:pStyle w:val="NormalBold12b"/>
      </w:pPr>
      <w:r w:rsidRPr="00B7760C">
        <w:t>Predlog uredbe</w:t>
      </w:r>
    </w:p>
    <w:p w14:paraId="1A4C0A72" w14:textId="77777777" w:rsidR="008E16DC" w:rsidRPr="00B7760C" w:rsidRDefault="008E16DC" w:rsidP="008E16DC">
      <w:pPr>
        <w:pStyle w:val="NormalBold"/>
      </w:pPr>
      <w:r w:rsidRPr="00B7760C">
        <w:t>Člen 134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8E16DC" w:rsidRPr="00B7760C" w14:paraId="20B513C5" w14:textId="77777777" w:rsidTr="00A35DEB">
        <w:trPr>
          <w:trHeight w:hRule="exact" w:val="240"/>
          <w:jc w:val="center"/>
        </w:trPr>
        <w:tc>
          <w:tcPr>
            <w:tcW w:w="9752" w:type="dxa"/>
            <w:gridSpan w:val="2"/>
          </w:tcPr>
          <w:p w14:paraId="7239711B" w14:textId="77777777" w:rsidR="008E16DC" w:rsidRPr="00B7760C" w:rsidRDefault="008E16DC" w:rsidP="00A35DEB"/>
        </w:tc>
      </w:tr>
      <w:tr w:rsidR="008E16DC" w:rsidRPr="00B7760C" w14:paraId="3E228C5B" w14:textId="77777777" w:rsidTr="00A35DEB">
        <w:trPr>
          <w:trHeight w:val="240"/>
          <w:jc w:val="center"/>
        </w:trPr>
        <w:tc>
          <w:tcPr>
            <w:tcW w:w="4876" w:type="dxa"/>
          </w:tcPr>
          <w:p w14:paraId="5DC422E3" w14:textId="77777777" w:rsidR="008E16DC" w:rsidRPr="00B7760C" w:rsidRDefault="008E16DC" w:rsidP="00A35DEB">
            <w:pPr>
              <w:pStyle w:val="AmColumnHeading"/>
            </w:pPr>
            <w:r w:rsidRPr="00B7760C">
              <w:t>Besedilo, ki ga predlaga Komisija</w:t>
            </w:r>
          </w:p>
        </w:tc>
        <w:tc>
          <w:tcPr>
            <w:tcW w:w="4876" w:type="dxa"/>
          </w:tcPr>
          <w:p w14:paraId="487B52C1" w14:textId="312AEEC4" w:rsidR="008E16DC" w:rsidRPr="00B7760C" w:rsidRDefault="008E16DC" w:rsidP="00A35DEB">
            <w:pPr>
              <w:pStyle w:val="AmColumnHeading"/>
            </w:pPr>
            <w:r w:rsidRPr="00B7760C">
              <w:t>Sprememba</w:t>
            </w:r>
          </w:p>
        </w:tc>
      </w:tr>
      <w:tr w:rsidR="008E16DC" w:rsidRPr="00B7760C" w14:paraId="051DA1A3" w14:textId="77777777" w:rsidTr="00A35DEB">
        <w:trPr>
          <w:jc w:val="center"/>
        </w:trPr>
        <w:tc>
          <w:tcPr>
            <w:tcW w:w="4876" w:type="dxa"/>
          </w:tcPr>
          <w:p w14:paraId="4E6F5B85" w14:textId="77777777" w:rsidR="008E16DC" w:rsidRPr="00B7760C" w:rsidRDefault="008E16DC" w:rsidP="00A35DEB">
            <w:pPr>
              <w:pStyle w:val="Normal6a"/>
            </w:pPr>
          </w:p>
        </w:tc>
        <w:tc>
          <w:tcPr>
            <w:tcW w:w="4876" w:type="dxa"/>
          </w:tcPr>
          <w:p w14:paraId="2116DCB4" w14:textId="3C11D2B1" w:rsidR="008E16DC" w:rsidRPr="00B7760C" w:rsidRDefault="008E16DC" w:rsidP="00A35DEB">
            <w:pPr>
              <w:pStyle w:val="NormalBoldItalicCenter6a"/>
            </w:pPr>
            <w:r w:rsidRPr="00B7760C">
              <w:t>Č</w:t>
            </w:r>
            <w:r w:rsidR="00AB1DA6" w:rsidRPr="00B7760C">
              <w:t>len 134</w:t>
            </w:r>
            <w:r w:rsidRPr="00B7760C">
              <w:t>a</w:t>
            </w:r>
          </w:p>
        </w:tc>
      </w:tr>
      <w:tr w:rsidR="008E16DC" w:rsidRPr="00B7760C" w14:paraId="78094FA8" w14:textId="77777777" w:rsidTr="00A35DEB">
        <w:trPr>
          <w:jc w:val="center"/>
        </w:trPr>
        <w:tc>
          <w:tcPr>
            <w:tcW w:w="4876" w:type="dxa"/>
          </w:tcPr>
          <w:p w14:paraId="5CCE9F30" w14:textId="77777777" w:rsidR="008E16DC" w:rsidRPr="00B7760C" w:rsidRDefault="008E16DC" w:rsidP="00A35DEB">
            <w:pPr>
              <w:pStyle w:val="Normal6a"/>
            </w:pPr>
          </w:p>
        </w:tc>
        <w:tc>
          <w:tcPr>
            <w:tcW w:w="4876" w:type="dxa"/>
          </w:tcPr>
          <w:p w14:paraId="7DBDDE62" w14:textId="77777777" w:rsidR="008E16DC" w:rsidRPr="00B7760C" w:rsidRDefault="008E16DC" w:rsidP="00A35DEB">
            <w:pPr>
              <w:pStyle w:val="NormalBoldItalicCenter6a"/>
            </w:pPr>
            <w:r w:rsidRPr="00B7760C">
              <w:t>Pritožbeni mehanizem za kmete ter mala in srednja podjetja</w:t>
            </w:r>
          </w:p>
        </w:tc>
      </w:tr>
      <w:tr w:rsidR="008E16DC" w:rsidRPr="00B7760C" w14:paraId="3A0671C2" w14:textId="77777777" w:rsidTr="00A35DEB">
        <w:trPr>
          <w:jc w:val="center"/>
        </w:trPr>
        <w:tc>
          <w:tcPr>
            <w:tcW w:w="4876" w:type="dxa"/>
          </w:tcPr>
          <w:p w14:paraId="1841DC31" w14:textId="77777777" w:rsidR="008E16DC" w:rsidRPr="00B7760C" w:rsidRDefault="008E16DC" w:rsidP="00A35DEB">
            <w:pPr>
              <w:pStyle w:val="Normal6a"/>
            </w:pPr>
          </w:p>
        </w:tc>
        <w:tc>
          <w:tcPr>
            <w:tcW w:w="4876" w:type="dxa"/>
          </w:tcPr>
          <w:p w14:paraId="31A8F687" w14:textId="12CCA31A" w:rsidR="008E16DC" w:rsidRPr="00B7760C" w:rsidRDefault="008E16DC" w:rsidP="00A35DEB">
            <w:pPr>
              <w:pStyle w:val="Normal6a"/>
            </w:pPr>
            <w:r w:rsidRPr="00B7760C">
              <w:rPr>
                <w:b/>
                <w:i/>
              </w:rPr>
              <w:t xml:space="preserve">1. </w:t>
            </w:r>
            <w:r w:rsidR="00AB1DA6" w:rsidRPr="00B7760C">
              <w:rPr>
                <w:b/>
                <w:i/>
              </w:rPr>
              <w:tab/>
            </w:r>
            <w:r w:rsidRPr="00B7760C">
              <w:rPr>
                <w:b/>
                <w:i/>
              </w:rPr>
              <w:t>Komisija vzpostavi mehanizem, prek katerega sprejema neposredne pritožbe kmetov ter malih in srednjih podjetij v primeru:</w:t>
            </w:r>
          </w:p>
        </w:tc>
      </w:tr>
      <w:tr w:rsidR="008E16DC" w:rsidRPr="00B7760C" w14:paraId="18DB56FA" w14:textId="77777777" w:rsidTr="00A35DEB">
        <w:trPr>
          <w:jc w:val="center"/>
        </w:trPr>
        <w:tc>
          <w:tcPr>
            <w:tcW w:w="4876" w:type="dxa"/>
          </w:tcPr>
          <w:p w14:paraId="2446FBB7" w14:textId="77777777" w:rsidR="008E16DC" w:rsidRPr="00B7760C" w:rsidRDefault="008E16DC" w:rsidP="00A35DEB">
            <w:pPr>
              <w:pStyle w:val="Normal6a"/>
            </w:pPr>
          </w:p>
        </w:tc>
        <w:tc>
          <w:tcPr>
            <w:tcW w:w="4876" w:type="dxa"/>
          </w:tcPr>
          <w:p w14:paraId="523365F5" w14:textId="4F99C4E8" w:rsidR="008E16DC" w:rsidRPr="00B7760C" w:rsidRDefault="008E16DC" w:rsidP="00A35DEB">
            <w:pPr>
              <w:pStyle w:val="Normal6a"/>
            </w:pPr>
            <w:r w:rsidRPr="00B7760C">
              <w:rPr>
                <w:b/>
                <w:i/>
              </w:rPr>
              <w:t xml:space="preserve">– </w:t>
            </w:r>
            <w:r w:rsidR="00AB1DA6" w:rsidRPr="00B7760C">
              <w:rPr>
                <w:b/>
                <w:i/>
              </w:rPr>
              <w:tab/>
            </w:r>
            <w:r w:rsidRPr="00B7760C">
              <w:rPr>
                <w:b/>
                <w:i/>
              </w:rPr>
              <w:t>prilaščanja zemlje ali resnih groženj v zvezi s tem,</w:t>
            </w:r>
          </w:p>
        </w:tc>
      </w:tr>
      <w:tr w:rsidR="008E16DC" w:rsidRPr="00B7760C" w14:paraId="24FE9E00" w14:textId="77777777" w:rsidTr="00A35DEB">
        <w:trPr>
          <w:jc w:val="center"/>
        </w:trPr>
        <w:tc>
          <w:tcPr>
            <w:tcW w:w="4876" w:type="dxa"/>
          </w:tcPr>
          <w:p w14:paraId="31A468AC" w14:textId="77777777" w:rsidR="008E16DC" w:rsidRPr="00B7760C" w:rsidRDefault="008E16DC" w:rsidP="00A35DEB">
            <w:pPr>
              <w:pStyle w:val="Normal6a"/>
            </w:pPr>
          </w:p>
        </w:tc>
        <w:tc>
          <w:tcPr>
            <w:tcW w:w="4876" w:type="dxa"/>
          </w:tcPr>
          <w:p w14:paraId="0B505CA3" w14:textId="5379BF96" w:rsidR="008E16DC" w:rsidRPr="00B7760C" w:rsidRDefault="008E16DC" w:rsidP="00A35DEB">
            <w:pPr>
              <w:pStyle w:val="Normal6a"/>
            </w:pPr>
            <w:r w:rsidRPr="00B7760C">
              <w:rPr>
                <w:b/>
                <w:i/>
              </w:rPr>
              <w:t xml:space="preserve">– </w:t>
            </w:r>
            <w:r w:rsidR="00AB1DA6" w:rsidRPr="00B7760C">
              <w:rPr>
                <w:b/>
                <w:i/>
              </w:rPr>
              <w:tab/>
            </w:r>
            <w:r w:rsidRPr="00B7760C">
              <w:rPr>
                <w:b/>
                <w:i/>
              </w:rPr>
              <w:t>hudih nepravilnosti državnih organov,</w:t>
            </w:r>
          </w:p>
        </w:tc>
      </w:tr>
      <w:tr w:rsidR="008E16DC" w:rsidRPr="00B7760C" w14:paraId="28CFA1E6" w14:textId="77777777" w:rsidTr="00A35DEB">
        <w:trPr>
          <w:jc w:val="center"/>
        </w:trPr>
        <w:tc>
          <w:tcPr>
            <w:tcW w:w="4876" w:type="dxa"/>
          </w:tcPr>
          <w:p w14:paraId="57003619" w14:textId="77777777" w:rsidR="008E16DC" w:rsidRPr="00B7760C" w:rsidRDefault="008E16DC" w:rsidP="00A35DEB">
            <w:pPr>
              <w:pStyle w:val="Normal6a"/>
            </w:pPr>
          </w:p>
        </w:tc>
        <w:tc>
          <w:tcPr>
            <w:tcW w:w="4876" w:type="dxa"/>
          </w:tcPr>
          <w:p w14:paraId="3E283D97" w14:textId="55FA0702" w:rsidR="008E16DC" w:rsidRPr="00B7760C" w:rsidRDefault="008E16DC" w:rsidP="00A35DEB">
            <w:pPr>
              <w:pStyle w:val="Normal6a"/>
            </w:pPr>
            <w:r w:rsidRPr="00B7760C">
              <w:rPr>
                <w:b/>
                <w:i/>
              </w:rPr>
              <w:t xml:space="preserve">– </w:t>
            </w:r>
            <w:r w:rsidR="00AB1DA6" w:rsidRPr="00B7760C">
              <w:rPr>
                <w:b/>
                <w:i/>
              </w:rPr>
              <w:tab/>
            </w:r>
            <w:r w:rsidRPr="00B7760C">
              <w:rPr>
                <w:b/>
                <w:i/>
              </w:rPr>
              <w:t>nepravilne ali nepopolne obravnave na javnih razpisih oziroma pri dodeljevanju subvencij,</w:t>
            </w:r>
          </w:p>
        </w:tc>
      </w:tr>
      <w:tr w:rsidR="008E16DC" w:rsidRPr="00B7760C" w14:paraId="4EACF936" w14:textId="77777777" w:rsidTr="00A35DEB">
        <w:trPr>
          <w:jc w:val="center"/>
        </w:trPr>
        <w:tc>
          <w:tcPr>
            <w:tcW w:w="4876" w:type="dxa"/>
          </w:tcPr>
          <w:p w14:paraId="4082B871" w14:textId="77777777" w:rsidR="008E16DC" w:rsidRPr="00B7760C" w:rsidRDefault="008E16DC" w:rsidP="00A35DEB">
            <w:pPr>
              <w:pStyle w:val="Normal6a"/>
            </w:pPr>
          </w:p>
        </w:tc>
        <w:tc>
          <w:tcPr>
            <w:tcW w:w="4876" w:type="dxa"/>
          </w:tcPr>
          <w:p w14:paraId="71EA9041" w14:textId="626F1E39" w:rsidR="008E16DC" w:rsidRPr="00B7760C" w:rsidRDefault="008E16DC" w:rsidP="00A35DEB">
            <w:pPr>
              <w:pStyle w:val="Normal6a"/>
            </w:pPr>
            <w:r w:rsidRPr="00B7760C">
              <w:rPr>
                <w:b/>
                <w:i/>
              </w:rPr>
              <w:t xml:space="preserve">– </w:t>
            </w:r>
            <w:r w:rsidR="00AB1DA6" w:rsidRPr="00B7760C">
              <w:rPr>
                <w:b/>
                <w:i/>
              </w:rPr>
              <w:tab/>
            </w:r>
            <w:r w:rsidRPr="00B7760C">
              <w:rPr>
                <w:b/>
                <w:i/>
              </w:rPr>
              <w:t>pritiskov ali ustrahovanja kriminalnih struktur, organiziranega kriminala ali oligarhičnih struktur,</w:t>
            </w:r>
          </w:p>
        </w:tc>
      </w:tr>
      <w:tr w:rsidR="008E16DC" w:rsidRPr="00B7760C" w14:paraId="36A2A0EC" w14:textId="77777777" w:rsidTr="00A35DEB">
        <w:trPr>
          <w:jc w:val="center"/>
        </w:trPr>
        <w:tc>
          <w:tcPr>
            <w:tcW w:w="4876" w:type="dxa"/>
          </w:tcPr>
          <w:p w14:paraId="5CE16029" w14:textId="77777777" w:rsidR="008E16DC" w:rsidRPr="00B7760C" w:rsidRDefault="008E16DC" w:rsidP="00A35DEB">
            <w:pPr>
              <w:pStyle w:val="Normal6a"/>
            </w:pPr>
          </w:p>
        </w:tc>
        <w:tc>
          <w:tcPr>
            <w:tcW w:w="4876" w:type="dxa"/>
          </w:tcPr>
          <w:p w14:paraId="4D32F30A" w14:textId="1892F909" w:rsidR="008E16DC" w:rsidRPr="00B7760C" w:rsidRDefault="008E16DC" w:rsidP="00A35DEB">
            <w:pPr>
              <w:pStyle w:val="Normal6a"/>
            </w:pPr>
            <w:r w:rsidRPr="00B7760C">
              <w:rPr>
                <w:b/>
                <w:i/>
              </w:rPr>
              <w:t xml:space="preserve">– </w:t>
            </w:r>
            <w:r w:rsidR="00AB1DA6" w:rsidRPr="00B7760C">
              <w:rPr>
                <w:b/>
                <w:i/>
              </w:rPr>
              <w:tab/>
            </w:r>
            <w:r w:rsidRPr="00B7760C">
              <w:rPr>
                <w:b/>
                <w:i/>
              </w:rPr>
              <w:t>hudih kršitev temeljnih pravic pritožnikov.</w:t>
            </w:r>
          </w:p>
        </w:tc>
      </w:tr>
      <w:tr w:rsidR="008E16DC" w:rsidRPr="00B7760C" w14:paraId="783DC72D" w14:textId="77777777" w:rsidTr="00A35DEB">
        <w:trPr>
          <w:jc w:val="center"/>
        </w:trPr>
        <w:tc>
          <w:tcPr>
            <w:tcW w:w="4876" w:type="dxa"/>
          </w:tcPr>
          <w:p w14:paraId="180452DB" w14:textId="77777777" w:rsidR="008E16DC" w:rsidRPr="00B7760C" w:rsidRDefault="008E16DC" w:rsidP="00A35DEB">
            <w:pPr>
              <w:pStyle w:val="Normal6a"/>
            </w:pPr>
          </w:p>
        </w:tc>
        <w:tc>
          <w:tcPr>
            <w:tcW w:w="4876" w:type="dxa"/>
          </w:tcPr>
          <w:p w14:paraId="78EB5C38" w14:textId="718C1094" w:rsidR="008E16DC" w:rsidRPr="00B7760C" w:rsidRDefault="008E16DC" w:rsidP="00A35DEB">
            <w:pPr>
              <w:pStyle w:val="Normal6a"/>
            </w:pPr>
            <w:r w:rsidRPr="00B7760C">
              <w:rPr>
                <w:b/>
                <w:i/>
              </w:rPr>
              <w:t xml:space="preserve">2. </w:t>
            </w:r>
            <w:r w:rsidR="00AB1DA6" w:rsidRPr="00B7760C">
              <w:rPr>
                <w:b/>
                <w:i/>
              </w:rPr>
              <w:tab/>
            </w:r>
            <w:r w:rsidRPr="00B7760C">
              <w:rPr>
                <w:b/>
                <w:i/>
              </w:rPr>
              <w:t>Komisija vzpostavi kontaktno točko, na katero bo mogoče nasloviti pritožbe.</w:t>
            </w:r>
          </w:p>
        </w:tc>
      </w:tr>
      <w:tr w:rsidR="008E16DC" w:rsidRPr="00B7760C" w14:paraId="2E0038B8" w14:textId="77777777" w:rsidTr="00A35DEB">
        <w:trPr>
          <w:jc w:val="center"/>
        </w:trPr>
        <w:tc>
          <w:tcPr>
            <w:tcW w:w="4876" w:type="dxa"/>
          </w:tcPr>
          <w:p w14:paraId="750F0CD8" w14:textId="77777777" w:rsidR="008E16DC" w:rsidRPr="00B7760C" w:rsidRDefault="008E16DC" w:rsidP="00A35DEB">
            <w:pPr>
              <w:pStyle w:val="Normal6a"/>
            </w:pPr>
          </w:p>
        </w:tc>
        <w:tc>
          <w:tcPr>
            <w:tcW w:w="4876" w:type="dxa"/>
          </w:tcPr>
          <w:p w14:paraId="5D6CB247" w14:textId="621647C4" w:rsidR="008E16DC" w:rsidRPr="00B7760C" w:rsidRDefault="008E16DC" w:rsidP="00A35DEB">
            <w:pPr>
              <w:pStyle w:val="Normal6a"/>
            </w:pPr>
            <w:r w:rsidRPr="00B7760C">
              <w:rPr>
                <w:b/>
                <w:i/>
              </w:rPr>
              <w:t xml:space="preserve">3. </w:t>
            </w:r>
            <w:r w:rsidR="00AB1DA6" w:rsidRPr="00B7760C">
              <w:rPr>
                <w:b/>
                <w:i/>
              </w:rPr>
              <w:tab/>
            </w:r>
            <w:r w:rsidRPr="00B7760C">
              <w:rPr>
                <w:b/>
                <w:i/>
              </w:rPr>
              <w:t>Komisija osnuje in pregledno predstavi postopek za vložitev pritožbe in merila za ocenjevanje.</w:t>
            </w:r>
          </w:p>
        </w:tc>
      </w:tr>
      <w:tr w:rsidR="008E16DC" w:rsidRPr="00B7760C" w14:paraId="0DA20000" w14:textId="77777777" w:rsidTr="00A35DEB">
        <w:trPr>
          <w:jc w:val="center"/>
        </w:trPr>
        <w:tc>
          <w:tcPr>
            <w:tcW w:w="4876" w:type="dxa"/>
          </w:tcPr>
          <w:p w14:paraId="598CA609" w14:textId="77777777" w:rsidR="008E16DC" w:rsidRPr="00B7760C" w:rsidRDefault="008E16DC" w:rsidP="00A35DEB">
            <w:pPr>
              <w:pStyle w:val="Normal6a"/>
            </w:pPr>
          </w:p>
        </w:tc>
        <w:tc>
          <w:tcPr>
            <w:tcW w:w="4876" w:type="dxa"/>
          </w:tcPr>
          <w:p w14:paraId="03CA9425" w14:textId="77AEC039" w:rsidR="008E16DC" w:rsidRPr="00B7760C" w:rsidRDefault="008E16DC" w:rsidP="00A35DEB">
            <w:pPr>
              <w:pStyle w:val="Normal6a"/>
            </w:pPr>
            <w:r w:rsidRPr="00B7760C">
              <w:rPr>
                <w:b/>
                <w:i/>
              </w:rPr>
              <w:t xml:space="preserve">4. </w:t>
            </w:r>
            <w:r w:rsidR="00AB1DA6" w:rsidRPr="00B7760C">
              <w:rPr>
                <w:b/>
                <w:i/>
              </w:rPr>
              <w:tab/>
            </w:r>
            <w:r w:rsidRPr="00B7760C">
              <w:rPr>
                <w:b/>
                <w:i/>
              </w:rPr>
              <w:t>Komisija zagotovi ustrezno zaščito oseb ali podjetij po vložitvi pritožbe.</w:t>
            </w:r>
          </w:p>
        </w:tc>
      </w:tr>
      <w:tr w:rsidR="008E16DC" w:rsidRPr="00B7760C" w14:paraId="17AFAA49" w14:textId="77777777" w:rsidTr="00A35DEB">
        <w:trPr>
          <w:jc w:val="center"/>
        </w:trPr>
        <w:tc>
          <w:tcPr>
            <w:tcW w:w="4876" w:type="dxa"/>
          </w:tcPr>
          <w:p w14:paraId="1AE6A817" w14:textId="77777777" w:rsidR="008E16DC" w:rsidRPr="00B7760C" w:rsidRDefault="008E16DC" w:rsidP="00A35DEB">
            <w:pPr>
              <w:pStyle w:val="Normal6a"/>
            </w:pPr>
          </w:p>
        </w:tc>
        <w:tc>
          <w:tcPr>
            <w:tcW w:w="4876" w:type="dxa"/>
          </w:tcPr>
          <w:p w14:paraId="1DCB34A7" w14:textId="4DC57C4B" w:rsidR="008E16DC" w:rsidRPr="00B7760C" w:rsidRDefault="008E16DC" w:rsidP="00A35DEB">
            <w:pPr>
              <w:pStyle w:val="Normal6a"/>
            </w:pPr>
            <w:r w:rsidRPr="00B7760C">
              <w:rPr>
                <w:b/>
                <w:i/>
              </w:rPr>
              <w:t xml:space="preserve">5. </w:t>
            </w:r>
            <w:r w:rsidR="00AB1DA6" w:rsidRPr="00B7760C">
              <w:rPr>
                <w:b/>
                <w:i/>
              </w:rPr>
              <w:tab/>
            </w:r>
            <w:r w:rsidRPr="00B7760C">
              <w:rPr>
                <w:b/>
                <w:i/>
              </w:rPr>
              <w:t>Komisija se odloči, ali bo informacije, ki jih prejme prek tega mehanizma, upoštevala neposredno pri svojih revizijah ali pa jih bo posredovala Evropskemu javnemu tožilstvu oziroma uradu OLAF.</w:t>
            </w:r>
          </w:p>
        </w:tc>
      </w:tr>
    </w:tbl>
    <w:p w14:paraId="3AB40DD5" w14:textId="77777777" w:rsidR="008E16DC" w:rsidRPr="00B7760C" w:rsidRDefault="008E16DC" w:rsidP="003663AF"/>
    <w:p w14:paraId="685970BF" w14:textId="3337FF42" w:rsidR="003663AF" w:rsidRPr="00B7760C" w:rsidRDefault="00877691" w:rsidP="003663AF">
      <w:pPr>
        <w:pStyle w:val="AMNumberTabs"/>
        <w:keepNext/>
      </w:pPr>
      <w:r w:rsidRPr="00B7760C">
        <w:t>Sprememba</w:t>
      </w:r>
      <w:r w:rsidR="003663AF" w:rsidRPr="00B7760C">
        <w:tab/>
      </w:r>
      <w:r w:rsidR="003663AF" w:rsidRPr="00B7760C">
        <w:tab/>
        <w:t>704</w:t>
      </w:r>
    </w:p>
    <w:p w14:paraId="4A473537" w14:textId="77777777" w:rsidR="003663AF" w:rsidRPr="00B7760C" w:rsidRDefault="003663AF" w:rsidP="003663AF">
      <w:pPr>
        <w:pStyle w:val="NormalBold12b"/>
      </w:pPr>
      <w:r w:rsidRPr="00B7760C">
        <w:t>Predlog uredbe</w:t>
      </w:r>
    </w:p>
    <w:p w14:paraId="28D1530D" w14:textId="77777777" w:rsidR="003663AF" w:rsidRPr="00B7760C" w:rsidRDefault="003663AF" w:rsidP="003663AF">
      <w:pPr>
        <w:pStyle w:val="NormalBold"/>
      </w:pPr>
      <w:r w:rsidRPr="00B7760C">
        <w:t>Člen 135 – 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4467A2D" w14:textId="77777777" w:rsidTr="00E804B7">
        <w:trPr>
          <w:jc w:val="center"/>
        </w:trPr>
        <w:tc>
          <w:tcPr>
            <w:tcW w:w="9752" w:type="dxa"/>
            <w:gridSpan w:val="2"/>
          </w:tcPr>
          <w:p w14:paraId="016BEBEC" w14:textId="77777777" w:rsidR="003663AF" w:rsidRPr="00B7760C" w:rsidRDefault="003663AF" w:rsidP="00E804B7">
            <w:pPr>
              <w:keepNext/>
            </w:pPr>
          </w:p>
        </w:tc>
      </w:tr>
      <w:tr w:rsidR="003663AF" w:rsidRPr="00B7760C" w14:paraId="501883BC" w14:textId="77777777" w:rsidTr="00E804B7">
        <w:trPr>
          <w:jc w:val="center"/>
        </w:trPr>
        <w:tc>
          <w:tcPr>
            <w:tcW w:w="4876" w:type="dxa"/>
            <w:hideMark/>
          </w:tcPr>
          <w:p w14:paraId="3EC9E817" w14:textId="77777777" w:rsidR="003663AF" w:rsidRPr="00B7760C" w:rsidRDefault="003663AF" w:rsidP="00E804B7">
            <w:pPr>
              <w:pStyle w:val="ColumnHeading"/>
              <w:keepNext/>
            </w:pPr>
            <w:r w:rsidRPr="00B7760C">
              <w:t>Besedilo, ki ga predlaga Komisija</w:t>
            </w:r>
          </w:p>
        </w:tc>
        <w:tc>
          <w:tcPr>
            <w:tcW w:w="4876" w:type="dxa"/>
            <w:hideMark/>
          </w:tcPr>
          <w:p w14:paraId="62D9943B" w14:textId="06484519" w:rsidR="003663AF" w:rsidRPr="00B7760C" w:rsidRDefault="00877691" w:rsidP="00E804B7">
            <w:pPr>
              <w:pStyle w:val="ColumnHeading"/>
              <w:keepNext/>
            </w:pPr>
            <w:r w:rsidRPr="00B7760C">
              <w:t>Sprememba</w:t>
            </w:r>
          </w:p>
        </w:tc>
      </w:tr>
      <w:tr w:rsidR="003663AF" w:rsidRPr="00B7760C" w14:paraId="6F80AD19" w14:textId="77777777" w:rsidTr="00E804B7">
        <w:trPr>
          <w:jc w:val="center"/>
        </w:trPr>
        <w:tc>
          <w:tcPr>
            <w:tcW w:w="4876" w:type="dxa"/>
            <w:hideMark/>
          </w:tcPr>
          <w:p w14:paraId="57829724" w14:textId="77777777" w:rsidR="003663AF" w:rsidRPr="00B7760C" w:rsidRDefault="003663AF" w:rsidP="00E804B7">
            <w:pPr>
              <w:pStyle w:val="Normal6"/>
            </w:pPr>
            <w:r w:rsidRPr="00B7760C">
              <w:t>1.</w:t>
            </w:r>
            <w:r w:rsidRPr="00B7760C">
              <w:tab/>
              <w:t>Za dodelitve neposrednih plačil v najbolj oddaljenih regijah Unije se v skladu s poglavjem IV Uredbe (EU) št. 228/2013 uporabljajo le točki (a) in (b) člena 3</w:t>
            </w:r>
            <w:r w:rsidRPr="00B7760C">
              <w:rPr>
                <w:b/>
                <w:i/>
              </w:rPr>
              <w:t>(2)</w:t>
            </w:r>
            <w:r w:rsidRPr="00B7760C">
              <w:t>, točke (a), (b) in (d) člena 4(1), oddelek 2 poglavja I naslova III ter člen 16 in naslov IX te uredbe. Točke (a), (b) in (d) člena 4(1), oddelek 2 poglavja I naslova III, člen 16 in naslov IX se uporabljajo brez kakršnih koli obveznosti v zvezi s strateškim načrtom SKP.</w:t>
            </w:r>
          </w:p>
        </w:tc>
        <w:tc>
          <w:tcPr>
            <w:tcW w:w="4876" w:type="dxa"/>
            <w:hideMark/>
          </w:tcPr>
          <w:p w14:paraId="47ED23BC" w14:textId="77777777" w:rsidR="003663AF" w:rsidRPr="00B7760C" w:rsidRDefault="003663AF" w:rsidP="00E804B7">
            <w:pPr>
              <w:pStyle w:val="Normal6"/>
              <w:rPr>
                <w:szCs w:val="24"/>
              </w:rPr>
            </w:pPr>
            <w:r w:rsidRPr="00B7760C">
              <w:t>1.</w:t>
            </w:r>
            <w:r w:rsidRPr="00B7760C">
              <w:tab/>
              <w:t>Za dodelitve neposrednih plačil v najbolj oddaljenih regijah Unije se v skladu s poglavjem IV Uredbe (EU) št. 228/2013 uporabljajo le točki (a) in (b) člena 3, točke (a), (b) in (d) člena 4(1), oddelek 2 poglavja I naslova III ter člen 16 in naslov IX te uredbe. Točke (a), (b) in (d) člena 4(1), oddelek 2 poglavja I naslova III, člen 16 in naslov IX se uporabljajo brez kakršnih koli obveznosti v zvezi s strateškim načrtom SKP.</w:t>
            </w:r>
          </w:p>
        </w:tc>
      </w:tr>
    </w:tbl>
    <w:p w14:paraId="367D9510" w14:textId="77777777" w:rsidR="003663AF" w:rsidRPr="00B7760C" w:rsidRDefault="003663AF" w:rsidP="003663AF"/>
    <w:p w14:paraId="0ACC5FC2" w14:textId="1D8F7373" w:rsidR="003663AF" w:rsidRPr="00B7760C" w:rsidRDefault="00877691" w:rsidP="003663AF">
      <w:pPr>
        <w:pStyle w:val="AMNumberTabs"/>
        <w:keepNext/>
      </w:pPr>
      <w:r w:rsidRPr="00B7760C">
        <w:t>Sprememba</w:t>
      </w:r>
      <w:r w:rsidR="003663AF" w:rsidRPr="00B7760C">
        <w:tab/>
      </w:r>
      <w:r w:rsidR="003663AF" w:rsidRPr="00B7760C">
        <w:tab/>
        <w:t>705</w:t>
      </w:r>
    </w:p>
    <w:p w14:paraId="5D8239E4" w14:textId="77777777" w:rsidR="003663AF" w:rsidRPr="00B7760C" w:rsidRDefault="003663AF" w:rsidP="003663AF">
      <w:pPr>
        <w:pStyle w:val="NormalBold12b"/>
      </w:pPr>
      <w:r w:rsidRPr="00B7760C">
        <w:t>Predlog uredbe</w:t>
      </w:r>
    </w:p>
    <w:p w14:paraId="67F3C44E" w14:textId="77777777" w:rsidR="003663AF" w:rsidRPr="00B7760C" w:rsidRDefault="003663AF" w:rsidP="003663AF">
      <w:pPr>
        <w:pStyle w:val="NormalBold"/>
      </w:pPr>
      <w:r w:rsidRPr="00B7760C">
        <w:t>Člen 135 – odstavek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6CE84F9B" w14:textId="77777777" w:rsidTr="00E804B7">
        <w:trPr>
          <w:jc w:val="center"/>
        </w:trPr>
        <w:tc>
          <w:tcPr>
            <w:tcW w:w="9752" w:type="dxa"/>
            <w:gridSpan w:val="2"/>
          </w:tcPr>
          <w:p w14:paraId="0DBED46F" w14:textId="77777777" w:rsidR="003663AF" w:rsidRPr="00B7760C" w:rsidRDefault="003663AF" w:rsidP="00E804B7">
            <w:pPr>
              <w:keepNext/>
            </w:pPr>
          </w:p>
        </w:tc>
      </w:tr>
      <w:tr w:rsidR="003663AF" w:rsidRPr="00B7760C" w14:paraId="5C5148C5" w14:textId="77777777" w:rsidTr="00E804B7">
        <w:trPr>
          <w:jc w:val="center"/>
        </w:trPr>
        <w:tc>
          <w:tcPr>
            <w:tcW w:w="4876" w:type="dxa"/>
            <w:hideMark/>
          </w:tcPr>
          <w:p w14:paraId="2742F0BC" w14:textId="77777777" w:rsidR="003663AF" w:rsidRPr="00B7760C" w:rsidRDefault="003663AF" w:rsidP="00E804B7">
            <w:pPr>
              <w:pStyle w:val="ColumnHeading"/>
              <w:keepNext/>
            </w:pPr>
            <w:r w:rsidRPr="00B7760C">
              <w:t>Besedilo, ki ga predlaga Komisija</w:t>
            </w:r>
          </w:p>
        </w:tc>
        <w:tc>
          <w:tcPr>
            <w:tcW w:w="4876" w:type="dxa"/>
            <w:hideMark/>
          </w:tcPr>
          <w:p w14:paraId="4E1A26DA" w14:textId="234CD26E" w:rsidR="003663AF" w:rsidRPr="00B7760C" w:rsidRDefault="00877691" w:rsidP="00E804B7">
            <w:pPr>
              <w:pStyle w:val="ColumnHeading"/>
              <w:keepNext/>
            </w:pPr>
            <w:r w:rsidRPr="00B7760C">
              <w:t>Sprememba</w:t>
            </w:r>
          </w:p>
        </w:tc>
      </w:tr>
      <w:tr w:rsidR="003663AF" w:rsidRPr="00B7760C" w14:paraId="4536F6FF" w14:textId="77777777" w:rsidTr="00E804B7">
        <w:trPr>
          <w:jc w:val="center"/>
        </w:trPr>
        <w:tc>
          <w:tcPr>
            <w:tcW w:w="4876" w:type="dxa"/>
            <w:hideMark/>
          </w:tcPr>
          <w:p w14:paraId="356183A9" w14:textId="77777777" w:rsidR="003663AF" w:rsidRPr="00B7760C" w:rsidRDefault="003663AF" w:rsidP="00E804B7">
            <w:pPr>
              <w:pStyle w:val="Normal6"/>
            </w:pPr>
            <w:r w:rsidRPr="00B7760C">
              <w:t>2.</w:t>
            </w:r>
            <w:r w:rsidRPr="00B7760C">
              <w:tab/>
              <w:t>Za dodelitve neposrednih plačil na manjših egejskih otokih se v skladu s poglavjem IV Uredbe (EU) št. 229/2013 uporabljajo le točki (a) in (b) člena 3</w:t>
            </w:r>
            <w:r w:rsidRPr="00B7760C">
              <w:rPr>
                <w:b/>
                <w:i/>
              </w:rPr>
              <w:t>(2)</w:t>
            </w:r>
            <w:r w:rsidRPr="00B7760C">
              <w:t>, člen 4, oddelek 2 poglavja I naslova III, oddelka 1 in 2 poglavja II naslova III in naslov IX te uredbe. Člen 4, oddelek 2 poglavja I naslova III, oddelka 1 in 2 poglavja II naslova III ter naslov IX se uporabljajo brez kakršnih koli obveznosti v zvezi s strateškim načrtom SKP.</w:t>
            </w:r>
          </w:p>
        </w:tc>
        <w:tc>
          <w:tcPr>
            <w:tcW w:w="4876" w:type="dxa"/>
            <w:hideMark/>
          </w:tcPr>
          <w:p w14:paraId="7904B8EB" w14:textId="77777777" w:rsidR="003663AF" w:rsidRPr="00B7760C" w:rsidRDefault="003663AF" w:rsidP="00E804B7">
            <w:pPr>
              <w:pStyle w:val="Normal6"/>
              <w:rPr>
                <w:szCs w:val="24"/>
              </w:rPr>
            </w:pPr>
            <w:r w:rsidRPr="00B7760C">
              <w:t>2.</w:t>
            </w:r>
            <w:r w:rsidRPr="00B7760C">
              <w:tab/>
              <w:t>Za dodelitve neposrednih plačil na manjših egejskih otokih se v skladu s poglavjem IV Uredbe (EU) št. 229/2013 uporabljajo le točki (a) in (b) člena 3, člen 4, oddelek 2 poglavja I naslova III, oddelka 1 in 2 poglavja II naslova III in naslov IX te uredbe. Člen 4, oddelek 2 poglavja I naslova III, oddelka 1 in 2 poglavja II naslova III ter naslov IX se uporabljajo brez kakršnih koli obveznosti v zvezi s strateškim načrtom SKP.</w:t>
            </w:r>
          </w:p>
        </w:tc>
      </w:tr>
    </w:tbl>
    <w:p w14:paraId="68AE7691" w14:textId="77777777" w:rsidR="003663AF" w:rsidRPr="00B7760C" w:rsidRDefault="003663AF" w:rsidP="003663AF"/>
    <w:p w14:paraId="08078207" w14:textId="55317CA8" w:rsidR="003663AF" w:rsidRPr="00B7760C" w:rsidRDefault="00877691" w:rsidP="003663AF">
      <w:pPr>
        <w:pStyle w:val="AMNumberTabs"/>
        <w:keepNext/>
      </w:pPr>
      <w:r w:rsidRPr="00B7760C">
        <w:t>Sprememba</w:t>
      </w:r>
      <w:r w:rsidR="003663AF" w:rsidRPr="00B7760C">
        <w:tab/>
      </w:r>
      <w:r w:rsidR="003663AF" w:rsidRPr="00B7760C">
        <w:tab/>
        <w:t>706</w:t>
      </w:r>
    </w:p>
    <w:p w14:paraId="231408DB" w14:textId="77777777" w:rsidR="003663AF" w:rsidRPr="00B7760C" w:rsidRDefault="003663AF" w:rsidP="003663AF">
      <w:pPr>
        <w:pStyle w:val="NormalBold12b"/>
      </w:pPr>
      <w:r w:rsidRPr="00B7760C">
        <w:t>Predlog uredbe</w:t>
      </w:r>
    </w:p>
    <w:p w14:paraId="52A489E2" w14:textId="77777777" w:rsidR="003663AF" w:rsidRPr="00B7760C" w:rsidRDefault="003663AF" w:rsidP="003663AF">
      <w:pPr>
        <w:pStyle w:val="NormalBold"/>
      </w:pPr>
      <w:r w:rsidRPr="00B7760C">
        <w:t>Člen 138 – odstavek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C0A0DD8" w14:textId="77777777" w:rsidTr="00E804B7">
        <w:trPr>
          <w:jc w:val="center"/>
        </w:trPr>
        <w:tc>
          <w:tcPr>
            <w:tcW w:w="9752" w:type="dxa"/>
            <w:gridSpan w:val="2"/>
          </w:tcPr>
          <w:p w14:paraId="0D4A7228" w14:textId="77777777" w:rsidR="003663AF" w:rsidRPr="00B7760C" w:rsidRDefault="003663AF" w:rsidP="00E804B7">
            <w:pPr>
              <w:keepNext/>
            </w:pPr>
          </w:p>
        </w:tc>
      </w:tr>
      <w:tr w:rsidR="003663AF" w:rsidRPr="00B7760C" w14:paraId="6693012F" w14:textId="77777777" w:rsidTr="00E804B7">
        <w:trPr>
          <w:jc w:val="center"/>
        </w:trPr>
        <w:tc>
          <w:tcPr>
            <w:tcW w:w="4876" w:type="dxa"/>
            <w:hideMark/>
          </w:tcPr>
          <w:p w14:paraId="28C202D8" w14:textId="77777777" w:rsidR="003663AF" w:rsidRPr="00B7760C" w:rsidRDefault="003663AF" w:rsidP="00E804B7">
            <w:pPr>
              <w:pStyle w:val="ColumnHeading"/>
              <w:keepNext/>
            </w:pPr>
            <w:r w:rsidRPr="00B7760C">
              <w:t>Besedilo, ki ga predlaga Komisija</w:t>
            </w:r>
          </w:p>
        </w:tc>
        <w:tc>
          <w:tcPr>
            <w:tcW w:w="4876" w:type="dxa"/>
            <w:hideMark/>
          </w:tcPr>
          <w:p w14:paraId="35F3D72F" w14:textId="668829CC" w:rsidR="003663AF" w:rsidRPr="00B7760C" w:rsidRDefault="00877691" w:rsidP="00E804B7">
            <w:pPr>
              <w:pStyle w:val="ColumnHeading"/>
              <w:keepNext/>
            </w:pPr>
            <w:r w:rsidRPr="00B7760C">
              <w:t>Sprememba</w:t>
            </w:r>
          </w:p>
        </w:tc>
      </w:tr>
      <w:tr w:rsidR="003663AF" w:rsidRPr="00B7760C" w14:paraId="4CEA5E9E" w14:textId="77777777" w:rsidTr="00E804B7">
        <w:trPr>
          <w:jc w:val="center"/>
        </w:trPr>
        <w:tc>
          <w:tcPr>
            <w:tcW w:w="4876" w:type="dxa"/>
            <w:hideMark/>
          </w:tcPr>
          <w:p w14:paraId="30A1637B" w14:textId="7F519EE9" w:rsidR="003663AF" w:rsidRPr="00B7760C" w:rsidRDefault="003663AF" w:rsidP="00201401">
            <w:pPr>
              <w:pStyle w:val="Normal6"/>
            </w:pPr>
            <w:r w:rsidRPr="00B7760C">
              <w:t>2.</w:t>
            </w:r>
            <w:r w:rsidRPr="00B7760C">
              <w:tab/>
              <w:t xml:space="preserve">Pooblastilo za sprejemanje delegiranih aktov iz členov 4, 7, 12, </w:t>
            </w:r>
            <w:r w:rsidRPr="00B7760C">
              <w:rPr>
                <w:b/>
                <w:i/>
              </w:rPr>
              <w:t>15, 23</w:t>
            </w:r>
            <w:r w:rsidRPr="00B7760C">
              <w:t xml:space="preserve">, 28, 32, 35, 36, 37, 41, 50, 78, 81, </w:t>
            </w:r>
            <w:r w:rsidRPr="00B7760C">
              <w:rPr>
                <w:b/>
                <w:i/>
              </w:rPr>
              <w:t>104</w:t>
            </w:r>
            <w:r w:rsidRPr="00B7760C">
              <w:t xml:space="preserve"> in 141 se prenese na Komisijo za </w:t>
            </w:r>
            <w:r w:rsidRPr="00B7760C">
              <w:rPr>
                <w:b/>
                <w:i/>
              </w:rPr>
              <w:t>obdobje sedmih let</w:t>
            </w:r>
            <w:r w:rsidRPr="00B7760C">
              <w:t xml:space="preserve"> od datuma začetka veljavnosti te uredbe.</w:t>
            </w:r>
            <w:r w:rsidRPr="00B7760C">
              <w:rPr>
                <w:b/>
                <w:bCs/>
                <w:i/>
                <w:iCs/>
              </w:rPr>
              <w:t xml:space="preserve"> Komisija pripravi poročilo o prenosu pooblastila najpozneje devet mesecev pred koncem sedemletnega obdobja. Prenos pooblastila se samodejno podaljšuje za enako dolga obdobja, razen če Evropski parlament ali Svet nasprotuje takemu podaljšanju najpozneje tri mesece pred koncem vsakega obdobja.</w:t>
            </w:r>
          </w:p>
        </w:tc>
        <w:tc>
          <w:tcPr>
            <w:tcW w:w="4876" w:type="dxa"/>
            <w:hideMark/>
          </w:tcPr>
          <w:p w14:paraId="3A7245BE" w14:textId="54A5F5C6" w:rsidR="003663AF" w:rsidRPr="00B7760C" w:rsidRDefault="003663AF" w:rsidP="00201401">
            <w:pPr>
              <w:pStyle w:val="Normal6"/>
              <w:rPr>
                <w:szCs w:val="24"/>
              </w:rPr>
            </w:pPr>
            <w:r w:rsidRPr="00B7760C">
              <w:t>2.</w:t>
            </w:r>
            <w:r w:rsidRPr="00B7760C">
              <w:tab/>
              <w:t xml:space="preserve">Pooblastilo za sprejemanje delegiranih aktov iz členov 4, 7, </w:t>
            </w:r>
            <w:r w:rsidRPr="00B7760C">
              <w:rPr>
                <w:b/>
                <w:i/>
              </w:rPr>
              <w:t>11</w:t>
            </w:r>
            <w:r w:rsidRPr="00B7760C">
              <w:t xml:space="preserve">, 12, 28, 32, 35, 36, 37, 41, 50, 78, 81, </w:t>
            </w:r>
            <w:r w:rsidRPr="00B7760C">
              <w:rPr>
                <w:b/>
                <w:i/>
              </w:rPr>
              <w:t>83, 94, 110, 120</w:t>
            </w:r>
            <w:r w:rsidRPr="00B7760C">
              <w:t xml:space="preserve"> in 141 se prenese na Komisijo za </w:t>
            </w:r>
            <w:r w:rsidRPr="00B7760C">
              <w:rPr>
                <w:b/>
                <w:i/>
              </w:rPr>
              <w:t>nedoločen čas</w:t>
            </w:r>
            <w:r w:rsidRPr="00B7760C">
              <w:t xml:space="preserve"> od datuma začetka veljavnosti te uredbe.</w:t>
            </w:r>
          </w:p>
        </w:tc>
      </w:tr>
    </w:tbl>
    <w:p w14:paraId="563CB002" w14:textId="77777777" w:rsidR="003663AF" w:rsidRPr="00B7760C" w:rsidRDefault="003663AF" w:rsidP="003663AF"/>
    <w:p w14:paraId="71392A0B" w14:textId="10B85F1D" w:rsidR="003663AF" w:rsidRPr="00B7760C" w:rsidRDefault="00877691" w:rsidP="003663AF">
      <w:pPr>
        <w:pStyle w:val="AMNumberTabs"/>
        <w:keepNext/>
      </w:pPr>
      <w:r w:rsidRPr="00B7760C">
        <w:t>Sprememba</w:t>
      </w:r>
      <w:r w:rsidR="003663AF" w:rsidRPr="00B7760C">
        <w:tab/>
      </w:r>
      <w:r w:rsidR="003663AF" w:rsidRPr="00B7760C">
        <w:tab/>
        <w:t>707</w:t>
      </w:r>
    </w:p>
    <w:p w14:paraId="390EE8B9" w14:textId="77777777" w:rsidR="003663AF" w:rsidRPr="00B7760C" w:rsidRDefault="003663AF" w:rsidP="003663AF">
      <w:pPr>
        <w:pStyle w:val="NormalBold12b"/>
      </w:pPr>
      <w:r w:rsidRPr="00B7760C">
        <w:t>Predlog uredbe</w:t>
      </w:r>
    </w:p>
    <w:p w14:paraId="0C02DD72" w14:textId="77777777" w:rsidR="003663AF" w:rsidRPr="00B7760C" w:rsidRDefault="003663AF" w:rsidP="003663AF">
      <w:pPr>
        <w:pStyle w:val="NormalBold"/>
      </w:pPr>
      <w:r w:rsidRPr="00B7760C">
        <w:t>Člen 138 – odstavek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28BA1CC" w14:textId="77777777" w:rsidTr="00E804B7">
        <w:trPr>
          <w:jc w:val="center"/>
        </w:trPr>
        <w:tc>
          <w:tcPr>
            <w:tcW w:w="9752" w:type="dxa"/>
            <w:gridSpan w:val="2"/>
          </w:tcPr>
          <w:p w14:paraId="64F628E4" w14:textId="77777777" w:rsidR="003663AF" w:rsidRPr="00B7760C" w:rsidRDefault="003663AF" w:rsidP="00E804B7">
            <w:pPr>
              <w:keepNext/>
            </w:pPr>
          </w:p>
        </w:tc>
      </w:tr>
      <w:tr w:rsidR="003663AF" w:rsidRPr="00B7760C" w14:paraId="0FCDEC20" w14:textId="77777777" w:rsidTr="00E804B7">
        <w:trPr>
          <w:jc w:val="center"/>
        </w:trPr>
        <w:tc>
          <w:tcPr>
            <w:tcW w:w="4876" w:type="dxa"/>
            <w:hideMark/>
          </w:tcPr>
          <w:p w14:paraId="51CAE953" w14:textId="77777777" w:rsidR="003663AF" w:rsidRPr="00B7760C" w:rsidRDefault="003663AF" w:rsidP="00E804B7">
            <w:pPr>
              <w:pStyle w:val="ColumnHeading"/>
              <w:keepNext/>
            </w:pPr>
            <w:r w:rsidRPr="00B7760C">
              <w:t>Besedilo, ki ga predlaga Komisija</w:t>
            </w:r>
          </w:p>
        </w:tc>
        <w:tc>
          <w:tcPr>
            <w:tcW w:w="4876" w:type="dxa"/>
            <w:hideMark/>
          </w:tcPr>
          <w:p w14:paraId="7065E34D" w14:textId="0C259383" w:rsidR="003663AF" w:rsidRPr="00B7760C" w:rsidRDefault="00877691" w:rsidP="00E804B7">
            <w:pPr>
              <w:pStyle w:val="ColumnHeading"/>
              <w:keepNext/>
            </w:pPr>
            <w:r w:rsidRPr="00B7760C">
              <w:t>Sprememba</w:t>
            </w:r>
          </w:p>
        </w:tc>
      </w:tr>
      <w:tr w:rsidR="003663AF" w:rsidRPr="00B7760C" w14:paraId="67FE3448" w14:textId="77777777" w:rsidTr="00E804B7">
        <w:trPr>
          <w:jc w:val="center"/>
        </w:trPr>
        <w:tc>
          <w:tcPr>
            <w:tcW w:w="4876" w:type="dxa"/>
            <w:hideMark/>
          </w:tcPr>
          <w:p w14:paraId="69E83182" w14:textId="77777777" w:rsidR="003663AF" w:rsidRPr="00B7760C" w:rsidRDefault="003663AF" w:rsidP="00E804B7">
            <w:pPr>
              <w:pStyle w:val="Normal6"/>
            </w:pPr>
            <w:r w:rsidRPr="00B7760C">
              <w:t>3.</w:t>
            </w:r>
            <w:r w:rsidRPr="00B7760C">
              <w:tab/>
              <w:t xml:space="preserve">Prenos pooblastila iz členov 4, 7, 12, </w:t>
            </w:r>
            <w:r w:rsidRPr="00B7760C">
              <w:rPr>
                <w:b/>
                <w:i/>
              </w:rPr>
              <w:t>15, 23</w:t>
            </w:r>
            <w:r w:rsidRPr="00B7760C">
              <w:t xml:space="preserve">, 28, 32, 35, 36, 37, 41, 50, 78, 81, </w:t>
            </w:r>
            <w:r w:rsidRPr="00B7760C">
              <w:rPr>
                <w:b/>
                <w:i/>
              </w:rPr>
              <w:t>104</w:t>
            </w:r>
            <w:r w:rsidRPr="00B7760C">
              <w:t xml:space="preserve"> in 141 lahko kadar koli prekliče Evropski parlament ali Svet. S sklepom o preklicu preneha veljati prenos pooblastila iz navedenega sklepa. Sklep začne učinkovati dan po objavi v Uradnem listu Evropske unije ali na poznejši datum, ki je določen v navedenem sklepu. Sklep ne vpliva na veljavnost že veljavnih delegiranih aktov.</w:t>
            </w:r>
          </w:p>
        </w:tc>
        <w:tc>
          <w:tcPr>
            <w:tcW w:w="4876" w:type="dxa"/>
            <w:hideMark/>
          </w:tcPr>
          <w:p w14:paraId="0BC036AD" w14:textId="77777777" w:rsidR="003663AF" w:rsidRPr="00B7760C" w:rsidRDefault="003663AF" w:rsidP="00E804B7">
            <w:pPr>
              <w:pStyle w:val="Normal6"/>
              <w:rPr>
                <w:szCs w:val="24"/>
              </w:rPr>
            </w:pPr>
            <w:r w:rsidRPr="00B7760C">
              <w:t>3.</w:t>
            </w:r>
            <w:r w:rsidRPr="00B7760C">
              <w:tab/>
              <w:t xml:space="preserve">Prenos pooblastila iz členov 4, 7, </w:t>
            </w:r>
            <w:r w:rsidRPr="00B7760C">
              <w:rPr>
                <w:b/>
                <w:i/>
              </w:rPr>
              <w:t>11</w:t>
            </w:r>
            <w:r w:rsidRPr="00B7760C">
              <w:t xml:space="preserve">, 12, 28, 32, 35, 36, 37, 41, 50, 78, 81, </w:t>
            </w:r>
            <w:r w:rsidRPr="00B7760C">
              <w:rPr>
                <w:b/>
                <w:i/>
              </w:rPr>
              <w:t>83, 94, 110, 120</w:t>
            </w:r>
            <w:r w:rsidRPr="00B7760C">
              <w:t xml:space="preserve"> in 141 lahko kadar koli prekliče Evropski parlament ali Svet. S sklepom o preklicu preneha veljati prenos pooblastila iz navedenega sklepa. Sklep začne učinkovati dan po objavi v Uradnem listu Evropske unije ali na poznejši datum, ki je določen v navedenem sklepu. Sklep ne vpliva na veljavnost že veljavnih delegiranih aktov.</w:t>
            </w:r>
          </w:p>
        </w:tc>
      </w:tr>
    </w:tbl>
    <w:p w14:paraId="1E289928" w14:textId="77777777" w:rsidR="003663AF" w:rsidRPr="00B7760C" w:rsidRDefault="003663AF" w:rsidP="003663AF"/>
    <w:p w14:paraId="168855B2" w14:textId="34A4DEAC" w:rsidR="003663AF" w:rsidRPr="00B7760C" w:rsidRDefault="00877691" w:rsidP="003663AF">
      <w:pPr>
        <w:pStyle w:val="AMNumberTabs"/>
        <w:keepNext/>
      </w:pPr>
      <w:r w:rsidRPr="00B7760C">
        <w:t>Sprememba</w:t>
      </w:r>
      <w:r w:rsidR="003663AF" w:rsidRPr="00B7760C">
        <w:tab/>
      </w:r>
      <w:r w:rsidR="003663AF" w:rsidRPr="00B7760C">
        <w:tab/>
        <w:t>708</w:t>
      </w:r>
    </w:p>
    <w:p w14:paraId="074C500E" w14:textId="77777777" w:rsidR="003663AF" w:rsidRPr="00B7760C" w:rsidRDefault="003663AF" w:rsidP="003663AF">
      <w:pPr>
        <w:pStyle w:val="NormalBold12b"/>
      </w:pPr>
      <w:r w:rsidRPr="00B7760C">
        <w:t>Predlog uredbe</w:t>
      </w:r>
    </w:p>
    <w:p w14:paraId="15A7DA04" w14:textId="77777777" w:rsidR="003663AF" w:rsidRPr="00B7760C" w:rsidRDefault="003663AF" w:rsidP="003663AF">
      <w:pPr>
        <w:pStyle w:val="NormalBold"/>
      </w:pPr>
      <w:r w:rsidRPr="00B7760C">
        <w:t>Člen 138 – odstavek 6</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7E8CF9A6" w14:textId="77777777" w:rsidTr="00E804B7">
        <w:trPr>
          <w:jc w:val="center"/>
        </w:trPr>
        <w:tc>
          <w:tcPr>
            <w:tcW w:w="9752" w:type="dxa"/>
            <w:gridSpan w:val="2"/>
          </w:tcPr>
          <w:p w14:paraId="63639661" w14:textId="77777777" w:rsidR="003663AF" w:rsidRPr="00B7760C" w:rsidRDefault="003663AF" w:rsidP="00E804B7">
            <w:pPr>
              <w:keepNext/>
            </w:pPr>
          </w:p>
        </w:tc>
      </w:tr>
      <w:tr w:rsidR="003663AF" w:rsidRPr="00B7760C" w14:paraId="0C0DC33F" w14:textId="77777777" w:rsidTr="00E804B7">
        <w:trPr>
          <w:jc w:val="center"/>
        </w:trPr>
        <w:tc>
          <w:tcPr>
            <w:tcW w:w="4876" w:type="dxa"/>
            <w:hideMark/>
          </w:tcPr>
          <w:p w14:paraId="01526386" w14:textId="77777777" w:rsidR="003663AF" w:rsidRPr="00B7760C" w:rsidRDefault="003663AF" w:rsidP="00E804B7">
            <w:pPr>
              <w:pStyle w:val="ColumnHeading"/>
              <w:keepNext/>
            </w:pPr>
            <w:r w:rsidRPr="00B7760C">
              <w:t>Besedilo, ki ga predlaga Komisija</w:t>
            </w:r>
          </w:p>
        </w:tc>
        <w:tc>
          <w:tcPr>
            <w:tcW w:w="4876" w:type="dxa"/>
            <w:hideMark/>
          </w:tcPr>
          <w:p w14:paraId="50C0B5DD" w14:textId="33FF2AD3" w:rsidR="003663AF" w:rsidRPr="00B7760C" w:rsidRDefault="00877691" w:rsidP="00E804B7">
            <w:pPr>
              <w:pStyle w:val="ColumnHeading"/>
              <w:keepNext/>
            </w:pPr>
            <w:r w:rsidRPr="00B7760C">
              <w:t>Sprememba</w:t>
            </w:r>
          </w:p>
        </w:tc>
      </w:tr>
      <w:tr w:rsidR="003663AF" w:rsidRPr="00B7760C" w14:paraId="05C66DE0" w14:textId="77777777" w:rsidTr="00E804B7">
        <w:trPr>
          <w:jc w:val="center"/>
        </w:trPr>
        <w:tc>
          <w:tcPr>
            <w:tcW w:w="4876" w:type="dxa"/>
            <w:hideMark/>
          </w:tcPr>
          <w:p w14:paraId="0707EC4E" w14:textId="77777777" w:rsidR="003663AF" w:rsidRPr="00B7760C" w:rsidRDefault="003663AF" w:rsidP="00E804B7">
            <w:pPr>
              <w:pStyle w:val="Normal6"/>
            </w:pPr>
            <w:r w:rsidRPr="00B7760C">
              <w:t>6.</w:t>
            </w:r>
            <w:r w:rsidRPr="00B7760C">
              <w:tab/>
              <w:t xml:space="preserve">Delegirani akt, sprejet na podlagi členov 4, 7, 12, </w:t>
            </w:r>
            <w:r w:rsidRPr="00B7760C">
              <w:rPr>
                <w:b/>
                <w:i/>
              </w:rPr>
              <w:t>15, 23</w:t>
            </w:r>
            <w:r w:rsidRPr="00B7760C">
              <w:t xml:space="preserve">, 28, 32, 35, 36, 37, 41, 50, 78, 81, </w:t>
            </w:r>
            <w:r w:rsidRPr="00B7760C">
              <w:rPr>
                <w:b/>
                <w:i/>
              </w:rPr>
              <w:t>104</w:t>
            </w:r>
            <w:r w:rsidRPr="00B7760C">
              <w:t xml:space="preserve"> in 141, začne veljati le, če mu niti Evropski parlament niti Svet ne nasprotuje v roku dveh mesecev od uradnega obvestila Evropskemu parlamentu in Svetu o tem aktu ali če pred iztekom tega roka tako Evropski parlament kot Svet obvestita Komisijo, da mu ne bosta nasprotovala. Ta rok se na pobudo Evropskega parlamenta ali Sveta podaljša za dva meseca. </w:t>
            </w:r>
          </w:p>
        </w:tc>
        <w:tc>
          <w:tcPr>
            <w:tcW w:w="4876" w:type="dxa"/>
            <w:hideMark/>
          </w:tcPr>
          <w:p w14:paraId="56012A73" w14:textId="77777777" w:rsidR="003663AF" w:rsidRPr="00B7760C" w:rsidRDefault="003663AF" w:rsidP="00E804B7">
            <w:pPr>
              <w:pStyle w:val="Normal6"/>
              <w:rPr>
                <w:szCs w:val="24"/>
              </w:rPr>
            </w:pPr>
            <w:r w:rsidRPr="00B7760C">
              <w:t>6.</w:t>
            </w:r>
            <w:r w:rsidRPr="00B7760C">
              <w:tab/>
              <w:t xml:space="preserve">Delegirani akt, sprejet na podlagi členov 4, 7, </w:t>
            </w:r>
            <w:r w:rsidRPr="00B7760C">
              <w:rPr>
                <w:b/>
                <w:i/>
              </w:rPr>
              <w:t>11</w:t>
            </w:r>
            <w:r w:rsidRPr="00B7760C">
              <w:t xml:space="preserve">, 12, 28, 32, 35, 36, 37, 41, 50, 78, 81, </w:t>
            </w:r>
            <w:r w:rsidRPr="00B7760C">
              <w:rPr>
                <w:b/>
                <w:i/>
              </w:rPr>
              <w:t>83, 94, 110, 120</w:t>
            </w:r>
            <w:r w:rsidRPr="00B7760C">
              <w:t xml:space="preserve"> in 141, začne veljati le, če mu niti Evropski parlament niti Svet ne nasprotuje v roku dveh mesecev od uradnega obvestila Evropskemu parlamentu in Svetu o tem aktu ali če pred iztekom tega roka tako Evropski parlament kot Svet obvestita Komisijo, da mu ne bosta nasprotovala. Ta rok se na pobudo Evropskega parlamenta ali Sveta podaljša za dva meseca.</w:t>
            </w:r>
          </w:p>
        </w:tc>
      </w:tr>
    </w:tbl>
    <w:p w14:paraId="2871D3AA" w14:textId="77777777" w:rsidR="003663AF" w:rsidRPr="00B7760C" w:rsidRDefault="003663AF" w:rsidP="003663AF"/>
    <w:p w14:paraId="102BA589" w14:textId="2B959588" w:rsidR="0033738D" w:rsidRPr="00B7760C" w:rsidRDefault="0033738D" w:rsidP="003663AF"/>
    <w:p w14:paraId="33C8B7D1" w14:textId="4D90922E" w:rsidR="0033738D" w:rsidRPr="00B7760C" w:rsidRDefault="00947116" w:rsidP="0033738D">
      <w:pPr>
        <w:pStyle w:val="AmNumberTabs0"/>
      </w:pPr>
      <w:r w:rsidRPr="00B7760C">
        <w:t>Sprememba</w:t>
      </w:r>
      <w:r w:rsidR="0033738D" w:rsidRPr="00B7760C">
        <w:tab/>
      </w:r>
      <w:r w:rsidR="0033738D" w:rsidRPr="00B7760C">
        <w:tab/>
        <w:t>1138</w:t>
      </w:r>
    </w:p>
    <w:p w14:paraId="36408A38" w14:textId="77777777" w:rsidR="0033738D" w:rsidRPr="00B7760C" w:rsidRDefault="0033738D" w:rsidP="0033738D">
      <w:pPr>
        <w:pStyle w:val="NormalBold12b"/>
      </w:pPr>
      <w:r w:rsidRPr="00B7760C">
        <w:t>Predlog uredbe</w:t>
      </w:r>
    </w:p>
    <w:p w14:paraId="65035025" w14:textId="77777777" w:rsidR="0033738D" w:rsidRPr="00B7760C" w:rsidRDefault="0033738D" w:rsidP="0033738D">
      <w:pPr>
        <w:pStyle w:val="NormalBold"/>
      </w:pPr>
      <w:r w:rsidRPr="00B7760C">
        <w:t>Člen 139 a (novo)</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3738D" w:rsidRPr="00B7760C" w14:paraId="22B2402D" w14:textId="77777777" w:rsidTr="004F0B88">
        <w:trPr>
          <w:jc w:val="center"/>
        </w:trPr>
        <w:tc>
          <w:tcPr>
            <w:tcW w:w="9752" w:type="dxa"/>
            <w:gridSpan w:val="2"/>
          </w:tcPr>
          <w:p w14:paraId="4B26986C" w14:textId="77777777" w:rsidR="0033738D" w:rsidRPr="00B7760C" w:rsidRDefault="0033738D" w:rsidP="004F0B88">
            <w:pPr>
              <w:keepNext/>
            </w:pPr>
          </w:p>
        </w:tc>
      </w:tr>
      <w:tr w:rsidR="0033738D" w:rsidRPr="00B7760C" w14:paraId="2594968A" w14:textId="77777777" w:rsidTr="004F0B88">
        <w:trPr>
          <w:jc w:val="center"/>
        </w:trPr>
        <w:tc>
          <w:tcPr>
            <w:tcW w:w="4876" w:type="dxa"/>
          </w:tcPr>
          <w:p w14:paraId="2B54C921" w14:textId="77777777" w:rsidR="0033738D" w:rsidRPr="00B7760C" w:rsidRDefault="0033738D" w:rsidP="004F0B88">
            <w:pPr>
              <w:pStyle w:val="AmColumnHeading"/>
              <w:keepNext/>
            </w:pPr>
            <w:r w:rsidRPr="00B7760C">
              <w:t>Besedilo, ki ga predlaga Komisija</w:t>
            </w:r>
          </w:p>
        </w:tc>
        <w:tc>
          <w:tcPr>
            <w:tcW w:w="4876" w:type="dxa"/>
          </w:tcPr>
          <w:p w14:paraId="6EB4B51A" w14:textId="6354C0DA" w:rsidR="0033738D" w:rsidRPr="00B7760C" w:rsidRDefault="00947116" w:rsidP="004F0B88">
            <w:pPr>
              <w:pStyle w:val="AmColumnHeading"/>
              <w:keepNext/>
            </w:pPr>
            <w:r w:rsidRPr="00B7760C">
              <w:t>S</w:t>
            </w:r>
            <w:r w:rsidR="0033738D" w:rsidRPr="00B7760C">
              <w:t>prememb</w:t>
            </w:r>
            <w:r w:rsidRPr="00B7760C">
              <w:t>a</w:t>
            </w:r>
          </w:p>
        </w:tc>
      </w:tr>
      <w:tr w:rsidR="0033738D" w:rsidRPr="00B7760C" w14:paraId="1200D140" w14:textId="77777777" w:rsidTr="004F0B88">
        <w:tblPrEx>
          <w:tblLook w:val="04A0" w:firstRow="1" w:lastRow="0" w:firstColumn="1" w:lastColumn="0" w:noHBand="0" w:noVBand="1"/>
        </w:tblPrEx>
        <w:trPr>
          <w:jc w:val="center"/>
        </w:trPr>
        <w:tc>
          <w:tcPr>
            <w:tcW w:w="4876" w:type="dxa"/>
          </w:tcPr>
          <w:p w14:paraId="505FFBC8" w14:textId="77777777" w:rsidR="0033738D" w:rsidRPr="00B7760C" w:rsidRDefault="0033738D" w:rsidP="004F0B88">
            <w:pPr>
              <w:pStyle w:val="Normal6"/>
            </w:pPr>
          </w:p>
        </w:tc>
        <w:tc>
          <w:tcPr>
            <w:tcW w:w="4876" w:type="dxa"/>
            <w:hideMark/>
          </w:tcPr>
          <w:p w14:paraId="0D4B04B8" w14:textId="77777777" w:rsidR="0033738D" w:rsidRPr="00B7760C" w:rsidRDefault="0033738D" w:rsidP="004F0B88">
            <w:pPr>
              <w:pStyle w:val="Normal6"/>
              <w:jc w:val="center"/>
              <w:rPr>
                <w:szCs w:val="24"/>
              </w:rPr>
            </w:pPr>
            <w:r w:rsidRPr="00B7760C">
              <w:rPr>
                <w:b/>
                <w:i/>
              </w:rPr>
              <w:t>Člen 139a</w:t>
            </w:r>
          </w:p>
        </w:tc>
      </w:tr>
      <w:tr w:rsidR="0033738D" w:rsidRPr="00B7760C" w14:paraId="1C8ECD40" w14:textId="77777777" w:rsidTr="004F0B88">
        <w:tblPrEx>
          <w:tblLook w:val="04A0" w:firstRow="1" w:lastRow="0" w:firstColumn="1" w:lastColumn="0" w:noHBand="0" w:noVBand="1"/>
        </w:tblPrEx>
        <w:trPr>
          <w:jc w:val="center"/>
        </w:trPr>
        <w:tc>
          <w:tcPr>
            <w:tcW w:w="4876" w:type="dxa"/>
          </w:tcPr>
          <w:p w14:paraId="446845E3" w14:textId="77777777" w:rsidR="0033738D" w:rsidRPr="00B7760C" w:rsidRDefault="0033738D" w:rsidP="004F0B88">
            <w:pPr>
              <w:pStyle w:val="Normal6"/>
            </w:pPr>
          </w:p>
        </w:tc>
        <w:tc>
          <w:tcPr>
            <w:tcW w:w="4876" w:type="dxa"/>
            <w:hideMark/>
          </w:tcPr>
          <w:p w14:paraId="6F4DF3CC" w14:textId="77777777" w:rsidR="0033738D" w:rsidRPr="00B7760C" w:rsidRDefault="0033738D" w:rsidP="004F0B88">
            <w:pPr>
              <w:pStyle w:val="Normal6"/>
              <w:jc w:val="center"/>
              <w:rPr>
                <w:szCs w:val="24"/>
              </w:rPr>
            </w:pPr>
            <w:r w:rsidRPr="00B7760C">
              <w:rPr>
                <w:b/>
                <w:i/>
              </w:rPr>
              <w:t>Vmesni pregled</w:t>
            </w:r>
          </w:p>
        </w:tc>
      </w:tr>
      <w:tr w:rsidR="0033738D" w:rsidRPr="00B7760C" w14:paraId="253C5D4D" w14:textId="77777777" w:rsidTr="004F0B88">
        <w:tblPrEx>
          <w:tblLook w:val="04A0" w:firstRow="1" w:lastRow="0" w:firstColumn="1" w:lastColumn="0" w:noHBand="0" w:noVBand="1"/>
        </w:tblPrEx>
        <w:trPr>
          <w:jc w:val="center"/>
        </w:trPr>
        <w:tc>
          <w:tcPr>
            <w:tcW w:w="4876" w:type="dxa"/>
          </w:tcPr>
          <w:p w14:paraId="2D64D8B5" w14:textId="77777777" w:rsidR="0033738D" w:rsidRPr="00B7760C" w:rsidRDefault="0033738D" w:rsidP="004F0B88">
            <w:pPr>
              <w:pStyle w:val="Normal6"/>
            </w:pPr>
          </w:p>
        </w:tc>
        <w:tc>
          <w:tcPr>
            <w:tcW w:w="4876" w:type="dxa"/>
            <w:hideMark/>
          </w:tcPr>
          <w:p w14:paraId="10DA6409" w14:textId="77777777" w:rsidR="0033738D" w:rsidRPr="00B7760C" w:rsidRDefault="0033738D" w:rsidP="004F0B88">
            <w:pPr>
              <w:pStyle w:val="Normal6"/>
              <w:rPr>
                <w:szCs w:val="24"/>
              </w:rPr>
            </w:pPr>
            <w:r w:rsidRPr="00B7760C">
              <w:rPr>
                <w:b/>
                <w:i/>
              </w:rPr>
              <w:t>1.</w:t>
            </w:r>
            <w:r w:rsidRPr="00B7760C">
              <w:rPr>
                <w:b/>
                <w:i/>
              </w:rPr>
              <w:tab/>
              <w:t>Komisija do 30. junija 2025 izvede vmesni pregled SKP ter Evropskemu parlamentu in Svetu predloži poročilo, da oceni delovanje novega modela izvajanja, ki ga izvajajo države članice, prilagodi ponderje za sledenje podnebnim ukrepom v skladu z novo metodologijo iz člena 87(3) in po potrebi predloži zakonodajne predloge.</w:t>
            </w:r>
          </w:p>
        </w:tc>
      </w:tr>
      <w:tr w:rsidR="0033738D" w:rsidRPr="00B7760C" w14:paraId="55A6EE01" w14:textId="77777777" w:rsidTr="004F0B88">
        <w:tblPrEx>
          <w:tblLook w:val="04A0" w:firstRow="1" w:lastRow="0" w:firstColumn="1" w:lastColumn="0" w:noHBand="0" w:noVBand="1"/>
        </w:tblPrEx>
        <w:trPr>
          <w:jc w:val="center"/>
        </w:trPr>
        <w:tc>
          <w:tcPr>
            <w:tcW w:w="4876" w:type="dxa"/>
          </w:tcPr>
          <w:p w14:paraId="17D41703" w14:textId="77777777" w:rsidR="0033738D" w:rsidRPr="00B7760C" w:rsidRDefault="0033738D" w:rsidP="004F0B88">
            <w:pPr>
              <w:pStyle w:val="Normal6"/>
            </w:pPr>
          </w:p>
        </w:tc>
        <w:tc>
          <w:tcPr>
            <w:tcW w:w="4876" w:type="dxa"/>
            <w:hideMark/>
          </w:tcPr>
          <w:p w14:paraId="3E837EDE" w14:textId="77777777" w:rsidR="0033738D" w:rsidRPr="00B7760C" w:rsidRDefault="0033738D" w:rsidP="004F0B88">
            <w:pPr>
              <w:pStyle w:val="Normal6"/>
              <w:rPr>
                <w:szCs w:val="24"/>
              </w:rPr>
            </w:pPr>
            <w:r w:rsidRPr="00B7760C">
              <w:rPr>
                <w:b/>
                <w:i/>
              </w:rPr>
              <w:t>2.</w:t>
            </w:r>
            <w:r w:rsidRPr="00B7760C">
              <w:rPr>
                <w:b/>
                <w:i/>
              </w:rPr>
              <w:tab/>
              <w:t>Za zagotovitev usklajenosti strateških načrtov držav članic z zakonodajo Unije o podnebju in okolju se pri vmesnem pregledu iz odstavka 1 upošteva ustrezna takrat veljavna zakonodaja.</w:t>
            </w:r>
          </w:p>
        </w:tc>
      </w:tr>
    </w:tbl>
    <w:p w14:paraId="1C6E557D" w14:textId="77777777" w:rsidR="003663AF" w:rsidRPr="00B7760C" w:rsidRDefault="003663AF" w:rsidP="003663AF">
      <w:pPr>
        <w:pStyle w:val="Normal6"/>
      </w:pPr>
    </w:p>
    <w:p w14:paraId="4FD2519C" w14:textId="0691D067" w:rsidR="003663AF" w:rsidRPr="00B7760C" w:rsidRDefault="00877691" w:rsidP="003663AF">
      <w:pPr>
        <w:pStyle w:val="AMNumberTabs"/>
        <w:keepNext/>
      </w:pPr>
      <w:r w:rsidRPr="00B7760C">
        <w:t>Sprememba</w:t>
      </w:r>
      <w:r w:rsidR="003663AF" w:rsidRPr="00B7760C">
        <w:tab/>
      </w:r>
      <w:r w:rsidR="003663AF" w:rsidRPr="00B7760C">
        <w:tab/>
        <w:t>710</w:t>
      </w:r>
    </w:p>
    <w:p w14:paraId="5291A629" w14:textId="77777777" w:rsidR="003663AF" w:rsidRPr="00B7760C" w:rsidRDefault="003663AF" w:rsidP="003663AF">
      <w:pPr>
        <w:pStyle w:val="NormalBold12b"/>
      </w:pPr>
      <w:r w:rsidRPr="00B7760C">
        <w:t>Predlog uredbe</w:t>
      </w:r>
    </w:p>
    <w:p w14:paraId="38A06097" w14:textId="77777777" w:rsidR="003663AF" w:rsidRPr="00B7760C" w:rsidRDefault="003663AF" w:rsidP="003663AF">
      <w:pPr>
        <w:pStyle w:val="NormalBold"/>
      </w:pPr>
      <w:r w:rsidRPr="00B7760C">
        <w:t>Člen 140 – odstavek 1 – pododstavek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77F3583" w14:textId="77777777" w:rsidTr="00E804B7">
        <w:trPr>
          <w:jc w:val="center"/>
        </w:trPr>
        <w:tc>
          <w:tcPr>
            <w:tcW w:w="9752" w:type="dxa"/>
            <w:gridSpan w:val="2"/>
          </w:tcPr>
          <w:p w14:paraId="7BA657B2" w14:textId="77777777" w:rsidR="003663AF" w:rsidRPr="00B7760C" w:rsidRDefault="003663AF" w:rsidP="00E804B7">
            <w:pPr>
              <w:keepNext/>
            </w:pPr>
          </w:p>
        </w:tc>
      </w:tr>
      <w:tr w:rsidR="003663AF" w:rsidRPr="00B7760C" w14:paraId="344D250A" w14:textId="77777777" w:rsidTr="00E804B7">
        <w:trPr>
          <w:jc w:val="center"/>
        </w:trPr>
        <w:tc>
          <w:tcPr>
            <w:tcW w:w="4876" w:type="dxa"/>
            <w:hideMark/>
          </w:tcPr>
          <w:p w14:paraId="2634A128" w14:textId="77777777" w:rsidR="003663AF" w:rsidRPr="00B7760C" w:rsidRDefault="003663AF" w:rsidP="00E804B7">
            <w:pPr>
              <w:pStyle w:val="ColumnHeading"/>
              <w:keepNext/>
            </w:pPr>
            <w:r w:rsidRPr="00B7760C">
              <w:t>Besedilo, ki ga predlaga Komisija</w:t>
            </w:r>
          </w:p>
        </w:tc>
        <w:tc>
          <w:tcPr>
            <w:tcW w:w="4876" w:type="dxa"/>
            <w:hideMark/>
          </w:tcPr>
          <w:p w14:paraId="4C1748B5" w14:textId="22F4BA2A" w:rsidR="003663AF" w:rsidRPr="00B7760C" w:rsidRDefault="00877691" w:rsidP="00E804B7">
            <w:pPr>
              <w:pStyle w:val="ColumnHeading"/>
              <w:keepNext/>
            </w:pPr>
            <w:r w:rsidRPr="00B7760C">
              <w:t>Sprememba</w:t>
            </w:r>
          </w:p>
        </w:tc>
      </w:tr>
      <w:tr w:rsidR="003663AF" w:rsidRPr="00B7760C" w14:paraId="05EC0CE6" w14:textId="77777777" w:rsidTr="00E804B7">
        <w:trPr>
          <w:jc w:val="center"/>
        </w:trPr>
        <w:tc>
          <w:tcPr>
            <w:tcW w:w="4876" w:type="dxa"/>
            <w:hideMark/>
          </w:tcPr>
          <w:p w14:paraId="0E92CFF2" w14:textId="77777777" w:rsidR="003663AF" w:rsidRPr="00B7760C" w:rsidRDefault="003663AF" w:rsidP="00E804B7">
            <w:pPr>
              <w:pStyle w:val="Normal6"/>
            </w:pPr>
            <w:r w:rsidRPr="00B7760C">
              <w:t>Uredba (EU) št. 1305/2013 se razveljavi z učinkom od 1. januarja </w:t>
            </w:r>
            <w:r w:rsidRPr="00B7760C">
              <w:rPr>
                <w:b/>
                <w:i/>
              </w:rPr>
              <w:t>2021</w:t>
            </w:r>
            <w:r w:rsidRPr="00B7760C">
              <w:t>.</w:t>
            </w:r>
          </w:p>
        </w:tc>
        <w:tc>
          <w:tcPr>
            <w:tcW w:w="4876" w:type="dxa"/>
            <w:hideMark/>
          </w:tcPr>
          <w:p w14:paraId="31402C30" w14:textId="77777777" w:rsidR="003663AF" w:rsidRPr="00B7760C" w:rsidRDefault="003663AF" w:rsidP="00E804B7">
            <w:pPr>
              <w:pStyle w:val="Normal6"/>
              <w:rPr>
                <w:szCs w:val="24"/>
              </w:rPr>
            </w:pPr>
            <w:r w:rsidRPr="00B7760C">
              <w:t>Uredba (EU) št. 1305/2013 se razveljavi z učinkom od 1. januarja </w:t>
            </w:r>
            <w:r w:rsidRPr="00B7760C">
              <w:rPr>
                <w:b/>
                <w:i/>
              </w:rPr>
              <w:t>2022</w:t>
            </w:r>
            <w:r w:rsidRPr="00B7760C">
              <w:t>.</w:t>
            </w:r>
          </w:p>
        </w:tc>
      </w:tr>
      <w:tr w:rsidR="003663AF" w:rsidRPr="00B7760C" w14:paraId="24595732" w14:textId="77777777" w:rsidTr="00E804B7">
        <w:trPr>
          <w:jc w:val="center"/>
        </w:trPr>
        <w:tc>
          <w:tcPr>
            <w:tcW w:w="4876" w:type="dxa"/>
          </w:tcPr>
          <w:p w14:paraId="4BB796C4" w14:textId="77777777" w:rsidR="003663AF" w:rsidRPr="00B7760C" w:rsidRDefault="003663AF" w:rsidP="00E804B7">
            <w:pPr>
              <w:pStyle w:val="Normal6"/>
            </w:pPr>
          </w:p>
        </w:tc>
        <w:tc>
          <w:tcPr>
            <w:tcW w:w="4876" w:type="dxa"/>
            <w:hideMark/>
          </w:tcPr>
          <w:p w14:paraId="5D1FB46B" w14:textId="77777777" w:rsidR="003663AF" w:rsidRPr="00B7760C" w:rsidRDefault="003663AF" w:rsidP="00E804B7">
            <w:pPr>
              <w:pStyle w:val="Normal6"/>
              <w:rPr>
                <w:szCs w:val="24"/>
              </w:rPr>
            </w:pPr>
            <w:r w:rsidRPr="00B7760C">
              <w:rPr>
                <w:b/>
                <w:i/>
              </w:rPr>
              <w:t>Vendar se brez poseganja v prilogi IX in IXa te uredbe Uredba (EU) št. 1305/2013 še naprej uporablja do 31. decembra 2022 za:</w:t>
            </w:r>
          </w:p>
        </w:tc>
      </w:tr>
      <w:tr w:rsidR="003663AF" w:rsidRPr="00B7760C" w14:paraId="70C0B9C3" w14:textId="77777777" w:rsidTr="00E804B7">
        <w:trPr>
          <w:jc w:val="center"/>
        </w:trPr>
        <w:tc>
          <w:tcPr>
            <w:tcW w:w="4876" w:type="dxa"/>
          </w:tcPr>
          <w:p w14:paraId="1272E957" w14:textId="77777777" w:rsidR="003663AF" w:rsidRPr="00B7760C" w:rsidRDefault="003663AF" w:rsidP="00E804B7">
            <w:pPr>
              <w:pStyle w:val="Normal6"/>
            </w:pPr>
          </w:p>
        </w:tc>
        <w:tc>
          <w:tcPr>
            <w:tcW w:w="4876" w:type="dxa"/>
            <w:hideMark/>
          </w:tcPr>
          <w:p w14:paraId="5D6E6FB7" w14:textId="2FD94370" w:rsidR="003663AF" w:rsidRPr="00B7760C" w:rsidRDefault="003663AF" w:rsidP="00E804B7">
            <w:pPr>
              <w:pStyle w:val="Normal6"/>
              <w:rPr>
                <w:szCs w:val="24"/>
              </w:rPr>
            </w:pPr>
            <w:r w:rsidRPr="00B7760C">
              <w:rPr>
                <w:b/>
                <w:i/>
              </w:rPr>
              <w:t xml:space="preserve">(a) </w:t>
            </w:r>
            <w:r w:rsidR="00201401" w:rsidRPr="00B7760C">
              <w:rPr>
                <w:b/>
                <w:i/>
              </w:rPr>
              <w:tab/>
            </w:r>
            <w:r w:rsidRPr="00B7760C">
              <w:rPr>
                <w:b/>
                <w:i/>
              </w:rPr>
              <w:t>operacije, ki se izvajajo v okviru programov za razvoj podeželja, ki jih Komisija odobri v skladu z Uredbo (EU) št. 1305/2013, in</w:t>
            </w:r>
          </w:p>
        </w:tc>
      </w:tr>
      <w:tr w:rsidR="003663AF" w:rsidRPr="00B7760C" w14:paraId="4C64D1DF" w14:textId="77777777" w:rsidTr="00E804B7">
        <w:trPr>
          <w:jc w:val="center"/>
        </w:trPr>
        <w:tc>
          <w:tcPr>
            <w:tcW w:w="4876" w:type="dxa"/>
          </w:tcPr>
          <w:p w14:paraId="2CA35877" w14:textId="77777777" w:rsidR="003663AF" w:rsidRPr="00B7760C" w:rsidRDefault="003663AF" w:rsidP="00E804B7">
            <w:pPr>
              <w:pStyle w:val="Normal6"/>
            </w:pPr>
          </w:p>
        </w:tc>
        <w:tc>
          <w:tcPr>
            <w:tcW w:w="4876" w:type="dxa"/>
            <w:hideMark/>
          </w:tcPr>
          <w:p w14:paraId="118592FE" w14:textId="369F5271" w:rsidR="003663AF" w:rsidRPr="00B7760C" w:rsidRDefault="003663AF" w:rsidP="00E804B7">
            <w:pPr>
              <w:pStyle w:val="Normal6"/>
              <w:rPr>
                <w:szCs w:val="24"/>
              </w:rPr>
            </w:pPr>
            <w:r w:rsidRPr="00B7760C">
              <w:rPr>
                <w:b/>
                <w:i/>
              </w:rPr>
              <w:t xml:space="preserve">(b) </w:t>
            </w:r>
            <w:r w:rsidR="00201401" w:rsidRPr="00B7760C">
              <w:rPr>
                <w:b/>
                <w:i/>
              </w:rPr>
              <w:tab/>
            </w:r>
            <w:r w:rsidRPr="00B7760C">
              <w:rPr>
                <w:b/>
                <w:i/>
              </w:rPr>
              <w:t>programe za razvoj podeželja, odobrene pred 1. januarjem 2022 v skladu s členom 10(2) Uredbe (EU) št. 1305/2013.</w:t>
            </w:r>
          </w:p>
        </w:tc>
      </w:tr>
    </w:tbl>
    <w:p w14:paraId="52D4294F" w14:textId="77777777" w:rsidR="003663AF" w:rsidRPr="00B7760C" w:rsidRDefault="003663AF" w:rsidP="003663AF"/>
    <w:p w14:paraId="3041989D" w14:textId="2196A052" w:rsidR="003663AF" w:rsidRPr="00B7760C" w:rsidRDefault="00877691" w:rsidP="003663AF">
      <w:pPr>
        <w:pStyle w:val="AMNumberTabs"/>
        <w:keepNext/>
      </w:pPr>
      <w:r w:rsidRPr="00B7760C">
        <w:t>Sprememba</w:t>
      </w:r>
      <w:r w:rsidR="003663AF" w:rsidRPr="00B7760C">
        <w:tab/>
      </w:r>
      <w:r w:rsidR="003663AF" w:rsidRPr="00B7760C">
        <w:tab/>
        <w:t>711</w:t>
      </w:r>
    </w:p>
    <w:p w14:paraId="5F887B80" w14:textId="77777777" w:rsidR="003663AF" w:rsidRPr="00B7760C" w:rsidRDefault="003663AF" w:rsidP="003663AF">
      <w:pPr>
        <w:pStyle w:val="NormalBold12b"/>
      </w:pPr>
      <w:r w:rsidRPr="00B7760C">
        <w:t>Predlog uredbe</w:t>
      </w:r>
    </w:p>
    <w:p w14:paraId="11F6CDBF" w14:textId="77777777" w:rsidR="003663AF" w:rsidRPr="00B7760C" w:rsidRDefault="003663AF" w:rsidP="003663AF">
      <w:pPr>
        <w:pStyle w:val="NormalBold"/>
      </w:pPr>
      <w:r w:rsidRPr="00B7760C">
        <w:t>Člen 140 – odstavek 2 – pododstavek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5F0C687D" w14:textId="77777777" w:rsidTr="00E804B7">
        <w:trPr>
          <w:jc w:val="center"/>
        </w:trPr>
        <w:tc>
          <w:tcPr>
            <w:tcW w:w="9752" w:type="dxa"/>
            <w:gridSpan w:val="2"/>
          </w:tcPr>
          <w:p w14:paraId="443FCF9C" w14:textId="77777777" w:rsidR="003663AF" w:rsidRPr="00B7760C" w:rsidRDefault="003663AF" w:rsidP="00E804B7">
            <w:pPr>
              <w:keepNext/>
            </w:pPr>
          </w:p>
        </w:tc>
      </w:tr>
      <w:tr w:rsidR="003663AF" w:rsidRPr="00B7760C" w14:paraId="70F9B9B8" w14:textId="77777777" w:rsidTr="00E804B7">
        <w:trPr>
          <w:jc w:val="center"/>
        </w:trPr>
        <w:tc>
          <w:tcPr>
            <w:tcW w:w="4876" w:type="dxa"/>
            <w:hideMark/>
          </w:tcPr>
          <w:p w14:paraId="7A1174EC" w14:textId="77777777" w:rsidR="003663AF" w:rsidRPr="00B7760C" w:rsidRDefault="003663AF" w:rsidP="00E804B7">
            <w:pPr>
              <w:pStyle w:val="ColumnHeading"/>
              <w:keepNext/>
            </w:pPr>
            <w:r w:rsidRPr="00B7760C">
              <w:t>Besedilo, ki ga predlaga Komisija</w:t>
            </w:r>
          </w:p>
        </w:tc>
        <w:tc>
          <w:tcPr>
            <w:tcW w:w="4876" w:type="dxa"/>
            <w:hideMark/>
          </w:tcPr>
          <w:p w14:paraId="0ABF890F" w14:textId="2A913312" w:rsidR="003663AF" w:rsidRPr="00B7760C" w:rsidRDefault="00877691" w:rsidP="00E804B7">
            <w:pPr>
              <w:pStyle w:val="ColumnHeading"/>
              <w:keepNext/>
            </w:pPr>
            <w:r w:rsidRPr="00B7760C">
              <w:t>Sprememba</w:t>
            </w:r>
          </w:p>
        </w:tc>
      </w:tr>
      <w:tr w:rsidR="003663AF" w:rsidRPr="00B7760C" w14:paraId="26433FD7" w14:textId="77777777" w:rsidTr="00E804B7">
        <w:trPr>
          <w:jc w:val="center"/>
        </w:trPr>
        <w:tc>
          <w:tcPr>
            <w:tcW w:w="4876" w:type="dxa"/>
            <w:hideMark/>
          </w:tcPr>
          <w:p w14:paraId="3756CDAB" w14:textId="77777777" w:rsidR="003663AF" w:rsidRPr="00B7760C" w:rsidRDefault="003663AF" w:rsidP="00E804B7">
            <w:pPr>
              <w:pStyle w:val="Normal6"/>
            </w:pPr>
            <w:r w:rsidRPr="00B7760C">
              <w:t>Uredba (EU) št. 1307/2013 se razveljavi z učinkom od 1. januarja </w:t>
            </w:r>
            <w:r w:rsidRPr="00B7760C">
              <w:rPr>
                <w:b/>
                <w:i/>
              </w:rPr>
              <w:t>2021</w:t>
            </w:r>
            <w:r w:rsidRPr="00B7760C">
              <w:t>.</w:t>
            </w:r>
          </w:p>
        </w:tc>
        <w:tc>
          <w:tcPr>
            <w:tcW w:w="4876" w:type="dxa"/>
            <w:hideMark/>
          </w:tcPr>
          <w:p w14:paraId="181CDC7C" w14:textId="77777777" w:rsidR="003663AF" w:rsidRPr="00B7760C" w:rsidRDefault="003663AF" w:rsidP="00E804B7">
            <w:pPr>
              <w:pStyle w:val="Normal6"/>
              <w:rPr>
                <w:szCs w:val="24"/>
              </w:rPr>
            </w:pPr>
            <w:r w:rsidRPr="00B7760C">
              <w:t>Uredba (EU) št. 1307/2013 se razveljavi z učinkom od 1. januarja </w:t>
            </w:r>
            <w:r w:rsidRPr="00B7760C">
              <w:rPr>
                <w:b/>
                <w:i/>
              </w:rPr>
              <w:t>2022</w:t>
            </w:r>
            <w:r w:rsidRPr="00B7760C">
              <w:t>.</w:t>
            </w:r>
          </w:p>
        </w:tc>
      </w:tr>
    </w:tbl>
    <w:p w14:paraId="7CF4D6D2" w14:textId="77777777" w:rsidR="003663AF" w:rsidRPr="00B7760C" w:rsidRDefault="003663AF" w:rsidP="003663AF"/>
    <w:p w14:paraId="57E22D93" w14:textId="1F6105BE" w:rsidR="003663AF" w:rsidRPr="00B7760C" w:rsidRDefault="00877691" w:rsidP="003663AF">
      <w:pPr>
        <w:pStyle w:val="AMNumberTabs"/>
        <w:keepNext/>
      </w:pPr>
      <w:r w:rsidRPr="00B7760C">
        <w:t>Sprememba</w:t>
      </w:r>
      <w:r w:rsidR="003663AF" w:rsidRPr="00B7760C">
        <w:tab/>
      </w:r>
      <w:r w:rsidR="003663AF" w:rsidRPr="00B7760C">
        <w:tab/>
        <w:t>712</w:t>
      </w:r>
    </w:p>
    <w:p w14:paraId="1AFB40D6" w14:textId="77777777" w:rsidR="003663AF" w:rsidRPr="00B7760C" w:rsidRDefault="003663AF" w:rsidP="003663AF">
      <w:pPr>
        <w:pStyle w:val="NormalBold12b"/>
      </w:pPr>
      <w:r w:rsidRPr="00B7760C">
        <w:t>Predlog uredbe</w:t>
      </w:r>
    </w:p>
    <w:p w14:paraId="33F322D1" w14:textId="77777777" w:rsidR="003663AF" w:rsidRPr="00B7760C" w:rsidRDefault="003663AF" w:rsidP="003663AF">
      <w:pPr>
        <w:pStyle w:val="NormalBold"/>
      </w:pPr>
      <w:r w:rsidRPr="00B7760C">
        <w:t>Člen 140 – odstavek 2 – pododstavek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2DEB60A8" w14:textId="77777777" w:rsidTr="00E804B7">
        <w:trPr>
          <w:jc w:val="center"/>
        </w:trPr>
        <w:tc>
          <w:tcPr>
            <w:tcW w:w="9752" w:type="dxa"/>
            <w:gridSpan w:val="2"/>
          </w:tcPr>
          <w:p w14:paraId="118B73EF" w14:textId="77777777" w:rsidR="003663AF" w:rsidRPr="00B7760C" w:rsidRDefault="003663AF" w:rsidP="00E804B7">
            <w:pPr>
              <w:keepNext/>
            </w:pPr>
          </w:p>
        </w:tc>
      </w:tr>
      <w:tr w:rsidR="003663AF" w:rsidRPr="00B7760C" w14:paraId="670625E4" w14:textId="77777777" w:rsidTr="00E804B7">
        <w:trPr>
          <w:jc w:val="center"/>
        </w:trPr>
        <w:tc>
          <w:tcPr>
            <w:tcW w:w="4876" w:type="dxa"/>
            <w:hideMark/>
          </w:tcPr>
          <w:p w14:paraId="39E7D5CA" w14:textId="77777777" w:rsidR="003663AF" w:rsidRPr="00B7760C" w:rsidRDefault="003663AF" w:rsidP="00E804B7">
            <w:pPr>
              <w:pStyle w:val="ColumnHeading"/>
              <w:keepNext/>
            </w:pPr>
            <w:r w:rsidRPr="00B7760C">
              <w:t>Besedilo, ki ga predlaga Komisija</w:t>
            </w:r>
          </w:p>
        </w:tc>
        <w:tc>
          <w:tcPr>
            <w:tcW w:w="4876" w:type="dxa"/>
            <w:hideMark/>
          </w:tcPr>
          <w:p w14:paraId="0E01682C" w14:textId="68261972" w:rsidR="003663AF" w:rsidRPr="00B7760C" w:rsidRDefault="00877691" w:rsidP="00E804B7">
            <w:pPr>
              <w:pStyle w:val="ColumnHeading"/>
              <w:keepNext/>
            </w:pPr>
            <w:r w:rsidRPr="00B7760C">
              <w:t>Sprememba</w:t>
            </w:r>
          </w:p>
        </w:tc>
      </w:tr>
      <w:tr w:rsidR="003663AF" w:rsidRPr="00B7760C" w14:paraId="5616DEDC" w14:textId="77777777" w:rsidTr="00E804B7">
        <w:trPr>
          <w:jc w:val="center"/>
        </w:trPr>
        <w:tc>
          <w:tcPr>
            <w:tcW w:w="4876" w:type="dxa"/>
            <w:hideMark/>
          </w:tcPr>
          <w:p w14:paraId="71E887B9" w14:textId="77777777" w:rsidR="003663AF" w:rsidRPr="00B7760C" w:rsidRDefault="003663AF" w:rsidP="00E804B7">
            <w:pPr>
              <w:pStyle w:val="Normal6"/>
            </w:pPr>
            <w:r w:rsidRPr="00B7760C">
              <w:t xml:space="preserve">Vendar se še naprej uporablja v zvezi z zahtevki za pomoč za leta vložitve zahtevkov, ki se začnejo pred 1. januarjem </w:t>
            </w:r>
            <w:r w:rsidRPr="00B7760C">
              <w:rPr>
                <w:b/>
                <w:i/>
              </w:rPr>
              <w:t>2021</w:t>
            </w:r>
            <w:r w:rsidRPr="00B7760C">
              <w:t>.</w:t>
            </w:r>
          </w:p>
        </w:tc>
        <w:tc>
          <w:tcPr>
            <w:tcW w:w="4876" w:type="dxa"/>
            <w:hideMark/>
          </w:tcPr>
          <w:p w14:paraId="00ABB3A1" w14:textId="77777777" w:rsidR="003663AF" w:rsidRPr="00B7760C" w:rsidRDefault="003663AF" w:rsidP="00E804B7">
            <w:pPr>
              <w:pStyle w:val="Normal6"/>
              <w:rPr>
                <w:szCs w:val="24"/>
              </w:rPr>
            </w:pPr>
            <w:r w:rsidRPr="00B7760C">
              <w:t xml:space="preserve">Vendar se še naprej uporablja v zvezi z zahtevki za pomoč za leta vložitve zahtevkov, ki se začnejo pred 1. januarjem </w:t>
            </w:r>
            <w:r w:rsidRPr="00B7760C">
              <w:rPr>
                <w:b/>
                <w:i/>
              </w:rPr>
              <w:t>2022</w:t>
            </w:r>
            <w:r w:rsidRPr="00B7760C">
              <w:t>.</w:t>
            </w:r>
          </w:p>
        </w:tc>
      </w:tr>
    </w:tbl>
    <w:p w14:paraId="467080AE" w14:textId="77777777" w:rsidR="003663AF" w:rsidRPr="00B7760C" w:rsidRDefault="003663AF" w:rsidP="003663AF"/>
    <w:p w14:paraId="65056196" w14:textId="18AB18F0" w:rsidR="003663AF" w:rsidRPr="00B7760C" w:rsidRDefault="00877691" w:rsidP="003663AF">
      <w:pPr>
        <w:pStyle w:val="AMNumberTabs"/>
        <w:keepNext/>
      </w:pPr>
      <w:r w:rsidRPr="00B7760C">
        <w:t>Sprememba</w:t>
      </w:r>
      <w:r w:rsidR="003663AF" w:rsidRPr="00B7760C">
        <w:tab/>
      </w:r>
      <w:r w:rsidR="003663AF" w:rsidRPr="00B7760C">
        <w:tab/>
        <w:t>713</w:t>
      </w:r>
    </w:p>
    <w:p w14:paraId="1A7D912F" w14:textId="77777777" w:rsidR="003663AF" w:rsidRPr="00B7760C" w:rsidRDefault="003663AF" w:rsidP="003663AF">
      <w:pPr>
        <w:pStyle w:val="NormalBold12b"/>
      </w:pPr>
      <w:r w:rsidRPr="00B7760C">
        <w:t>Predlog uredbe</w:t>
      </w:r>
    </w:p>
    <w:p w14:paraId="5E377BCF" w14:textId="77777777" w:rsidR="003663AF" w:rsidRPr="00B7760C" w:rsidRDefault="003663AF" w:rsidP="003663AF">
      <w:pPr>
        <w:pStyle w:val="NormalBold"/>
      </w:pPr>
      <w:r w:rsidRPr="00B7760C">
        <w:t>Člen 140 – odstavek 2 – pododstavek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32A1D9DB" w14:textId="77777777" w:rsidTr="00E804B7">
        <w:trPr>
          <w:jc w:val="center"/>
        </w:trPr>
        <w:tc>
          <w:tcPr>
            <w:tcW w:w="9752" w:type="dxa"/>
            <w:gridSpan w:val="2"/>
          </w:tcPr>
          <w:p w14:paraId="119595D5" w14:textId="77777777" w:rsidR="003663AF" w:rsidRPr="00B7760C" w:rsidRDefault="003663AF" w:rsidP="00E804B7">
            <w:pPr>
              <w:keepNext/>
            </w:pPr>
          </w:p>
        </w:tc>
      </w:tr>
      <w:tr w:rsidR="003663AF" w:rsidRPr="00B7760C" w14:paraId="0F2AC93E" w14:textId="77777777" w:rsidTr="00E804B7">
        <w:trPr>
          <w:jc w:val="center"/>
        </w:trPr>
        <w:tc>
          <w:tcPr>
            <w:tcW w:w="4876" w:type="dxa"/>
            <w:hideMark/>
          </w:tcPr>
          <w:p w14:paraId="062F795C" w14:textId="77777777" w:rsidR="003663AF" w:rsidRPr="00B7760C" w:rsidRDefault="003663AF" w:rsidP="00E804B7">
            <w:pPr>
              <w:pStyle w:val="ColumnHeading"/>
              <w:keepNext/>
            </w:pPr>
            <w:r w:rsidRPr="00B7760C">
              <w:t>Besedilo, ki ga predlaga Komisija</w:t>
            </w:r>
          </w:p>
        </w:tc>
        <w:tc>
          <w:tcPr>
            <w:tcW w:w="4876" w:type="dxa"/>
            <w:hideMark/>
          </w:tcPr>
          <w:p w14:paraId="664F66E2" w14:textId="76E85F97" w:rsidR="003663AF" w:rsidRPr="00B7760C" w:rsidRDefault="00877691" w:rsidP="00E804B7">
            <w:pPr>
              <w:pStyle w:val="ColumnHeading"/>
              <w:keepNext/>
            </w:pPr>
            <w:r w:rsidRPr="00B7760C">
              <w:t>Sprememba</w:t>
            </w:r>
          </w:p>
        </w:tc>
      </w:tr>
      <w:tr w:rsidR="003663AF" w:rsidRPr="00B7760C" w14:paraId="0F682A4F" w14:textId="77777777" w:rsidTr="00E804B7">
        <w:trPr>
          <w:jc w:val="center"/>
        </w:trPr>
        <w:tc>
          <w:tcPr>
            <w:tcW w:w="4876" w:type="dxa"/>
            <w:hideMark/>
          </w:tcPr>
          <w:p w14:paraId="7776FA87" w14:textId="77777777" w:rsidR="003663AF" w:rsidRPr="00B7760C" w:rsidRDefault="003663AF" w:rsidP="00E804B7">
            <w:pPr>
              <w:pStyle w:val="Normal6"/>
            </w:pPr>
            <w:r w:rsidRPr="00B7760C">
              <w:t xml:space="preserve">Člena 17 in 19 Uredbe (EU) št. 1307/2013 ter Priloga I k navedeni uredbi se po potrebi še na prej uporabljajo za Hrvaško do 31. decembra </w:t>
            </w:r>
            <w:r w:rsidRPr="00B7760C">
              <w:rPr>
                <w:b/>
                <w:i/>
              </w:rPr>
              <w:t>2021</w:t>
            </w:r>
            <w:r w:rsidRPr="00B7760C">
              <w:t>.</w:t>
            </w:r>
          </w:p>
        </w:tc>
        <w:tc>
          <w:tcPr>
            <w:tcW w:w="4876" w:type="dxa"/>
            <w:hideMark/>
          </w:tcPr>
          <w:p w14:paraId="2A76174A" w14:textId="77777777" w:rsidR="003663AF" w:rsidRPr="00B7760C" w:rsidRDefault="003663AF" w:rsidP="00E804B7">
            <w:pPr>
              <w:pStyle w:val="Normal6"/>
              <w:rPr>
                <w:szCs w:val="24"/>
              </w:rPr>
            </w:pPr>
            <w:r w:rsidRPr="00B7760C">
              <w:t xml:space="preserve">Člena 17 in 19 Uredbe (EU) št. 1307/2013 ter Priloga I k navedeni uredbi se po potrebi še na prej uporabljajo za Hrvaško do 31. decembra </w:t>
            </w:r>
            <w:r w:rsidRPr="00B7760C">
              <w:rPr>
                <w:b/>
                <w:i/>
              </w:rPr>
              <w:t>2022</w:t>
            </w:r>
            <w:r w:rsidRPr="00B7760C">
              <w:t>.</w:t>
            </w:r>
          </w:p>
        </w:tc>
      </w:tr>
    </w:tbl>
    <w:p w14:paraId="2A2BC38F" w14:textId="77777777" w:rsidR="003663AF" w:rsidRPr="00B7760C" w:rsidRDefault="003663AF" w:rsidP="003663AF"/>
    <w:p w14:paraId="6BFA1AE4" w14:textId="4BA80ABB" w:rsidR="003663AF" w:rsidRPr="00B7760C" w:rsidRDefault="00877691" w:rsidP="003663AF">
      <w:pPr>
        <w:pStyle w:val="AMNumberTabs"/>
        <w:keepNext/>
      </w:pPr>
      <w:r w:rsidRPr="00B7760C">
        <w:t>Sprememba</w:t>
      </w:r>
      <w:r w:rsidR="003663AF" w:rsidRPr="00B7760C">
        <w:tab/>
      </w:r>
      <w:r w:rsidR="003663AF" w:rsidRPr="00B7760C">
        <w:tab/>
        <w:t>714</w:t>
      </w:r>
    </w:p>
    <w:p w14:paraId="74E683C7" w14:textId="77777777" w:rsidR="003663AF" w:rsidRPr="00B7760C" w:rsidRDefault="003663AF" w:rsidP="003663AF">
      <w:pPr>
        <w:pStyle w:val="NormalBold12b"/>
      </w:pPr>
      <w:r w:rsidRPr="00B7760C">
        <w:t>Predlog uredbe</w:t>
      </w:r>
    </w:p>
    <w:p w14:paraId="4A5A594F" w14:textId="77777777" w:rsidR="003663AF" w:rsidRPr="00B7760C" w:rsidRDefault="003663AF" w:rsidP="003663AF">
      <w:pPr>
        <w:pStyle w:val="NormalBold"/>
      </w:pPr>
      <w:r w:rsidRPr="00B7760C">
        <w:t>Člen 141 – 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663AF" w:rsidRPr="00B7760C" w14:paraId="1C0EAC14" w14:textId="77777777" w:rsidTr="00E804B7">
        <w:trPr>
          <w:jc w:val="center"/>
        </w:trPr>
        <w:tc>
          <w:tcPr>
            <w:tcW w:w="9752" w:type="dxa"/>
            <w:gridSpan w:val="2"/>
          </w:tcPr>
          <w:p w14:paraId="07211AD2" w14:textId="77777777" w:rsidR="003663AF" w:rsidRPr="00B7760C" w:rsidRDefault="003663AF" w:rsidP="00E804B7">
            <w:pPr>
              <w:keepNext/>
            </w:pPr>
          </w:p>
        </w:tc>
      </w:tr>
      <w:tr w:rsidR="003663AF" w:rsidRPr="00B7760C" w14:paraId="7C334727" w14:textId="77777777" w:rsidTr="00E804B7">
        <w:trPr>
          <w:jc w:val="center"/>
        </w:trPr>
        <w:tc>
          <w:tcPr>
            <w:tcW w:w="4876" w:type="dxa"/>
            <w:hideMark/>
          </w:tcPr>
          <w:p w14:paraId="79EC412C" w14:textId="77777777" w:rsidR="003663AF" w:rsidRPr="00B7760C" w:rsidRDefault="003663AF" w:rsidP="00E804B7">
            <w:pPr>
              <w:pStyle w:val="ColumnHeading"/>
              <w:keepNext/>
            </w:pPr>
            <w:r w:rsidRPr="00B7760C">
              <w:t>Besedilo, ki ga predlaga Komisija</w:t>
            </w:r>
          </w:p>
        </w:tc>
        <w:tc>
          <w:tcPr>
            <w:tcW w:w="4876" w:type="dxa"/>
            <w:hideMark/>
          </w:tcPr>
          <w:p w14:paraId="778D20E1" w14:textId="08B090E9" w:rsidR="003663AF" w:rsidRPr="00B7760C" w:rsidRDefault="00877691" w:rsidP="00E804B7">
            <w:pPr>
              <w:pStyle w:val="ColumnHeading"/>
              <w:keepNext/>
            </w:pPr>
            <w:r w:rsidRPr="00B7760C">
              <w:t>Sprememba</w:t>
            </w:r>
          </w:p>
        </w:tc>
      </w:tr>
      <w:tr w:rsidR="003663AF" w:rsidRPr="00B7760C" w14:paraId="330857A6" w14:textId="77777777" w:rsidTr="00E804B7">
        <w:trPr>
          <w:jc w:val="center"/>
        </w:trPr>
        <w:tc>
          <w:tcPr>
            <w:tcW w:w="4876" w:type="dxa"/>
            <w:hideMark/>
          </w:tcPr>
          <w:p w14:paraId="563DA744" w14:textId="77777777" w:rsidR="003663AF" w:rsidRPr="00B7760C" w:rsidRDefault="003663AF" w:rsidP="00E804B7">
            <w:pPr>
              <w:pStyle w:val="Normal6"/>
            </w:pPr>
            <w:r w:rsidRPr="00B7760C">
              <w:t xml:space="preserve">Na Komisijo se prenese pooblastilo za sprejemanje delegiranih aktov v skladu s členom 138 za dopolnjevanje določb te uredbe z ukrepi za zaščito kakršnih koli pridobljenih pravic in legitimnih pričakovanj upravičencev toliko, kolikor je potrebno za prehod z ureditve na podlagi uredb (EU) št. 1305/2013 </w:t>
            </w:r>
            <w:r w:rsidRPr="00B7760C">
              <w:rPr>
                <w:b/>
                <w:i/>
              </w:rPr>
              <w:t>in</w:t>
            </w:r>
            <w:r w:rsidRPr="00B7760C">
              <w:t xml:space="preserve"> (EU) št. 1307/2013 na ureditev iz te uredbe. Ta prehodna pravila zlasti določajo pogoje za vključitev podpore, ki jo Komisija odobri v okviru </w:t>
            </w:r>
            <w:r w:rsidRPr="00B7760C">
              <w:rPr>
                <w:b/>
                <w:i/>
              </w:rPr>
              <w:t>Uredbe</w:t>
            </w:r>
            <w:r w:rsidRPr="00B7760C">
              <w:t xml:space="preserve"> (EU) št. 1305/2013, v podporo na podlagi te uredbe, vključno s tehnično pomočjo in naknadnim ocenjevanjem. </w:t>
            </w:r>
          </w:p>
        </w:tc>
        <w:tc>
          <w:tcPr>
            <w:tcW w:w="4876" w:type="dxa"/>
            <w:hideMark/>
          </w:tcPr>
          <w:p w14:paraId="1646BE89" w14:textId="77777777" w:rsidR="003663AF" w:rsidRPr="00B7760C" w:rsidRDefault="003663AF" w:rsidP="00E804B7">
            <w:pPr>
              <w:pStyle w:val="Normal6"/>
              <w:rPr>
                <w:szCs w:val="24"/>
              </w:rPr>
            </w:pPr>
            <w:r w:rsidRPr="00B7760C">
              <w:t>Na Komisijo se prenese pooblastilo za sprejemanje delegiranih aktov v skladu s členom 138 za dopolnjevanje določb te uredbe z ukrepi za zaščito kakršnih koli pridobljenih pravic in legitimnih pričakovanj upravičencev toliko, kolikor je potrebno za prehod z ureditve na podlagi uredb (EU) št. 1305/2013</w:t>
            </w:r>
            <w:r w:rsidRPr="00B7760C">
              <w:rPr>
                <w:b/>
                <w:i/>
              </w:rPr>
              <w:t>,</w:t>
            </w:r>
            <w:r w:rsidRPr="00B7760C">
              <w:t xml:space="preserve"> (EU) št. 1307/2013 </w:t>
            </w:r>
            <w:r w:rsidRPr="00B7760C">
              <w:rPr>
                <w:b/>
                <w:i/>
              </w:rPr>
              <w:t>in (EU) št. 1308/2013</w:t>
            </w:r>
            <w:r w:rsidRPr="00B7760C">
              <w:t xml:space="preserve"> na ureditev iz te uredbe. Ta prehodna pravila zlasti določajo pogoje za vključitev podpore, ki jo Komisija odobri v okviru </w:t>
            </w:r>
            <w:r w:rsidRPr="00B7760C">
              <w:rPr>
                <w:b/>
                <w:i/>
              </w:rPr>
              <w:t>uredb</w:t>
            </w:r>
            <w:r w:rsidRPr="00B7760C">
              <w:t xml:space="preserve"> (EU) št. 1305/2013, </w:t>
            </w:r>
            <w:r w:rsidRPr="00B7760C">
              <w:rPr>
                <w:b/>
                <w:i/>
              </w:rPr>
              <w:t>(EU) št. 1307/2013 in (EU) št. 1308/2013</w:t>
            </w:r>
            <w:r w:rsidRPr="00B7760C">
              <w:t>, v podporo na podlagi te uredbe, vključno s tehnično pomočjo in naknadnim ocenjevanjem.</w:t>
            </w:r>
          </w:p>
        </w:tc>
      </w:tr>
    </w:tbl>
    <w:p w14:paraId="621758E3" w14:textId="77777777" w:rsidR="003663AF" w:rsidRPr="00B7760C" w:rsidRDefault="003663AF" w:rsidP="003663AF"/>
    <w:p w14:paraId="34B9F7A6" w14:textId="78B40079" w:rsidR="003663AF" w:rsidRPr="00B7760C" w:rsidRDefault="00877691" w:rsidP="003663AF">
      <w:pPr>
        <w:pStyle w:val="AMNumberTabs"/>
        <w:keepNext/>
      </w:pPr>
      <w:r w:rsidRPr="00B7760C">
        <w:t>Sprememba</w:t>
      </w:r>
      <w:r w:rsidR="003663AF" w:rsidRPr="00B7760C">
        <w:tab/>
      </w:r>
      <w:r w:rsidR="003663AF" w:rsidRPr="00B7760C">
        <w:tab/>
        <w:t>715</w:t>
      </w:r>
    </w:p>
    <w:p w14:paraId="5D5E6675" w14:textId="77777777" w:rsidR="003663AF" w:rsidRPr="00B7760C" w:rsidRDefault="003663AF" w:rsidP="003663AF">
      <w:pPr>
        <w:pStyle w:val="NormalBold12b"/>
        <w:keepNext/>
      </w:pPr>
      <w:r w:rsidRPr="00B7760C">
        <w:t>Predlog uredbe</w:t>
      </w:r>
    </w:p>
    <w:p w14:paraId="098D7777" w14:textId="77777777" w:rsidR="003663AF" w:rsidRPr="00B7760C" w:rsidRDefault="003663AF" w:rsidP="003663AF">
      <w:pPr>
        <w:pStyle w:val="NormalBold"/>
      </w:pPr>
      <w:r w:rsidRPr="00B7760C">
        <w:t>Člen 141 a (novo)</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663AF" w:rsidRPr="00B7760C" w14:paraId="379C0595" w14:textId="77777777" w:rsidTr="00E804B7">
        <w:trPr>
          <w:jc w:val="center"/>
        </w:trPr>
        <w:tc>
          <w:tcPr>
            <w:tcW w:w="9752" w:type="dxa"/>
            <w:gridSpan w:val="2"/>
          </w:tcPr>
          <w:p w14:paraId="132CC55C" w14:textId="77777777" w:rsidR="003663AF" w:rsidRPr="00B7760C" w:rsidRDefault="003663AF" w:rsidP="00E804B7">
            <w:pPr>
              <w:keepNext/>
            </w:pPr>
          </w:p>
        </w:tc>
      </w:tr>
      <w:tr w:rsidR="003663AF" w:rsidRPr="00B7760C" w14:paraId="25906ABD" w14:textId="77777777" w:rsidTr="00E804B7">
        <w:trPr>
          <w:jc w:val="center"/>
        </w:trPr>
        <w:tc>
          <w:tcPr>
            <w:tcW w:w="4876" w:type="dxa"/>
          </w:tcPr>
          <w:p w14:paraId="778EF094" w14:textId="77777777" w:rsidR="003663AF" w:rsidRPr="00B7760C" w:rsidRDefault="003663AF" w:rsidP="00E804B7">
            <w:pPr>
              <w:pStyle w:val="ColumnHeading"/>
              <w:keepNext/>
            </w:pPr>
            <w:r w:rsidRPr="00B7760C">
              <w:t>Besedilo, ki ga predlaga Komisija</w:t>
            </w:r>
          </w:p>
        </w:tc>
        <w:tc>
          <w:tcPr>
            <w:tcW w:w="4876" w:type="dxa"/>
          </w:tcPr>
          <w:p w14:paraId="41B05A99" w14:textId="2C832D40" w:rsidR="003663AF" w:rsidRPr="00B7760C" w:rsidRDefault="00877691" w:rsidP="00E804B7">
            <w:pPr>
              <w:pStyle w:val="ColumnHeading"/>
              <w:keepNext/>
            </w:pPr>
            <w:r w:rsidRPr="00B7760C">
              <w:t>Sprememba</w:t>
            </w:r>
          </w:p>
        </w:tc>
      </w:tr>
      <w:tr w:rsidR="003663AF" w:rsidRPr="00B7760C" w14:paraId="0E7292F8" w14:textId="77777777" w:rsidTr="00E804B7">
        <w:trPr>
          <w:jc w:val="center"/>
        </w:trPr>
        <w:tc>
          <w:tcPr>
            <w:tcW w:w="4876" w:type="dxa"/>
          </w:tcPr>
          <w:p w14:paraId="305B8F41" w14:textId="77777777" w:rsidR="003663AF" w:rsidRPr="00B7760C" w:rsidRDefault="003663AF" w:rsidP="00E804B7">
            <w:pPr>
              <w:pStyle w:val="Normal6"/>
            </w:pPr>
          </w:p>
        </w:tc>
        <w:tc>
          <w:tcPr>
            <w:tcW w:w="4876" w:type="dxa"/>
          </w:tcPr>
          <w:p w14:paraId="43938C1A" w14:textId="77777777" w:rsidR="003663AF" w:rsidRPr="00B7760C" w:rsidRDefault="003663AF" w:rsidP="00E804B7">
            <w:pPr>
              <w:pStyle w:val="Normal6"/>
              <w:jc w:val="center"/>
              <w:rPr>
                <w:szCs w:val="24"/>
              </w:rPr>
            </w:pPr>
            <w:r w:rsidRPr="00B7760C">
              <w:rPr>
                <w:b/>
                <w:i/>
              </w:rPr>
              <w:t>Člen 141a</w:t>
            </w:r>
          </w:p>
        </w:tc>
      </w:tr>
      <w:tr w:rsidR="003663AF" w:rsidRPr="00B7760C" w14:paraId="22CF8585" w14:textId="77777777" w:rsidTr="00E804B7">
        <w:trPr>
          <w:jc w:val="center"/>
        </w:trPr>
        <w:tc>
          <w:tcPr>
            <w:tcW w:w="4876" w:type="dxa"/>
          </w:tcPr>
          <w:p w14:paraId="5C7CFF8C" w14:textId="77777777" w:rsidR="003663AF" w:rsidRPr="00B7760C" w:rsidRDefault="003663AF" w:rsidP="00E804B7">
            <w:pPr>
              <w:pStyle w:val="Normal6"/>
            </w:pPr>
          </w:p>
        </w:tc>
        <w:tc>
          <w:tcPr>
            <w:tcW w:w="4876" w:type="dxa"/>
          </w:tcPr>
          <w:p w14:paraId="42647454" w14:textId="77777777" w:rsidR="003663AF" w:rsidRPr="00B7760C" w:rsidRDefault="003663AF" w:rsidP="00E804B7">
            <w:pPr>
              <w:pStyle w:val="Normal6"/>
              <w:jc w:val="center"/>
              <w:rPr>
                <w:szCs w:val="24"/>
              </w:rPr>
            </w:pPr>
            <w:r w:rsidRPr="00B7760C">
              <w:rPr>
                <w:b/>
                <w:i/>
              </w:rPr>
              <w:t>Poročila</w:t>
            </w:r>
          </w:p>
        </w:tc>
      </w:tr>
      <w:tr w:rsidR="003663AF" w:rsidRPr="00B7760C" w14:paraId="2E1D313B" w14:textId="77777777" w:rsidTr="00E804B7">
        <w:trPr>
          <w:jc w:val="center"/>
        </w:trPr>
        <w:tc>
          <w:tcPr>
            <w:tcW w:w="4876" w:type="dxa"/>
          </w:tcPr>
          <w:p w14:paraId="0E421257" w14:textId="77777777" w:rsidR="003663AF" w:rsidRPr="00B7760C" w:rsidRDefault="003663AF" w:rsidP="00E804B7">
            <w:pPr>
              <w:pStyle w:val="Normal6"/>
            </w:pPr>
          </w:p>
        </w:tc>
        <w:tc>
          <w:tcPr>
            <w:tcW w:w="4876" w:type="dxa"/>
          </w:tcPr>
          <w:p w14:paraId="17C650F9" w14:textId="77777777" w:rsidR="003663AF" w:rsidRPr="00B7760C" w:rsidRDefault="003663AF" w:rsidP="00E804B7">
            <w:pPr>
              <w:pStyle w:val="Normal6"/>
              <w:rPr>
                <w:szCs w:val="24"/>
              </w:rPr>
            </w:pPr>
            <w:r w:rsidRPr="00B7760C">
              <w:rPr>
                <w:b/>
                <w:i/>
              </w:rPr>
              <w:t>Evropska komisija do 31. decembra 2025 predloži poročilo o učinku, ki ga je imela SKP na otoške regije, ki niso regije iz člena 135. Poročilu priloži predloge za prilagoditev strateških načrtov, da se upoštevajo posebnosti teh območij in izboljšajo pričakovani rezultati v skladu s cilji iz člena 6(1).</w:t>
            </w:r>
          </w:p>
        </w:tc>
      </w:tr>
    </w:tbl>
    <w:p w14:paraId="30F676EE" w14:textId="77777777" w:rsidR="003663AF" w:rsidRPr="00B7760C" w:rsidRDefault="003663AF" w:rsidP="003663AF"/>
    <w:p w14:paraId="7A3D61C6" w14:textId="77777777" w:rsidR="003663AF" w:rsidRPr="00B7760C" w:rsidRDefault="003663AF" w:rsidP="003663AF">
      <w:pPr>
        <w:pStyle w:val="Normal6"/>
        <w:sectPr w:rsidR="003663AF" w:rsidRPr="00B7760C" w:rsidSect="005915CF">
          <w:footerReference w:type="even" r:id="rId9"/>
          <w:footerReference w:type="first" r:id="rId10"/>
          <w:footnotePr>
            <w:numRestart w:val="eachPage"/>
          </w:footnotePr>
          <w:endnotePr>
            <w:numFmt w:val="decimal"/>
          </w:endnotePr>
          <w:pgSz w:w="11906" w:h="16838" w:code="9"/>
          <w:pgMar w:top="1134" w:right="1418" w:bottom="1418" w:left="1418" w:header="567" w:footer="567" w:gutter="0"/>
          <w:cols w:space="720"/>
          <w:noEndnote/>
          <w:docGrid w:linePitch="326"/>
        </w:sectPr>
      </w:pPr>
    </w:p>
    <w:p w14:paraId="0DF995DA" w14:textId="60C54798" w:rsidR="003663AF" w:rsidRPr="00B7760C" w:rsidRDefault="003663AF" w:rsidP="003663AF"/>
    <w:p w14:paraId="5DD9A338" w14:textId="50F7E721" w:rsidR="00182609" w:rsidRPr="00B7760C" w:rsidRDefault="00182609" w:rsidP="00182609">
      <w:pPr>
        <w:pStyle w:val="AmNumberTabs0"/>
      </w:pPr>
      <w:r w:rsidRPr="00B7760C">
        <w:t>Sprememba</w:t>
      </w:r>
      <w:r w:rsidRPr="00B7760C">
        <w:tab/>
      </w:r>
      <w:r w:rsidRPr="00B7760C">
        <w:tab/>
        <w:t>1154</w:t>
      </w:r>
    </w:p>
    <w:p w14:paraId="01577C3B" w14:textId="77777777" w:rsidR="00182609" w:rsidRPr="00B7760C" w:rsidRDefault="00182609" w:rsidP="00182609">
      <w:pPr>
        <w:pStyle w:val="NormalBold12b"/>
      </w:pPr>
      <w:r w:rsidRPr="00B7760C">
        <w:t>Predlog uredbe</w:t>
      </w:r>
    </w:p>
    <w:p w14:paraId="14459198" w14:textId="77777777" w:rsidR="00182609" w:rsidRPr="00B7760C" w:rsidRDefault="00182609" w:rsidP="00182609">
      <w:pPr>
        <w:pStyle w:val="NormalBold"/>
      </w:pPr>
      <w:r w:rsidRPr="00B7760C">
        <w:t>Priloga I</w:t>
      </w:r>
    </w:p>
    <w:tbl>
      <w:tblPr>
        <w:tblW w:w="9752" w:type="dxa"/>
        <w:jc w:val="center"/>
        <w:tblLayout w:type="fixed"/>
        <w:tblCellMar>
          <w:left w:w="340" w:type="dxa"/>
          <w:right w:w="340" w:type="dxa"/>
        </w:tblCellMar>
        <w:tblLook w:val="0000" w:firstRow="0" w:lastRow="0" w:firstColumn="0" w:lastColumn="0" w:noHBand="0" w:noVBand="0"/>
      </w:tblPr>
      <w:tblGrid>
        <w:gridCol w:w="9752"/>
      </w:tblGrid>
      <w:tr w:rsidR="00182609" w:rsidRPr="00B7760C" w14:paraId="3031BC15" w14:textId="77777777" w:rsidTr="00A35DEB">
        <w:trPr>
          <w:jc w:val="center"/>
        </w:trPr>
        <w:tc>
          <w:tcPr>
            <w:tcW w:w="9752" w:type="dxa"/>
          </w:tcPr>
          <w:p w14:paraId="4BEF2380" w14:textId="77777777" w:rsidR="00182609" w:rsidRPr="00B7760C" w:rsidRDefault="00182609" w:rsidP="00A35DEB">
            <w:pPr>
              <w:keepNext/>
            </w:pPr>
          </w:p>
        </w:tc>
      </w:tr>
      <w:tr w:rsidR="00182609" w:rsidRPr="00B7760C" w14:paraId="1F179501" w14:textId="77777777" w:rsidTr="00A35DEB">
        <w:trPr>
          <w:jc w:val="center"/>
        </w:trPr>
        <w:tc>
          <w:tcPr>
            <w:tcW w:w="9752" w:type="dxa"/>
          </w:tcPr>
          <w:p w14:paraId="7F0933DD" w14:textId="77777777" w:rsidR="00182609" w:rsidRPr="00B7760C" w:rsidRDefault="00182609" w:rsidP="00A35DEB">
            <w:pPr>
              <w:pStyle w:val="Normal6a"/>
              <w:jc w:val="center"/>
              <w:rPr>
                <w:i/>
              </w:rPr>
            </w:pPr>
            <w:r w:rsidRPr="00B7760C">
              <w:rPr>
                <w:i/>
              </w:rPr>
              <w:t>Besedilo, ki ga predlaga Komisija</w:t>
            </w:r>
          </w:p>
        </w:tc>
      </w:tr>
    </w:tbl>
    <w:p w14:paraId="66BC1A9B" w14:textId="77777777" w:rsidR="00182609" w:rsidRPr="00B7760C" w:rsidRDefault="00182609" w:rsidP="00182609">
      <w:pPr>
        <w:widowControl/>
        <w:spacing w:before="120" w:after="120"/>
        <w:jc w:val="center"/>
        <w:rPr>
          <w:b/>
          <w:bCs/>
          <w:color w:val="000000"/>
          <w:szCs w:val="24"/>
        </w:rPr>
      </w:pPr>
      <w:r w:rsidRPr="00B7760C">
        <w:rPr>
          <w:b/>
          <w:bCs/>
          <w:color w:val="000000"/>
          <w:szCs w:val="24"/>
        </w:rPr>
        <w:t>PRILOGA I</w:t>
      </w:r>
    </w:p>
    <w:p w14:paraId="5955A4F1" w14:textId="77777777" w:rsidR="00182609" w:rsidRPr="00B7760C" w:rsidRDefault="00182609" w:rsidP="00182609">
      <w:pPr>
        <w:widowControl/>
        <w:spacing w:before="120" w:after="120"/>
        <w:jc w:val="center"/>
        <w:rPr>
          <w:b/>
          <w:bCs/>
          <w:color w:val="000000"/>
          <w:szCs w:val="24"/>
        </w:rPr>
      </w:pPr>
      <w:r w:rsidRPr="00B7760C">
        <w:rPr>
          <w:b/>
          <w:bCs/>
          <w:color w:val="000000"/>
          <w:szCs w:val="24"/>
        </w:rPr>
        <w:t>KAZALNIKI UČINKA, REZULTATOV IN IZLOŽKOV NA PODLAGI ČLENA 7</w:t>
      </w:r>
    </w:p>
    <w:p w14:paraId="45A59C53" w14:textId="77777777" w:rsidR="00182609" w:rsidRPr="00B7760C" w:rsidRDefault="00182609" w:rsidP="00182609">
      <w:pPr>
        <w:widowControl/>
        <w:spacing w:before="120" w:after="120"/>
        <w:jc w:val="center"/>
        <w:rPr>
          <w:b/>
          <w:bCs/>
          <w:color w:val="000000"/>
          <w:szCs w:val="24"/>
          <w:lang w:eastAsia="fr-BE"/>
        </w:rPr>
      </w:pPr>
    </w:p>
    <w:tbl>
      <w:tblPr>
        <w:tblStyle w:val="TableGridLight1"/>
        <w:tblW w:w="15352"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0"/>
        <w:gridCol w:w="4627"/>
        <w:gridCol w:w="308"/>
        <w:gridCol w:w="4797"/>
      </w:tblGrid>
      <w:tr w:rsidR="00182609" w:rsidRPr="00B7760C" w14:paraId="6480EB54" w14:textId="77777777" w:rsidTr="00A35DEB">
        <w:trPr>
          <w:trHeight w:val="357"/>
        </w:trPr>
        <w:tc>
          <w:tcPr>
            <w:tcW w:w="5620" w:type="dxa"/>
            <w:tcBorders>
              <w:top w:val="single" w:sz="4" w:space="0" w:color="0070C0"/>
              <w:left w:val="single" w:sz="4" w:space="0" w:color="0070C0"/>
              <w:right w:val="single" w:sz="4" w:space="0" w:color="0070C0"/>
            </w:tcBorders>
            <w:shd w:val="clear" w:color="auto" w:fill="auto"/>
            <w:noWrap/>
            <w:vAlign w:val="center"/>
          </w:tcPr>
          <w:p w14:paraId="7D6AEFC5" w14:textId="77777777" w:rsidR="00182609" w:rsidRPr="00B7760C" w:rsidRDefault="00182609" w:rsidP="00A35DEB">
            <w:pPr>
              <w:widowControl/>
              <w:spacing w:before="120" w:after="120"/>
              <w:jc w:val="center"/>
              <w:rPr>
                <w:rFonts w:asciiTheme="minorHAnsi" w:hAnsiTheme="minorHAnsi" w:cstheme="minorHAnsi"/>
                <w:bCs/>
                <w:color w:val="000000"/>
                <w:sz w:val="20"/>
              </w:rPr>
            </w:pPr>
            <w:bookmarkStart w:id="12" w:name="OLE_LINK3"/>
            <w:r w:rsidRPr="00B7760C">
              <w:rPr>
                <w:rFonts w:asciiTheme="minorHAnsi" w:hAnsiTheme="minorHAnsi" w:cstheme="minorHAnsi"/>
                <w:bCs/>
                <w:color w:val="000000"/>
                <w:sz w:val="20"/>
              </w:rPr>
              <w:t>(Večletna) ocena smotrnosti politike – UČINEK</w:t>
            </w:r>
          </w:p>
        </w:tc>
        <w:tc>
          <w:tcPr>
            <w:tcW w:w="4627" w:type="dxa"/>
            <w:tcBorders>
              <w:top w:val="single" w:sz="4" w:space="0" w:color="0070C0"/>
              <w:left w:val="single" w:sz="4" w:space="0" w:color="0070C0"/>
              <w:right w:val="single" w:sz="4" w:space="0" w:color="0070C0"/>
            </w:tcBorders>
            <w:shd w:val="clear" w:color="auto" w:fill="auto"/>
            <w:vAlign w:val="center"/>
          </w:tcPr>
          <w:p w14:paraId="0A7D4DAF" w14:textId="77777777" w:rsidR="00182609" w:rsidRPr="00B7760C" w:rsidRDefault="00182609" w:rsidP="00A35DEB">
            <w:pPr>
              <w:widowControl/>
              <w:spacing w:before="120" w:after="120"/>
              <w:jc w:val="center"/>
              <w:rPr>
                <w:rFonts w:asciiTheme="minorHAnsi" w:hAnsiTheme="minorHAnsi" w:cstheme="minorHAnsi"/>
                <w:bCs/>
                <w:color w:val="000000"/>
                <w:sz w:val="20"/>
              </w:rPr>
            </w:pPr>
            <w:r w:rsidRPr="00B7760C">
              <w:rPr>
                <w:rFonts w:asciiTheme="minorHAnsi" w:hAnsiTheme="minorHAnsi" w:cstheme="minorHAnsi"/>
                <w:bCs/>
                <w:color w:val="000000"/>
              </w:rPr>
              <w:t>Letni pregled smotrnosti – REZULTATI*</w:t>
            </w:r>
          </w:p>
        </w:tc>
        <w:tc>
          <w:tcPr>
            <w:tcW w:w="308" w:type="dxa"/>
            <w:tcBorders>
              <w:left w:val="single" w:sz="4" w:space="0" w:color="0070C0"/>
              <w:right w:val="single" w:sz="4" w:space="0" w:color="0070C0"/>
            </w:tcBorders>
            <w:shd w:val="clear" w:color="auto" w:fill="auto"/>
          </w:tcPr>
          <w:p w14:paraId="0419E275" w14:textId="77777777" w:rsidR="00182609" w:rsidRPr="00B7760C" w:rsidRDefault="00182609" w:rsidP="00A35DEB">
            <w:pPr>
              <w:widowControl/>
              <w:spacing w:before="120" w:after="120" w:line="276" w:lineRule="auto"/>
              <w:ind w:left="64"/>
              <w:jc w:val="center"/>
              <w:rPr>
                <w:rFonts w:asciiTheme="minorHAnsi" w:hAnsiTheme="minorHAnsi" w:cstheme="minorHAnsi"/>
                <w:bCs/>
                <w:sz w:val="18"/>
                <w:szCs w:val="18"/>
                <w:lang w:eastAsia="fr-BE"/>
              </w:rPr>
            </w:pPr>
          </w:p>
        </w:tc>
        <w:tc>
          <w:tcPr>
            <w:tcW w:w="4797" w:type="dxa"/>
            <w:tcBorders>
              <w:top w:val="single" w:sz="4" w:space="0" w:color="0070C0"/>
              <w:left w:val="single" w:sz="4" w:space="0" w:color="0070C0"/>
              <w:right w:val="single" w:sz="4" w:space="0" w:color="0070C0"/>
            </w:tcBorders>
            <w:shd w:val="clear" w:color="auto" w:fill="auto"/>
            <w:vAlign w:val="center"/>
          </w:tcPr>
          <w:p w14:paraId="70115899" w14:textId="77777777" w:rsidR="00182609" w:rsidRPr="00B7760C" w:rsidRDefault="00182609" w:rsidP="00A35DEB">
            <w:pPr>
              <w:widowControl/>
              <w:spacing w:before="120" w:after="120"/>
              <w:jc w:val="center"/>
              <w:rPr>
                <w:rFonts w:asciiTheme="minorHAnsi" w:hAnsiTheme="minorHAnsi" w:cstheme="minorHAnsi"/>
                <w:bCs/>
                <w:color w:val="000000"/>
                <w:sz w:val="20"/>
              </w:rPr>
            </w:pPr>
            <w:r w:rsidRPr="00B7760C">
              <w:rPr>
                <w:rFonts w:asciiTheme="minorHAnsi" w:hAnsiTheme="minorHAnsi" w:cstheme="minorHAnsi"/>
                <w:bCs/>
                <w:color w:val="000000"/>
                <w:sz w:val="20"/>
              </w:rPr>
              <w:t>Letna potrditev smotrnosti – IZLOŽKI</w:t>
            </w:r>
          </w:p>
        </w:tc>
      </w:tr>
      <w:tr w:rsidR="00182609" w:rsidRPr="00B7760C" w14:paraId="3D3E7A88" w14:textId="77777777" w:rsidTr="00A35DEB">
        <w:trPr>
          <w:trHeight w:val="198"/>
        </w:trPr>
        <w:tc>
          <w:tcPr>
            <w:tcW w:w="5620" w:type="dxa"/>
            <w:tcBorders>
              <w:left w:val="single" w:sz="4" w:space="0" w:color="0070C0"/>
              <w:bottom w:val="single" w:sz="4" w:space="0" w:color="0070C0"/>
              <w:right w:val="single" w:sz="4" w:space="0" w:color="0070C0"/>
            </w:tcBorders>
            <w:shd w:val="clear" w:color="auto" w:fill="auto"/>
            <w:noWrap/>
          </w:tcPr>
          <w:p w14:paraId="40D0D832" w14:textId="77777777" w:rsidR="00182609" w:rsidRPr="00B7760C" w:rsidRDefault="00182609" w:rsidP="00A35DEB">
            <w:pPr>
              <w:widowControl/>
              <w:spacing w:before="120" w:after="120"/>
              <w:jc w:val="center"/>
              <w:rPr>
                <w:rFonts w:asciiTheme="minorHAnsi" w:hAnsiTheme="minorHAnsi" w:cstheme="minorHAnsi"/>
                <w:bCs/>
                <w:color w:val="000000"/>
                <w:sz w:val="18"/>
                <w:szCs w:val="18"/>
              </w:rPr>
            </w:pPr>
            <w:r w:rsidRPr="00B7760C">
              <w:rPr>
                <w:rFonts w:asciiTheme="minorHAnsi" w:hAnsiTheme="minorHAnsi" w:cstheme="minorHAnsi"/>
                <w:bCs/>
                <w:color w:val="000000"/>
                <w:sz w:val="18"/>
                <w:szCs w:val="18"/>
              </w:rPr>
              <w:t>Cilji in njihovi kazalniki učinka.*</w:t>
            </w:r>
          </w:p>
        </w:tc>
        <w:tc>
          <w:tcPr>
            <w:tcW w:w="4627" w:type="dxa"/>
            <w:tcBorders>
              <w:left w:val="single" w:sz="4" w:space="0" w:color="0070C0"/>
              <w:bottom w:val="single" w:sz="4" w:space="0" w:color="0070C0"/>
              <w:right w:val="single" w:sz="4" w:space="0" w:color="0070C0"/>
            </w:tcBorders>
            <w:shd w:val="clear" w:color="auto" w:fill="auto"/>
          </w:tcPr>
          <w:p w14:paraId="2702D879" w14:textId="77777777" w:rsidR="00182609" w:rsidRPr="00B7760C" w:rsidRDefault="00182609" w:rsidP="00A35DEB">
            <w:pPr>
              <w:widowControl/>
              <w:spacing w:before="120" w:after="120"/>
              <w:jc w:val="center"/>
              <w:rPr>
                <w:rFonts w:asciiTheme="minorHAnsi" w:hAnsiTheme="minorHAnsi" w:cstheme="minorHAnsi"/>
                <w:bCs/>
                <w:color w:val="000000"/>
                <w:sz w:val="18"/>
                <w:szCs w:val="18"/>
                <w:lang w:eastAsia="fr-BE"/>
              </w:rPr>
            </w:pPr>
          </w:p>
        </w:tc>
        <w:tc>
          <w:tcPr>
            <w:tcW w:w="308" w:type="dxa"/>
            <w:tcBorders>
              <w:left w:val="single" w:sz="4" w:space="0" w:color="0070C0"/>
              <w:right w:val="single" w:sz="4" w:space="0" w:color="0070C0"/>
            </w:tcBorders>
            <w:shd w:val="clear" w:color="auto" w:fill="auto"/>
          </w:tcPr>
          <w:p w14:paraId="3337596C" w14:textId="77777777" w:rsidR="00182609" w:rsidRPr="00B7760C" w:rsidRDefault="00182609" w:rsidP="00A35DEB">
            <w:pPr>
              <w:widowControl/>
              <w:spacing w:before="120" w:after="120" w:line="276" w:lineRule="auto"/>
              <w:ind w:left="64"/>
              <w:jc w:val="center"/>
              <w:rPr>
                <w:rFonts w:asciiTheme="minorHAnsi" w:hAnsiTheme="minorHAnsi" w:cstheme="minorHAnsi"/>
                <w:bCs/>
                <w:sz w:val="18"/>
                <w:szCs w:val="18"/>
                <w:lang w:eastAsia="fr-BE"/>
              </w:rPr>
            </w:pPr>
          </w:p>
        </w:tc>
        <w:tc>
          <w:tcPr>
            <w:tcW w:w="4797" w:type="dxa"/>
            <w:tcBorders>
              <w:left w:val="single" w:sz="4" w:space="0" w:color="0070C0"/>
              <w:bottom w:val="single" w:sz="4" w:space="0" w:color="0070C0"/>
              <w:right w:val="single" w:sz="4" w:space="0" w:color="0070C0"/>
            </w:tcBorders>
            <w:shd w:val="clear" w:color="auto" w:fill="auto"/>
          </w:tcPr>
          <w:p w14:paraId="6D6E584D" w14:textId="77777777" w:rsidR="00182609" w:rsidRPr="00B7760C" w:rsidRDefault="00182609" w:rsidP="00A35DEB">
            <w:pPr>
              <w:widowControl/>
              <w:spacing w:before="120" w:after="120"/>
              <w:jc w:val="center"/>
              <w:rPr>
                <w:rFonts w:asciiTheme="minorHAnsi" w:hAnsiTheme="minorHAnsi" w:cstheme="minorHAnsi"/>
                <w:bCs/>
                <w:color w:val="000000"/>
                <w:sz w:val="18"/>
                <w:szCs w:val="18"/>
              </w:rPr>
            </w:pPr>
            <w:r w:rsidRPr="00B7760C">
              <w:rPr>
                <w:rFonts w:asciiTheme="minorHAnsi" w:hAnsiTheme="minorHAnsi" w:cstheme="minorHAnsi"/>
                <w:bCs/>
                <w:color w:val="000000"/>
                <w:sz w:val="18"/>
                <w:szCs w:val="18"/>
              </w:rPr>
              <w:t>Široke vrste intervencij in njihovi kazalniki izložkov.*</w:t>
            </w:r>
          </w:p>
        </w:tc>
      </w:tr>
      <w:bookmarkEnd w:id="12"/>
    </w:tbl>
    <w:p w14:paraId="20EF974A" w14:textId="77777777" w:rsidR="00182609" w:rsidRPr="00B7760C" w:rsidRDefault="00182609" w:rsidP="00182609">
      <w:pPr>
        <w:widowControl/>
        <w:spacing w:before="120" w:after="120"/>
        <w:jc w:val="both"/>
        <w:rPr>
          <w:rFonts w:asciiTheme="minorHAnsi" w:eastAsia="Calibri" w:hAnsiTheme="minorHAnsi" w:cstheme="minorHAnsi"/>
          <w:szCs w:val="22"/>
          <w:lang w:eastAsia="en-US"/>
        </w:rPr>
      </w:pPr>
    </w:p>
    <w:tbl>
      <w:tblPr>
        <w:tblStyle w:val="TableGridLight1"/>
        <w:tblW w:w="15372"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1"/>
        <w:gridCol w:w="3264"/>
        <w:gridCol w:w="4588"/>
        <w:gridCol w:w="236"/>
        <w:gridCol w:w="1710"/>
        <w:gridCol w:w="3263"/>
      </w:tblGrid>
      <w:tr w:rsidR="00182609" w:rsidRPr="00B7760C" w14:paraId="193213FF" w14:textId="77777777" w:rsidTr="00A35DEB">
        <w:trPr>
          <w:trHeight w:val="634"/>
        </w:trPr>
        <w:tc>
          <w:tcPr>
            <w:tcW w:w="2312" w:type="dxa"/>
            <w:tcBorders>
              <w:top w:val="single" w:sz="4" w:space="0" w:color="0070C0"/>
              <w:left w:val="single" w:sz="4" w:space="0" w:color="0070C0"/>
              <w:bottom w:val="single" w:sz="4" w:space="0" w:color="0070C0"/>
              <w:right w:val="single" w:sz="4" w:space="0" w:color="0070C0"/>
            </w:tcBorders>
            <w:shd w:val="clear" w:color="auto" w:fill="auto"/>
            <w:noWrap/>
          </w:tcPr>
          <w:p w14:paraId="228BAA3B" w14:textId="77777777" w:rsidR="00182609" w:rsidRPr="00B7760C" w:rsidRDefault="00182609" w:rsidP="00A35DEB">
            <w:pPr>
              <w:widowControl/>
              <w:spacing w:before="120" w:after="120"/>
              <w:ind w:left="252"/>
              <w:jc w:val="both"/>
              <w:rPr>
                <w:rFonts w:asciiTheme="minorHAnsi" w:hAnsiTheme="minorHAnsi" w:cstheme="minorHAnsi"/>
              </w:rPr>
            </w:pPr>
          </w:p>
          <w:p w14:paraId="630E63B0" w14:textId="77777777" w:rsidR="00182609" w:rsidRPr="00B7760C" w:rsidRDefault="00182609" w:rsidP="00A35DEB">
            <w:pPr>
              <w:widowControl/>
              <w:spacing w:before="120" w:after="120" w:line="276" w:lineRule="auto"/>
              <w:jc w:val="center"/>
              <w:rPr>
                <w:rFonts w:asciiTheme="minorHAnsi" w:hAnsiTheme="minorHAnsi" w:cstheme="minorHAnsi"/>
                <w:bCs/>
                <w:color w:val="000000"/>
                <w:sz w:val="18"/>
                <w:szCs w:val="18"/>
              </w:rPr>
            </w:pPr>
            <w:r w:rsidRPr="00B7760C">
              <w:rPr>
                <w:rFonts w:asciiTheme="minorHAnsi" w:hAnsiTheme="minorHAnsi" w:cstheme="minorHAnsi"/>
                <w:bCs/>
                <w:color w:val="000000"/>
                <w:sz w:val="18"/>
                <w:szCs w:val="18"/>
              </w:rPr>
              <w:t>Medsektorski cilji EU: Posodobitev</w:t>
            </w:r>
          </w:p>
        </w:tc>
        <w:tc>
          <w:tcPr>
            <w:tcW w:w="3265" w:type="dxa"/>
            <w:tcBorders>
              <w:top w:val="single" w:sz="4" w:space="0" w:color="0070C0"/>
              <w:left w:val="single" w:sz="4" w:space="0" w:color="0070C0"/>
              <w:bottom w:val="single" w:sz="4" w:space="0" w:color="0070C0"/>
              <w:right w:val="single" w:sz="4" w:space="0" w:color="0070C0"/>
            </w:tcBorders>
            <w:shd w:val="clear" w:color="auto" w:fill="auto"/>
            <w:noWrap/>
          </w:tcPr>
          <w:p w14:paraId="3A133101" w14:textId="77777777" w:rsidR="00182609" w:rsidRPr="00B7760C" w:rsidRDefault="00182609" w:rsidP="00A35DEB">
            <w:pPr>
              <w:widowControl/>
              <w:spacing w:before="120" w:after="120" w:line="276" w:lineRule="auto"/>
              <w:jc w:val="center"/>
              <w:rPr>
                <w:rFonts w:asciiTheme="minorHAnsi" w:hAnsiTheme="minorHAnsi" w:cstheme="minorHAnsi"/>
                <w:bCs/>
                <w:color w:val="000000"/>
                <w:sz w:val="18"/>
                <w:szCs w:val="18"/>
                <w:lang w:eastAsia="fr-BE"/>
              </w:rPr>
            </w:pPr>
          </w:p>
          <w:p w14:paraId="0D4BB395" w14:textId="77777777" w:rsidR="00182609" w:rsidRPr="00B7760C" w:rsidRDefault="00182609" w:rsidP="00A35DEB">
            <w:pPr>
              <w:widowControl/>
              <w:spacing w:before="120" w:after="120" w:line="276" w:lineRule="auto"/>
              <w:jc w:val="center"/>
              <w:rPr>
                <w:rFonts w:asciiTheme="minorHAnsi" w:hAnsiTheme="minorHAnsi" w:cstheme="minorHAnsi"/>
                <w:bCs/>
                <w:color w:val="000000"/>
                <w:sz w:val="18"/>
                <w:szCs w:val="18"/>
              </w:rPr>
            </w:pPr>
            <w:r w:rsidRPr="00B7760C">
              <w:rPr>
                <w:rFonts w:asciiTheme="minorHAnsi" w:hAnsiTheme="minorHAnsi" w:cstheme="minorHAnsi"/>
                <w:bCs/>
                <w:color w:val="000000"/>
                <w:sz w:val="18"/>
                <w:szCs w:val="18"/>
              </w:rPr>
              <w:t>Kazalnik</w:t>
            </w:r>
          </w:p>
        </w:tc>
        <w:tc>
          <w:tcPr>
            <w:tcW w:w="4590" w:type="dxa"/>
            <w:tcBorders>
              <w:top w:val="single" w:sz="4" w:space="0" w:color="0070C0"/>
              <w:left w:val="single" w:sz="4" w:space="0" w:color="0070C0"/>
              <w:bottom w:val="single" w:sz="4" w:space="0" w:color="0070C0"/>
              <w:right w:val="single" w:sz="4" w:space="0" w:color="0070C0"/>
            </w:tcBorders>
            <w:shd w:val="clear" w:color="auto" w:fill="auto"/>
          </w:tcPr>
          <w:p w14:paraId="2C3501CB" w14:textId="77777777" w:rsidR="00182609" w:rsidRPr="00B7760C" w:rsidRDefault="00182609" w:rsidP="00A35DEB">
            <w:pPr>
              <w:widowControl/>
              <w:spacing w:before="120" w:after="120" w:line="276" w:lineRule="auto"/>
              <w:ind w:left="64"/>
              <w:jc w:val="center"/>
              <w:rPr>
                <w:rFonts w:asciiTheme="minorHAnsi" w:hAnsiTheme="minorHAnsi" w:cstheme="minorHAnsi"/>
                <w:bCs/>
                <w:sz w:val="18"/>
                <w:szCs w:val="18"/>
                <w:lang w:eastAsia="fr-BE"/>
              </w:rPr>
            </w:pPr>
          </w:p>
          <w:p w14:paraId="08929819" w14:textId="77777777" w:rsidR="00182609" w:rsidRPr="00B7760C" w:rsidRDefault="00182609" w:rsidP="00A35DEB">
            <w:pPr>
              <w:widowControl/>
              <w:spacing w:before="120" w:after="120" w:line="276" w:lineRule="auto"/>
              <w:ind w:left="64"/>
              <w:jc w:val="center"/>
              <w:rPr>
                <w:rFonts w:asciiTheme="minorHAnsi" w:hAnsiTheme="minorHAnsi" w:cstheme="minorHAnsi"/>
                <w:bCs/>
                <w:sz w:val="18"/>
                <w:szCs w:val="18"/>
              </w:rPr>
            </w:pPr>
            <w:r w:rsidRPr="00B7760C">
              <w:rPr>
                <w:rFonts w:asciiTheme="minorHAnsi" w:hAnsiTheme="minorHAnsi" w:cstheme="minorHAnsi"/>
                <w:bCs/>
                <w:sz w:val="18"/>
                <w:szCs w:val="18"/>
              </w:rPr>
              <w:t>Kazalniki rezultatov</w:t>
            </w:r>
          </w:p>
          <w:p w14:paraId="7AE1B844" w14:textId="77777777" w:rsidR="00182609" w:rsidRPr="00B7760C" w:rsidRDefault="00182609" w:rsidP="00A35DEB">
            <w:pPr>
              <w:widowControl/>
              <w:spacing w:before="120" w:after="120" w:line="276" w:lineRule="auto"/>
              <w:ind w:left="64"/>
              <w:jc w:val="center"/>
              <w:rPr>
                <w:rFonts w:asciiTheme="minorHAnsi" w:hAnsiTheme="minorHAnsi" w:cstheme="minorHAnsi"/>
                <w:bCs/>
                <w:sz w:val="18"/>
                <w:szCs w:val="18"/>
              </w:rPr>
            </w:pPr>
            <w:r w:rsidRPr="00B7760C">
              <w:rPr>
                <w:rFonts w:asciiTheme="minorHAnsi" w:hAnsiTheme="minorHAnsi" w:cstheme="minorHAnsi"/>
                <w:bCs/>
                <w:sz w:val="18"/>
                <w:szCs w:val="18"/>
              </w:rPr>
              <w:t>(samo na podlagi intervencij, ki jih podpira SKP)</w:t>
            </w:r>
          </w:p>
          <w:p w14:paraId="406709F4" w14:textId="77777777" w:rsidR="00182609" w:rsidRPr="00B7760C" w:rsidRDefault="00182609" w:rsidP="00A35DEB">
            <w:pPr>
              <w:widowControl/>
              <w:spacing w:before="120" w:after="120" w:line="276" w:lineRule="auto"/>
              <w:ind w:left="64"/>
              <w:jc w:val="center"/>
              <w:rPr>
                <w:rFonts w:asciiTheme="minorHAnsi" w:hAnsiTheme="minorHAnsi" w:cstheme="minorHAnsi"/>
                <w:bCs/>
                <w:sz w:val="18"/>
                <w:szCs w:val="18"/>
                <w:lang w:eastAsia="fr-BE"/>
              </w:rPr>
            </w:pPr>
          </w:p>
        </w:tc>
        <w:tc>
          <w:tcPr>
            <w:tcW w:w="230" w:type="dxa"/>
            <w:tcBorders>
              <w:left w:val="single" w:sz="4" w:space="0" w:color="0070C0"/>
              <w:right w:val="single" w:sz="4" w:space="0" w:color="0070C0"/>
            </w:tcBorders>
            <w:shd w:val="clear" w:color="auto" w:fill="auto"/>
          </w:tcPr>
          <w:p w14:paraId="4BF5BC38" w14:textId="77777777" w:rsidR="00182609" w:rsidRPr="00B7760C" w:rsidRDefault="00182609" w:rsidP="00A35DEB">
            <w:pPr>
              <w:widowControl/>
              <w:spacing w:before="120" w:after="120" w:line="276" w:lineRule="auto"/>
              <w:ind w:left="64"/>
              <w:jc w:val="center"/>
              <w:rPr>
                <w:rFonts w:asciiTheme="minorHAnsi" w:hAnsiTheme="minorHAnsi" w:cstheme="minorHAnsi"/>
                <w:bCs/>
                <w:sz w:val="18"/>
                <w:szCs w:val="18"/>
                <w:lang w:eastAsia="fr-BE"/>
              </w:rPr>
            </w:pPr>
          </w:p>
        </w:tc>
        <w:tc>
          <w:tcPr>
            <w:tcW w:w="1711" w:type="dxa"/>
            <w:tcBorders>
              <w:top w:val="single" w:sz="4" w:space="0" w:color="0070C0"/>
              <w:left w:val="single" w:sz="4" w:space="0" w:color="0070C0"/>
              <w:bottom w:val="single" w:sz="4" w:space="0" w:color="0070C0"/>
              <w:right w:val="single" w:sz="4" w:space="0" w:color="0070C0"/>
            </w:tcBorders>
            <w:shd w:val="clear" w:color="auto" w:fill="auto"/>
          </w:tcPr>
          <w:p w14:paraId="2D427D5F" w14:textId="77777777" w:rsidR="00182609" w:rsidRPr="00B7760C" w:rsidRDefault="00182609" w:rsidP="00A35DEB">
            <w:pPr>
              <w:widowControl/>
              <w:spacing w:before="120" w:after="120" w:line="276" w:lineRule="auto"/>
              <w:ind w:left="64"/>
              <w:jc w:val="center"/>
              <w:rPr>
                <w:rFonts w:asciiTheme="minorHAnsi" w:hAnsiTheme="minorHAnsi" w:cstheme="minorHAnsi"/>
                <w:bCs/>
                <w:sz w:val="18"/>
                <w:szCs w:val="18"/>
              </w:rPr>
            </w:pPr>
            <w:r w:rsidRPr="00B7760C">
              <w:rPr>
                <w:rFonts w:asciiTheme="minorHAnsi" w:hAnsiTheme="minorHAnsi" w:cstheme="minorHAnsi"/>
                <w:bCs/>
                <w:sz w:val="18"/>
                <w:szCs w:val="18"/>
              </w:rPr>
              <w:t>Sistemi znanja in inovacij v kmetijstvu (AKIS)</w:t>
            </w:r>
          </w:p>
        </w:tc>
        <w:tc>
          <w:tcPr>
            <w:tcW w:w="3264" w:type="dxa"/>
            <w:tcBorders>
              <w:top w:val="single" w:sz="4" w:space="0" w:color="0070C0"/>
              <w:left w:val="single" w:sz="4" w:space="0" w:color="0070C0"/>
              <w:bottom w:val="single" w:sz="4" w:space="0" w:color="0070C0"/>
              <w:right w:val="single" w:sz="4" w:space="0" w:color="0070C0"/>
            </w:tcBorders>
            <w:shd w:val="clear" w:color="auto" w:fill="auto"/>
          </w:tcPr>
          <w:p w14:paraId="6AD074DC" w14:textId="77777777" w:rsidR="00182609" w:rsidRPr="00B7760C" w:rsidRDefault="00182609" w:rsidP="00A35DEB">
            <w:pPr>
              <w:widowControl/>
              <w:spacing w:before="120" w:after="120" w:line="276" w:lineRule="auto"/>
              <w:ind w:left="64"/>
              <w:jc w:val="both"/>
              <w:rPr>
                <w:rFonts w:asciiTheme="minorHAnsi" w:hAnsiTheme="minorHAnsi" w:cstheme="minorHAnsi"/>
                <w:bCs/>
                <w:sz w:val="18"/>
                <w:szCs w:val="18"/>
                <w:lang w:eastAsia="fr-BE"/>
              </w:rPr>
            </w:pPr>
          </w:p>
          <w:p w14:paraId="5A200379" w14:textId="77777777" w:rsidR="00182609" w:rsidRPr="00B7760C" w:rsidRDefault="00182609" w:rsidP="00A35DEB">
            <w:pPr>
              <w:widowControl/>
              <w:spacing w:before="120" w:after="120" w:line="276" w:lineRule="auto"/>
              <w:jc w:val="center"/>
              <w:rPr>
                <w:rFonts w:asciiTheme="minorHAnsi" w:hAnsiTheme="minorHAnsi" w:cstheme="minorHAnsi"/>
                <w:bCs/>
                <w:sz w:val="18"/>
                <w:szCs w:val="18"/>
              </w:rPr>
            </w:pPr>
            <w:r w:rsidRPr="00B7760C">
              <w:rPr>
                <w:rFonts w:asciiTheme="minorHAnsi" w:hAnsiTheme="minorHAnsi" w:cstheme="minorHAnsi"/>
                <w:bCs/>
                <w:sz w:val="18"/>
                <w:szCs w:val="18"/>
              </w:rPr>
              <w:t>Kazalniki izložkov</w:t>
            </w:r>
          </w:p>
        </w:tc>
      </w:tr>
      <w:tr w:rsidR="00182609" w:rsidRPr="00B7760C" w14:paraId="21D37AE9" w14:textId="77777777" w:rsidTr="00A35DEB">
        <w:trPr>
          <w:trHeight w:val="970"/>
        </w:trPr>
        <w:tc>
          <w:tcPr>
            <w:tcW w:w="2312" w:type="dxa"/>
            <w:vMerge w:val="restart"/>
            <w:tcBorders>
              <w:top w:val="single" w:sz="4" w:space="0" w:color="0070C0"/>
              <w:left w:val="single" w:sz="4" w:space="0" w:color="0070C0"/>
              <w:right w:val="single" w:sz="4" w:space="0" w:color="0070C0"/>
            </w:tcBorders>
            <w:noWrap/>
            <w:vAlign w:val="center"/>
          </w:tcPr>
          <w:p w14:paraId="3135EBB7" w14:textId="77777777" w:rsidR="00182609" w:rsidRPr="00B7760C" w:rsidRDefault="00182609" w:rsidP="009D3E2B">
            <w:pPr>
              <w:widowControl/>
              <w:spacing w:before="120" w:after="120" w:line="276" w:lineRule="auto"/>
              <w:rPr>
                <w:rFonts w:asciiTheme="minorHAnsi" w:hAnsiTheme="minorHAnsi" w:cstheme="minorHAnsi"/>
                <w:bCs/>
                <w:color w:val="000000"/>
                <w:sz w:val="18"/>
                <w:szCs w:val="18"/>
              </w:rPr>
            </w:pPr>
            <w:r w:rsidRPr="00B7760C">
              <w:rPr>
                <w:rFonts w:asciiTheme="minorHAnsi" w:hAnsiTheme="minorHAnsi" w:cstheme="minorHAnsi"/>
                <w:b/>
                <w:bCs/>
                <w:i/>
                <w:color w:val="000000"/>
                <w:sz w:val="18"/>
                <w:szCs w:val="18"/>
              </w:rPr>
              <w:t>Spodbujanje</w:t>
            </w:r>
            <w:r w:rsidRPr="00B7760C">
              <w:rPr>
                <w:rFonts w:asciiTheme="minorHAnsi" w:hAnsiTheme="minorHAnsi" w:cstheme="minorHAnsi"/>
                <w:bCs/>
                <w:color w:val="000000"/>
                <w:sz w:val="18"/>
                <w:szCs w:val="18"/>
              </w:rPr>
              <w:t xml:space="preserve"> znanja, inovacij in digitalizacije v kmetijstvu in na podeželskih območjih ter njihovega prevzemanja</w:t>
            </w:r>
          </w:p>
        </w:tc>
        <w:tc>
          <w:tcPr>
            <w:tcW w:w="3265" w:type="dxa"/>
            <w:tcBorders>
              <w:top w:val="single" w:sz="4" w:space="0" w:color="0070C0"/>
              <w:left w:val="single" w:sz="4" w:space="0" w:color="0070C0"/>
              <w:right w:val="single" w:sz="4" w:space="0" w:color="0070C0"/>
            </w:tcBorders>
            <w:noWrap/>
          </w:tcPr>
          <w:p w14:paraId="7CA0894B" w14:textId="77777777" w:rsidR="00182609" w:rsidRPr="00B7760C" w:rsidRDefault="00182609" w:rsidP="009D3E2B">
            <w:pPr>
              <w:widowControl/>
              <w:spacing w:before="120" w:after="120" w:line="276" w:lineRule="auto"/>
              <w:rPr>
                <w:rFonts w:asciiTheme="minorHAnsi" w:hAnsiTheme="minorHAnsi" w:cstheme="minorHAnsi"/>
                <w:sz w:val="18"/>
                <w:szCs w:val="18"/>
              </w:rPr>
            </w:pPr>
            <w:r w:rsidRPr="00B7760C">
              <w:rPr>
                <w:rFonts w:asciiTheme="minorHAnsi" w:hAnsiTheme="minorHAnsi" w:cstheme="minorHAnsi"/>
                <w:bCs/>
                <w:iCs/>
                <w:sz w:val="18"/>
                <w:szCs w:val="18"/>
              </w:rPr>
              <w:t xml:space="preserve">I.1 </w:t>
            </w:r>
            <w:r w:rsidRPr="00B7760C">
              <w:rPr>
                <w:rFonts w:asciiTheme="minorHAnsi" w:hAnsiTheme="minorHAnsi" w:cstheme="minorHAnsi"/>
                <w:sz w:val="18"/>
                <w:szCs w:val="18"/>
              </w:rPr>
              <w:t>Izmenjava znanja in inovacije: delež proračuna SKP za širjenje znanja in inovacije</w:t>
            </w:r>
          </w:p>
        </w:tc>
        <w:tc>
          <w:tcPr>
            <w:tcW w:w="4590" w:type="dxa"/>
            <w:tcBorders>
              <w:top w:val="single" w:sz="4" w:space="0" w:color="0070C0"/>
              <w:left w:val="single" w:sz="4" w:space="0" w:color="0070C0"/>
              <w:right w:val="single" w:sz="4" w:space="0" w:color="0070C0"/>
            </w:tcBorders>
          </w:tcPr>
          <w:p w14:paraId="35BFFCD4" w14:textId="77777777" w:rsidR="00182609" w:rsidRPr="00B7760C" w:rsidRDefault="00182609" w:rsidP="009D3E2B">
            <w:pPr>
              <w:widowControl/>
              <w:spacing w:before="120" w:after="120" w:line="276" w:lineRule="auto"/>
              <w:rPr>
                <w:rFonts w:asciiTheme="minorHAnsi" w:hAnsiTheme="minorHAnsi" w:cstheme="minorHAnsi"/>
                <w:sz w:val="18"/>
                <w:szCs w:val="18"/>
              </w:rPr>
            </w:pPr>
            <w:r w:rsidRPr="00B7760C">
              <w:rPr>
                <w:rFonts w:asciiTheme="minorHAnsi" w:hAnsiTheme="minorHAnsi" w:cstheme="minorHAnsi"/>
                <w:sz w:val="18"/>
                <w:szCs w:val="18"/>
              </w:rPr>
              <w:t xml:space="preserve">R.1 </w:t>
            </w:r>
            <w:r w:rsidRPr="00B7760C">
              <w:rPr>
                <w:rFonts w:asciiTheme="minorHAnsi" w:hAnsiTheme="minorHAnsi" w:cstheme="minorHAnsi"/>
                <w:bCs/>
                <w:sz w:val="18"/>
                <w:szCs w:val="18"/>
              </w:rPr>
              <w:t>Izboljšanje uspešnosti s pomočjo znanja in inovacij:</w:t>
            </w:r>
            <w:r w:rsidRPr="00B7760C">
              <w:rPr>
                <w:rFonts w:asciiTheme="minorHAnsi" w:hAnsiTheme="minorHAnsi" w:cstheme="minorHAnsi"/>
                <w:sz w:val="18"/>
                <w:szCs w:val="18"/>
              </w:rPr>
              <w:t xml:space="preserve"> delež kmetov, ki prejemajo podporo za svetovanje, usposabljanje, izmenjavo znanja ali sodelovanje v operativnih skupinah za povečanje uspešnosti na področju gospodarstva, okolja, podnebja in učinkovite rabe virov</w:t>
            </w:r>
          </w:p>
        </w:tc>
        <w:tc>
          <w:tcPr>
            <w:tcW w:w="230" w:type="dxa"/>
            <w:tcBorders>
              <w:left w:val="single" w:sz="4" w:space="0" w:color="0070C0"/>
              <w:right w:val="single" w:sz="4" w:space="0" w:color="0070C0"/>
            </w:tcBorders>
          </w:tcPr>
          <w:p w14:paraId="21533127" w14:textId="77777777" w:rsidR="00182609" w:rsidRPr="00B7760C" w:rsidRDefault="00182609" w:rsidP="009D3E2B">
            <w:pPr>
              <w:widowControl/>
              <w:spacing w:before="120" w:after="120" w:line="276" w:lineRule="auto"/>
              <w:rPr>
                <w:rFonts w:asciiTheme="minorHAnsi" w:hAnsiTheme="minorHAnsi" w:cstheme="minorHAnsi"/>
                <w:sz w:val="18"/>
                <w:szCs w:val="18"/>
                <w:lang w:eastAsia="fr-BE"/>
              </w:rPr>
            </w:pPr>
          </w:p>
        </w:tc>
        <w:tc>
          <w:tcPr>
            <w:tcW w:w="1711" w:type="dxa"/>
            <w:tcBorders>
              <w:top w:val="single" w:sz="4" w:space="0" w:color="0070C0"/>
              <w:left w:val="single" w:sz="4" w:space="0" w:color="0070C0"/>
              <w:right w:val="single" w:sz="4" w:space="0" w:color="0070C0"/>
            </w:tcBorders>
          </w:tcPr>
          <w:p w14:paraId="0F915A5F" w14:textId="77777777" w:rsidR="00182609" w:rsidRPr="00B7760C" w:rsidRDefault="00182609" w:rsidP="009D3E2B">
            <w:pPr>
              <w:widowControl/>
              <w:spacing w:before="120" w:after="120"/>
              <w:rPr>
                <w:rFonts w:asciiTheme="minorHAnsi" w:hAnsiTheme="minorHAnsi" w:cstheme="minorHAnsi"/>
                <w:b/>
                <w:bCs/>
                <w:color w:val="000000"/>
                <w:sz w:val="18"/>
                <w:szCs w:val="18"/>
              </w:rPr>
            </w:pPr>
            <w:r w:rsidRPr="00B7760C">
              <w:rPr>
                <w:rFonts w:asciiTheme="minorHAnsi" w:hAnsiTheme="minorHAnsi" w:cstheme="minorHAnsi"/>
                <w:b/>
                <w:bCs/>
                <w:color w:val="000000"/>
                <w:sz w:val="18"/>
                <w:szCs w:val="18"/>
              </w:rPr>
              <w:t>Evropsko inovacijsko partnerstvo (EIP)** za sistem znanja in inovacij v kmetijstvu</w:t>
            </w:r>
          </w:p>
        </w:tc>
        <w:tc>
          <w:tcPr>
            <w:tcW w:w="3264" w:type="dxa"/>
            <w:tcBorders>
              <w:top w:val="single" w:sz="4" w:space="0" w:color="0070C0"/>
              <w:left w:val="single" w:sz="4" w:space="0" w:color="0070C0"/>
              <w:right w:val="single" w:sz="4" w:space="0" w:color="0070C0"/>
            </w:tcBorders>
          </w:tcPr>
          <w:p w14:paraId="5644A0A3" w14:textId="77777777" w:rsidR="00182609" w:rsidRPr="00B7760C" w:rsidRDefault="00182609" w:rsidP="009D3E2B">
            <w:pPr>
              <w:widowControl/>
              <w:spacing w:before="120" w:after="120"/>
              <w:rPr>
                <w:rFonts w:asciiTheme="minorHAnsi" w:hAnsiTheme="minorHAnsi" w:cstheme="minorHAnsi"/>
                <w:color w:val="000000"/>
                <w:sz w:val="18"/>
                <w:szCs w:val="18"/>
              </w:rPr>
            </w:pPr>
            <w:r w:rsidRPr="00B7760C">
              <w:rPr>
                <w:rFonts w:asciiTheme="minorHAnsi" w:hAnsiTheme="minorHAnsi" w:cstheme="minorHAnsi"/>
                <w:color w:val="000000"/>
                <w:sz w:val="18"/>
                <w:szCs w:val="18"/>
              </w:rPr>
              <w:t>O.1 Število operativnih skupin EIP</w:t>
            </w:r>
          </w:p>
        </w:tc>
      </w:tr>
      <w:tr w:rsidR="00182609" w:rsidRPr="00B7760C" w14:paraId="554EF453" w14:textId="77777777" w:rsidTr="00A35DEB">
        <w:trPr>
          <w:trHeight w:val="669"/>
        </w:trPr>
        <w:tc>
          <w:tcPr>
            <w:tcW w:w="2312" w:type="dxa"/>
            <w:vMerge/>
            <w:tcBorders>
              <w:left w:val="single" w:sz="4" w:space="0" w:color="0070C0"/>
              <w:right w:val="single" w:sz="4" w:space="0" w:color="0070C0"/>
            </w:tcBorders>
            <w:noWrap/>
          </w:tcPr>
          <w:p w14:paraId="491F137C" w14:textId="77777777" w:rsidR="00182609" w:rsidRPr="00B7760C" w:rsidRDefault="00182609" w:rsidP="009D3E2B">
            <w:pPr>
              <w:widowControl/>
              <w:spacing w:before="120" w:after="120" w:line="276" w:lineRule="auto"/>
              <w:ind w:left="64"/>
              <w:rPr>
                <w:rFonts w:asciiTheme="minorHAnsi" w:hAnsiTheme="minorHAnsi" w:cstheme="minorHAnsi"/>
                <w:b/>
                <w:bCs/>
                <w:sz w:val="18"/>
                <w:szCs w:val="18"/>
                <w:lang w:eastAsia="fr-BE"/>
              </w:rPr>
            </w:pPr>
          </w:p>
        </w:tc>
        <w:tc>
          <w:tcPr>
            <w:tcW w:w="3265" w:type="dxa"/>
            <w:tcBorders>
              <w:left w:val="single" w:sz="4" w:space="0" w:color="0070C0"/>
              <w:right w:val="single" w:sz="4" w:space="0" w:color="0070C0"/>
            </w:tcBorders>
            <w:noWrap/>
          </w:tcPr>
          <w:p w14:paraId="483B69E4" w14:textId="77777777" w:rsidR="00182609" w:rsidRPr="00B7760C" w:rsidRDefault="00182609" w:rsidP="009D3E2B">
            <w:pPr>
              <w:widowControl/>
              <w:spacing w:before="120" w:after="120" w:line="276" w:lineRule="auto"/>
              <w:ind w:left="64"/>
              <w:rPr>
                <w:rFonts w:asciiTheme="minorHAnsi" w:hAnsiTheme="minorHAnsi" w:cstheme="minorHAnsi"/>
                <w:b/>
                <w:bCs/>
                <w:sz w:val="18"/>
                <w:szCs w:val="18"/>
                <w:lang w:eastAsia="fr-BE"/>
              </w:rPr>
            </w:pPr>
          </w:p>
        </w:tc>
        <w:tc>
          <w:tcPr>
            <w:tcW w:w="4590" w:type="dxa"/>
            <w:tcBorders>
              <w:left w:val="single" w:sz="4" w:space="0" w:color="0070C0"/>
              <w:right w:val="single" w:sz="4" w:space="0" w:color="0070C0"/>
            </w:tcBorders>
          </w:tcPr>
          <w:p w14:paraId="2A5A349C" w14:textId="77777777" w:rsidR="00182609" w:rsidRPr="00B7760C" w:rsidRDefault="00182609" w:rsidP="009D3E2B">
            <w:pPr>
              <w:widowControl/>
              <w:spacing w:before="120" w:after="120" w:line="276" w:lineRule="auto"/>
              <w:ind w:left="34"/>
              <w:rPr>
                <w:rFonts w:asciiTheme="minorHAnsi" w:hAnsiTheme="minorHAnsi" w:cstheme="minorHAnsi"/>
                <w:iCs/>
                <w:sz w:val="18"/>
                <w:szCs w:val="18"/>
              </w:rPr>
            </w:pPr>
            <w:r w:rsidRPr="00B7760C">
              <w:rPr>
                <w:rFonts w:asciiTheme="minorHAnsi" w:hAnsiTheme="minorHAnsi" w:cstheme="minorHAnsi"/>
                <w:iCs/>
                <w:sz w:val="18"/>
                <w:szCs w:val="18"/>
              </w:rPr>
              <w:t>R.2 Povezovanje sistemov svetovanja in znanja: število svetovalcev v AKIS (v primerjavi s skupnim številom kmetov)</w:t>
            </w:r>
          </w:p>
        </w:tc>
        <w:tc>
          <w:tcPr>
            <w:tcW w:w="230" w:type="dxa"/>
            <w:tcBorders>
              <w:left w:val="single" w:sz="4" w:space="0" w:color="0070C0"/>
              <w:right w:val="single" w:sz="4" w:space="0" w:color="0070C0"/>
            </w:tcBorders>
          </w:tcPr>
          <w:p w14:paraId="61A103E9" w14:textId="77777777" w:rsidR="00182609" w:rsidRPr="00B7760C" w:rsidRDefault="00182609" w:rsidP="009D3E2B">
            <w:pPr>
              <w:widowControl/>
              <w:spacing w:before="120" w:after="120" w:line="276" w:lineRule="auto"/>
              <w:ind w:left="64"/>
              <w:rPr>
                <w:rFonts w:asciiTheme="minorHAnsi" w:hAnsiTheme="minorHAnsi" w:cstheme="minorHAnsi"/>
                <w:b/>
                <w:bCs/>
                <w:sz w:val="18"/>
                <w:szCs w:val="18"/>
                <w:lang w:eastAsia="fr-BE"/>
              </w:rPr>
            </w:pPr>
          </w:p>
        </w:tc>
        <w:tc>
          <w:tcPr>
            <w:tcW w:w="1711" w:type="dxa"/>
            <w:tcBorders>
              <w:left w:val="single" w:sz="4" w:space="0" w:color="0070C0"/>
              <w:right w:val="single" w:sz="4" w:space="0" w:color="0070C0"/>
            </w:tcBorders>
          </w:tcPr>
          <w:p w14:paraId="791FE72B" w14:textId="77777777" w:rsidR="00182609" w:rsidRPr="00B7760C" w:rsidRDefault="00182609" w:rsidP="009D3E2B">
            <w:pPr>
              <w:widowControl/>
              <w:spacing w:before="120" w:after="120"/>
              <w:rPr>
                <w:rFonts w:asciiTheme="minorHAnsi" w:hAnsiTheme="minorHAnsi" w:cstheme="minorHAnsi"/>
                <w:b/>
                <w:bCs/>
                <w:sz w:val="18"/>
                <w:szCs w:val="18"/>
                <w:lang w:eastAsia="fr-BE"/>
              </w:rPr>
            </w:pPr>
          </w:p>
        </w:tc>
        <w:tc>
          <w:tcPr>
            <w:tcW w:w="3264" w:type="dxa"/>
            <w:tcBorders>
              <w:left w:val="single" w:sz="4" w:space="0" w:color="0070C0"/>
              <w:right w:val="single" w:sz="4" w:space="0" w:color="0070C0"/>
            </w:tcBorders>
          </w:tcPr>
          <w:p w14:paraId="57F4618B" w14:textId="77777777" w:rsidR="00182609" w:rsidRPr="00B7760C" w:rsidRDefault="00182609" w:rsidP="009D3E2B">
            <w:pPr>
              <w:widowControl/>
              <w:spacing w:before="120" w:after="120"/>
              <w:rPr>
                <w:rFonts w:asciiTheme="minorHAnsi" w:hAnsiTheme="minorHAnsi" w:cstheme="minorHAnsi"/>
                <w:color w:val="000000"/>
                <w:sz w:val="18"/>
                <w:szCs w:val="18"/>
              </w:rPr>
            </w:pPr>
            <w:r w:rsidRPr="00B7760C">
              <w:rPr>
                <w:rFonts w:asciiTheme="minorHAnsi" w:hAnsiTheme="minorHAnsi" w:cstheme="minorHAnsi"/>
                <w:color w:val="000000"/>
                <w:sz w:val="18"/>
                <w:szCs w:val="18"/>
              </w:rPr>
              <w:t>O.2 Število svetovalcev, ki se vzpostavijo ali sodelujejo pri operativnih skupinah EIP</w:t>
            </w:r>
          </w:p>
        </w:tc>
      </w:tr>
      <w:tr w:rsidR="00182609" w:rsidRPr="00B7760C" w14:paraId="5462143B" w14:textId="77777777" w:rsidTr="00A35DEB">
        <w:trPr>
          <w:trHeight w:val="422"/>
        </w:trPr>
        <w:tc>
          <w:tcPr>
            <w:tcW w:w="2312" w:type="dxa"/>
            <w:tcBorders>
              <w:left w:val="single" w:sz="4" w:space="0" w:color="0070C0"/>
              <w:bottom w:val="single" w:sz="4" w:space="0" w:color="0070C0"/>
              <w:right w:val="single" w:sz="4" w:space="0" w:color="0070C0"/>
            </w:tcBorders>
            <w:noWrap/>
          </w:tcPr>
          <w:p w14:paraId="51000465" w14:textId="77777777" w:rsidR="00182609" w:rsidRPr="00B7760C" w:rsidRDefault="00182609" w:rsidP="009D3E2B">
            <w:pPr>
              <w:widowControl/>
              <w:spacing w:before="120" w:after="120" w:line="276" w:lineRule="auto"/>
              <w:ind w:left="64"/>
              <w:rPr>
                <w:rFonts w:asciiTheme="minorHAnsi" w:hAnsiTheme="minorHAnsi" w:cstheme="minorHAnsi"/>
                <w:b/>
                <w:bCs/>
                <w:sz w:val="18"/>
                <w:szCs w:val="18"/>
                <w:lang w:eastAsia="fr-BE"/>
              </w:rPr>
            </w:pPr>
          </w:p>
        </w:tc>
        <w:tc>
          <w:tcPr>
            <w:tcW w:w="3265" w:type="dxa"/>
            <w:tcBorders>
              <w:left w:val="single" w:sz="4" w:space="0" w:color="0070C0"/>
              <w:bottom w:val="single" w:sz="4" w:space="0" w:color="0070C0"/>
              <w:right w:val="single" w:sz="4" w:space="0" w:color="0070C0"/>
            </w:tcBorders>
            <w:noWrap/>
          </w:tcPr>
          <w:p w14:paraId="08B57448" w14:textId="77777777" w:rsidR="00182609" w:rsidRPr="00B7760C" w:rsidRDefault="00182609" w:rsidP="009D3E2B">
            <w:pPr>
              <w:widowControl/>
              <w:spacing w:before="120" w:after="120" w:line="276" w:lineRule="auto"/>
              <w:ind w:left="64"/>
              <w:rPr>
                <w:rFonts w:asciiTheme="minorHAnsi" w:hAnsiTheme="minorHAnsi" w:cstheme="minorHAnsi"/>
                <w:b/>
                <w:bCs/>
                <w:sz w:val="18"/>
                <w:szCs w:val="18"/>
                <w:lang w:eastAsia="fr-BE"/>
              </w:rPr>
            </w:pPr>
          </w:p>
        </w:tc>
        <w:tc>
          <w:tcPr>
            <w:tcW w:w="4590" w:type="dxa"/>
            <w:tcBorders>
              <w:left w:val="single" w:sz="4" w:space="0" w:color="0070C0"/>
              <w:bottom w:val="single" w:sz="4" w:space="0" w:color="0070C0"/>
              <w:right w:val="single" w:sz="4" w:space="0" w:color="0070C0"/>
            </w:tcBorders>
          </w:tcPr>
          <w:p w14:paraId="343A9C9D" w14:textId="77777777" w:rsidR="00182609" w:rsidRPr="00B7760C" w:rsidRDefault="00182609" w:rsidP="009D3E2B">
            <w:pPr>
              <w:widowControl/>
              <w:spacing w:before="120" w:after="120" w:line="276" w:lineRule="auto"/>
              <w:ind w:left="34"/>
              <w:rPr>
                <w:rFonts w:asciiTheme="minorHAnsi" w:hAnsiTheme="minorHAnsi" w:cstheme="minorHAnsi"/>
                <w:b/>
                <w:iCs/>
                <w:sz w:val="18"/>
                <w:szCs w:val="18"/>
              </w:rPr>
            </w:pPr>
            <w:r w:rsidRPr="00B7760C">
              <w:rPr>
                <w:rFonts w:asciiTheme="minorHAnsi" w:hAnsiTheme="minorHAnsi" w:cstheme="minorHAnsi"/>
                <w:color w:val="000000"/>
                <w:sz w:val="18"/>
                <w:szCs w:val="18"/>
              </w:rPr>
              <w:t xml:space="preserve">R.3 </w:t>
            </w:r>
            <w:r w:rsidRPr="00B7760C">
              <w:rPr>
                <w:rFonts w:asciiTheme="minorHAnsi" w:hAnsiTheme="minorHAnsi" w:cstheme="minorHAnsi"/>
                <w:bCs/>
                <w:color w:val="000000"/>
                <w:sz w:val="18"/>
                <w:szCs w:val="18"/>
              </w:rPr>
              <w:t>Digitalizacija kmetijstva:</w:t>
            </w:r>
            <w:r w:rsidRPr="00B7760C">
              <w:rPr>
                <w:rFonts w:asciiTheme="minorHAnsi" w:hAnsiTheme="minorHAnsi" w:cstheme="minorHAnsi"/>
                <w:color w:val="000000"/>
                <w:sz w:val="18"/>
                <w:szCs w:val="18"/>
              </w:rPr>
              <w:t xml:space="preserve"> delež kmetov, ki iz SKP prejemajo podporo za tehnologijo preciznega kmetijstva</w:t>
            </w:r>
          </w:p>
        </w:tc>
        <w:tc>
          <w:tcPr>
            <w:tcW w:w="230" w:type="dxa"/>
            <w:tcBorders>
              <w:left w:val="single" w:sz="4" w:space="0" w:color="0070C0"/>
              <w:right w:val="single" w:sz="4" w:space="0" w:color="0070C0"/>
            </w:tcBorders>
          </w:tcPr>
          <w:p w14:paraId="4796FE30" w14:textId="77777777" w:rsidR="00182609" w:rsidRPr="00B7760C" w:rsidRDefault="00182609" w:rsidP="009D3E2B">
            <w:pPr>
              <w:widowControl/>
              <w:spacing w:before="120" w:after="120" w:line="276" w:lineRule="auto"/>
              <w:ind w:left="64"/>
              <w:rPr>
                <w:rFonts w:asciiTheme="minorHAnsi" w:hAnsiTheme="minorHAnsi" w:cstheme="minorHAnsi"/>
                <w:b/>
                <w:bCs/>
                <w:sz w:val="18"/>
                <w:szCs w:val="18"/>
                <w:lang w:eastAsia="fr-BE"/>
              </w:rPr>
            </w:pPr>
          </w:p>
        </w:tc>
        <w:tc>
          <w:tcPr>
            <w:tcW w:w="1711" w:type="dxa"/>
            <w:tcBorders>
              <w:left w:val="single" w:sz="4" w:space="0" w:color="0070C0"/>
              <w:bottom w:val="single" w:sz="4" w:space="0" w:color="0070C0"/>
              <w:right w:val="single" w:sz="4" w:space="0" w:color="0070C0"/>
            </w:tcBorders>
          </w:tcPr>
          <w:p w14:paraId="06A25866" w14:textId="77777777" w:rsidR="00182609" w:rsidRPr="00B7760C" w:rsidRDefault="00182609" w:rsidP="009D3E2B">
            <w:pPr>
              <w:widowControl/>
              <w:spacing w:before="120" w:after="120"/>
              <w:rPr>
                <w:rFonts w:asciiTheme="minorHAnsi" w:hAnsiTheme="minorHAnsi" w:cstheme="minorHAnsi"/>
                <w:b/>
                <w:bCs/>
                <w:sz w:val="18"/>
                <w:szCs w:val="18"/>
                <w:lang w:eastAsia="fr-BE"/>
              </w:rPr>
            </w:pPr>
          </w:p>
        </w:tc>
        <w:tc>
          <w:tcPr>
            <w:tcW w:w="3264" w:type="dxa"/>
            <w:tcBorders>
              <w:left w:val="single" w:sz="4" w:space="0" w:color="0070C0"/>
              <w:bottom w:val="single" w:sz="4" w:space="0" w:color="0070C0"/>
              <w:right w:val="single" w:sz="4" w:space="0" w:color="0070C0"/>
            </w:tcBorders>
          </w:tcPr>
          <w:p w14:paraId="1D25F62E" w14:textId="77777777" w:rsidR="00182609" w:rsidRPr="00B7760C" w:rsidRDefault="00182609" w:rsidP="009D3E2B">
            <w:pPr>
              <w:widowControl/>
              <w:spacing w:before="120" w:after="120"/>
              <w:rPr>
                <w:rFonts w:asciiTheme="minorHAnsi" w:hAnsiTheme="minorHAnsi" w:cstheme="minorHAnsi"/>
                <w:color w:val="000000"/>
                <w:sz w:val="18"/>
                <w:szCs w:val="18"/>
                <w:lang w:eastAsia="fr-BE"/>
              </w:rPr>
            </w:pPr>
          </w:p>
        </w:tc>
      </w:tr>
    </w:tbl>
    <w:p w14:paraId="51AF0D40" w14:textId="77777777" w:rsidR="00182609" w:rsidRPr="00B7760C" w:rsidRDefault="00182609" w:rsidP="009D3E2B">
      <w:pPr>
        <w:widowControl/>
        <w:spacing w:before="120" w:after="120"/>
        <w:rPr>
          <w:rFonts w:asciiTheme="minorHAnsi" w:eastAsia="Calibri" w:hAnsiTheme="minorHAnsi" w:cstheme="minorHAnsi"/>
          <w:szCs w:val="22"/>
        </w:rPr>
      </w:pPr>
      <w:r w:rsidRPr="00B7760C">
        <w:rPr>
          <w:rFonts w:asciiTheme="minorHAnsi" w:hAnsiTheme="minorHAnsi" w:cstheme="minorHAnsi"/>
        </w:rPr>
        <w:br/>
      </w:r>
    </w:p>
    <w:tbl>
      <w:tblPr>
        <w:tblStyle w:val="TableGridLight1"/>
        <w:tblW w:w="15133"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7"/>
        <w:gridCol w:w="3213"/>
        <w:gridCol w:w="4549"/>
        <w:gridCol w:w="236"/>
        <w:gridCol w:w="1648"/>
        <w:gridCol w:w="3210"/>
      </w:tblGrid>
      <w:tr w:rsidR="00182609" w:rsidRPr="00B7760C" w14:paraId="1F7E34A0" w14:textId="77777777" w:rsidTr="00A35DEB">
        <w:trPr>
          <w:cantSplit/>
          <w:trHeight w:val="391"/>
          <w:tblHeader/>
        </w:trPr>
        <w:tc>
          <w:tcPr>
            <w:tcW w:w="2277" w:type="dxa"/>
            <w:tcBorders>
              <w:top w:val="single" w:sz="4" w:space="0" w:color="0070C0"/>
              <w:left w:val="single" w:sz="4" w:space="0" w:color="0070C0"/>
              <w:bottom w:val="single" w:sz="4" w:space="0" w:color="0070C0"/>
              <w:right w:val="single" w:sz="4" w:space="0" w:color="0070C0"/>
            </w:tcBorders>
            <w:shd w:val="clear" w:color="auto" w:fill="auto"/>
            <w:noWrap/>
          </w:tcPr>
          <w:p w14:paraId="439C26B8" w14:textId="77777777" w:rsidR="00182609" w:rsidRPr="00B7760C" w:rsidRDefault="00182609" w:rsidP="009D3E2B">
            <w:pPr>
              <w:widowControl/>
              <w:spacing w:before="120" w:after="120" w:line="276" w:lineRule="auto"/>
              <w:ind w:left="64"/>
              <w:rPr>
                <w:rFonts w:asciiTheme="minorHAnsi" w:hAnsiTheme="minorHAnsi" w:cstheme="minorHAnsi"/>
                <w:bCs/>
                <w:sz w:val="18"/>
                <w:szCs w:val="18"/>
              </w:rPr>
            </w:pPr>
            <w:r w:rsidRPr="00B7760C">
              <w:rPr>
                <w:rFonts w:asciiTheme="minorHAnsi" w:hAnsiTheme="minorHAnsi" w:cstheme="minorHAnsi"/>
              </w:rPr>
              <w:br w:type="page"/>
            </w:r>
            <w:bookmarkStart w:id="13" w:name="OLE_LINK1"/>
            <w:bookmarkStart w:id="14" w:name="OLE_LINK2"/>
            <w:r w:rsidRPr="00B7760C">
              <w:rPr>
                <w:rFonts w:asciiTheme="minorHAnsi" w:hAnsiTheme="minorHAnsi" w:cstheme="minorHAnsi"/>
                <w:bCs/>
                <w:sz w:val="18"/>
                <w:szCs w:val="18"/>
              </w:rPr>
              <w:t>Specifični cilji EU</w:t>
            </w:r>
          </w:p>
        </w:tc>
        <w:tc>
          <w:tcPr>
            <w:tcW w:w="3215" w:type="dxa"/>
            <w:tcBorders>
              <w:top w:val="single" w:sz="4" w:space="0" w:color="0070C0"/>
              <w:left w:val="single" w:sz="4" w:space="0" w:color="0070C0"/>
              <w:bottom w:val="single" w:sz="4" w:space="0" w:color="0070C0"/>
              <w:right w:val="single" w:sz="4" w:space="0" w:color="0070C0"/>
            </w:tcBorders>
            <w:shd w:val="clear" w:color="auto" w:fill="auto"/>
            <w:noWrap/>
          </w:tcPr>
          <w:p w14:paraId="58862BD9" w14:textId="77777777" w:rsidR="00182609" w:rsidRPr="00B7760C" w:rsidRDefault="00182609" w:rsidP="009D3E2B">
            <w:pPr>
              <w:widowControl/>
              <w:spacing w:before="120" w:after="120" w:line="276" w:lineRule="auto"/>
              <w:ind w:left="64"/>
              <w:rPr>
                <w:rFonts w:asciiTheme="minorHAnsi" w:hAnsiTheme="minorHAnsi" w:cstheme="minorHAnsi"/>
                <w:bCs/>
                <w:sz w:val="18"/>
                <w:szCs w:val="18"/>
              </w:rPr>
            </w:pPr>
            <w:r w:rsidRPr="00B7760C">
              <w:rPr>
                <w:rFonts w:asciiTheme="minorHAnsi" w:hAnsiTheme="minorHAnsi" w:cstheme="minorHAnsi"/>
                <w:bCs/>
                <w:sz w:val="18"/>
                <w:szCs w:val="18"/>
              </w:rPr>
              <w:t>Kazalniki učinka</w:t>
            </w:r>
          </w:p>
        </w:tc>
        <w:tc>
          <w:tcPr>
            <w:tcW w:w="4552" w:type="dxa"/>
            <w:tcBorders>
              <w:top w:val="single" w:sz="4" w:space="0" w:color="0070C0"/>
              <w:left w:val="single" w:sz="4" w:space="0" w:color="0070C0"/>
              <w:bottom w:val="single" w:sz="4" w:space="0" w:color="0070C0"/>
              <w:right w:val="single" w:sz="4" w:space="0" w:color="0070C0"/>
            </w:tcBorders>
            <w:shd w:val="clear" w:color="auto" w:fill="auto"/>
          </w:tcPr>
          <w:p w14:paraId="2E4CF6DB" w14:textId="77777777" w:rsidR="00182609" w:rsidRPr="00B7760C" w:rsidRDefault="00182609" w:rsidP="009D3E2B">
            <w:pPr>
              <w:widowControl/>
              <w:spacing w:before="120" w:after="120" w:line="276" w:lineRule="auto"/>
              <w:ind w:left="64"/>
              <w:rPr>
                <w:rFonts w:asciiTheme="minorHAnsi" w:hAnsiTheme="minorHAnsi" w:cstheme="minorHAnsi"/>
                <w:bCs/>
                <w:sz w:val="18"/>
                <w:szCs w:val="18"/>
              </w:rPr>
            </w:pPr>
            <w:r w:rsidRPr="00B7760C">
              <w:rPr>
                <w:rFonts w:asciiTheme="minorHAnsi" w:hAnsiTheme="minorHAnsi" w:cstheme="minorHAnsi"/>
                <w:bCs/>
                <w:sz w:val="18"/>
                <w:szCs w:val="18"/>
              </w:rPr>
              <w:t>Kazalniki rezultatov</w:t>
            </w:r>
          </w:p>
          <w:p w14:paraId="59A6ECEC" w14:textId="77777777" w:rsidR="00182609" w:rsidRPr="00B7760C" w:rsidRDefault="00182609" w:rsidP="009D3E2B">
            <w:pPr>
              <w:widowControl/>
              <w:spacing w:before="120" w:after="120" w:line="276" w:lineRule="auto"/>
              <w:ind w:left="64"/>
              <w:rPr>
                <w:rFonts w:asciiTheme="minorHAnsi" w:hAnsiTheme="minorHAnsi" w:cstheme="minorHAnsi"/>
                <w:bCs/>
                <w:sz w:val="18"/>
                <w:szCs w:val="18"/>
              </w:rPr>
            </w:pPr>
            <w:r w:rsidRPr="00B7760C">
              <w:rPr>
                <w:rFonts w:asciiTheme="minorHAnsi" w:hAnsiTheme="minorHAnsi" w:cstheme="minorHAnsi"/>
                <w:bCs/>
                <w:sz w:val="18"/>
                <w:szCs w:val="18"/>
              </w:rPr>
              <w:t>(samo na podlagi intervencij, ki jih podpira SKP)</w:t>
            </w:r>
          </w:p>
        </w:tc>
        <w:tc>
          <w:tcPr>
            <w:tcW w:w="228" w:type="dxa"/>
            <w:tcBorders>
              <w:left w:val="single" w:sz="4" w:space="0" w:color="0070C0"/>
              <w:right w:val="single" w:sz="4" w:space="0" w:color="0070C0"/>
            </w:tcBorders>
            <w:shd w:val="clear" w:color="auto" w:fill="auto"/>
          </w:tcPr>
          <w:p w14:paraId="73DC10DE" w14:textId="77777777" w:rsidR="00182609" w:rsidRPr="00B7760C" w:rsidRDefault="00182609" w:rsidP="009D3E2B">
            <w:pPr>
              <w:widowControl/>
              <w:spacing w:before="120" w:after="120" w:line="276" w:lineRule="auto"/>
              <w:ind w:left="64"/>
              <w:rPr>
                <w:rFonts w:asciiTheme="minorHAnsi" w:hAnsiTheme="minorHAnsi" w:cstheme="minorHAnsi"/>
                <w:bCs/>
                <w:sz w:val="18"/>
                <w:szCs w:val="18"/>
                <w:lang w:eastAsia="fr-BE"/>
              </w:rPr>
            </w:pPr>
          </w:p>
        </w:tc>
        <w:tc>
          <w:tcPr>
            <w:tcW w:w="1649" w:type="dxa"/>
            <w:tcBorders>
              <w:top w:val="single" w:sz="4" w:space="0" w:color="0070C0"/>
              <w:left w:val="single" w:sz="4" w:space="0" w:color="0070C0"/>
              <w:bottom w:val="single" w:sz="4" w:space="0" w:color="0070C0"/>
              <w:right w:val="single" w:sz="4" w:space="0" w:color="0070C0"/>
            </w:tcBorders>
            <w:shd w:val="clear" w:color="auto" w:fill="auto"/>
          </w:tcPr>
          <w:p w14:paraId="5C800D82" w14:textId="77777777" w:rsidR="00182609" w:rsidRPr="00B7760C" w:rsidRDefault="00182609" w:rsidP="009D3E2B">
            <w:pPr>
              <w:widowControl/>
              <w:spacing w:before="120" w:after="120"/>
              <w:rPr>
                <w:rFonts w:asciiTheme="minorHAnsi" w:hAnsiTheme="minorHAnsi" w:cstheme="minorHAnsi"/>
                <w:bCs/>
                <w:sz w:val="18"/>
                <w:szCs w:val="18"/>
              </w:rPr>
            </w:pPr>
            <w:r w:rsidRPr="00B7760C">
              <w:rPr>
                <w:rFonts w:asciiTheme="minorHAnsi" w:hAnsiTheme="minorHAnsi" w:cstheme="minorHAnsi"/>
                <w:bCs/>
                <w:sz w:val="18"/>
                <w:szCs w:val="18"/>
              </w:rPr>
              <w:t>Široka vrsta intervencije</w:t>
            </w:r>
          </w:p>
        </w:tc>
        <w:tc>
          <w:tcPr>
            <w:tcW w:w="3212" w:type="dxa"/>
            <w:tcBorders>
              <w:top w:val="single" w:sz="4" w:space="0" w:color="0070C0"/>
              <w:left w:val="single" w:sz="4" w:space="0" w:color="0070C0"/>
              <w:bottom w:val="single" w:sz="4" w:space="0" w:color="0070C0"/>
              <w:right w:val="single" w:sz="4" w:space="0" w:color="0070C0"/>
            </w:tcBorders>
            <w:shd w:val="clear" w:color="auto" w:fill="auto"/>
          </w:tcPr>
          <w:p w14:paraId="37930D9E" w14:textId="77777777" w:rsidR="00182609" w:rsidRPr="00B7760C" w:rsidRDefault="00182609" w:rsidP="009D3E2B">
            <w:pPr>
              <w:widowControl/>
              <w:spacing w:before="120" w:after="120"/>
              <w:rPr>
                <w:rFonts w:asciiTheme="minorHAnsi" w:hAnsiTheme="minorHAnsi" w:cstheme="minorHAnsi"/>
                <w:bCs/>
                <w:sz w:val="18"/>
                <w:szCs w:val="18"/>
              </w:rPr>
            </w:pPr>
            <w:r w:rsidRPr="00B7760C">
              <w:rPr>
                <w:rFonts w:asciiTheme="minorHAnsi" w:hAnsiTheme="minorHAnsi" w:cstheme="minorHAnsi"/>
                <w:bCs/>
                <w:sz w:val="18"/>
                <w:szCs w:val="18"/>
              </w:rPr>
              <w:t>Kazalniki izložkov (na intervencijo)</w:t>
            </w:r>
          </w:p>
        </w:tc>
      </w:tr>
      <w:tr w:rsidR="00182609" w:rsidRPr="00B7760C" w14:paraId="56237233" w14:textId="77777777" w:rsidTr="00A35DEB">
        <w:trPr>
          <w:trHeight w:val="599"/>
        </w:trPr>
        <w:tc>
          <w:tcPr>
            <w:tcW w:w="2277" w:type="dxa"/>
            <w:vMerge w:val="restart"/>
            <w:tcBorders>
              <w:top w:val="single" w:sz="4" w:space="0" w:color="0070C0"/>
              <w:left w:val="single" w:sz="4" w:space="0" w:color="0070C0"/>
              <w:right w:val="single" w:sz="4" w:space="0" w:color="0070C0"/>
            </w:tcBorders>
            <w:vAlign w:val="center"/>
            <w:hideMark/>
          </w:tcPr>
          <w:p w14:paraId="47B5A9E1" w14:textId="77777777" w:rsidR="00182609" w:rsidRPr="00B7760C" w:rsidRDefault="00182609" w:rsidP="009D3E2B">
            <w:pPr>
              <w:widowControl/>
              <w:spacing w:before="120" w:after="120" w:line="276" w:lineRule="auto"/>
              <w:rPr>
                <w:rFonts w:asciiTheme="minorHAnsi" w:hAnsiTheme="minorHAnsi" w:cstheme="minorHAnsi"/>
                <w:b/>
                <w:bCs/>
                <w:color w:val="000000"/>
                <w:sz w:val="18"/>
                <w:szCs w:val="18"/>
              </w:rPr>
            </w:pPr>
            <w:r w:rsidRPr="00B7760C">
              <w:rPr>
                <w:rFonts w:asciiTheme="minorHAnsi" w:hAnsiTheme="minorHAnsi" w:cstheme="minorHAnsi"/>
                <w:b/>
                <w:bCs/>
                <w:color w:val="000000"/>
                <w:sz w:val="18"/>
                <w:szCs w:val="18"/>
              </w:rPr>
              <w:t>Podpora vzdržnim dohodkom kmetij in odpornosti po vsej Uniji za povečanje prehranske varnosti</w:t>
            </w:r>
          </w:p>
        </w:tc>
        <w:tc>
          <w:tcPr>
            <w:tcW w:w="3215" w:type="dxa"/>
            <w:tcBorders>
              <w:top w:val="single" w:sz="4" w:space="0" w:color="0070C0"/>
              <w:left w:val="single" w:sz="4" w:space="0" w:color="0070C0"/>
              <w:right w:val="single" w:sz="4" w:space="0" w:color="0070C0"/>
            </w:tcBorders>
            <w:hideMark/>
          </w:tcPr>
          <w:p w14:paraId="1F42E8B8" w14:textId="77777777" w:rsidR="00182609" w:rsidRPr="00B7760C" w:rsidRDefault="00182609" w:rsidP="009D3E2B">
            <w:pPr>
              <w:widowControl/>
              <w:spacing w:before="120" w:after="120" w:line="276" w:lineRule="auto"/>
              <w:rPr>
                <w:rFonts w:asciiTheme="minorHAnsi" w:hAnsiTheme="minorHAnsi" w:cstheme="minorHAnsi"/>
                <w:sz w:val="18"/>
                <w:szCs w:val="18"/>
              </w:rPr>
            </w:pPr>
            <w:r w:rsidRPr="00B7760C">
              <w:rPr>
                <w:rFonts w:asciiTheme="minorHAnsi" w:hAnsiTheme="minorHAnsi" w:cstheme="minorHAnsi"/>
                <w:sz w:val="18"/>
                <w:szCs w:val="18"/>
              </w:rPr>
              <w:t xml:space="preserve">I.2 Zmanjšanje razlik v dohodku: spreminjanje kmetijskega dohodka v primerjavi s splošnim gospodarstvom </w:t>
            </w:r>
          </w:p>
        </w:tc>
        <w:tc>
          <w:tcPr>
            <w:tcW w:w="4552" w:type="dxa"/>
            <w:tcBorders>
              <w:top w:val="single" w:sz="4" w:space="0" w:color="0070C0"/>
              <w:left w:val="single" w:sz="4" w:space="0" w:color="0070C0"/>
              <w:right w:val="single" w:sz="4" w:space="0" w:color="0070C0"/>
            </w:tcBorders>
          </w:tcPr>
          <w:p w14:paraId="64E6955C" w14:textId="77777777" w:rsidR="00182609" w:rsidRPr="00B7760C" w:rsidRDefault="00182609" w:rsidP="009D3E2B">
            <w:pPr>
              <w:widowControl/>
              <w:spacing w:before="120" w:after="120" w:line="276" w:lineRule="auto"/>
              <w:rPr>
                <w:rFonts w:asciiTheme="minorHAnsi" w:hAnsiTheme="minorHAnsi" w:cstheme="minorHAnsi"/>
                <w:sz w:val="18"/>
                <w:szCs w:val="18"/>
              </w:rPr>
            </w:pPr>
            <w:r w:rsidRPr="00B7760C">
              <w:rPr>
                <w:rFonts w:asciiTheme="minorHAnsi" w:hAnsiTheme="minorHAnsi" w:cstheme="minorHAnsi"/>
                <w:sz w:val="18"/>
                <w:szCs w:val="18"/>
              </w:rPr>
              <w:t>R.4 Povezovanje dohodkovne podpore s standardi in dobrimi praksami: delež kmetijskih površin v uporabi, ki jih pokriva dohodkovna podpora in za katere velja pogojenost</w:t>
            </w:r>
          </w:p>
        </w:tc>
        <w:tc>
          <w:tcPr>
            <w:tcW w:w="228" w:type="dxa"/>
            <w:tcBorders>
              <w:left w:val="single" w:sz="4" w:space="0" w:color="0070C0"/>
              <w:right w:val="single" w:sz="4" w:space="0" w:color="0070C0"/>
            </w:tcBorders>
          </w:tcPr>
          <w:p w14:paraId="7CFCE54D" w14:textId="77777777" w:rsidR="00182609" w:rsidRPr="00B7760C" w:rsidRDefault="00182609" w:rsidP="009D3E2B">
            <w:pPr>
              <w:widowControl/>
              <w:spacing w:before="120" w:after="120"/>
              <w:rPr>
                <w:rFonts w:asciiTheme="minorHAnsi" w:hAnsiTheme="minorHAnsi" w:cstheme="minorHAnsi"/>
                <w:color w:val="000000"/>
                <w:sz w:val="18"/>
                <w:szCs w:val="18"/>
                <w:lang w:eastAsia="fr-BE"/>
              </w:rPr>
            </w:pPr>
          </w:p>
        </w:tc>
        <w:tc>
          <w:tcPr>
            <w:tcW w:w="1649" w:type="dxa"/>
            <w:tcBorders>
              <w:top w:val="single" w:sz="4" w:space="0" w:color="0070C0"/>
              <w:left w:val="single" w:sz="4" w:space="0" w:color="0070C0"/>
              <w:bottom w:val="single" w:sz="4" w:space="0" w:color="0070C0"/>
              <w:right w:val="single" w:sz="4" w:space="0" w:color="0070C0"/>
            </w:tcBorders>
          </w:tcPr>
          <w:p w14:paraId="0CF5B6FC" w14:textId="77777777" w:rsidR="00182609" w:rsidRPr="00B7760C" w:rsidRDefault="00182609" w:rsidP="009D3E2B">
            <w:pPr>
              <w:widowControl/>
              <w:spacing w:before="120" w:after="120"/>
              <w:rPr>
                <w:rFonts w:asciiTheme="minorHAnsi" w:hAnsiTheme="minorHAnsi" w:cstheme="minorHAnsi"/>
                <w:b/>
                <w:bCs/>
                <w:color w:val="000000"/>
                <w:sz w:val="18"/>
                <w:szCs w:val="18"/>
              </w:rPr>
            </w:pPr>
            <w:r w:rsidRPr="00B7760C">
              <w:rPr>
                <w:rFonts w:asciiTheme="minorHAnsi" w:hAnsiTheme="minorHAnsi" w:cstheme="minorHAnsi"/>
                <w:b/>
                <w:bCs/>
                <w:color w:val="000000"/>
                <w:sz w:val="18"/>
                <w:szCs w:val="18"/>
              </w:rPr>
              <w:t>Podpora SKP</w:t>
            </w:r>
          </w:p>
        </w:tc>
        <w:tc>
          <w:tcPr>
            <w:tcW w:w="3212" w:type="dxa"/>
            <w:tcBorders>
              <w:top w:val="single" w:sz="4" w:space="0" w:color="0070C0"/>
              <w:left w:val="single" w:sz="4" w:space="0" w:color="0070C0"/>
              <w:bottom w:val="single" w:sz="4" w:space="0" w:color="0070C0"/>
              <w:right w:val="single" w:sz="4" w:space="0" w:color="0070C0"/>
            </w:tcBorders>
          </w:tcPr>
          <w:p w14:paraId="49798656" w14:textId="77777777" w:rsidR="00182609" w:rsidRPr="00B7760C" w:rsidRDefault="00182609" w:rsidP="009D3E2B">
            <w:pPr>
              <w:widowControl/>
              <w:spacing w:before="120" w:after="120"/>
              <w:rPr>
                <w:rFonts w:asciiTheme="minorHAnsi" w:hAnsiTheme="minorHAnsi" w:cstheme="minorHAnsi"/>
                <w:color w:val="000000"/>
                <w:sz w:val="18"/>
                <w:szCs w:val="18"/>
              </w:rPr>
            </w:pPr>
            <w:r w:rsidRPr="00B7760C">
              <w:rPr>
                <w:rFonts w:asciiTheme="minorHAnsi" w:hAnsiTheme="minorHAnsi" w:cstheme="minorHAnsi"/>
                <w:color w:val="000000"/>
                <w:sz w:val="18"/>
                <w:szCs w:val="18"/>
              </w:rPr>
              <w:t>O.3 Število upravičencev do podpore SKP</w:t>
            </w:r>
          </w:p>
        </w:tc>
      </w:tr>
      <w:tr w:rsidR="00182609" w:rsidRPr="00B7760C" w14:paraId="1B349CD3" w14:textId="77777777" w:rsidTr="00A35DEB">
        <w:trPr>
          <w:trHeight w:val="400"/>
        </w:trPr>
        <w:tc>
          <w:tcPr>
            <w:tcW w:w="2277" w:type="dxa"/>
            <w:vMerge/>
            <w:tcBorders>
              <w:left w:val="single" w:sz="4" w:space="0" w:color="0070C0"/>
              <w:right w:val="single" w:sz="4" w:space="0" w:color="0070C0"/>
            </w:tcBorders>
            <w:hideMark/>
          </w:tcPr>
          <w:p w14:paraId="28E0EA04" w14:textId="77777777" w:rsidR="00182609" w:rsidRPr="00B7760C" w:rsidRDefault="00182609" w:rsidP="009D3E2B">
            <w:pPr>
              <w:widowControl/>
              <w:spacing w:before="120" w:after="120" w:line="276" w:lineRule="auto"/>
              <w:rPr>
                <w:rFonts w:asciiTheme="minorHAnsi" w:hAnsiTheme="minorHAnsi" w:cstheme="minorHAnsi"/>
                <w:b/>
                <w:bCs/>
                <w:color w:val="000000"/>
                <w:sz w:val="18"/>
                <w:szCs w:val="18"/>
                <w:lang w:eastAsia="fr-BE"/>
              </w:rPr>
            </w:pPr>
          </w:p>
        </w:tc>
        <w:tc>
          <w:tcPr>
            <w:tcW w:w="3215" w:type="dxa"/>
            <w:tcBorders>
              <w:left w:val="single" w:sz="4" w:space="0" w:color="0070C0"/>
              <w:right w:val="single" w:sz="4" w:space="0" w:color="0070C0"/>
            </w:tcBorders>
            <w:hideMark/>
          </w:tcPr>
          <w:p w14:paraId="577E6CF9" w14:textId="77777777" w:rsidR="00182609" w:rsidRPr="00B7760C" w:rsidRDefault="00182609" w:rsidP="009D3E2B">
            <w:pPr>
              <w:widowControl/>
              <w:spacing w:before="120" w:after="120" w:line="276" w:lineRule="auto"/>
              <w:rPr>
                <w:rFonts w:asciiTheme="minorHAnsi" w:hAnsiTheme="minorHAnsi" w:cstheme="minorHAnsi"/>
                <w:bCs/>
                <w:sz w:val="18"/>
                <w:szCs w:val="18"/>
              </w:rPr>
            </w:pPr>
            <w:r w:rsidRPr="00B7760C">
              <w:rPr>
                <w:rFonts w:asciiTheme="minorHAnsi" w:hAnsiTheme="minorHAnsi" w:cstheme="minorHAnsi"/>
                <w:bCs/>
                <w:sz w:val="18"/>
                <w:szCs w:val="18"/>
              </w:rPr>
              <w:t xml:space="preserve">I.3 </w:t>
            </w:r>
            <w:r w:rsidRPr="00B7760C">
              <w:rPr>
                <w:rFonts w:asciiTheme="minorHAnsi" w:hAnsiTheme="minorHAnsi" w:cstheme="minorHAnsi"/>
                <w:sz w:val="18"/>
                <w:szCs w:val="18"/>
              </w:rPr>
              <w:t>Zmanjšanje variabilnosti dohodkov kmetij:</w:t>
            </w:r>
            <w:r w:rsidRPr="00B7760C">
              <w:rPr>
                <w:rFonts w:asciiTheme="minorHAnsi" w:hAnsiTheme="minorHAnsi" w:cstheme="minorHAnsi"/>
                <w:bCs/>
                <w:sz w:val="18"/>
                <w:szCs w:val="18"/>
              </w:rPr>
              <w:t xml:space="preserve"> </w:t>
            </w:r>
            <w:r w:rsidRPr="00B7760C">
              <w:rPr>
                <w:rFonts w:asciiTheme="minorHAnsi" w:hAnsiTheme="minorHAnsi" w:cstheme="minorHAnsi"/>
                <w:sz w:val="18"/>
                <w:szCs w:val="18"/>
              </w:rPr>
              <w:t xml:space="preserve">spreminjanje kmetijskega dohodka </w:t>
            </w:r>
          </w:p>
        </w:tc>
        <w:tc>
          <w:tcPr>
            <w:tcW w:w="4552" w:type="dxa"/>
            <w:tcBorders>
              <w:left w:val="single" w:sz="4" w:space="0" w:color="0070C0"/>
              <w:right w:val="single" w:sz="4" w:space="0" w:color="0070C0"/>
            </w:tcBorders>
          </w:tcPr>
          <w:p w14:paraId="28277E46" w14:textId="77777777" w:rsidR="00182609" w:rsidRPr="00B7760C" w:rsidRDefault="00182609" w:rsidP="009D3E2B">
            <w:pPr>
              <w:widowControl/>
              <w:spacing w:before="120" w:after="120" w:line="276" w:lineRule="auto"/>
              <w:rPr>
                <w:rFonts w:asciiTheme="minorHAnsi" w:hAnsiTheme="minorHAnsi" w:cstheme="minorHAnsi"/>
                <w:bCs/>
                <w:sz w:val="18"/>
                <w:szCs w:val="18"/>
              </w:rPr>
            </w:pPr>
            <w:r w:rsidRPr="00B7760C">
              <w:rPr>
                <w:rFonts w:asciiTheme="minorHAnsi" w:hAnsiTheme="minorHAnsi" w:cstheme="minorHAnsi"/>
                <w:sz w:val="18"/>
                <w:szCs w:val="18"/>
              </w:rPr>
              <w:t>R.5 Obvladovanje tveganj: delež kmetij z instrumenti SKP za obvladovanje tveganj</w:t>
            </w:r>
          </w:p>
        </w:tc>
        <w:tc>
          <w:tcPr>
            <w:tcW w:w="228" w:type="dxa"/>
            <w:tcBorders>
              <w:left w:val="single" w:sz="4" w:space="0" w:color="0070C0"/>
              <w:right w:val="single" w:sz="4" w:space="0" w:color="0070C0"/>
            </w:tcBorders>
          </w:tcPr>
          <w:p w14:paraId="0E2419E6" w14:textId="77777777" w:rsidR="00182609" w:rsidRPr="00B7760C" w:rsidRDefault="00182609" w:rsidP="009D3E2B">
            <w:pPr>
              <w:widowControl/>
              <w:spacing w:before="120" w:after="120" w:line="276" w:lineRule="auto"/>
              <w:rPr>
                <w:rFonts w:asciiTheme="minorHAnsi" w:hAnsiTheme="minorHAnsi" w:cstheme="minorHAnsi"/>
                <w:sz w:val="18"/>
                <w:szCs w:val="18"/>
                <w:lang w:eastAsia="fr-BE"/>
              </w:rPr>
            </w:pPr>
          </w:p>
        </w:tc>
        <w:tc>
          <w:tcPr>
            <w:tcW w:w="1649" w:type="dxa"/>
            <w:tcBorders>
              <w:top w:val="single" w:sz="4" w:space="0" w:color="0070C0"/>
              <w:left w:val="single" w:sz="4" w:space="0" w:color="0070C0"/>
              <w:right w:val="single" w:sz="4" w:space="0" w:color="0070C0"/>
            </w:tcBorders>
          </w:tcPr>
          <w:p w14:paraId="1A025790" w14:textId="77777777" w:rsidR="00182609" w:rsidRPr="00B7760C" w:rsidRDefault="00182609" w:rsidP="009D3E2B">
            <w:pPr>
              <w:widowControl/>
              <w:spacing w:before="120" w:after="120"/>
              <w:rPr>
                <w:rFonts w:asciiTheme="minorHAnsi" w:hAnsiTheme="minorHAnsi" w:cstheme="minorHAnsi"/>
                <w:b/>
                <w:bCs/>
                <w:color w:val="000000"/>
                <w:sz w:val="18"/>
                <w:szCs w:val="18"/>
              </w:rPr>
            </w:pPr>
            <w:r w:rsidRPr="00B7760C">
              <w:rPr>
                <w:rFonts w:asciiTheme="minorHAnsi" w:hAnsiTheme="minorHAnsi" w:cstheme="minorHAnsi"/>
                <w:b/>
                <w:bCs/>
                <w:color w:val="000000"/>
                <w:sz w:val="18"/>
                <w:szCs w:val="18"/>
              </w:rPr>
              <w:t>Nevezana neposredna podpora</w:t>
            </w:r>
          </w:p>
        </w:tc>
        <w:tc>
          <w:tcPr>
            <w:tcW w:w="3212" w:type="dxa"/>
            <w:tcBorders>
              <w:top w:val="single" w:sz="4" w:space="0" w:color="0070C0"/>
              <w:left w:val="single" w:sz="4" w:space="0" w:color="0070C0"/>
              <w:right w:val="single" w:sz="4" w:space="0" w:color="0070C0"/>
            </w:tcBorders>
          </w:tcPr>
          <w:p w14:paraId="66E5DBF8" w14:textId="77777777" w:rsidR="00182609" w:rsidRPr="00B7760C" w:rsidRDefault="00182609" w:rsidP="009D3E2B">
            <w:pPr>
              <w:widowControl/>
              <w:spacing w:before="120" w:after="120"/>
              <w:rPr>
                <w:rFonts w:asciiTheme="minorHAnsi" w:hAnsiTheme="minorHAnsi" w:cstheme="minorHAnsi"/>
                <w:color w:val="000000"/>
                <w:sz w:val="18"/>
                <w:szCs w:val="18"/>
              </w:rPr>
            </w:pPr>
            <w:r w:rsidRPr="00B7760C">
              <w:rPr>
                <w:rFonts w:asciiTheme="minorHAnsi" w:hAnsiTheme="minorHAnsi" w:cstheme="minorHAnsi"/>
                <w:color w:val="000000"/>
                <w:sz w:val="18"/>
                <w:szCs w:val="18"/>
              </w:rPr>
              <w:t xml:space="preserve">O.4 Število hektarov za nevezana neposredna plačila </w:t>
            </w:r>
          </w:p>
        </w:tc>
      </w:tr>
      <w:tr w:rsidR="00182609" w:rsidRPr="00B7760C" w14:paraId="2F738FC1" w14:textId="77777777" w:rsidTr="00A35DEB">
        <w:trPr>
          <w:trHeight w:val="764"/>
        </w:trPr>
        <w:tc>
          <w:tcPr>
            <w:tcW w:w="2277" w:type="dxa"/>
            <w:vMerge/>
            <w:tcBorders>
              <w:left w:val="single" w:sz="4" w:space="0" w:color="0070C0"/>
              <w:right w:val="single" w:sz="4" w:space="0" w:color="0070C0"/>
            </w:tcBorders>
            <w:hideMark/>
          </w:tcPr>
          <w:p w14:paraId="4C711B6D" w14:textId="77777777" w:rsidR="00182609" w:rsidRPr="00B7760C" w:rsidRDefault="00182609" w:rsidP="009D3E2B">
            <w:pPr>
              <w:widowControl/>
              <w:spacing w:before="120" w:after="120" w:line="276" w:lineRule="auto"/>
              <w:rPr>
                <w:rFonts w:asciiTheme="minorHAnsi" w:hAnsiTheme="minorHAnsi" w:cstheme="minorHAnsi"/>
                <w:b/>
                <w:bCs/>
                <w:color w:val="000000"/>
                <w:sz w:val="18"/>
                <w:szCs w:val="18"/>
                <w:lang w:eastAsia="fr-BE"/>
              </w:rPr>
            </w:pPr>
          </w:p>
        </w:tc>
        <w:tc>
          <w:tcPr>
            <w:tcW w:w="3215" w:type="dxa"/>
            <w:tcBorders>
              <w:left w:val="single" w:sz="4" w:space="0" w:color="0070C0"/>
              <w:right w:val="single" w:sz="4" w:space="0" w:color="0070C0"/>
            </w:tcBorders>
            <w:hideMark/>
          </w:tcPr>
          <w:p w14:paraId="2A35F718" w14:textId="77777777" w:rsidR="00182609" w:rsidRPr="00B7760C" w:rsidRDefault="00182609" w:rsidP="009D3E2B">
            <w:pPr>
              <w:widowControl/>
              <w:spacing w:before="120" w:after="120" w:line="276" w:lineRule="auto"/>
              <w:rPr>
                <w:rFonts w:asciiTheme="minorHAnsi" w:hAnsiTheme="minorHAnsi" w:cstheme="minorHAnsi"/>
                <w:sz w:val="18"/>
                <w:szCs w:val="18"/>
              </w:rPr>
            </w:pPr>
            <w:r w:rsidRPr="00B7760C">
              <w:rPr>
                <w:rFonts w:asciiTheme="minorHAnsi" w:hAnsiTheme="minorHAnsi" w:cstheme="minorHAnsi"/>
                <w:sz w:val="18"/>
                <w:szCs w:val="18"/>
              </w:rPr>
              <w:t xml:space="preserve">I.4 </w:t>
            </w:r>
            <w:r w:rsidRPr="00B7760C">
              <w:rPr>
                <w:rFonts w:asciiTheme="minorHAnsi" w:hAnsiTheme="minorHAnsi" w:cstheme="minorHAnsi"/>
                <w:bCs/>
                <w:sz w:val="18"/>
                <w:szCs w:val="18"/>
              </w:rPr>
              <w:t>Podpora vzdržnim dohodkom kmetij:</w:t>
            </w:r>
            <w:r w:rsidRPr="00B7760C">
              <w:rPr>
                <w:rFonts w:asciiTheme="minorHAnsi" w:hAnsiTheme="minorHAnsi" w:cstheme="minorHAnsi"/>
                <w:sz w:val="18"/>
                <w:szCs w:val="18"/>
              </w:rPr>
              <w:t xml:space="preserve"> spreminjanje ravni kmetijskega dohodka po sektorjih (v primerjavi s povprečjem v kmetijstvu)</w:t>
            </w:r>
          </w:p>
        </w:tc>
        <w:tc>
          <w:tcPr>
            <w:tcW w:w="4552" w:type="dxa"/>
            <w:tcBorders>
              <w:left w:val="single" w:sz="4" w:space="0" w:color="0070C0"/>
              <w:right w:val="single" w:sz="4" w:space="0" w:color="0070C0"/>
            </w:tcBorders>
          </w:tcPr>
          <w:p w14:paraId="73552D08" w14:textId="77777777" w:rsidR="00182609" w:rsidRPr="00B7760C" w:rsidRDefault="00182609" w:rsidP="009D3E2B">
            <w:pPr>
              <w:widowControl/>
              <w:spacing w:before="120" w:after="120" w:line="276" w:lineRule="auto"/>
              <w:rPr>
                <w:rFonts w:asciiTheme="minorHAnsi" w:hAnsiTheme="minorHAnsi" w:cstheme="minorHAnsi"/>
                <w:sz w:val="18"/>
                <w:szCs w:val="18"/>
              </w:rPr>
            </w:pPr>
            <w:r w:rsidRPr="00B7760C">
              <w:rPr>
                <w:rFonts w:asciiTheme="minorHAnsi" w:hAnsiTheme="minorHAnsi" w:cstheme="minorHAnsi"/>
                <w:sz w:val="18"/>
                <w:szCs w:val="18"/>
              </w:rPr>
              <w:t>R.6</w:t>
            </w:r>
            <w:r w:rsidRPr="00B7760C">
              <w:rPr>
                <w:rFonts w:asciiTheme="minorHAnsi" w:hAnsiTheme="minorHAnsi" w:cstheme="minorHAnsi"/>
                <w:bCs/>
                <w:sz w:val="18"/>
                <w:szCs w:val="18"/>
              </w:rPr>
              <w:t xml:space="preserve"> </w:t>
            </w:r>
            <w:r w:rsidRPr="00B7760C">
              <w:rPr>
                <w:rFonts w:asciiTheme="minorHAnsi" w:hAnsiTheme="minorHAnsi" w:cstheme="minorHAnsi"/>
                <w:sz w:val="18"/>
                <w:szCs w:val="18"/>
              </w:rPr>
              <w:t>Prerazporeditev na manjše kmetije: odstotek dodatne podpore na hektar za upravičene kmetije pod povprečno velikostjo kmetije (v primerjavi s povprečjem)</w:t>
            </w:r>
          </w:p>
        </w:tc>
        <w:tc>
          <w:tcPr>
            <w:tcW w:w="228" w:type="dxa"/>
            <w:tcBorders>
              <w:left w:val="single" w:sz="4" w:space="0" w:color="0070C0"/>
              <w:right w:val="single" w:sz="4" w:space="0" w:color="0070C0"/>
            </w:tcBorders>
          </w:tcPr>
          <w:p w14:paraId="25AD7987" w14:textId="77777777" w:rsidR="00182609" w:rsidRPr="00B7760C" w:rsidRDefault="00182609" w:rsidP="009D3E2B">
            <w:pPr>
              <w:widowControl/>
              <w:spacing w:before="120" w:after="120" w:line="276" w:lineRule="auto"/>
              <w:rPr>
                <w:rFonts w:asciiTheme="minorHAnsi" w:hAnsiTheme="minorHAnsi" w:cstheme="minorHAnsi"/>
                <w:sz w:val="18"/>
                <w:szCs w:val="18"/>
                <w:lang w:eastAsia="fr-BE"/>
              </w:rPr>
            </w:pPr>
          </w:p>
        </w:tc>
        <w:tc>
          <w:tcPr>
            <w:tcW w:w="1649" w:type="dxa"/>
            <w:tcBorders>
              <w:left w:val="single" w:sz="4" w:space="0" w:color="0070C0"/>
              <w:right w:val="single" w:sz="4" w:space="0" w:color="0070C0"/>
            </w:tcBorders>
          </w:tcPr>
          <w:p w14:paraId="0B1BFFFF" w14:textId="77777777" w:rsidR="00182609" w:rsidRPr="00B7760C" w:rsidRDefault="00182609" w:rsidP="009D3E2B">
            <w:pPr>
              <w:widowControl/>
              <w:spacing w:before="120" w:after="120"/>
              <w:rPr>
                <w:rFonts w:asciiTheme="minorHAnsi" w:hAnsiTheme="minorHAnsi" w:cstheme="minorHAnsi"/>
                <w:b/>
                <w:bCs/>
                <w:color w:val="000000"/>
                <w:sz w:val="18"/>
                <w:szCs w:val="18"/>
              </w:rPr>
            </w:pPr>
            <w:r w:rsidRPr="00B7760C">
              <w:rPr>
                <w:rFonts w:asciiTheme="minorHAnsi" w:hAnsiTheme="minorHAnsi" w:cstheme="minorHAnsi"/>
                <w:b/>
                <w:bCs/>
                <w:color w:val="000000"/>
                <w:sz w:val="18"/>
                <w:szCs w:val="18"/>
              </w:rPr>
              <w:t> </w:t>
            </w:r>
          </w:p>
        </w:tc>
        <w:tc>
          <w:tcPr>
            <w:tcW w:w="3212" w:type="dxa"/>
            <w:tcBorders>
              <w:left w:val="single" w:sz="4" w:space="0" w:color="0070C0"/>
              <w:right w:val="single" w:sz="4" w:space="0" w:color="0070C0"/>
            </w:tcBorders>
          </w:tcPr>
          <w:p w14:paraId="4C3885D8" w14:textId="77777777" w:rsidR="00182609" w:rsidRPr="00B7760C" w:rsidRDefault="00182609" w:rsidP="009D3E2B">
            <w:pPr>
              <w:widowControl/>
              <w:spacing w:before="120" w:after="120"/>
              <w:rPr>
                <w:rFonts w:asciiTheme="minorHAnsi" w:hAnsiTheme="minorHAnsi" w:cstheme="minorHAnsi"/>
                <w:color w:val="000000"/>
                <w:sz w:val="18"/>
                <w:szCs w:val="18"/>
              </w:rPr>
            </w:pPr>
            <w:r w:rsidRPr="00B7760C">
              <w:rPr>
                <w:rFonts w:asciiTheme="minorHAnsi" w:hAnsiTheme="minorHAnsi" w:cstheme="minorHAnsi"/>
                <w:color w:val="000000"/>
                <w:sz w:val="18"/>
                <w:szCs w:val="18"/>
              </w:rPr>
              <w:t xml:space="preserve">O.5 Število upravičencev za nevezana neposredna plačila </w:t>
            </w:r>
          </w:p>
        </w:tc>
      </w:tr>
      <w:tr w:rsidR="00182609" w:rsidRPr="00B7760C" w14:paraId="78ED8924" w14:textId="77777777" w:rsidTr="00A35DEB">
        <w:trPr>
          <w:trHeight w:val="764"/>
        </w:trPr>
        <w:tc>
          <w:tcPr>
            <w:tcW w:w="2277" w:type="dxa"/>
            <w:vMerge/>
            <w:tcBorders>
              <w:left w:val="single" w:sz="4" w:space="0" w:color="0070C0"/>
              <w:bottom w:val="single" w:sz="4" w:space="0" w:color="0070C0"/>
              <w:right w:val="single" w:sz="4" w:space="0" w:color="0070C0"/>
            </w:tcBorders>
          </w:tcPr>
          <w:p w14:paraId="7F5EA23F" w14:textId="77777777" w:rsidR="00182609" w:rsidRPr="00B7760C" w:rsidRDefault="00182609" w:rsidP="009D3E2B">
            <w:pPr>
              <w:widowControl/>
              <w:spacing w:before="120" w:after="120" w:line="276" w:lineRule="auto"/>
              <w:rPr>
                <w:rFonts w:asciiTheme="minorHAnsi" w:hAnsiTheme="minorHAnsi" w:cstheme="minorHAnsi"/>
                <w:b/>
                <w:bCs/>
                <w:color w:val="000000"/>
                <w:sz w:val="18"/>
                <w:szCs w:val="18"/>
                <w:lang w:eastAsia="fr-BE"/>
              </w:rPr>
            </w:pPr>
          </w:p>
        </w:tc>
        <w:tc>
          <w:tcPr>
            <w:tcW w:w="3215" w:type="dxa"/>
            <w:tcBorders>
              <w:left w:val="single" w:sz="4" w:space="0" w:color="0070C0"/>
              <w:bottom w:val="single" w:sz="4" w:space="0" w:color="0070C0"/>
              <w:right w:val="single" w:sz="4" w:space="0" w:color="0070C0"/>
            </w:tcBorders>
          </w:tcPr>
          <w:p w14:paraId="6C83417F" w14:textId="77777777" w:rsidR="00182609" w:rsidRPr="00B7760C" w:rsidRDefault="00182609" w:rsidP="009D3E2B">
            <w:pPr>
              <w:widowControl/>
              <w:spacing w:before="120" w:after="120" w:line="276" w:lineRule="auto"/>
              <w:rPr>
                <w:rFonts w:asciiTheme="minorHAnsi" w:hAnsiTheme="minorHAnsi" w:cstheme="minorHAnsi"/>
                <w:sz w:val="18"/>
                <w:szCs w:val="18"/>
              </w:rPr>
            </w:pPr>
            <w:r w:rsidRPr="00B7760C">
              <w:rPr>
                <w:rFonts w:asciiTheme="minorHAnsi" w:hAnsiTheme="minorHAnsi" w:cstheme="minorHAnsi"/>
                <w:sz w:val="18"/>
                <w:szCs w:val="18"/>
              </w:rPr>
              <w:t>I.5 Prispevek k ozemeljskemu ravnovesju: spreminjanje kmetijskega dohodka na območjih z naravnimi omejitvami (v primerjavi s povprečjem)</w:t>
            </w:r>
          </w:p>
        </w:tc>
        <w:tc>
          <w:tcPr>
            <w:tcW w:w="4552" w:type="dxa"/>
            <w:tcBorders>
              <w:left w:val="single" w:sz="4" w:space="0" w:color="0070C0"/>
              <w:bottom w:val="single" w:sz="4" w:space="0" w:color="0070C0"/>
              <w:right w:val="single" w:sz="4" w:space="0" w:color="0070C0"/>
            </w:tcBorders>
          </w:tcPr>
          <w:p w14:paraId="027493A9" w14:textId="77777777" w:rsidR="00182609" w:rsidRPr="00B7760C" w:rsidRDefault="00182609" w:rsidP="009D3E2B">
            <w:pPr>
              <w:widowControl/>
              <w:spacing w:before="120" w:after="120" w:line="276" w:lineRule="auto"/>
              <w:rPr>
                <w:rFonts w:asciiTheme="minorHAnsi" w:hAnsiTheme="minorHAnsi" w:cstheme="minorHAnsi"/>
                <w:sz w:val="18"/>
                <w:szCs w:val="18"/>
              </w:rPr>
            </w:pPr>
            <w:r w:rsidRPr="00B7760C">
              <w:rPr>
                <w:rFonts w:asciiTheme="minorHAnsi" w:hAnsiTheme="minorHAnsi" w:cstheme="minorHAnsi"/>
                <w:sz w:val="18"/>
                <w:szCs w:val="18"/>
              </w:rPr>
              <w:t xml:space="preserve">R.7 </w:t>
            </w:r>
            <w:r w:rsidRPr="00B7760C">
              <w:rPr>
                <w:rFonts w:asciiTheme="minorHAnsi" w:hAnsiTheme="minorHAnsi" w:cstheme="minorHAnsi"/>
                <w:bCs/>
                <w:sz w:val="18"/>
                <w:szCs w:val="18"/>
              </w:rPr>
              <w:t xml:space="preserve">Krepitev podpore za kmetije na območjih s posebnimi potrebami: </w:t>
            </w:r>
            <w:r w:rsidRPr="00B7760C">
              <w:rPr>
                <w:rFonts w:asciiTheme="minorHAnsi" w:hAnsiTheme="minorHAnsi" w:cstheme="minorHAnsi"/>
                <w:sz w:val="18"/>
                <w:szCs w:val="18"/>
              </w:rPr>
              <w:t>odstotek dodatne podpore na hektar na območjih z večjimi potrebami (v primerjavi s povprečjem)</w:t>
            </w:r>
          </w:p>
        </w:tc>
        <w:tc>
          <w:tcPr>
            <w:tcW w:w="228" w:type="dxa"/>
            <w:tcBorders>
              <w:left w:val="single" w:sz="4" w:space="0" w:color="0070C0"/>
              <w:right w:val="single" w:sz="4" w:space="0" w:color="0070C0"/>
            </w:tcBorders>
          </w:tcPr>
          <w:p w14:paraId="4D516ADF" w14:textId="77777777" w:rsidR="00182609" w:rsidRPr="00B7760C" w:rsidRDefault="00182609" w:rsidP="009D3E2B">
            <w:pPr>
              <w:widowControl/>
              <w:spacing w:before="120" w:after="120" w:line="276" w:lineRule="auto"/>
              <w:rPr>
                <w:rFonts w:asciiTheme="minorHAnsi" w:hAnsiTheme="minorHAnsi" w:cstheme="minorHAnsi"/>
                <w:sz w:val="18"/>
                <w:szCs w:val="18"/>
                <w:lang w:eastAsia="fr-BE"/>
              </w:rPr>
            </w:pPr>
          </w:p>
        </w:tc>
        <w:tc>
          <w:tcPr>
            <w:tcW w:w="1649" w:type="dxa"/>
            <w:tcBorders>
              <w:left w:val="single" w:sz="4" w:space="0" w:color="0070C0"/>
              <w:bottom w:val="single" w:sz="4" w:space="0" w:color="0070C0"/>
              <w:right w:val="single" w:sz="4" w:space="0" w:color="0070C0"/>
            </w:tcBorders>
          </w:tcPr>
          <w:p w14:paraId="477DDADC" w14:textId="77777777" w:rsidR="00182609" w:rsidRPr="00B7760C" w:rsidRDefault="00182609" w:rsidP="009D3E2B">
            <w:pPr>
              <w:widowControl/>
              <w:spacing w:before="120" w:after="120"/>
              <w:rPr>
                <w:rFonts w:asciiTheme="minorHAnsi" w:hAnsiTheme="minorHAnsi" w:cstheme="minorHAnsi"/>
                <w:b/>
                <w:bCs/>
                <w:color w:val="000000"/>
                <w:sz w:val="18"/>
                <w:szCs w:val="18"/>
                <w:lang w:eastAsia="fr-BE"/>
              </w:rPr>
            </w:pPr>
          </w:p>
        </w:tc>
        <w:tc>
          <w:tcPr>
            <w:tcW w:w="3212" w:type="dxa"/>
            <w:tcBorders>
              <w:left w:val="single" w:sz="4" w:space="0" w:color="0070C0"/>
              <w:bottom w:val="single" w:sz="4" w:space="0" w:color="0070C0"/>
              <w:right w:val="single" w:sz="4" w:space="0" w:color="0070C0"/>
            </w:tcBorders>
          </w:tcPr>
          <w:p w14:paraId="4241FF57" w14:textId="77777777" w:rsidR="00182609" w:rsidRPr="00B7760C" w:rsidRDefault="00182609" w:rsidP="009D3E2B">
            <w:pPr>
              <w:widowControl/>
              <w:spacing w:before="120" w:after="120"/>
              <w:rPr>
                <w:rFonts w:asciiTheme="minorHAnsi" w:hAnsiTheme="minorHAnsi" w:cstheme="minorHAnsi"/>
                <w:color w:val="000000"/>
                <w:sz w:val="18"/>
                <w:szCs w:val="18"/>
              </w:rPr>
            </w:pPr>
            <w:r w:rsidRPr="00B7760C">
              <w:rPr>
                <w:rFonts w:asciiTheme="minorHAnsi" w:hAnsiTheme="minorHAnsi" w:cstheme="minorHAnsi"/>
                <w:color w:val="000000"/>
                <w:sz w:val="18"/>
                <w:szCs w:val="18"/>
              </w:rPr>
              <w:t>O.6 Število hektarov, za katere velja okrepljena dohodkovna podpora za mlade kmete</w:t>
            </w:r>
          </w:p>
        </w:tc>
      </w:tr>
      <w:tr w:rsidR="00182609" w:rsidRPr="00B7760C" w14:paraId="2BEA39CE" w14:textId="77777777" w:rsidTr="00A35DEB">
        <w:trPr>
          <w:trHeight w:val="764"/>
        </w:trPr>
        <w:tc>
          <w:tcPr>
            <w:tcW w:w="2277" w:type="dxa"/>
            <w:tcBorders>
              <w:left w:val="single" w:sz="4" w:space="0" w:color="0070C0"/>
              <w:bottom w:val="single" w:sz="4" w:space="0" w:color="0070C0"/>
              <w:right w:val="single" w:sz="4" w:space="0" w:color="0070C0"/>
            </w:tcBorders>
          </w:tcPr>
          <w:p w14:paraId="4BB3106E" w14:textId="77777777" w:rsidR="00182609" w:rsidRPr="00B7760C" w:rsidRDefault="00182609" w:rsidP="009D3E2B">
            <w:pPr>
              <w:widowControl/>
              <w:spacing w:before="120" w:after="120" w:line="276" w:lineRule="auto"/>
              <w:rPr>
                <w:rFonts w:asciiTheme="minorHAnsi" w:hAnsiTheme="minorHAnsi" w:cstheme="minorHAnsi"/>
                <w:b/>
                <w:bCs/>
                <w:color w:val="000000"/>
                <w:sz w:val="18"/>
                <w:szCs w:val="18"/>
                <w:lang w:eastAsia="fr-BE"/>
              </w:rPr>
            </w:pPr>
          </w:p>
        </w:tc>
        <w:tc>
          <w:tcPr>
            <w:tcW w:w="3215" w:type="dxa"/>
            <w:tcBorders>
              <w:left w:val="single" w:sz="4" w:space="0" w:color="0070C0"/>
              <w:bottom w:val="single" w:sz="4" w:space="0" w:color="0070C0"/>
              <w:right w:val="single" w:sz="4" w:space="0" w:color="0070C0"/>
            </w:tcBorders>
          </w:tcPr>
          <w:p w14:paraId="2F8A2A99" w14:textId="77777777" w:rsidR="00182609" w:rsidRPr="00B7760C" w:rsidRDefault="00182609" w:rsidP="009D3E2B">
            <w:pPr>
              <w:widowControl/>
              <w:spacing w:before="120" w:after="120" w:line="276" w:lineRule="auto"/>
              <w:rPr>
                <w:rFonts w:asciiTheme="minorHAnsi" w:hAnsiTheme="minorHAnsi" w:cstheme="minorHAnsi"/>
                <w:sz w:val="18"/>
                <w:szCs w:val="18"/>
                <w:lang w:eastAsia="fr-BE"/>
              </w:rPr>
            </w:pPr>
          </w:p>
        </w:tc>
        <w:tc>
          <w:tcPr>
            <w:tcW w:w="4552" w:type="dxa"/>
            <w:tcBorders>
              <w:left w:val="single" w:sz="4" w:space="0" w:color="0070C0"/>
              <w:bottom w:val="single" w:sz="4" w:space="0" w:color="0070C0"/>
              <w:right w:val="single" w:sz="4" w:space="0" w:color="0070C0"/>
            </w:tcBorders>
          </w:tcPr>
          <w:p w14:paraId="6290F2DE" w14:textId="77777777" w:rsidR="00182609" w:rsidRPr="00B7760C" w:rsidRDefault="00182609" w:rsidP="009D3E2B">
            <w:pPr>
              <w:widowControl/>
              <w:spacing w:before="120" w:after="120" w:line="276" w:lineRule="auto"/>
              <w:rPr>
                <w:rFonts w:asciiTheme="minorHAnsi" w:hAnsiTheme="minorHAnsi" w:cstheme="minorHAnsi"/>
                <w:sz w:val="18"/>
                <w:szCs w:val="18"/>
                <w:lang w:eastAsia="fr-BE"/>
              </w:rPr>
            </w:pPr>
          </w:p>
        </w:tc>
        <w:tc>
          <w:tcPr>
            <w:tcW w:w="228" w:type="dxa"/>
            <w:tcBorders>
              <w:left w:val="single" w:sz="4" w:space="0" w:color="0070C0"/>
              <w:right w:val="single" w:sz="4" w:space="0" w:color="0070C0"/>
            </w:tcBorders>
          </w:tcPr>
          <w:p w14:paraId="6DC20CD5" w14:textId="77777777" w:rsidR="00182609" w:rsidRPr="00B7760C" w:rsidRDefault="00182609" w:rsidP="009D3E2B">
            <w:pPr>
              <w:widowControl/>
              <w:spacing w:before="120" w:after="120" w:line="276" w:lineRule="auto"/>
              <w:rPr>
                <w:rFonts w:asciiTheme="minorHAnsi" w:hAnsiTheme="minorHAnsi" w:cstheme="minorHAnsi"/>
                <w:sz w:val="18"/>
                <w:szCs w:val="18"/>
                <w:lang w:eastAsia="fr-BE"/>
              </w:rPr>
            </w:pPr>
          </w:p>
        </w:tc>
        <w:tc>
          <w:tcPr>
            <w:tcW w:w="1649" w:type="dxa"/>
            <w:tcBorders>
              <w:left w:val="single" w:sz="4" w:space="0" w:color="0070C0"/>
              <w:bottom w:val="single" w:sz="4" w:space="0" w:color="0070C0"/>
              <w:right w:val="single" w:sz="4" w:space="0" w:color="0070C0"/>
            </w:tcBorders>
          </w:tcPr>
          <w:p w14:paraId="48732D95" w14:textId="77777777" w:rsidR="00182609" w:rsidRPr="00B7760C" w:rsidRDefault="00182609" w:rsidP="009D3E2B">
            <w:pPr>
              <w:widowControl/>
              <w:spacing w:before="120" w:after="120"/>
              <w:rPr>
                <w:rFonts w:asciiTheme="minorHAnsi" w:hAnsiTheme="minorHAnsi" w:cstheme="minorHAnsi"/>
                <w:b/>
                <w:bCs/>
                <w:color w:val="000000"/>
                <w:sz w:val="18"/>
                <w:szCs w:val="18"/>
                <w:lang w:eastAsia="fr-BE"/>
              </w:rPr>
            </w:pPr>
          </w:p>
        </w:tc>
        <w:tc>
          <w:tcPr>
            <w:tcW w:w="3212" w:type="dxa"/>
            <w:tcBorders>
              <w:left w:val="single" w:sz="4" w:space="0" w:color="0070C0"/>
              <w:bottom w:val="single" w:sz="4" w:space="0" w:color="0070C0"/>
              <w:right w:val="single" w:sz="4" w:space="0" w:color="0070C0"/>
            </w:tcBorders>
          </w:tcPr>
          <w:p w14:paraId="05A87DAE" w14:textId="77777777" w:rsidR="00182609" w:rsidRPr="00B7760C" w:rsidRDefault="00182609" w:rsidP="009D3E2B">
            <w:pPr>
              <w:widowControl/>
              <w:spacing w:before="120" w:after="120"/>
              <w:rPr>
                <w:rFonts w:asciiTheme="minorHAnsi" w:hAnsiTheme="minorHAnsi" w:cstheme="minorHAnsi"/>
                <w:color w:val="000000"/>
                <w:sz w:val="18"/>
                <w:szCs w:val="18"/>
              </w:rPr>
            </w:pPr>
            <w:r w:rsidRPr="00B7760C">
              <w:rPr>
                <w:rFonts w:asciiTheme="minorHAnsi" w:hAnsiTheme="minorHAnsi" w:cstheme="minorHAnsi"/>
                <w:color w:val="000000"/>
                <w:sz w:val="18"/>
                <w:szCs w:val="18"/>
              </w:rPr>
              <w:t>O.7 Število upravičencev, za katere velja okrepljena dohodkovna podpora za mlade kmete</w:t>
            </w:r>
          </w:p>
        </w:tc>
      </w:tr>
      <w:tr w:rsidR="00182609" w:rsidRPr="00B7760C" w14:paraId="32AE76B5" w14:textId="77777777" w:rsidTr="00A35DEB">
        <w:trPr>
          <w:trHeight w:val="728"/>
        </w:trPr>
        <w:tc>
          <w:tcPr>
            <w:tcW w:w="2277" w:type="dxa"/>
            <w:vMerge w:val="restart"/>
            <w:tcBorders>
              <w:top w:val="single" w:sz="4" w:space="0" w:color="0070C0"/>
              <w:left w:val="single" w:sz="4" w:space="0" w:color="0070C0"/>
              <w:right w:val="single" w:sz="4" w:space="0" w:color="0070C0"/>
            </w:tcBorders>
            <w:shd w:val="clear" w:color="auto" w:fill="FFFFFF"/>
            <w:vAlign w:val="center"/>
            <w:hideMark/>
          </w:tcPr>
          <w:p w14:paraId="53B85326" w14:textId="77777777" w:rsidR="00182609" w:rsidRPr="00B7760C" w:rsidRDefault="00182609" w:rsidP="009D3E2B">
            <w:pPr>
              <w:widowControl/>
              <w:spacing w:before="120" w:after="120" w:line="276" w:lineRule="auto"/>
              <w:rPr>
                <w:rFonts w:asciiTheme="minorHAnsi" w:hAnsiTheme="minorHAnsi" w:cstheme="minorHAnsi"/>
                <w:bCs/>
                <w:color w:val="000000"/>
                <w:sz w:val="18"/>
                <w:szCs w:val="18"/>
              </w:rPr>
            </w:pPr>
            <w:r w:rsidRPr="00B7760C">
              <w:rPr>
                <w:rFonts w:asciiTheme="minorHAnsi" w:hAnsiTheme="minorHAnsi" w:cstheme="minorHAnsi"/>
                <w:bCs/>
                <w:color w:val="000000"/>
                <w:sz w:val="18"/>
                <w:szCs w:val="18"/>
              </w:rPr>
              <w:t>krepitev tržne usmerjenosti in povečanje konkurenčnosti,</w:t>
            </w:r>
            <w:r w:rsidRPr="00B7760C">
              <w:rPr>
                <w:rFonts w:asciiTheme="minorHAnsi" w:hAnsiTheme="minorHAnsi" w:cstheme="minorHAnsi"/>
                <w:b/>
                <w:bCs/>
                <w:i/>
                <w:color w:val="000000"/>
                <w:sz w:val="18"/>
                <w:szCs w:val="18"/>
              </w:rPr>
              <w:t xml:space="preserve"> tudi</w:t>
            </w:r>
            <w:r w:rsidRPr="00B7760C">
              <w:rPr>
                <w:rFonts w:asciiTheme="minorHAnsi" w:hAnsiTheme="minorHAnsi" w:cstheme="minorHAnsi"/>
                <w:bCs/>
                <w:color w:val="000000"/>
                <w:sz w:val="18"/>
                <w:szCs w:val="18"/>
              </w:rPr>
              <w:t xml:space="preserve"> z večjim poudarkom na raziskavah, tehnologiji in digitalizaciji;</w:t>
            </w:r>
          </w:p>
        </w:tc>
        <w:tc>
          <w:tcPr>
            <w:tcW w:w="3215" w:type="dxa"/>
            <w:tcBorders>
              <w:top w:val="single" w:sz="4" w:space="0" w:color="0070C0"/>
              <w:left w:val="single" w:sz="4" w:space="0" w:color="0070C0"/>
              <w:right w:val="single" w:sz="4" w:space="0" w:color="0070C0"/>
            </w:tcBorders>
            <w:shd w:val="clear" w:color="auto" w:fill="FFFFFF"/>
            <w:noWrap/>
            <w:hideMark/>
          </w:tcPr>
          <w:p w14:paraId="615AC54D" w14:textId="77777777" w:rsidR="00182609" w:rsidRPr="00B7760C" w:rsidRDefault="00182609" w:rsidP="009D3E2B">
            <w:pPr>
              <w:widowControl/>
              <w:spacing w:before="120" w:after="120" w:line="276" w:lineRule="auto"/>
              <w:rPr>
                <w:rFonts w:asciiTheme="minorHAnsi" w:hAnsiTheme="minorHAnsi" w:cstheme="minorHAnsi"/>
                <w:sz w:val="18"/>
                <w:szCs w:val="18"/>
              </w:rPr>
            </w:pPr>
            <w:r w:rsidRPr="00B7760C">
              <w:rPr>
                <w:rFonts w:asciiTheme="minorHAnsi" w:hAnsiTheme="minorHAnsi" w:cstheme="minorHAnsi"/>
                <w:sz w:val="18"/>
                <w:szCs w:val="18"/>
              </w:rPr>
              <w:t xml:space="preserve">I.6 </w:t>
            </w:r>
            <w:r w:rsidRPr="00B7760C">
              <w:rPr>
                <w:rFonts w:asciiTheme="minorHAnsi" w:hAnsiTheme="minorHAnsi" w:cstheme="minorHAnsi"/>
                <w:bCs/>
                <w:sz w:val="18"/>
                <w:szCs w:val="18"/>
              </w:rPr>
              <w:t xml:space="preserve">Povečanje produktivnosti kmetij: </w:t>
            </w:r>
            <w:r w:rsidRPr="00B7760C">
              <w:rPr>
                <w:rFonts w:asciiTheme="minorHAnsi" w:hAnsiTheme="minorHAnsi" w:cstheme="minorHAnsi"/>
                <w:sz w:val="18"/>
                <w:szCs w:val="18"/>
              </w:rPr>
              <w:t>skupna faktorska produktivnost</w:t>
            </w:r>
          </w:p>
        </w:tc>
        <w:tc>
          <w:tcPr>
            <w:tcW w:w="4552" w:type="dxa"/>
            <w:tcBorders>
              <w:top w:val="single" w:sz="4" w:space="0" w:color="0070C0"/>
              <w:left w:val="single" w:sz="4" w:space="0" w:color="0070C0"/>
              <w:right w:val="single" w:sz="4" w:space="0" w:color="0070C0"/>
            </w:tcBorders>
            <w:shd w:val="clear" w:color="auto" w:fill="FFFFFF"/>
          </w:tcPr>
          <w:p w14:paraId="724FF569" w14:textId="77777777" w:rsidR="00182609" w:rsidRPr="00B7760C" w:rsidRDefault="00182609" w:rsidP="009D3E2B">
            <w:pPr>
              <w:widowControl/>
              <w:spacing w:before="120" w:after="120" w:line="276" w:lineRule="auto"/>
              <w:rPr>
                <w:rFonts w:asciiTheme="minorHAnsi" w:hAnsiTheme="minorHAnsi" w:cstheme="minorHAnsi"/>
                <w:sz w:val="18"/>
                <w:szCs w:val="18"/>
              </w:rPr>
            </w:pPr>
            <w:r w:rsidRPr="00B7760C">
              <w:rPr>
                <w:rFonts w:asciiTheme="minorHAnsi" w:hAnsiTheme="minorHAnsi" w:cstheme="minorHAnsi"/>
                <w:sz w:val="18"/>
                <w:szCs w:val="18"/>
              </w:rPr>
              <w:t xml:space="preserve">R.8 </w:t>
            </w:r>
            <w:r w:rsidRPr="00B7760C">
              <w:rPr>
                <w:rFonts w:asciiTheme="minorHAnsi" w:hAnsiTheme="minorHAnsi" w:cstheme="minorHAnsi"/>
                <w:bCs/>
                <w:sz w:val="18"/>
                <w:szCs w:val="18"/>
              </w:rPr>
              <w:t xml:space="preserve">Usmerjenost v kmetije v sektorjih v težavah: </w:t>
            </w:r>
            <w:r w:rsidRPr="00B7760C">
              <w:rPr>
                <w:rFonts w:asciiTheme="minorHAnsi" w:hAnsiTheme="minorHAnsi" w:cstheme="minorHAnsi"/>
                <w:sz w:val="18"/>
                <w:szCs w:val="18"/>
              </w:rPr>
              <w:t>delež kmetov, ki prejemajo vezano podporo za izboljšanje konkurenčnosti, trajnostnosti ali kakovosti</w:t>
            </w:r>
          </w:p>
        </w:tc>
        <w:tc>
          <w:tcPr>
            <w:tcW w:w="228" w:type="dxa"/>
            <w:tcBorders>
              <w:left w:val="single" w:sz="4" w:space="0" w:color="0070C0"/>
              <w:right w:val="single" w:sz="4" w:space="0" w:color="0070C0"/>
            </w:tcBorders>
            <w:shd w:val="clear" w:color="auto" w:fill="FFFFFF"/>
          </w:tcPr>
          <w:p w14:paraId="0086A034" w14:textId="77777777" w:rsidR="00182609" w:rsidRPr="00B7760C" w:rsidRDefault="00182609" w:rsidP="009D3E2B">
            <w:pPr>
              <w:widowControl/>
              <w:spacing w:before="120" w:after="120" w:line="276" w:lineRule="auto"/>
              <w:rPr>
                <w:rFonts w:asciiTheme="minorHAnsi" w:hAnsiTheme="minorHAnsi" w:cstheme="minorHAnsi"/>
                <w:sz w:val="18"/>
                <w:szCs w:val="18"/>
                <w:lang w:eastAsia="fr-BE"/>
              </w:rPr>
            </w:pPr>
          </w:p>
        </w:tc>
        <w:tc>
          <w:tcPr>
            <w:tcW w:w="1649" w:type="dxa"/>
            <w:tcBorders>
              <w:left w:val="single" w:sz="4" w:space="0" w:color="0070C0"/>
              <w:bottom w:val="single" w:sz="4" w:space="0" w:color="0070C0"/>
              <w:right w:val="single" w:sz="4" w:space="0" w:color="0070C0"/>
            </w:tcBorders>
            <w:shd w:val="clear" w:color="auto" w:fill="FFFFFF"/>
          </w:tcPr>
          <w:p w14:paraId="47BCA376" w14:textId="77777777" w:rsidR="00182609" w:rsidRPr="00B7760C" w:rsidRDefault="00182609" w:rsidP="009D3E2B">
            <w:pPr>
              <w:widowControl/>
              <w:spacing w:before="120" w:after="120"/>
              <w:rPr>
                <w:rFonts w:asciiTheme="minorHAnsi" w:hAnsiTheme="minorHAnsi" w:cstheme="minorHAnsi"/>
                <w:b/>
                <w:bCs/>
                <w:color w:val="000000"/>
                <w:sz w:val="18"/>
                <w:szCs w:val="18"/>
              </w:rPr>
            </w:pPr>
            <w:r w:rsidRPr="00B7760C">
              <w:rPr>
                <w:rFonts w:asciiTheme="minorHAnsi" w:hAnsiTheme="minorHAnsi" w:cstheme="minorHAnsi"/>
                <w:b/>
                <w:bCs/>
                <w:color w:val="000000"/>
                <w:sz w:val="18"/>
                <w:szCs w:val="18"/>
              </w:rPr>
              <w:t>Instrumenti za obvladovanje tveganj</w:t>
            </w:r>
          </w:p>
        </w:tc>
        <w:tc>
          <w:tcPr>
            <w:tcW w:w="3212" w:type="dxa"/>
            <w:tcBorders>
              <w:left w:val="single" w:sz="4" w:space="0" w:color="0070C0"/>
              <w:bottom w:val="single" w:sz="4" w:space="0" w:color="0070C0"/>
              <w:right w:val="single" w:sz="4" w:space="0" w:color="0070C0"/>
            </w:tcBorders>
            <w:shd w:val="clear" w:color="auto" w:fill="FFFFFF"/>
          </w:tcPr>
          <w:p w14:paraId="2AD7C507" w14:textId="77777777" w:rsidR="00182609" w:rsidRPr="00B7760C" w:rsidRDefault="00182609" w:rsidP="009D3E2B">
            <w:pPr>
              <w:widowControl/>
              <w:spacing w:before="120" w:after="120"/>
              <w:rPr>
                <w:rFonts w:asciiTheme="minorHAnsi" w:hAnsiTheme="minorHAnsi" w:cstheme="minorHAnsi"/>
                <w:color w:val="000000"/>
                <w:sz w:val="18"/>
                <w:szCs w:val="18"/>
              </w:rPr>
            </w:pPr>
            <w:r w:rsidRPr="00B7760C">
              <w:rPr>
                <w:rFonts w:asciiTheme="minorHAnsi" w:hAnsiTheme="minorHAnsi" w:cstheme="minorHAnsi"/>
                <w:color w:val="000000"/>
                <w:sz w:val="18"/>
                <w:szCs w:val="18"/>
              </w:rPr>
              <w:t>O.8 Število kmetov, vključenih v instrumente za obvladovanje tveganj, ki prejemajo podporo</w:t>
            </w:r>
          </w:p>
        </w:tc>
      </w:tr>
      <w:tr w:rsidR="00182609" w:rsidRPr="00B7760C" w14:paraId="1A41EE5A" w14:textId="77777777" w:rsidTr="00A35DEB">
        <w:trPr>
          <w:trHeight w:val="709"/>
        </w:trPr>
        <w:tc>
          <w:tcPr>
            <w:tcW w:w="2277" w:type="dxa"/>
            <w:vMerge/>
            <w:tcBorders>
              <w:left w:val="single" w:sz="4" w:space="0" w:color="0070C0"/>
              <w:bottom w:val="single" w:sz="4" w:space="0" w:color="0070C0"/>
              <w:right w:val="single" w:sz="4" w:space="0" w:color="0070C0"/>
            </w:tcBorders>
            <w:hideMark/>
          </w:tcPr>
          <w:p w14:paraId="6A0CDD6F" w14:textId="77777777" w:rsidR="00182609" w:rsidRPr="00B7760C" w:rsidRDefault="00182609" w:rsidP="009D3E2B">
            <w:pPr>
              <w:widowControl/>
              <w:spacing w:before="120" w:after="120" w:line="276" w:lineRule="auto"/>
              <w:rPr>
                <w:rFonts w:asciiTheme="minorHAnsi" w:hAnsiTheme="minorHAnsi" w:cstheme="minorHAnsi"/>
                <w:b/>
                <w:bCs/>
                <w:color w:val="000000"/>
                <w:sz w:val="18"/>
                <w:szCs w:val="18"/>
                <w:lang w:eastAsia="fr-BE"/>
              </w:rPr>
            </w:pPr>
          </w:p>
        </w:tc>
        <w:tc>
          <w:tcPr>
            <w:tcW w:w="3215" w:type="dxa"/>
            <w:tcBorders>
              <w:left w:val="single" w:sz="4" w:space="0" w:color="0070C0"/>
              <w:bottom w:val="single" w:sz="4" w:space="0" w:color="0070C0"/>
              <w:right w:val="single" w:sz="4" w:space="0" w:color="0070C0"/>
            </w:tcBorders>
            <w:noWrap/>
            <w:hideMark/>
          </w:tcPr>
          <w:p w14:paraId="0A97E9CF" w14:textId="77777777" w:rsidR="00182609" w:rsidRPr="00B7760C" w:rsidRDefault="00182609" w:rsidP="009D3E2B">
            <w:pPr>
              <w:widowControl/>
              <w:spacing w:before="120" w:after="120" w:line="276" w:lineRule="auto"/>
              <w:rPr>
                <w:rFonts w:asciiTheme="minorHAnsi" w:hAnsiTheme="minorHAnsi" w:cstheme="minorHAnsi"/>
                <w:sz w:val="18"/>
                <w:szCs w:val="18"/>
              </w:rPr>
            </w:pPr>
            <w:r w:rsidRPr="00B7760C">
              <w:rPr>
                <w:rFonts w:asciiTheme="minorHAnsi" w:hAnsiTheme="minorHAnsi" w:cstheme="minorHAnsi"/>
                <w:sz w:val="18"/>
                <w:szCs w:val="18"/>
              </w:rPr>
              <w:t>I.7 Izkoriščanje trgovine s kmetijskimi in živilskimi proizvodi: uvoz in izvoz v okviru trgovine s kmetijskimi in živilskimi proizvodi</w:t>
            </w:r>
          </w:p>
        </w:tc>
        <w:tc>
          <w:tcPr>
            <w:tcW w:w="4552" w:type="dxa"/>
            <w:tcBorders>
              <w:left w:val="single" w:sz="4" w:space="0" w:color="0070C0"/>
              <w:bottom w:val="single" w:sz="4" w:space="0" w:color="0070C0"/>
              <w:right w:val="single" w:sz="4" w:space="0" w:color="0070C0"/>
            </w:tcBorders>
          </w:tcPr>
          <w:p w14:paraId="00F14EB2" w14:textId="77777777" w:rsidR="00182609" w:rsidRPr="00B7760C" w:rsidRDefault="00182609" w:rsidP="009D3E2B">
            <w:pPr>
              <w:widowControl/>
              <w:spacing w:before="120" w:after="120" w:line="276" w:lineRule="auto"/>
              <w:rPr>
                <w:rFonts w:asciiTheme="minorHAnsi" w:hAnsiTheme="minorHAnsi" w:cstheme="minorHAnsi"/>
                <w:sz w:val="18"/>
                <w:szCs w:val="18"/>
              </w:rPr>
            </w:pPr>
            <w:r w:rsidRPr="00B7760C">
              <w:rPr>
                <w:rFonts w:asciiTheme="minorHAnsi" w:hAnsiTheme="minorHAnsi" w:cstheme="minorHAnsi"/>
                <w:sz w:val="18"/>
                <w:szCs w:val="18"/>
              </w:rPr>
              <w:t xml:space="preserve">R.9 </w:t>
            </w:r>
            <w:r w:rsidRPr="00B7760C">
              <w:rPr>
                <w:rFonts w:asciiTheme="minorHAnsi" w:hAnsiTheme="minorHAnsi" w:cstheme="minorHAnsi"/>
                <w:bCs/>
                <w:sz w:val="18"/>
                <w:szCs w:val="18"/>
              </w:rPr>
              <w:t xml:space="preserve">Modernizacija kmetij: </w:t>
            </w:r>
            <w:r w:rsidRPr="00B7760C">
              <w:rPr>
                <w:rFonts w:asciiTheme="minorHAnsi" w:hAnsiTheme="minorHAnsi" w:cstheme="minorHAnsi"/>
                <w:sz w:val="18"/>
                <w:szCs w:val="18"/>
              </w:rPr>
              <w:t>delež kmetov, ki prejemajo podporo za naložbe v prestrukturiranje in modernizacijo, vključno za učinkovitejšo rabo virov</w:t>
            </w:r>
          </w:p>
        </w:tc>
        <w:tc>
          <w:tcPr>
            <w:tcW w:w="228" w:type="dxa"/>
            <w:tcBorders>
              <w:left w:val="single" w:sz="4" w:space="0" w:color="0070C0"/>
              <w:right w:val="single" w:sz="4" w:space="0" w:color="0070C0"/>
            </w:tcBorders>
          </w:tcPr>
          <w:p w14:paraId="4464A162" w14:textId="77777777" w:rsidR="00182609" w:rsidRPr="00B7760C" w:rsidRDefault="00182609" w:rsidP="009D3E2B">
            <w:pPr>
              <w:widowControl/>
              <w:spacing w:before="120" w:after="120" w:line="276" w:lineRule="auto"/>
              <w:rPr>
                <w:rFonts w:asciiTheme="minorHAnsi" w:hAnsiTheme="minorHAnsi" w:cstheme="minorHAnsi"/>
                <w:sz w:val="18"/>
                <w:szCs w:val="18"/>
                <w:lang w:eastAsia="fr-BE"/>
              </w:rPr>
            </w:pPr>
          </w:p>
        </w:tc>
        <w:tc>
          <w:tcPr>
            <w:tcW w:w="1649" w:type="dxa"/>
            <w:tcBorders>
              <w:top w:val="single" w:sz="4" w:space="0" w:color="0070C0"/>
              <w:left w:val="single" w:sz="4" w:space="0" w:color="0070C0"/>
              <w:right w:val="single" w:sz="4" w:space="0" w:color="0070C0"/>
            </w:tcBorders>
          </w:tcPr>
          <w:p w14:paraId="63901893" w14:textId="77777777" w:rsidR="00182609" w:rsidRPr="00B7760C" w:rsidRDefault="00182609" w:rsidP="009D3E2B">
            <w:pPr>
              <w:widowControl/>
              <w:spacing w:before="120" w:after="120"/>
              <w:rPr>
                <w:rFonts w:asciiTheme="minorHAnsi" w:hAnsiTheme="minorHAnsi" w:cstheme="minorHAnsi"/>
                <w:b/>
                <w:bCs/>
                <w:color w:val="000000"/>
                <w:sz w:val="18"/>
                <w:szCs w:val="18"/>
              </w:rPr>
            </w:pPr>
            <w:r w:rsidRPr="00B7760C">
              <w:rPr>
                <w:rFonts w:asciiTheme="minorHAnsi" w:hAnsiTheme="minorHAnsi" w:cstheme="minorHAnsi"/>
                <w:b/>
                <w:bCs/>
                <w:color w:val="000000"/>
                <w:sz w:val="18"/>
                <w:szCs w:val="18"/>
              </w:rPr>
              <w:t>Vezana podpora</w:t>
            </w:r>
          </w:p>
        </w:tc>
        <w:tc>
          <w:tcPr>
            <w:tcW w:w="3212" w:type="dxa"/>
            <w:tcBorders>
              <w:top w:val="single" w:sz="4" w:space="0" w:color="0070C0"/>
              <w:left w:val="single" w:sz="4" w:space="0" w:color="0070C0"/>
              <w:right w:val="single" w:sz="4" w:space="0" w:color="0070C0"/>
            </w:tcBorders>
          </w:tcPr>
          <w:p w14:paraId="2A0B9AE4" w14:textId="77777777" w:rsidR="00182609" w:rsidRPr="00B7760C" w:rsidRDefault="00182609" w:rsidP="009D3E2B">
            <w:pPr>
              <w:widowControl/>
              <w:spacing w:before="120" w:after="120"/>
              <w:rPr>
                <w:rFonts w:asciiTheme="minorHAnsi" w:hAnsiTheme="minorHAnsi" w:cstheme="minorHAnsi"/>
                <w:color w:val="000000"/>
                <w:sz w:val="18"/>
                <w:szCs w:val="18"/>
              </w:rPr>
            </w:pPr>
            <w:r w:rsidRPr="00B7760C">
              <w:rPr>
                <w:rFonts w:asciiTheme="minorHAnsi" w:hAnsiTheme="minorHAnsi" w:cstheme="minorHAnsi"/>
                <w:color w:val="000000"/>
                <w:sz w:val="18"/>
                <w:szCs w:val="18"/>
              </w:rPr>
              <w:t xml:space="preserve">O.9 Število hektarov, ki prejemajo vezano podporo </w:t>
            </w:r>
          </w:p>
        </w:tc>
      </w:tr>
      <w:tr w:rsidR="00182609" w:rsidRPr="00B7760C" w14:paraId="1670C295" w14:textId="77777777" w:rsidTr="00A35DEB">
        <w:trPr>
          <w:trHeight w:val="935"/>
        </w:trPr>
        <w:tc>
          <w:tcPr>
            <w:tcW w:w="2277" w:type="dxa"/>
            <w:vMerge w:val="restart"/>
            <w:tcBorders>
              <w:top w:val="single" w:sz="4" w:space="0" w:color="0070C0"/>
              <w:left w:val="single" w:sz="4" w:space="0" w:color="0070C0"/>
              <w:right w:val="single" w:sz="4" w:space="0" w:color="0070C0"/>
            </w:tcBorders>
            <w:vAlign w:val="center"/>
            <w:hideMark/>
          </w:tcPr>
          <w:p w14:paraId="6E61BE25" w14:textId="77777777" w:rsidR="00182609" w:rsidRPr="00B7760C" w:rsidRDefault="00182609" w:rsidP="009D3E2B">
            <w:pPr>
              <w:widowControl/>
              <w:spacing w:before="120" w:after="120" w:line="276" w:lineRule="auto"/>
              <w:rPr>
                <w:rFonts w:asciiTheme="minorHAnsi" w:hAnsiTheme="minorHAnsi" w:cstheme="minorHAnsi"/>
                <w:bCs/>
                <w:color w:val="000000"/>
                <w:sz w:val="18"/>
                <w:szCs w:val="18"/>
              </w:rPr>
            </w:pPr>
            <w:r w:rsidRPr="00B7760C">
              <w:rPr>
                <w:rFonts w:asciiTheme="minorHAnsi" w:hAnsiTheme="minorHAnsi" w:cstheme="minorHAnsi"/>
                <w:bCs/>
                <w:color w:val="000000"/>
                <w:sz w:val="18"/>
                <w:szCs w:val="18"/>
              </w:rPr>
              <w:t xml:space="preserve">Izboljšanje položaja kmetov v </w:t>
            </w:r>
            <w:r w:rsidRPr="00B7760C">
              <w:rPr>
                <w:rFonts w:asciiTheme="minorHAnsi" w:hAnsiTheme="minorHAnsi" w:cstheme="minorHAnsi"/>
                <w:b/>
                <w:bCs/>
                <w:i/>
                <w:color w:val="000000"/>
                <w:sz w:val="18"/>
                <w:szCs w:val="18"/>
              </w:rPr>
              <w:t>vrednostni verigi</w:t>
            </w:r>
          </w:p>
        </w:tc>
        <w:tc>
          <w:tcPr>
            <w:tcW w:w="3215" w:type="dxa"/>
            <w:tcBorders>
              <w:top w:val="single" w:sz="4" w:space="0" w:color="0070C0"/>
              <w:left w:val="single" w:sz="4" w:space="0" w:color="0070C0"/>
              <w:right w:val="single" w:sz="4" w:space="0" w:color="0070C0"/>
            </w:tcBorders>
            <w:hideMark/>
          </w:tcPr>
          <w:p w14:paraId="36C88E46" w14:textId="77777777" w:rsidR="00182609" w:rsidRPr="00B7760C" w:rsidRDefault="00182609" w:rsidP="009D3E2B">
            <w:pPr>
              <w:widowControl/>
              <w:spacing w:before="120" w:after="120" w:line="276" w:lineRule="auto"/>
              <w:rPr>
                <w:rFonts w:asciiTheme="minorHAnsi" w:hAnsiTheme="minorHAnsi" w:cstheme="minorHAnsi"/>
                <w:sz w:val="18"/>
                <w:szCs w:val="18"/>
              </w:rPr>
            </w:pPr>
            <w:r w:rsidRPr="00B7760C">
              <w:rPr>
                <w:rFonts w:asciiTheme="minorHAnsi" w:hAnsiTheme="minorHAnsi" w:cstheme="minorHAnsi"/>
                <w:sz w:val="18"/>
                <w:szCs w:val="18"/>
              </w:rPr>
              <w:t>I.8 Izboljšanje položaja kmetov v prehranski verigi: dodana vrednost za primarne proizvajalce v prehranski verigi</w:t>
            </w:r>
          </w:p>
        </w:tc>
        <w:tc>
          <w:tcPr>
            <w:tcW w:w="4552" w:type="dxa"/>
            <w:tcBorders>
              <w:top w:val="single" w:sz="4" w:space="0" w:color="0070C0"/>
              <w:left w:val="single" w:sz="4" w:space="0" w:color="0070C0"/>
              <w:right w:val="single" w:sz="4" w:space="0" w:color="0070C0"/>
            </w:tcBorders>
          </w:tcPr>
          <w:p w14:paraId="4706DE95" w14:textId="77777777" w:rsidR="00182609" w:rsidRPr="00B7760C" w:rsidRDefault="00182609" w:rsidP="009D3E2B">
            <w:pPr>
              <w:widowControl/>
              <w:spacing w:before="120" w:after="120" w:line="276" w:lineRule="auto"/>
              <w:rPr>
                <w:rFonts w:asciiTheme="minorHAnsi" w:hAnsiTheme="minorHAnsi" w:cstheme="minorHAnsi"/>
                <w:bCs/>
                <w:sz w:val="18"/>
                <w:szCs w:val="18"/>
              </w:rPr>
            </w:pPr>
            <w:r w:rsidRPr="00B7760C">
              <w:rPr>
                <w:rFonts w:asciiTheme="minorHAnsi" w:hAnsiTheme="minorHAnsi" w:cstheme="minorHAnsi"/>
                <w:bCs/>
                <w:sz w:val="18"/>
                <w:szCs w:val="18"/>
              </w:rPr>
              <w:t xml:space="preserve">R.10 Boljša organizacija dobavne verige: </w:t>
            </w:r>
            <w:r w:rsidRPr="00B7760C">
              <w:rPr>
                <w:rFonts w:asciiTheme="minorHAnsi" w:hAnsiTheme="minorHAnsi" w:cstheme="minorHAnsi"/>
                <w:sz w:val="18"/>
                <w:szCs w:val="18"/>
              </w:rPr>
              <w:t>delež kmetov, ki sodelujejo v skupinah proizvajalcev, organizacijah proizvajalcev, na lokalnih trgih, v kratkih dobavnih verigah in shemah kakovosti, ki prejemajo podporo</w:t>
            </w:r>
          </w:p>
        </w:tc>
        <w:tc>
          <w:tcPr>
            <w:tcW w:w="228" w:type="dxa"/>
            <w:tcBorders>
              <w:left w:val="single" w:sz="4" w:space="0" w:color="0070C0"/>
              <w:right w:val="single" w:sz="4" w:space="0" w:color="0070C0"/>
            </w:tcBorders>
          </w:tcPr>
          <w:p w14:paraId="6D95DB15" w14:textId="77777777" w:rsidR="00182609" w:rsidRPr="00B7760C" w:rsidRDefault="00182609" w:rsidP="009D3E2B">
            <w:pPr>
              <w:widowControl/>
              <w:spacing w:before="120" w:after="120" w:line="276" w:lineRule="auto"/>
              <w:rPr>
                <w:rFonts w:asciiTheme="minorHAnsi" w:hAnsiTheme="minorHAnsi" w:cstheme="minorHAnsi"/>
                <w:sz w:val="18"/>
                <w:szCs w:val="18"/>
                <w:lang w:eastAsia="fr-BE"/>
              </w:rPr>
            </w:pPr>
          </w:p>
        </w:tc>
        <w:tc>
          <w:tcPr>
            <w:tcW w:w="1649" w:type="dxa"/>
            <w:tcBorders>
              <w:left w:val="single" w:sz="4" w:space="0" w:color="0070C0"/>
              <w:bottom w:val="single" w:sz="4" w:space="0" w:color="0070C0"/>
              <w:right w:val="single" w:sz="4" w:space="0" w:color="0070C0"/>
            </w:tcBorders>
          </w:tcPr>
          <w:p w14:paraId="2902B67B" w14:textId="77777777" w:rsidR="00182609" w:rsidRPr="00B7760C" w:rsidRDefault="00182609" w:rsidP="009D3E2B">
            <w:pPr>
              <w:widowControl/>
              <w:spacing w:before="120" w:after="120"/>
              <w:rPr>
                <w:rFonts w:asciiTheme="minorHAnsi" w:hAnsiTheme="minorHAnsi" w:cstheme="minorHAnsi"/>
                <w:b/>
                <w:bCs/>
                <w:color w:val="000000"/>
                <w:sz w:val="18"/>
                <w:szCs w:val="18"/>
                <w:lang w:eastAsia="fr-BE"/>
              </w:rPr>
            </w:pPr>
          </w:p>
        </w:tc>
        <w:tc>
          <w:tcPr>
            <w:tcW w:w="3212" w:type="dxa"/>
            <w:tcBorders>
              <w:left w:val="single" w:sz="4" w:space="0" w:color="0070C0"/>
              <w:bottom w:val="single" w:sz="4" w:space="0" w:color="0070C0"/>
              <w:right w:val="single" w:sz="4" w:space="0" w:color="0070C0"/>
            </w:tcBorders>
          </w:tcPr>
          <w:p w14:paraId="681F5E47" w14:textId="77777777" w:rsidR="00182609" w:rsidRPr="00B7760C" w:rsidRDefault="00182609" w:rsidP="009D3E2B">
            <w:pPr>
              <w:widowControl/>
              <w:spacing w:before="120" w:after="120"/>
              <w:rPr>
                <w:rFonts w:asciiTheme="minorHAnsi" w:hAnsiTheme="minorHAnsi" w:cstheme="minorHAnsi"/>
                <w:sz w:val="18"/>
                <w:szCs w:val="18"/>
              </w:rPr>
            </w:pPr>
            <w:r w:rsidRPr="00B7760C">
              <w:rPr>
                <w:rFonts w:asciiTheme="minorHAnsi" w:hAnsiTheme="minorHAnsi" w:cstheme="minorHAnsi"/>
                <w:color w:val="000000"/>
                <w:sz w:val="18"/>
                <w:szCs w:val="18"/>
              </w:rPr>
              <w:t>O.10 Število glav živine, ki prejemajo vezano podporo</w:t>
            </w:r>
          </w:p>
        </w:tc>
      </w:tr>
      <w:tr w:rsidR="00182609" w:rsidRPr="00B7760C" w14:paraId="5C3B1F8B" w14:textId="77777777" w:rsidTr="00A35DEB">
        <w:trPr>
          <w:trHeight w:val="393"/>
        </w:trPr>
        <w:tc>
          <w:tcPr>
            <w:tcW w:w="2277" w:type="dxa"/>
            <w:vMerge/>
            <w:tcBorders>
              <w:left w:val="single" w:sz="4" w:space="0" w:color="0070C0"/>
              <w:bottom w:val="single" w:sz="4" w:space="0" w:color="0070C0"/>
              <w:right w:val="single" w:sz="4" w:space="0" w:color="0070C0"/>
            </w:tcBorders>
          </w:tcPr>
          <w:p w14:paraId="7EE57A1C" w14:textId="77777777" w:rsidR="00182609" w:rsidRPr="00B7760C" w:rsidRDefault="00182609" w:rsidP="009D3E2B">
            <w:pPr>
              <w:widowControl/>
              <w:spacing w:before="120" w:after="120" w:line="276" w:lineRule="auto"/>
              <w:rPr>
                <w:rFonts w:asciiTheme="minorHAnsi" w:hAnsiTheme="minorHAnsi" w:cstheme="minorHAnsi"/>
                <w:b/>
                <w:bCs/>
                <w:color w:val="000000"/>
                <w:sz w:val="18"/>
                <w:szCs w:val="18"/>
                <w:lang w:eastAsia="fr-BE"/>
              </w:rPr>
            </w:pPr>
          </w:p>
        </w:tc>
        <w:tc>
          <w:tcPr>
            <w:tcW w:w="3215" w:type="dxa"/>
            <w:tcBorders>
              <w:left w:val="single" w:sz="4" w:space="0" w:color="0070C0"/>
              <w:bottom w:val="single" w:sz="4" w:space="0" w:color="0070C0"/>
              <w:right w:val="single" w:sz="4" w:space="0" w:color="0070C0"/>
            </w:tcBorders>
          </w:tcPr>
          <w:p w14:paraId="448A75EA" w14:textId="77777777" w:rsidR="00182609" w:rsidRPr="00B7760C" w:rsidRDefault="00182609" w:rsidP="009D3E2B">
            <w:pPr>
              <w:widowControl/>
              <w:spacing w:before="120" w:after="120" w:line="276" w:lineRule="auto"/>
              <w:rPr>
                <w:rFonts w:asciiTheme="minorHAnsi" w:hAnsiTheme="minorHAnsi" w:cstheme="minorHAnsi"/>
                <w:b/>
                <w:sz w:val="18"/>
                <w:szCs w:val="18"/>
                <w:lang w:eastAsia="fr-BE"/>
              </w:rPr>
            </w:pPr>
          </w:p>
        </w:tc>
        <w:tc>
          <w:tcPr>
            <w:tcW w:w="4552" w:type="dxa"/>
            <w:tcBorders>
              <w:left w:val="single" w:sz="4" w:space="0" w:color="0070C0"/>
              <w:bottom w:val="single" w:sz="4" w:space="0" w:color="0070C0"/>
              <w:right w:val="single" w:sz="4" w:space="0" w:color="0070C0"/>
            </w:tcBorders>
          </w:tcPr>
          <w:p w14:paraId="0EDA61A9" w14:textId="77777777" w:rsidR="00182609" w:rsidRPr="00B7760C" w:rsidRDefault="00182609" w:rsidP="009D3E2B">
            <w:pPr>
              <w:widowControl/>
              <w:spacing w:before="120" w:after="120" w:line="276" w:lineRule="auto"/>
              <w:rPr>
                <w:rFonts w:asciiTheme="minorHAnsi" w:hAnsiTheme="minorHAnsi" w:cstheme="minorHAnsi"/>
                <w:sz w:val="18"/>
                <w:szCs w:val="18"/>
              </w:rPr>
            </w:pPr>
            <w:r w:rsidRPr="00B7760C">
              <w:rPr>
                <w:rFonts w:asciiTheme="minorHAnsi" w:hAnsiTheme="minorHAnsi" w:cstheme="minorHAnsi"/>
                <w:sz w:val="18"/>
                <w:szCs w:val="18"/>
              </w:rPr>
              <w:t>R.11 Koncentracija ponudbe:</w:t>
            </w:r>
            <w:r w:rsidRPr="00B7760C">
              <w:rPr>
                <w:rFonts w:asciiTheme="minorHAnsi" w:hAnsiTheme="minorHAnsi" w:cstheme="minorHAnsi"/>
                <w:bCs/>
                <w:sz w:val="18"/>
                <w:szCs w:val="18"/>
              </w:rPr>
              <w:t xml:space="preserve"> </w:t>
            </w:r>
            <w:r w:rsidRPr="00B7760C">
              <w:rPr>
                <w:rFonts w:asciiTheme="minorHAnsi" w:hAnsiTheme="minorHAnsi" w:cstheme="minorHAnsi"/>
                <w:sz w:val="18"/>
                <w:szCs w:val="18"/>
              </w:rPr>
              <w:t>delež vrednosti tržne proizvodnje s strani organizacij proizvajalcev z operativnimi programi</w:t>
            </w:r>
          </w:p>
        </w:tc>
        <w:tc>
          <w:tcPr>
            <w:tcW w:w="228" w:type="dxa"/>
            <w:tcBorders>
              <w:left w:val="single" w:sz="4" w:space="0" w:color="0070C0"/>
              <w:right w:val="single" w:sz="4" w:space="0" w:color="0070C0"/>
            </w:tcBorders>
          </w:tcPr>
          <w:p w14:paraId="6AE14717" w14:textId="77777777" w:rsidR="00182609" w:rsidRPr="00B7760C" w:rsidRDefault="00182609" w:rsidP="009D3E2B">
            <w:pPr>
              <w:widowControl/>
              <w:spacing w:before="120" w:after="120" w:line="276" w:lineRule="auto"/>
              <w:rPr>
                <w:rFonts w:asciiTheme="minorHAnsi" w:hAnsiTheme="minorHAnsi" w:cstheme="minorHAnsi"/>
                <w:sz w:val="18"/>
                <w:szCs w:val="18"/>
                <w:lang w:eastAsia="fr-BE"/>
              </w:rPr>
            </w:pPr>
          </w:p>
        </w:tc>
        <w:tc>
          <w:tcPr>
            <w:tcW w:w="1649" w:type="dxa"/>
            <w:tcBorders>
              <w:top w:val="single" w:sz="4" w:space="0" w:color="0070C0"/>
              <w:left w:val="single" w:sz="4" w:space="0" w:color="0070C0"/>
              <w:right w:val="single" w:sz="4" w:space="0" w:color="0070C0"/>
            </w:tcBorders>
          </w:tcPr>
          <w:p w14:paraId="5F712E1F" w14:textId="77777777" w:rsidR="00182609" w:rsidRPr="00B7760C" w:rsidRDefault="00182609" w:rsidP="009D3E2B">
            <w:pPr>
              <w:widowControl/>
              <w:spacing w:before="120" w:after="120"/>
              <w:rPr>
                <w:rFonts w:asciiTheme="minorHAnsi" w:hAnsiTheme="minorHAnsi" w:cstheme="minorHAnsi"/>
                <w:b/>
                <w:bCs/>
                <w:color w:val="000000"/>
                <w:sz w:val="18"/>
                <w:szCs w:val="18"/>
              </w:rPr>
            </w:pPr>
            <w:r w:rsidRPr="00B7760C">
              <w:rPr>
                <w:rFonts w:asciiTheme="minorHAnsi" w:hAnsiTheme="minorHAnsi" w:cstheme="minorHAnsi"/>
                <w:b/>
                <w:bCs/>
                <w:color w:val="000000"/>
                <w:sz w:val="18"/>
                <w:szCs w:val="18"/>
              </w:rPr>
              <w:t>Plačila za naravne omejitve in druge regije s posebnimi omejitvami</w:t>
            </w:r>
          </w:p>
        </w:tc>
        <w:tc>
          <w:tcPr>
            <w:tcW w:w="3212" w:type="dxa"/>
            <w:tcBorders>
              <w:top w:val="single" w:sz="4" w:space="0" w:color="0070C0"/>
              <w:left w:val="single" w:sz="4" w:space="0" w:color="0070C0"/>
              <w:right w:val="single" w:sz="4" w:space="0" w:color="0070C0"/>
            </w:tcBorders>
          </w:tcPr>
          <w:p w14:paraId="14034357" w14:textId="77777777" w:rsidR="00182609" w:rsidRPr="00B7760C" w:rsidRDefault="00182609" w:rsidP="009D3E2B">
            <w:pPr>
              <w:widowControl/>
              <w:spacing w:before="120" w:after="120"/>
              <w:rPr>
                <w:rFonts w:asciiTheme="minorHAnsi" w:hAnsiTheme="minorHAnsi" w:cstheme="minorHAnsi"/>
                <w:color w:val="000000"/>
                <w:sz w:val="18"/>
                <w:szCs w:val="18"/>
              </w:rPr>
            </w:pPr>
            <w:r w:rsidRPr="00B7760C">
              <w:rPr>
                <w:rFonts w:asciiTheme="minorHAnsi" w:hAnsiTheme="minorHAnsi" w:cstheme="minorHAnsi"/>
                <w:color w:val="000000"/>
                <w:sz w:val="18"/>
                <w:szCs w:val="18"/>
              </w:rPr>
              <w:t>O.11 Število hektarov, ki prejemajo dodatek za območja z naravnimi omejitvami (3 kategorije)</w:t>
            </w:r>
          </w:p>
        </w:tc>
      </w:tr>
      <w:tr w:rsidR="00182609" w:rsidRPr="00B7760C" w14:paraId="5DF674B3" w14:textId="77777777" w:rsidTr="00A35DEB">
        <w:trPr>
          <w:trHeight w:val="487"/>
        </w:trPr>
        <w:tc>
          <w:tcPr>
            <w:tcW w:w="2277" w:type="dxa"/>
            <w:vMerge w:val="restart"/>
            <w:tcBorders>
              <w:top w:val="single" w:sz="4" w:space="0" w:color="0070C0"/>
              <w:left w:val="single" w:sz="4" w:space="0" w:color="0070C0"/>
              <w:right w:val="single" w:sz="4" w:space="0" w:color="0070C0"/>
            </w:tcBorders>
            <w:vAlign w:val="center"/>
            <w:hideMark/>
          </w:tcPr>
          <w:p w14:paraId="63360783" w14:textId="77777777" w:rsidR="00182609" w:rsidRPr="00B7760C" w:rsidRDefault="00182609" w:rsidP="009D3E2B">
            <w:pPr>
              <w:widowControl/>
              <w:spacing w:before="120" w:after="120" w:line="276" w:lineRule="auto"/>
              <w:rPr>
                <w:rFonts w:asciiTheme="minorHAnsi" w:hAnsiTheme="minorHAnsi" w:cstheme="minorHAnsi"/>
                <w:bCs/>
                <w:color w:val="000000"/>
                <w:sz w:val="18"/>
                <w:szCs w:val="18"/>
              </w:rPr>
            </w:pPr>
            <w:r w:rsidRPr="00B7760C">
              <w:rPr>
                <w:rFonts w:asciiTheme="minorHAnsi" w:hAnsiTheme="minorHAnsi" w:cstheme="minorHAnsi"/>
                <w:bCs/>
                <w:color w:val="000000"/>
                <w:sz w:val="18"/>
                <w:szCs w:val="18"/>
              </w:rPr>
              <w:t xml:space="preserve">Prispevanje k blažitvi podnebnih sprememb in prilagajanju nanje </w:t>
            </w:r>
            <w:r w:rsidRPr="00B7760C">
              <w:rPr>
                <w:rFonts w:asciiTheme="minorHAnsi" w:hAnsiTheme="minorHAnsi" w:cstheme="minorHAnsi"/>
                <w:b/>
                <w:bCs/>
                <w:i/>
                <w:color w:val="000000"/>
                <w:sz w:val="18"/>
                <w:szCs w:val="18"/>
              </w:rPr>
              <w:t>ter k trajnostni energiji</w:t>
            </w:r>
          </w:p>
          <w:p w14:paraId="2ACB1BA3" w14:textId="77777777" w:rsidR="00182609" w:rsidRPr="00B7760C" w:rsidRDefault="00182609" w:rsidP="009D3E2B">
            <w:pPr>
              <w:widowControl/>
              <w:spacing w:before="120" w:after="120" w:line="276" w:lineRule="auto"/>
              <w:rPr>
                <w:rFonts w:asciiTheme="minorHAnsi" w:hAnsiTheme="minorHAnsi" w:cstheme="minorHAnsi"/>
                <w:b/>
                <w:bCs/>
                <w:color w:val="000000"/>
                <w:sz w:val="18"/>
                <w:szCs w:val="18"/>
              </w:rPr>
            </w:pPr>
            <w:r w:rsidRPr="00B7760C">
              <w:rPr>
                <w:rFonts w:asciiTheme="minorHAnsi" w:hAnsiTheme="minorHAnsi" w:cstheme="minorHAnsi"/>
                <w:b/>
                <w:bCs/>
                <w:color w:val="000000"/>
                <w:sz w:val="18"/>
                <w:szCs w:val="18"/>
              </w:rPr>
              <w:t> </w:t>
            </w:r>
          </w:p>
        </w:tc>
        <w:tc>
          <w:tcPr>
            <w:tcW w:w="3215" w:type="dxa"/>
            <w:tcBorders>
              <w:top w:val="single" w:sz="4" w:space="0" w:color="0070C0"/>
              <w:left w:val="single" w:sz="4" w:space="0" w:color="0070C0"/>
              <w:right w:val="single" w:sz="4" w:space="0" w:color="0070C0"/>
            </w:tcBorders>
            <w:noWrap/>
            <w:hideMark/>
          </w:tcPr>
          <w:p w14:paraId="4CEFF708" w14:textId="77777777" w:rsidR="00182609" w:rsidRPr="00B7760C" w:rsidRDefault="00182609" w:rsidP="009D3E2B">
            <w:pPr>
              <w:widowControl/>
              <w:spacing w:before="120" w:after="120" w:line="276" w:lineRule="auto"/>
              <w:rPr>
                <w:rFonts w:asciiTheme="minorHAnsi" w:hAnsiTheme="minorHAnsi" w:cstheme="minorHAnsi"/>
                <w:sz w:val="18"/>
                <w:szCs w:val="18"/>
              </w:rPr>
            </w:pPr>
            <w:r w:rsidRPr="00B7760C">
              <w:rPr>
                <w:rFonts w:asciiTheme="minorHAnsi" w:hAnsiTheme="minorHAnsi" w:cstheme="minorHAnsi"/>
                <w:sz w:val="18"/>
                <w:szCs w:val="18"/>
              </w:rPr>
              <w:t>I.9 Izboljšanje odpornosti kmetij: indeks</w:t>
            </w:r>
          </w:p>
        </w:tc>
        <w:tc>
          <w:tcPr>
            <w:tcW w:w="4552" w:type="dxa"/>
            <w:tcBorders>
              <w:top w:val="single" w:sz="4" w:space="0" w:color="0070C0"/>
              <w:left w:val="single" w:sz="4" w:space="0" w:color="0070C0"/>
              <w:right w:val="single" w:sz="4" w:space="0" w:color="0070C0"/>
            </w:tcBorders>
          </w:tcPr>
          <w:p w14:paraId="2CE4DE4D" w14:textId="77777777" w:rsidR="00182609" w:rsidRPr="00B7760C" w:rsidRDefault="00182609" w:rsidP="009D3E2B">
            <w:pPr>
              <w:widowControl/>
              <w:spacing w:before="120" w:after="120" w:line="276" w:lineRule="auto"/>
              <w:rPr>
                <w:rFonts w:asciiTheme="minorHAnsi" w:hAnsiTheme="minorHAnsi" w:cstheme="minorHAnsi"/>
                <w:sz w:val="18"/>
                <w:szCs w:val="18"/>
              </w:rPr>
            </w:pPr>
            <w:r w:rsidRPr="00B7760C">
              <w:rPr>
                <w:rFonts w:asciiTheme="minorHAnsi" w:hAnsiTheme="minorHAnsi" w:cstheme="minorHAnsi"/>
                <w:sz w:val="18"/>
                <w:szCs w:val="18"/>
              </w:rPr>
              <w:t>R.12 Prilagajanje podnebnim spremembam: delež kmetijskih zemljišč s prevzetimi obveznostmi za izboljšanje prilagajanja podnebnim spremembam</w:t>
            </w:r>
          </w:p>
        </w:tc>
        <w:tc>
          <w:tcPr>
            <w:tcW w:w="228" w:type="dxa"/>
            <w:tcBorders>
              <w:left w:val="single" w:sz="4" w:space="0" w:color="0070C0"/>
              <w:right w:val="single" w:sz="4" w:space="0" w:color="0070C0"/>
            </w:tcBorders>
          </w:tcPr>
          <w:p w14:paraId="6330F521" w14:textId="77777777" w:rsidR="00182609" w:rsidRPr="00B7760C" w:rsidRDefault="00182609" w:rsidP="009D3E2B">
            <w:pPr>
              <w:widowControl/>
              <w:spacing w:before="120" w:after="120" w:line="276" w:lineRule="auto"/>
              <w:rPr>
                <w:rFonts w:asciiTheme="minorHAnsi" w:hAnsiTheme="minorHAnsi" w:cstheme="minorHAnsi"/>
                <w:sz w:val="18"/>
                <w:szCs w:val="18"/>
                <w:lang w:eastAsia="fr-BE"/>
              </w:rPr>
            </w:pPr>
          </w:p>
        </w:tc>
        <w:tc>
          <w:tcPr>
            <w:tcW w:w="1649" w:type="dxa"/>
            <w:tcBorders>
              <w:left w:val="single" w:sz="4" w:space="0" w:color="0070C0"/>
              <w:bottom w:val="single" w:sz="4" w:space="0" w:color="0070C0"/>
              <w:right w:val="single" w:sz="4" w:space="0" w:color="0070C0"/>
            </w:tcBorders>
          </w:tcPr>
          <w:p w14:paraId="6838E5ED" w14:textId="77777777" w:rsidR="00182609" w:rsidRPr="00B7760C" w:rsidRDefault="00182609" w:rsidP="009D3E2B">
            <w:pPr>
              <w:widowControl/>
              <w:spacing w:before="120" w:after="120"/>
              <w:rPr>
                <w:rFonts w:asciiTheme="minorHAnsi" w:hAnsiTheme="minorHAnsi" w:cstheme="minorHAnsi"/>
                <w:b/>
                <w:bCs/>
                <w:color w:val="000000"/>
                <w:sz w:val="18"/>
                <w:szCs w:val="18"/>
                <w:lang w:eastAsia="fr-BE"/>
              </w:rPr>
            </w:pPr>
          </w:p>
        </w:tc>
        <w:tc>
          <w:tcPr>
            <w:tcW w:w="3212" w:type="dxa"/>
            <w:tcBorders>
              <w:left w:val="single" w:sz="4" w:space="0" w:color="0070C0"/>
              <w:bottom w:val="single" w:sz="4" w:space="0" w:color="0070C0"/>
              <w:right w:val="single" w:sz="4" w:space="0" w:color="0070C0"/>
            </w:tcBorders>
          </w:tcPr>
          <w:p w14:paraId="69D9A75C" w14:textId="77777777" w:rsidR="00182609" w:rsidRPr="00B7760C" w:rsidRDefault="00182609" w:rsidP="009D3E2B">
            <w:pPr>
              <w:widowControl/>
              <w:spacing w:before="120" w:after="120"/>
              <w:rPr>
                <w:rFonts w:asciiTheme="minorHAnsi" w:hAnsiTheme="minorHAnsi" w:cstheme="minorHAnsi"/>
                <w:color w:val="000000"/>
                <w:sz w:val="18"/>
                <w:szCs w:val="18"/>
              </w:rPr>
            </w:pPr>
            <w:r w:rsidRPr="00B7760C">
              <w:rPr>
                <w:rFonts w:asciiTheme="minorHAnsi" w:hAnsiTheme="minorHAnsi" w:cstheme="minorHAnsi"/>
                <w:color w:val="000000"/>
                <w:sz w:val="18"/>
                <w:szCs w:val="18"/>
              </w:rPr>
              <w:t>O.12 Število hektarov, ki prejemajo podporo v okviru omrežja Natura 2000 ali okvirne direktive o vodah</w:t>
            </w:r>
          </w:p>
        </w:tc>
      </w:tr>
      <w:tr w:rsidR="00182609" w:rsidRPr="00B7760C" w14:paraId="5A5564C1" w14:textId="77777777" w:rsidTr="00A35DEB">
        <w:trPr>
          <w:trHeight w:val="929"/>
        </w:trPr>
        <w:tc>
          <w:tcPr>
            <w:tcW w:w="2277" w:type="dxa"/>
            <w:vMerge/>
            <w:tcBorders>
              <w:left w:val="single" w:sz="4" w:space="0" w:color="0070C0"/>
              <w:bottom w:val="dashed" w:sz="4" w:space="0" w:color="0070C0"/>
              <w:right w:val="single" w:sz="4" w:space="0" w:color="0070C0"/>
            </w:tcBorders>
            <w:hideMark/>
          </w:tcPr>
          <w:p w14:paraId="52E7CFAB" w14:textId="77777777" w:rsidR="00182609" w:rsidRPr="00B7760C" w:rsidRDefault="00182609" w:rsidP="009D3E2B">
            <w:pPr>
              <w:widowControl/>
              <w:spacing w:before="120" w:after="120" w:line="276" w:lineRule="auto"/>
              <w:rPr>
                <w:rFonts w:asciiTheme="minorHAnsi" w:hAnsiTheme="minorHAnsi" w:cstheme="minorHAnsi"/>
                <w:b/>
                <w:bCs/>
                <w:color w:val="000000"/>
                <w:sz w:val="18"/>
                <w:szCs w:val="18"/>
                <w:lang w:eastAsia="fr-BE"/>
              </w:rPr>
            </w:pPr>
          </w:p>
        </w:tc>
        <w:tc>
          <w:tcPr>
            <w:tcW w:w="3215" w:type="dxa"/>
            <w:tcBorders>
              <w:left w:val="single" w:sz="4" w:space="0" w:color="0070C0"/>
              <w:bottom w:val="dashed" w:sz="4" w:space="0" w:color="0070C0"/>
              <w:right w:val="single" w:sz="4" w:space="0" w:color="0070C0"/>
            </w:tcBorders>
            <w:noWrap/>
          </w:tcPr>
          <w:p w14:paraId="2216A864" w14:textId="77777777" w:rsidR="00182609" w:rsidRPr="00B7760C" w:rsidRDefault="00182609" w:rsidP="009D3E2B">
            <w:pPr>
              <w:widowControl/>
              <w:spacing w:before="120" w:after="120" w:line="276" w:lineRule="auto"/>
              <w:rPr>
                <w:rFonts w:asciiTheme="minorHAnsi" w:hAnsiTheme="minorHAnsi" w:cstheme="minorHAnsi"/>
                <w:bCs/>
                <w:sz w:val="18"/>
                <w:szCs w:val="18"/>
              </w:rPr>
            </w:pPr>
            <w:r w:rsidRPr="00B7760C">
              <w:rPr>
                <w:rFonts w:asciiTheme="minorHAnsi" w:hAnsiTheme="minorHAnsi" w:cstheme="minorHAnsi"/>
                <w:sz w:val="18"/>
                <w:szCs w:val="18"/>
              </w:rPr>
              <w:t xml:space="preserve">I.10 </w:t>
            </w:r>
            <w:r w:rsidRPr="00B7760C">
              <w:rPr>
                <w:rFonts w:asciiTheme="minorHAnsi" w:hAnsiTheme="minorHAnsi" w:cstheme="minorHAnsi"/>
                <w:bCs/>
                <w:sz w:val="18"/>
                <w:szCs w:val="18"/>
              </w:rPr>
              <w:t>Prispevek k blažitvi podnebnih sprememb: zmanjšanje emisij toplogrednih plinov iz kmetijstva</w:t>
            </w:r>
          </w:p>
          <w:p w14:paraId="5A46D2ED" w14:textId="77777777" w:rsidR="00182609" w:rsidRPr="00B7760C" w:rsidRDefault="00182609" w:rsidP="009D3E2B">
            <w:pPr>
              <w:widowControl/>
              <w:spacing w:before="120" w:after="120" w:line="276" w:lineRule="auto"/>
              <w:rPr>
                <w:rFonts w:asciiTheme="minorHAnsi" w:hAnsiTheme="minorHAnsi" w:cstheme="minorHAnsi"/>
                <w:sz w:val="18"/>
                <w:szCs w:val="18"/>
              </w:rPr>
            </w:pPr>
            <w:r w:rsidRPr="00B7760C">
              <w:rPr>
                <w:rFonts w:asciiTheme="minorHAnsi" w:hAnsiTheme="minorHAnsi" w:cstheme="minorHAnsi"/>
                <w:sz w:val="18"/>
                <w:szCs w:val="18"/>
              </w:rPr>
              <w:t>I.11 Povečanje sekvestracije ogljika: povečanje ravni organskega ogljika v tleh</w:t>
            </w:r>
          </w:p>
          <w:p w14:paraId="6A16BCB1" w14:textId="77777777" w:rsidR="00182609" w:rsidRPr="00B7760C" w:rsidRDefault="00182609" w:rsidP="009D3E2B">
            <w:pPr>
              <w:widowControl/>
              <w:spacing w:before="120" w:after="120" w:line="276" w:lineRule="auto"/>
              <w:rPr>
                <w:rFonts w:asciiTheme="minorHAnsi" w:hAnsiTheme="minorHAnsi" w:cstheme="minorHAnsi"/>
                <w:b/>
                <w:i/>
                <w:sz w:val="18"/>
                <w:szCs w:val="18"/>
              </w:rPr>
            </w:pPr>
            <w:r w:rsidRPr="00B7760C">
              <w:rPr>
                <w:rFonts w:asciiTheme="minorHAnsi" w:hAnsiTheme="minorHAnsi" w:cstheme="minorHAnsi"/>
                <w:b/>
                <w:i/>
                <w:sz w:val="18"/>
                <w:szCs w:val="18"/>
              </w:rPr>
              <w:t>I.12 Povečanje</w:t>
            </w:r>
            <w:r w:rsidRPr="00B7760C">
              <w:rPr>
                <w:rFonts w:asciiTheme="minorHAnsi" w:hAnsiTheme="minorHAnsi" w:cstheme="minorHAnsi"/>
                <w:sz w:val="18"/>
                <w:szCs w:val="18"/>
              </w:rPr>
              <w:t xml:space="preserve"> trajnostne energije v kmetijstvu:</w:t>
            </w:r>
            <w:r w:rsidRPr="00B7760C">
              <w:rPr>
                <w:rFonts w:asciiTheme="minorHAnsi" w:hAnsiTheme="minorHAnsi" w:cstheme="minorHAnsi"/>
                <w:b/>
                <w:i/>
                <w:sz w:val="18"/>
                <w:szCs w:val="18"/>
              </w:rPr>
              <w:t xml:space="preserve"> </w:t>
            </w:r>
            <w:r w:rsidRPr="00B7760C">
              <w:rPr>
                <w:rFonts w:asciiTheme="minorHAnsi" w:hAnsiTheme="minorHAnsi" w:cstheme="minorHAnsi"/>
                <w:sz w:val="18"/>
                <w:szCs w:val="18"/>
              </w:rPr>
              <w:t>pridobivanje energije iz obnovljivih virov iz kmetijstva in gozdarstva</w:t>
            </w:r>
          </w:p>
        </w:tc>
        <w:tc>
          <w:tcPr>
            <w:tcW w:w="4552" w:type="dxa"/>
            <w:tcBorders>
              <w:left w:val="single" w:sz="4" w:space="0" w:color="0070C0"/>
              <w:bottom w:val="dashed" w:sz="4" w:space="0" w:color="0070C0"/>
              <w:right w:val="single" w:sz="4" w:space="0" w:color="0070C0"/>
            </w:tcBorders>
          </w:tcPr>
          <w:p w14:paraId="0551B00A" w14:textId="77777777" w:rsidR="00182609" w:rsidRPr="00B7760C" w:rsidRDefault="00182609" w:rsidP="009D3E2B">
            <w:pPr>
              <w:widowControl/>
              <w:spacing w:before="120" w:after="120" w:line="276" w:lineRule="auto"/>
              <w:rPr>
                <w:rFonts w:asciiTheme="minorHAnsi" w:hAnsiTheme="minorHAnsi" w:cstheme="minorHAnsi"/>
                <w:sz w:val="18"/>
                <w:szCs w:val="18"/>
              </w:rPr>
            </w:pPr>
            <w:r w:rsidRPr="00B7760C">
              <w:rPr>
                <w:rFonts w:asciiTheme="minorHAnsi" w:hAnsiTheme="minorHAnsi" w:cstheme="minorHAnsi"/>
                <w:bCs/>
                <w:sz w:val="18"/>
                <w:szCs w:val="18"/>
              </w:rPr>
              <w:t xml:space="preserve">R.13 Zmanjšanje emisij v živinorejskem sektorju: </w:t>
            </w:r>
            <w:r w:rsidRPr="00B7760C">
              <w:rPr>
                <w:rFonts w:asciiTheme="minorHAnsi" w:hAnsiTheme="minorHAnsi" w:cstheme="minorHAnsi"/>
                <w:sz w:val="18"/>
                <w:szCs w:val="18"/>
              </w:rPr>
              <w:t xml:space="preserve">delež glav velike živine s podporo za zmanjšanje emisij toplogrednih plinov in/ali amoniaka, vključno z </w:t>
            </w:r>
            <w:r w:rsidRPr="00B7760C">
              <w:rPr>
                <w:rFonts w:asciiTheme="minorHAnsi" w:hAnsiTheme="minorHAnsi" w:cstheme="minorHAnsi"/>
                <w:b/>
                <w:i/>
                <w:sz w:val="18"/>
                <w:szCs w:val="18"/>
              </w:rPr>
              <w:t>ravnanjem z gnojem</w:t>
            </w:r>
          </w:p>
          <w:p w14:paraId="29DB2C07" w14:textId="77777777" w:rsidR="00182609" w:rsidRPr="00B7760C" w:rsidRDefault="00182609" w:rsidP="009D3E2B">
            <w:pPr>
              <w:widowControl/>
              <w:spacing w:before="120" w:after="120" w:line="276" w:lineRule="auto"/>
              <w:rPr>
                <w:rFonts w:asciiTheme="minorHAnsi" w:hAnsiTheme="minorHAnsi" w:cstheme="minorHAnsi"/>
                <w:sz w:val="18"/>
                <w:szCs w:val="18"/>
              </w:rPr>
            </w:pPr>
            <w:r w:rsidRPr="00B7760C">
              <w:rPr>
                <w:rFonts w:asciiTheme="minorHAnsi" w:hAnsiTheme="minorHAnsi" w:cstheme="minorHAnsi"/>
                <w:sz w:val="18"/>
                <w:szCs w:val="18"/>
              </w:rPr>
              <w:t>R.14 Shranjevanje ogljika v tleh in biomasi:</w:t>
            </w:r>
            <w:r w:rsidRPr="00B7760C">
              <w:rPr>
                <w:rFonts w:asciiTheme="minorHAnsi" w:hAnsiTheme="minorHAnsi" w:cstheme="minorHAnsi"/>
                <w:b/>
                <w:bCs/>
                <w:sz w:val="18"/>
                <w:szCs w:val="18"/>
              </w:rPr>
              <w:t xml:space="preserve"> </w:t>
            </w:r>
            <w:r w:rsidRPr="00B7760C">
              <w:rPr>
                <w:rFonts w:asciiTheme="minorHAnsi" w:hAnsiTheme="minorHAnsi" w:cstheme="minorHAnsi"/>
                <w:sz w:val="18"/>
                <w:szCs w:val="18"/>
              </w:rPr>
              <w:t>delež kmetijskih zemljišč s prevzetimi obveznostmi za zmanjšanje emisij, ohranjanje in/ali povečevanje skladiščenja ogljika (trajno travinje, kmetijska zemljišča, šotišča, gozd itn.)</w:t>
            </w:r>
          </w:p>
          <w:p w14:paraId="5834CB74" w14:textId="77777777" w:rsidR="00182609" w:rsidRPr="00B7760C" w:rsidRDefault="00182609" w:rsidP="009D3E2B">
            <w:pPr>
              <w:widowControl/>
              <w:spacing w:before="120" w:after="120" w:line="276" w:lineRule="auto"/>
              <w:rPr>
                <w:rFonts w:asciiTheme="minorHAnsi" w:hAnsiTheme="minorHAnsi" w:cstheme="minorHAnsi"/>
                <w:sz w:val="18"/>
                <w:szCs w:val="18"/>
              </w:rPr>
            </w:pPr>
            <w:r w:rsidRPr="00B7760C">
              <w:rPr>
                <w:rFonts w:asciiTheme="minorHAnsi" w:hAnsiTheme="minorHAnsi" w:cstheme="minorHAnsi"/>
                <w:bCs/>
                <w:sz w:val="18"/>
                <w:szCs w:val="18"/>
              </w:rPr>
              <w:t>R.15</w:t>
            </w:r>
            <w:r w:rsidRPr="00B7760C">
              <w:rPr>
                <w:rFonts w:asciiTheme="minorHAnsi" w:hAnsiTheme="minorHAnsi" w:cstheme="minorHAnsi"/>
                <w:sz w:val="18"/>
                <w:szCs w:val="18"/>
              </w:rPr>
              <w:t xml:space="preserve"> </w:t>
            </w:r>
            <w:r w:rsidRPr="00B7760C">
              <w:rPr>
                <w:rFonts w:asciiTheme="minorHAnsi" w:hAnsiTheme="minorHAnsi" w:cstheme="minorHAnsi"/>
                <w:b/>
                <w:i/>
                <w:sz w:val="18"/>
                <w:szCs w:val="18"/>
              </w:rPr>
              <w:t>Zelena</w:t>
            </w:r>
            <w:r w:rsidRPr="00B7760C">
              <w:rPr>
                <w:rFonts w:asciiTheme="minorHAnsi" w:hAnsiTheme="minorHAnsi" w:cstheme="minorHAnsi"/>
                <w:sz w:val="18"/>
                <w:szCs w:val="18"/>
              </w:rPr>
              <w:t xml:space="preserve"> energija iz kmetijstva in gozdarstva: naložbe v zmogljivosti za proizvodnjo energije iz obnovljivih virov, vključno z biološkimi (MW)</w:t>
            </w:r>
          </w:p>
          <w:p w14:paraId="7C6E02D8" w14:textId="77777777" w:rsidR="00182609" w:rsidRPr="00B7760C" w:rsidRDefault="00182609" w:rsidP="009D3E2B">
            <w:pPr>
              <w:widowControl/>
              <w:spacing w:before="120" w:after="120" w:line="276" w:lineRule="auto"/>
              <w:rPr>
                <w:rFonts w:asciiTheme="minorHAnsi" w:hAnsiTheme="minorHAnsi" w:cstheme="minorHAnsi"/>
                <w:sz w:val="18"/>
                <w:szCs w:val="18"/>
              </w:rPr>
            </w:pPr>
            <w:r w:rsidRPr="00B7760C">
              <w:rPr>
                <w:rFonts w:asciiTheme="minorHAnsi" w:hAnsiTheme="minorHAnsi" w:cstheme="minorHAnsi"/>
                <w:sz w:val="18"/>
                <w:szCs w:val="18"/>
              </w:rPr>
              <w:t>R.16 Povečanje energijske učinkovitosti: prihranki energije v kmetijstvu</w:t>
            </w:r>
          </w:p>
          <w:p w14:paraId="23701347" w14:textId="77777777" w:rsidR="00182609" w:rsidRPr="00B7760C" w:rsidRDefault="00182609" w:rsidP="009D3E2B">
            <w:pPr>
              <w:widowControl/>
              <w:spacing w:before="120" w:after="120" w:line="276" w:lineRule="auto"/>
              <w:rPr>
                <w:rFonts w:asciiTheme="minorHAnsi" w:hAnsiTheme="minorHAnsi" w:cstheme="minorHAnsi"/>
                <w:sz w:val="18"/>
                <w:szCs w:val="18"/>
              </w:rPr>
            </w:pPr>
            <w:r w:rsidRPr="00B7760C">
              <w:rPr>
                <w:rFonts w:asciiTheme="minorHAnsi" w:hAnsiTheme="minorHAnsi" w:cstheme="minorHAnsi"/>
                <w:sz w:val="18"/>
                <w:szCs w:val="18"/>
              </w:rPr>
              <w:t>Pogozdena zemljišča:</w:t>
            </w:r>
            <w:r w:rsidRPr="00B7760C">
              <w:rPr>
                <w:rFonts w:asciiTheme="minorHAnsi" w:hAnsiTheme="minorHAnsi" w:cstheme="minorHAnsi"/>
                <w:bCs/>
                <w:sz w:val="18"/>
                <w:szCs w:val="18"/>
              </w:rPr>
              <w:t xml:space="preserve"> </w:t>
            </w:r>
            <w:r w:rsidRPr="00B7760C">
              <w:rPr>
                <w:rFonts w:asciiTheme="minorHAnsi" w:hAnsiTheme="minorHAnsi" w:cstheme="minorHAnsi"/>
                <w:sz w:val="18"/>
                <w:szCs w:val="18"/>
              </w:rPr>
              <w:t>območja s podporo za pogozdovanje in ustvarjanje gozdnega območja, vključno s kmetijsko-gozdarskim sistemom</w:t>
            </w:r>
          </w:p>
        </w:tc>
        <w:tc>
          <w:tcPr>
            <w:tcW w:w="228" w:type="dxa"/>
            <w:tcBorders>
              <w:left w:val="single" w:sz="4" w:space="0" w:color="0070C0"/>
              <w:right w:val="single" w:sz="4" w:space="0" w:color="0070C0"/>
            </w:tcBorders>
          </w:tcPr>
          <w:p w14:paraId="1DA0598C" w14:textId="77777777" w:rsidR="00182609" w:rsidRPr="00B7760C" w:rsidRDefault="00182609" w:rsidP="009D3E2B">
            <w:pPr>
              <w:widowControl/>
              <w:spacing w:before="120" w:after="120" w:line="276" w:lineRule="auto"/>
              <w:rPr>
                <w:rFonts w:asciiTheme="minorHAnsi" w:hAnsiTheme="minorHAnsi" w:cstheme="minorHAnsi"/>
                <w:sz w:val="18"/>
                <w:szCs w:val="18"/>
                <w:lang w:eastAsia="fr-BE"/>
              </w:rPr>
            </w:pPr>
          </w:p>
        </w:tc>
        <w:tc>
          <w:tcPr>
            <w:tcW w:w="1649" w:type="dxa"/>
            <w:tcBorders>
              <w:top w:val="single" w:sz="4" w:space="0" w:color="0070C0"/>
              <w:left w:val="single" w:sz="4" w:space="0" w:color="0070C0"/>
              <w:right w:val="single" w:sz="4" w:space="0" w:color="0070C0"/>
            </w:tcBorders>
          </w:tcPr>
          <w:p w14:paraId="2B97FFAA" w14:textId="77777777" w:rsidR="00182609" w:rsidRPr="00B7760C" w:rsidRDefault="00182609" w:rsidP="009D3E2B">
            <w:pPr>
              <w:widowControl/>
              <w:spacing w:before="120" w:after="120"/>
              <w:rPr>
                <w:rFonts w:asciiTheme="minorHAnsi" w:hAnsiTheme="minorHAnsi" w:cstheme="minorHAnsi"/>
                <w:b/>
                <w:bCs/>
                <w:color w:val="000000"/>
                <w:sz w:val="18"/>
                <w:szCs w:val="18"/>
              </w:rPr>
            </w:pPr>
            <w:r w:rsidRPr="00B7760C">
              <w:rPr>
                <w:rFonts w:asciiTheme="minorHAnsi" w:hAnsiTheme="minorHAnsi" w:cstheme="minorHAnsi"/>
                <w:b/>
                <w:bCs/>
                <w:color w:val="000000"/>
                <w:sz w:val="18"/>
                <w:szCs w:val="18"/>
              </w:rPr>
              <w:t>Plačila za upravljavske obveznosti (okolje in podnebje, genski viri, dobrobit živali)</w:t>
            </w:r>
          </w:p>
        </w:tc>
        <w:tc>
          <w:tcPr>
            <w:tcW w:w="3212" w:type="dxa"/>
            <w:tcBorders>
              <w:top w:val="single" w:sz="4" w:space="0" w:color="0070C0"/>
              <w:left w:val="single" w:sz="4" w:space="0" w:color="0070C0"/>
              <w:right w:val="single" w:sz="4" w:space="0" w:color="0070C0"/>
            </w:tcBorders>
          </w:tcPr>
          <w:p w14:paraId="0137F241" w14:textId="77777777" w:rsidR="00182609" w:rsidRPr="00B7760C" w:rsidRDefault="00182609" w:rsidP="009D3E2B">
            <w:pPr>
              <w:widowControl/>
              <w:spacing w:before="120" w:after="120"/>
              <w:rPr>
                <w:rFonts w:asciiTheme="minorHAnsi" w:hAnsiTheme="minorHAnsi" w:cstheme="minorHAnsi"/>
                <w:color w:val="000000"/>
                <w:sz w:val="18"/>
                <w:szCs w:val="18"/>
              </w:rPr>
            </w:pPr>
            <w:r w:rsidRPr="00B7760C">
              <w:rPr>
                <w:rFonts w:asciiTheme="minorHAnsi" w:hAnsiTheme="minorHAnsi" w:cstheme="minorHAnsi"/>
                <w:color w:val="000000"/>
                <w:sz w:val="18"/>
                <w:szCs w:val="18"/>
              </w:rPr>
              <w:t>O.13 Število hektarov (kmetijskih zemljišč), za katere veljajo okoljske/podnebne prevzete obveznosti, ki presegajo obvezne zahteve</w:t>
            </w:r>
          </w:p>
        </w:tc>
      </w:tr>
    </w:tbl>
    <w:p w14:paraId="19072259" w14:textId="77777777" w:rsidR="00182609" w:rsidRPr="00B7760C" w:rsidRDefault="00182609" w:rsidP="009D3E2B">
      <w:pPr>
        <w:widowControl/>
        <w:spacing w:before="120" w:after="120"/>
        <w:rPr>
          <w:rFonts w:asciiTheme="minorHAnsi" w:eastAsia="Calibri" w:hAnsiTheme="minorHAnsi" w:cstheme="minorHAnsi"/>
          <w:szCs w:val="22"/>
        </w:rPr>
      </w:pPr>
      <w:r w:rsidRPr="00B7760C">
        <w:rPr>
          <w:rFonts w:asciiTheme="minorHAnsi" w:hAnsiTheme="minorHAnsi" w:cstheme="minorHAnsi"/>
        </w:rPr>
        <w:br w:type="page"/>
      </w:r>
    </w:p>
    <w:tbl>
      <w:tblPr>
        <w:tblStyle w:val="TableGridLight1"/>
        <w:tblW w:w="15194"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84"/>
        <w:gridCol w:w="3226"/>
        <w:gridCol w:w="4567"/>
        <w:gridCol w:w="239"/>
        <w:gridCol w:w="1655"/>
        <w:gridCol w:w="3223"/>
      </w:tblGrid>
      <w:tr w:rsidR="00182609" w:rsidRPr="00B7760C" w14:paraId="40449949" w14:textId="77777777" w:rsidTr="00A35DEB">
        <w:trPr>
          <w:cantSplit/>
          <w:trHeight w:val="419"/>
        </w:trPr>
        <w:tc>
          <w:tcPr>
            <w:tcW w:w="2284" w:type="dxa"/>
            <w:tcBorders>
              <w:top w:val="single" w:sz="4" w:space="0" w:color="0070C0"/>
              <w:left w:val="single" w:sz="4" w:space="0" w:color="0070C0"/>
              <w:bottom w:val="single" w:sz="4" w:space="0" w:color="0070C0"/>
              <w:right w:val="single" w:sz="4" w:space="0" w:color="0070C0"/>
            </w:tcBorders>
            <w:shd w:val="clear" w:color="auto" w:fill="auto"/>
          </w:tcPr>
          <w:p w14:paraId="41BD744B" w14:textId="77777777" w:rsidR="00182609" w:rsidRPr="00B7760C" w:rsidRDefault="00182609" w:rsidP="009D3E2B">
            <w:pPr>
              <w:widowControl/>
              <w:spacing w:before="120" w:after="120" w:line="276" w:lineRule="auto"/>
              <w:ind w:left="64"/>
              <w:rPr>
                <w:rFonts w:asciiTheme="minorHAnsi" w:hAnsiTheme="minorHAnsi" w:cstheme="minorHAnsi"/>
                <w:bCs/>
                <w:sz w:val="18"/>
                <w:szCs w:val="18"/>
              </w:rPr>
            </w:pPr>
            <w:r w:rsidRPr="00B7760C">
              <w:rPr>
                <w:rFonts w:asciiTheme="minorHAnsi" w:hAnsiTheme="minorHAnsi" w:cstheme="minorHAnsi"/>
              </w:rPr>
              <w:br w:type="page"/>
            </w:r>
            <w:r w:rsidRPr="00B7760C">
              <w:rPr>
                <w:rFonts w:asciiTheme="minorHAnsi" w:hAnsiTheme="minorHAnsi" w:cstheme="minorHAnsi"/>
                <w:bCs/>
                <w:sz w:val="18"/>
                <w:szCs w:val="18"/>
              </w:rPr>
              <w:t>Specifični cilji EU</w:t>
            </w:r>
          </w:p>
        </w:tc>
        <w:tc>
          <w:tcPr>
            <w:tcW w:w="3226" w:type="dxa"/>
            <w:tcBorders>
              <w:top w:val="single" w:sz="4" w:space="0" w:color="0070C0"/>
              <w:left w:val="single" w:sz="4" w:space="0" w:color="0070C0"/>
              <w:bottom w:val="single" w:sz="4" w:space="0" w:color="0070C0"/>
              <w:right w:val="single" w:sz="4" w:space="0" w:color="0070C0"/>
            </w:tcBorders>
            <w:shd w:val="clear" w:color="auto" w:fill="auto"/>
          </w:tcPr>
          <w:p w14:paraId="1C23316C" w14:textId="77777777" w:rsidR="00182609" w:rsidRPr="00B7760C" w:rsidRDefault="00182609" w:rsidP="009D3E2B">
            <w:pPr>
              <w:widowControl/>
              <w:spacing w:before="120" w:after="120" w:line="276" w:lineRule="auto"/>
              <w:ind w:left="64"/>
              <w:rPr>
                <w:rFonts w:asciiTheme="minorHAnsi" w:hAnsiTheme="minorHAnsi" w:cstheme="minorHAnsi"/>
                <w:bCs/>
                <w:sz w:val="18"/>
                <w:szCs w:val="18"/>
              </w:rPr>
            </w:pPr>
            <w:r w:rsidRPr="00B7760C">
              <w:rPr>
                <w:rFonts w:asciiTheme="minorHAnsi" w:hAnsiTheme="minorHAnsi" w:cstheme="minorHAnsi"/>
                <w:bCs/>
                <w:sz w:val="18"/>
                <w:szCs w:val="18"/>
              </w:rPr>
              <w:t>Kazalniki učinka</w:t>
            </w:r>
          </w:p>
        </w:tc>
        <w:tc>
          <w:tcPr>
            <w:tcW w:w="4567" w:type="dxa"/>
            <w:tcBorders>
              <w:top w:val="single" w:sz="4" w:space="0" w:color="0070C0"/>
              <w:left w:val="single" w:sz="4" w:space="0" w:color="0070C0"/>
              <w:bottom w:val="single" w:sz="4" w:space="0" w:color="0070C0"/>
              <w:right w:val="single" w:sz="4" w:space="0" w:color="0070C0"/>
            </w:tcBorders>
            <w:shd w:val="clear" w:color="auto" w:fill="auto"/>
          </w:tcPr>
          <w:p w14:paraId="0D2BBD5A" w14:textId="77777777" w:rsidR="00182609" w:rsidRPr="00B7760C" w:rsidRDefault="00182609" w:rsidP="009D3E2B">
            <w:pPr>
              <w:widowControl/>
              <w:spacing w:before="120" w:after="120" w:line="276" w:lineRule="auto"/>
              <w:ind w:left="64"/>
              <w:rPr>
                <w:rFonts w:asciiTheme="minorHAnsi" w:hAnsiTheme="minorHAnsi" w:cstheme="minorHAnsi"/>
                <w:bCs/>
                <w:sz w:val="18"/>
                <w:szCs w:val="18"/>
              </w:rPr>
            </w:pPr>
            <w:r w:rsidRPr="00B7760C">
              <w:rPr>
                <w:rFonts w:asciiTheme="minorHAnsi" w:hAnsiTheme="minorHAnsi" w:cstheme="minorHAnsi"/>
                <w:bCs/>
                <w:sz w:val="18"/>
                <w:szCs w:val="18"/>
              </w:rPr>
              <w:t>Kazalniki rezultatov</w:t>
            </w:r>
          </w:p>
          <w:p w14:paraId="620BD340" w14:textId="77777777" w:rsidR="00182609" w:rsidRPr="00B7760C" w:rsidRDefault="00182609" w:rsidP="009D3E2B">
            <w:pPr>
              <w:widowControl/>
              <w:spacing w:before="120" w:after="120" w:line="276" w:lineRule="auto"/>
              <w:ind w:left="64"/>
              <w:rPr>
                <w:rFonts w:asciiTheme="minorHAnsi" w:hAnsiTheme="minorHAnsi" w:cstheme="minorHAnsi"/>
                <w:bCs/>
                <w:sz w:val="18"/>
                <w:szCs w:val="18"/>
              </w:rPr>
            </w:pPr>
            <w:r w:rsidRPr="00B7760C">
              <w:rPr>
                <w:rFonts w:asciiTheme="minorHAnsi" w:hAnsiTheme="minorHAnsi" w:cstheme="minorHAnsi"/>
                <w:bCs/>
                <w:sz w:val="18"/>
                <w:szCs w:val="18"/>
              </w:rPr>
              <w:t>(samo na podlagi intervencij, ki jih podpira SKP)</w:t>
            </w:r>
          </w:p>
        </w:tc>
        <w:tc>
          <w:tcPr>
            <w:tcW w:w="239" w:type="dxa"/>
            <w:tcBorders>
              <w:left w:val="single" w:sz="4" w:space="0" w:color="0070C0"/>
              <w:right w:val="single" w:sz="4" w:space="0" w:color="0070C0"/>
            </w:tcBorders>
            <w:shd w:val="clear" w:color="auto" w:fill="auto"/>
          </w:tcPr>
          <w:p w14:paraId="7AB428DF" w14:textId="77777777" w:rsidR="00182609" w:rsidRPr="00B7760C" w:rsidRDefault="00182609" w:rsidP="009D3E2B">
            <w:pPr>
              <w:widowControl/>
              <w:spacing w:before="120" w:after="120" w:line="276" w:lineRule="auto"/>
              <w:ind w:left="64"/>
              <w:rPr>
                <w:rFonts w:asciiTheme="minorHAnsi" w:hAnsiTheme="minorHAnsi" w:cstheme="minorHAnsi"/>
                <w:bCs/>
                <w:sz w:val="18"/>
                <w:szCs w:val="18"/>
                <w:lang w:eastAsia="fr-BE"/>
              </w:rPr>
            </w:pPr>
          </w:p>
        </w:tc>
        <w:tc>
          <w:tcPr>
            <w:tcW w:w="1655" w:type="dxa"/>
            <w:tcBorders>
              <w:top w:val="single" w:sz="4" w:space="0" w:color="0070C0"/>
              <w:left w:val="single" w:sz="4" w:space="0" w:color="0070C0"/>
              <w:bottom w:val="single" w:sz="4" w:space="0" w:color="0070C0"/>
              <w:right w:val="single" w:sz="4" w:space="0" w:color="0070C0"/>
            </w:tcBorders>
            <w:shd w:val="clear" w:color="auto" w:fill="auto"/>
          </w:tcPr>
          <w:p w14:paraId="6C90DF0E" w14:textId="77777777" w:rsidR="00182609" w:rsidRPr="00B7760C" w:rsidRDefault="00182609" w:rsidP="009D3E2B">
            <w:pPr>
              <w:widowControl/>
              <w:spacing w:before="120" w:after="120"/>
              <w:rPr>
                <w:rFonts w:asciiTheme="minorHAnsi" w:hAnsiTheme="minorHAnsi" w:cstheme="minorHAnsi"/>
                <w:bCs/>
                <w:sz w:val="18"/>
                <w:szCs w:val="18"/>
              </w:rPr>
            </w:pPr>
            <w:r w:rsidRPr="00B7760C">
              <w:rPr>
                <w:rFonts w:asciiTheme="minorHAnsi" w:hAnsiTheme="minorHAnsi" w:cstheme="minorHAnsi"/>
                <w:bCs/>
                <w:sz w:val="18"/>
                <w:szCs w:val="18"/>
              </w:rPr>
              <w:t>Široka vrsta intervencije</w:t>
            </w:r>
          </w:p>
        </w:tc>
        <w:tc>
          <w:tcPr>
            <w:tcW w:w="3223" w:type="dxa"/>
            <w:tcBorders>
              <w:top w:val="single" w:sz="4" w:space="0" w:color="0070C0"/>
              <w:left w:val="single" w:sz="4" w:space="0" w:color="0070C0"/>
              <w:bottom w:val="single" w:sz="4" w:space="0" w:color="0070C0"/>
              <w:right w:val="single" w:sz="4" w:space="0" w:color="0070C0"/>
            </w:tcBorders>
            <w:shd w:val="clear" w:color="auto" w:fill="auto"/>
          </w:tcPr>
          <w:p w14:paraId="0CCA1998" w14:textId="77777777" w:rsidR="00182609" w:rsidRPr="00B7760C" w:rsidRDefault="00182609" w:rsidP="009D3E2B">
            <w:pPr>
              <w:widowControl/>
              <w:spacing w:before="120" w:after="120"/>
              <w:rPr>
                <w:rFonts w:asciiTheme="minorHAnsi" w:hAnsiTheme="minorHAnsi" w:cstheme="minorHAnsi"/>
                <w:bCs/>
                <w:sz w:val="18"/>
                <w:szCs w:val="18"/>
              </w:rPr>
            </w:pPr>
            <w:r w:rsidRPr="00B7760C">
              <w:rPr>
                <w:rFonts w:asciiTheme="minorHAnsi" w:hAnsiTheme="minorHAnsi" w:cstheme="minorHAnsi"/>
                <w:bCs/>
                <w:sz w:val="18"/>
                <w:szCs w:val="18"/>
              </w:rPr>
              <w:t>Kazalniki izložkov (na intervencijo)</w:t>
            </w:r>
          </w:p>
        </w:tc>
      </w:tr>
      <w:tr w:rsidR="00182609" w:rsidRPr="00B7760C" w14:paraId="2AC41AE8" w14:textId="77777777" w:rsidTr="00A35DEB">
        <w:trPr>
          <w:cantSplit/>
          <w:trHeight w:val="396"/>
        </w:trPr>
        <w:tc>
          <w:tcPr>
            <w:tcW w:w="2284" w:type="dxa"/>
            <w:vMerge w:val="restart"/>
            <w:tcBorders>
              <w:top w:val="dashed" w:sz="4" w:space="0" w:color="0070C0"/>
              <w:left w:val="single" w:sz="4" w:space="0" w:color="0070C0"/>
              <w:right w:val="single" w:sz="4" w:space="0" w:color="0070C0"/>
            </w:tcBorders>
            <w:noWrap/>
            <w:vAlign w:val="center"/>
            <w:hideMark/>
          </w:tcPr>
          <w:p w14:paraId="22B960C9" w14:textId="77777777" w:rsidR="00182609" w:rsidRPr="00B7760C" w:rsidRDefault="00182609" w:rsidP="009D3E2B">
            <w:pPr>
              <w:widowControl/>
              <w:spacing w:before="120" w:after="120" w:line="276" w:lineRule="auto"/>
              <w:rPr>
                <w:rFonts w:asciiTheme="minorHAnsi" w:hAnsiTheme="minorHAnsi" w:cstheme="minorHAnsi"/>
                <w:bCs/>
                <w:color w:val="000000"/>
                <w:sz w:val="18"/>
                <w:szCs w:val="18"/>
              </w:rPr>
            </w:pPr>
            <w:r w:rsidRPr="00B7760C">
              <w:rPr>
                <w:rFonts w:asciiTheme="minorHAnsi" w:hAnsiTheme="minorHAnsi" w:cstheme="minorHAnsi"/>
                <w:bCs/>
                <w:color w:val="000000"/>
                <w:sz w:val="18"/>
                <w:szCs w:val="18"/>
              </w:rPr>
              <w:t>Spodbujanje trajnostnega razvoja in učinkovitega upravljanja naravnih virov,</w:t>
            </w:r>
            <w:r w:rsidRPr="00B7760C">
              <w:rPr>
                <w:rFonts w:asciiTheme="minorHAnsi" w:hAnsiTheme="minorHAnsi" w:cstheme="minorHAnsi"/>
                <w:b/>
                <w:bCs/>
                <w:i/>
                <w:color w:val="000000"/>
                <w:sz w:val="18"/>
                <w:szCs w:val="18"/>
              </w:rPr>
              <w:t xml:space="preserve"> kot so voda, tla in zrak</w:t>
            </w:r>
          </w:p>
        </w:tc>
        <w:tc>
          <w:tcPr>
            <w:tcW w:w="3226" w:type="dxa"/>
            <w:tcBorders>
              <w:top w:val="dashed" w:sz="4" w:space="0" w:color="0070C0"/>
              <w:left w:val="single" w:sz="4" w:space="0" w:color="0070C0"/>
              <w:right w:val="single" w:sz="4" w:space="0" w:color="0070C0"/>
            </w:tcBorders>
          </w:tcPr>
          <w:p w14:paraId="3CC2BBA3" w14:textId="77777777" w:rsidR="00182609" w:rsidRPr="00B7760C" w:rsidRDefault="00182609" w:rsidP="009D3E2B">
            <w:pPr>
              <w:widowControl/>
              <w:spacing w:before="120" w:after="120" w:line="276" w:lineRule="auto"/>
              <w:rPr>
                <w:rFonts w:asciiTheme="minorHAnsi" w:hAnsiTheme="minorHAnsi" w:cstheme="minorHAnsi"/>
                <w:sz w:val="18"/>
                <w:szCs w:val="18"/>
              </w:rPr>
            </w:pPr>
            <w:r w:rsidRPr="00B7760C">
              <w:rPr>
                <w:rFonts w:asciiTheme="minorHAnsi" w:hAnsiTheme="minorHAnsi" w:cstheme="minorHAnsi"/>
                <w:sz w:val="18"/>
                <w:szCs w:val="18"/>
              </w:rPr>
              <w:t>I.13 Zmanjšanje erozije tal: odstotek zemljišč z zmerno in močno erozijo tal na kmetijskih zemljiščih</w:t>
            </w:r>
          </w:p>
        </w:tc>
        <w:tc>
          <w:tcPr>
            <w:tcW w:w="4567" w:type="dxa"/>
            <w:tcBorders>
              <w:top w:val="dashed" w:sz="4" w:space="0" w:color="0070C0"/>
              <w:left w:val="single" w:sz="4" w:space="0" w:color="0070C0"/>
              <w:right w:val="single" w:sz="4" w:space="0" w:color="0070C0"/>
            </w:tcBorders>
          </w:tcPr>
          <w:p w14:paraId="15A53409" w14:textId="77777777" w:rsidR="00182609" w:rsidRPr="00B7760C" w:rsidRDefault="00182609" w:rsidP="009D3E2B">
            <w:pPr>
              <w:widowControl/>
              <w:spacing w:before="120" w:after="120" w:line="276" w:lineRule="auto"/>
              <w:rPr>
                <w:rFonts w:asciiTheme="minorHAnsi" w:hAnsiTheme="minorHAnsi" w:cstheme="minorHAnsi"/>
                <w:sz w:val="18"/>
                <w:szCs w:val="18"/>
              </w:rPr>
            </w:pPr>
            <w:r w:rsidRPr="00B7760C">
              <w:rPr>
                <w:rFonts w:asciiTheme="minorHAnsi" w:hAnsiTheme="minorHAnsi" w:cstheme="minorHAnsi"/>
                <w:sz w:val="18"/>
                <w:szCs w:val="18"/>
              </w:rPr>
              <w:t>R.18 Izboljšanje tal:</w:t>
            </w:r>
            <w:r w:rsidRPr="00B7760C">
              <w:rPr>
                <w:rFonts w:asciiTheme="minorHAnsi" w:hAnsiTheme="minorHAnsi" w:cstheme="minorHAnsi"/>
                <w:bCs/>
                <w:sz w:val="18"/>
                <w:szCs w:val="18"/>
              </w:rPr>
              <w:t xml:space="preserve"> </w:t>
            </w:r>
            <w:r w:rsidRPr="00B7760C">
              <w:rPr>
                <w:rFonts w:asciiTheme="minorHAnsi" w:hAnsiTheme="minorHAnsi" w:cstheme="minorHAnsi"/>
                <w:sz w:val="18"/>
                <w:szCs w:val="18"/>
              </w:rPr>
              <w:t>delež kmetijskih zemljišč, za katera veljajo upravljavske obveznosti, ki so koristne za upravljanje tal</w:t>
            </w:r>
          </w:p>
        </w:tc>
        <w:tc>
          <w:tcPr>
            <w:tcW w:w="239" w:type="dxa"/>
            <w:tcBorders>
              <w:left w:val="single" w:sz="4" w:space="0" w:color="0070C0"/>
              <w:right w:val="single" w:sz="4" w:space="0" w:color="0070C0"/>
            </w:tcBorders>
          </w:tcPr>
          <w:p w14:paraId="7DC9EC3F" w14:textId="77777777" w:rsidR="00182609" w:rsidRPr="00B7760C" w:rsidRDefault="00182609" w:rsidP="009D3E2B">
            <w:pPr>
              <w:widowControl/>
              <w:spacing w:before="120" w:after="120" w:line="276" w:lineRule="auto"/>
              <w:rPr>
                <w:rFonts w:asciiTheme="minorHAnsi" w:hAnsiTheme="minorHAnsi" w:cstheme="minorHAnsi"/>
                <w:bCs/>
                <w:sz w:val="18"/>
                <w:szCs w:val="18"/>
                <w:lang w:eastAsia="fr-BE"/>
              </w:rPr>
            </w:pPr>
          </w:p>
        </w:tc>
        <w:tc>
          <w:tcPr>
            <w:tcW w:w="1655" w:type="dxa"/>
            <w:tcBorders>
              <w:left w:val="single" w:sz="4" w:space="0" w:color="0070C0"/>
              <w:right w:val="single" w:sz="4" w:space="0" w:color="0070C0"/>
            </w:tcBorders>
          </w:tcPr>
          <w:p w14:paraId="467928D1" w14:textId="77777777" w:rsidR="00182609" w:rsidRPr="00B7760C" w:rsidRDefault="00182609" w:rsidP="009D3E2B">
            <w:pPr>
              <w:widowControl/>
              <w:spacing w:before="120" w:after="120"/>
              <w:rPr>
                <w:rFonts w:asciiTheme="minorHAnsi" w:hAnsiTheme="minorHAnsi" w:cstheme="minorHAnsi"/>
                <w:b/>
                <w:bCs/>
                <w:color w:val="000000"/>
                <w:sz w:val="18"/>
                <w:szCs w:val="18"/>
                <w:lang w:eastAsia="fr-BE"/>
              </w:rPr>
            </w:pPr>
          </w:p>
        </w:tc>
        <w:tc>
          <w:tcPr>
            <w:tcW w:w="3223" w:type="dxa"/>
            <w:tcBorders>
              <w:left w:val="single" w:sz="4" w:space="0" w:color="0070C0"/>
              <w:right w:val="single" w:sz="4" w:space="0" w:color="0070C0"/>
            </w:tcBorders>
          </w:tcPr>
          <w:p w14:paraId="311FC48D" w14:textId="77777777" w:rsidR="00182609" w:rsidRPr="00B7760C" w:rsidRDefault="00182609" w:rsidP="009D3E2B">
            <w:pPr>
              <w:widowControl/>
              <w:spacing w:before="120" w:after="120"/>
              <w:rPr>
                <w:rFonts w:asciiTheme="minorHAnsi" w:hAnsiTheme="minorHAnsi" w:cstheme="minorHAnsi"/>
                <w:color w:val="000000"/>
                <w:sz w:val="18"/>
                <w:szCs w:val="18"/>
              </w:rPr>
            </w:pPr>
            <w:r w:rsidRPr="00B7760C">
              <w:rPr>
                <w:rFonts w:asciiTheme="minorHAnsi" w:hAnsiTheme="minorHAnsi" w:cstheme="minorHAnsi"/>
                <w:color w:val="000000"/>
                <w:sz w:val="18"/>
                <w:szCs w:val="18"/>
              </w:rPr>
              <w:t>O.14 Število hektarov (gozdnih zemljišč), za katere veljajo okoljske/podnebne prevzete obveznosti, ki presegajo obvezne zahteve</w:t>
            </w:r>
          </w:p>
        </w:tc>
      </w:tr>
      <w:tr w:rsidR="00182609" w:rsidRPr="00B7760C" w14:paraId="1F182547" w14:textId="77777777" w:rsidTr="00A35DEB">
        <w:trPr>
          <w:cantSplit/>
          <w:trHeight w:val="475"/>
        </w:trPr>
        <w:tc>
          <w:tcPr>
            <w:tcW w:w="2284" w:type="dxa"/>
            <w:vMerge/>
            <w:tcBorders>
              <w:left w:val="single" w:sz="4" w:space="0" w:color="0070C0"/>
              <w:right w:val="single" w:sz="4" w:space="0" w:color="0070C0"/>
            </w:tcBorders>
          </w:tcPr>
          <w:p w14:paraId="40490D46" w14:textId="77777777" w:rsidR="00182609" w:rsidRPr="00B7760C" w:rsidRDefault="00182609" w:rsidP="009D3E2B">
            <w:pPr>
              <w:widowControl/>
              <w:spacing w:before="120" w:after="120" w:line="276" w:lineRule="auto"/>
              <w:rPr>
                <w:rFonts w:asciiTheme="minorHAnsi" w:hAnsiTheme="minorHAnsi" w:cstheme="minorHAnsi"/>
                <w:b/>
                <w:bCs/>
                <w:color w:val="000000"/>
                <w:sz w:val="18"/>
                <w:szCs w:val="18"/>
                <w:lang w:eastAsia="fr-BE"/>
              </w:rPr>
            </w:pPr>
          </w:p>
        </w:tc>
        <w:tc>
          <w:tcPr>
            <w:tcW w:w="3226" w:type="dxa"/>
            <w:tcBorders>
              <w:left w:val="single" w:sz="4" w:space="0" w:color="0070C0"/>
              <w:right w:val="single" w:sz="4" w:space="0" w:color="0070C0"/>
            </w:tcBorders>
          </w:tcPr>
          <w:p w14:paraId="4D8F0BD9" w14:textId="77777777" w:rsidR="00182609" w:rsidRPr="00B7760C" w:rsidRDefault="00182609" w:rsidP="009D3E2B">
            <w:pPr>
              <w:widowControl/>
              <w:spacing w:before="120" w:after="120" w:line="276" w:lineRule="auto"/>
              <w:rPr>
                <w:rFonts w:asciiTheme="minorHAnsi" w:hAnsiTheme="minorHAnsi" w:cstheme="minorHAnsi"/>
                <w:sz w:val="18"/>
                <w:szCs w:val="18"/>
              </w:rPr>
            </w:pPr>
            <w:r w:rsidRPr="00B7760C">
              <w:rPr>
                <w:rFonts w:asciiTheme="minorHAnsi" w:hAnsiTheme="minorHAnsi" w:cstheme="minorHAnsi"/>
                <w:sz w:val="18"/>
                <w:szCs w:val="18"/>
              </w:rPr>
              <w:t xml:space="preserve">I.14 Izboljšanje kakovosti zraka: zmanjšanje emisij amoniaka iz kmetijstva </w:t>
            </w:r>
          </w:p>
        </w:tc>
        <w:tc>
          <w:tcPr>
            <w:tcW w:w="4567" w:type="dxa"/>
            <w:tcBorders>
              <w:left w:val="single" w:sz="4" w:space="0" w:color="0070C0"/>
              <w:right w:val="single" w:sz="4" w:space="0" w:color="0070C0"/>
            </w:tcBorders>
          </w:tcPr>
          <w:p w14:paraId="03C6605F" w14:textId="56930FD1" w:rsidR="00182609" w:rsidRPr="00B7760C" w:rsidRDefault="00182609" w:rsidP="009D3E2B">
            <w:pPr>
              <w:widowControl/>
              <w:spacing w:before="120" w:after="120" w:line="276" w:lineRule="auto"/>
              <w:rPr>
                <w:rFonts w:asciiTheme="minorHAnsi" w:hAnsiTheme="minorHAnsi" w:cstheme="minorHAnsi"/>
                <w:sz w:val="18"/>
                <w:szCs w:val="18"/>
              </w:rPr>
            </w:pPr>
            <w:r w:rsidRPr="00B7760C">
              <w:rPr>
                <w:rFonts w:asciiTheme="minorHAnsi" w:hAnsiTheme="minorHAnsi" w:cstheme="minorHAnsi"/>
                <w:bCs/>
                <w:sz w:val="18"/>
                <w:szCs w:val="18"/>
              </w:rPr>
              <w:t>R.19</w:t>
            </w:r>
            <w:r w:rsidRPr="00B7760C">
              <w:rPr>
                <w:rFonts w:asciiTheme="minorHAnsi" w:hAnsiTheme="minorHAnsi" w:cstheme="minorHAnsi"/>
                <w:sz w:val="18"/>
                <w:szCs w:val="18"/>
              </w:rPr>
              <w:t xml:space="preserve"> Izboljšanje kakovosti zraka: delež kmetijskih zemljišč s prevzetimi obveznostmi za zmanjšanje emisij amoniaka</w:t>
            </w:r>
          </w:p>
        </w:tc>
        <w:tc>
          <w:tcPr>
            <w:tcW w:w="239" w:type="dxa"/>
            <w:tcBorders>
              <w:left w:val="single" w:sz="4" w:space="0" w:color="0070C0"/>
              <w:right w:val="single" w:sz="4" w:space="0" w:color="0070C0"/>
            </w:tcBorders>
          </w:tcPr>
          <w:p w14:paraId="6C6BDC80" w14:textId="77777777" w:rsidR="00182609" w:rsidRPr="00B7760C" w:rsidRDefault="00182609" w:rsidP="009D3E2B">
            <w:pPr>
              <w:widowControl/>
              <w:spacing w:before="120" w:after="120" w:line="276" w:lineRule="auto"/>
              <w:rPr>
                <w:rFonts w:asciiTheme="minorHAnsi" w:hAnsiTheme="minorHAnsi" w:cstheme="minorHAnsi"/>
                <w:sz w:val="18"/>
                <w:szCs w:val="18"/>
                <w:lang w:eastAsia="fr-BE"/>
              </w:rPr>
            </w:pPr>
          </w:p>
        </w:tc>
        <w:tc>
          <w:tcPr>
            <w:tcW w:w="1655" w:type="dxa"/>
            <w:tcBorders>
              <w:left w:val="single" w:sz="4" w:space="0" w:color="0070C0"/>
              <w:right w:val="single" w:sz="4" w:space="0" w:color="0070C0"/>
            </w:tcBorders>
          </w:tcPr>
          <w:p w14:paraId="00F6F8FD" w14:textId="77777777" w:rsidR="00182609" w:rsidRPr="00B7760C" w:rsidRDefault="00182609" w:rsidP="009D3E2B">
            <w:pPr>
              <w:widowControl/>
              <w:spacing w:before="120" w:after="120"/>
              <w:rPr>
                <w:rFonts w:asciiTheme="minorHAnsi" w:hAnsiTheme="minorHAnsi" w:cstheme="minorHAnsi"/>
                <w:b/>
                <w:bCs/>
                <w:color w:val="000000"/>
                <w:sz w:val="18"/>
                <w:szCs w:val="18"/>
                <w:lang w:eastAsia="fr-BE"/>
              </w:rPr>
            </w:pPr>
          </w:p>
        </w:tc>
        <w:tc>
          <w:tcPr>
            <w:tcW w:w="3223" w:type="dxa"/>
            <w:tcBorders>
              <w:left w:val="single" w:sz="4" w:space="0" w:color="0070C0"/>
              <w:right w:val="single" w:sz="4" w:space="0" w:color="0070C0"/>
            </w:tcBorders>
          </w:tcPr>
          <w:p w14:paraId="1DBAB756" w14:textId="77777777" w:rsidR="00182609" w:rsidRPr="00B7760C" w:rsidRDefault="00182609" w:rsidP="009D3E2B">
            <w:pPr>
              <w:widowControl/>
              <w:spacing w:before="120" w:after="120"/>
              <w:rPr>
                <w:rFonts w:asciiTheme="minorHAnsi" w:hAnsiTheme="minorHAnsi" w:cstheme="minorHAnsi"/>
                <w:color w:val="000000"/>
                <w:sz w:val="18"/>
                <w:szCs w:val="18"/>
              </w:rPr>
            </w:pPr>
            <w:r w:rsidRPr="00B7760C">
              <w:rPr>
                <w:rFonts w:asciiTheme="minorHAnsi" w:hAnsiTheme="minorHAnsi" w:cstheme="minorHAnsi"/>
                <w:color w:val="000000"/>
                <w:sz w:val="18"/>
                <w:szCs w:val="18"/>
              </w:rPr>
              <w:t>O.15 Število hektarov s podporo za ekološko kmetovanje</w:t>
            </w:r>
          </w:p>
        </w:tc>
      </w:tr>
      <w:tr w:rsidR="00182609" w:rsidRPr="00B7760C" w14:paraId="5C2B391B" w14:textId="77777777" w:rsidTr="00A35DEB">
        <w:trPr>
          <w:cantSplit/>
          <w:trHeight w:val="689"/>
        </w:trPr>
        <w:tc>
          <w:tcPr>
            <w:tcW w:w="2284" w:type="dxa"/>
            <w:vMerge/>
            <w:tcBorders>
              <w:left w:val="single" w:sz="4" w:space="0" w:color="0070C0"/>
              <w:right w:val="single" w:sz="4" w:space="0" w:color="0070C0"/>
            </w:tcBorders>
          </w:tcPr>
          <w:p w14:paraId="7C5ADB42" w14:textId="77777777" w:rsidR="00182609" w:rsidRPr="00B7760C" w:rsidRDefault="00182609" w:rsidP="009D3E2B">
            <w:pPr>
              <w:widowControl/>
              <w:spacing w:before="120" w:after="120" w:line="276" w:lineRule="auto"/>
              <w:rPr>
                <w:rFonts w:asciiTheme="minorHAnsi" w:hAnsiTheme="minorHAnsi" w:cstheme="minorHAnsi"/>
                <w:b/>
                <w:bCs/>
                <w:color w:val="000000"/>
                <w:sz w:val="18"/>
                <w:szCs w:val="18"/>
                <w:lang w:eastAsia="fr-BE"/>
              </w:rPr>
            </w:pPr>
          </w:p>
        </w:tc>
        <w:tc>
          <w:tcPr>
            <w:tcW w:w="3226" w:type="dxa"/>
            <w:tcBorders>
              <w:left w:val="single" w:sz="4" w:space="0" w:color="0070C0"/>
              <w:right w:val="single" w:sz="4" w:space="0" w:color="0070C0"/>
            </w:tcBorders>
          </w:tcPr>
          <w:p w14:paraId="449A7FF4" w14:textId="77777777" w:rsidR="00182609" w:rsidRPr="00B7760C" w:rsidRDefault="00182609" w:rsidP="009D3E2B">
            <w:pPr>
              <w:widowControl/>
              <w:spacing w:before="120" w:after="120" w:line="276" w:lineRule="auto"/>
              <w:rPr>
                <w:rFonts w:asciiTheme="minorHAnsi" w:hAnsiTheme="minorHAnsi" w:cstheme="minorHAnsi"/>
                <w:sz w:val="18"/>
                <w:szCs w:val="18"/>
              </w:rPr>
            </w:pPr>
            <w:r w:rsidRPr="00B7760C">
              <w:rPr>
                <w:rFonts w:asciiTheme="minorHAnsi" w:hAnsiTheme="minorHAnsi" w:cstheme="minorHAnsi"/>
                <w:sz w:val="18"/>
                <w:szCs w:val="18"/>
              </w:rPr>
              <w:t>I.15 Izboljšanje kakovosti zraka: bruto bilanca hranil na kmetijskih zemljiščih</w:t>
            </w:r>
          </w:p>
        </w:tc>
        <w:tc>
          <w:tcPr>
            <w:tcW w:w="4567" w:type="dxa"/>
            <w:tcBorders>
              <w:left w:val="single" w:sz="4" w:space="0" w:color="0070C0"/>
              <w:right w:val="single" w:sz="4" w:space="0" w:color="0070C0"/>
            </w:tcBorders>
          </w:tcPr>
          <w:p w14:paraId="762B975E" w14:textId="77777777" w:rsidR="00182609" w:rsidRPr="00B7760C" w:rsidRDefault="00182609" w:rsidP="009D3E2B">
            <w:pPr>
              <w:widowControl/>
              <w:spacing w:before="120" w:after="120" w:line="276" w:lineRule="auto"/>
              <w:rPr>
                <w:rFonts w:asciiTheme="minorHAnsi" w:hAnsiTheme="minorHAnsi" w:cstheme="minorHAnsi"/>
                <w:sz w:val="18"/>
                <w:szCs w:val="18"/>
              </w:rPr>
            </w:pPr>
            <w:r w:rsidRPr="00B7760C">
              <w:rPr>
                <w:rFonts w:asciiTheme="minorHAnsi" w:hAnsiTheme="minorHAnsi" w:cstheme="minorHAnsi"/>
                <w:sz w:val="18"/>
                <w:szCs w:val="18"/>
              </w:rPr>
              <w:t>R.20 Izboljšanje kakovosti zraka:</w:t>
            </w:r>
            <w:r w:rsidRPr="00B7760C">
              <w:rPr>
                <w:rFonts w:asciiTheme="minorHAnsi" w:hAnsiTheme="minorHAnsi" w:cstheme="minorHAnsi"/>
                <w:bCs/>
                <w:sz w:val="18"/>
                <w:szCs w:val="18"/>
              </w:rPr>
              <w:t xml:space="preserve"> </w:t>
            </w:r>
            <w:r w:rsidRPr="00B7760C">
              <w:rPr>
                <w:rFonts w:asciiTheme="minorHAnsi" w:hAnsiTheme="minorHAnsi" w:cstheme="minorHAnsi"/>
                <w:sz w:val="18"/>
                <w:szCs w:val="18"/>
              </w:rPr>
              <w:t>delež kmetijskih zemljišč, za katera veljajo upravljavske obveznosti za kakovost vode</w:t>
            </w:r>
          </w:p>
        </w:tc>
        <w:tc>
          <w:tcPr>
            <w:tcW w:w="239" w:type="dxa"/>
            <w:tcBorders>
              <w:left w:val="single" w:sz="4" w:space="0" w:color="0070C0"/>
              <w:right w:val="single" w:sz="4" w:space="0" w:color="0070C0"/>
            </w:tcBorders>
          </w:tcPr>
          <w:p w14:paraId="015AE84A" w14:textId="77777777" w:rsidR="00182609" w:rsidRPr="00B7760C" w:rsidRDefault="00182609" w:rsidP="009D3E2B">
            <w:pPr>
              <w:widowControl/>
              <w:spacing w:before="120" w:after="120" w:line="276" w:lineRule="auto"/>
              <w:rPr>
                <w:rFonts w:asciiTheme="minorHAnsi" w:hAnsiTheme="minorHAnsi" w:cstheme="minorHAnsi"/>
                <w:sz w:val="18"/>
                <w:szCs w:val="18"/>
                <w:lang w:eastAsia="fr-BE"/>
              </w:rPr>
            </w:pPr>
          </w:p>
        </w:tc>
        <w:tc>
          <w:tcPr>
            <w:tcW w:w="1655" w:type="dxa"/>
            <w:tcBorders>
              <w:left w:val="single" w:sz="4" w:space="0" w:color="0070C0"/>
              <w:right w:val="single" w:sz="4" w:space="0" w:color="0070C0"/>
            </w:tcBorders>
          </w:tcPr>
          <w:p w14:paraId="178E0B2B" w14:textId="77777777" w:rsidR="00182609" w:rsidRPr="00B7760C" w:rsidRDefault="00182609" w:rsidP="009D3E2B">
            <w:pPr>
              <w:widowControl/>
              <w:spacing w:before="120" w:after="120"/>
              <w:rPr>
                <w:rFonts w:asciiTheme="minorHAnsi" w:hAnsiTheme="minorHAnsi" w:cstheme="minorHAnsi"/>
                <w:b/>
                <w:bCs/>
                <w:color w:val="000000"/>
                <w:sz w:val="18"/>
                <w:szCs w:val="18"/>
                <w:lang w:eastAsia="fr-BE"/>
              </w:rPr>
            </w:pPr>
          </w:p>
        </w:tc>
        <w:tc>
          <w:tcPr>
            <w:tcW w:w="3223" w:type="dxa"/>
            <w:tcBorders>
              <w:left w:val="single" w:sz="4" w:space="0" w:color="0070C0"/>
              <w:right w:val="single" w:sz="4" w:space="0" w:color="0070C0"/>
            </w:tcBorders>
          </w:tcPr>
          <w:p w14:paraId="3F4F3183" w14:textId="77777777" w:rsidR="00182609" w:rsidRPr="00B7760C" w:rsidRDefault="00182609" w:rsidP="009D3E2B">
            <w:pPr>
              <w:widowControl/>
              <w:spacing w:before="120" w:after="120"/>
              <w:rPr>
                <w:rFonts w:asciiTheme="minorHAnsi" w:hAnsiTheme="minorHAnsi" w:cstheme="minorHAnsi"/>
                <w:color w:val="000000"/>
                <w:sz w:val="18"/>
                <w:szCs w:val="18"/>
              </w:rPr>
            </w:pPr>
            <w:r w:rsidRPr="00B7760C">
              <w:rPr>
                <w:rFonts w:asciiTheme="minorHAnsi" w:hAnsiTheme="minorHAnsi" w:cstheme="minorHAnsi"/>
                <w:color w:val="000000"/>
                <w:sz w:val="18"/>
                <w:szCs w:val="18"/>
              </w:rPr>
              <w:t>O.16 Število glav velike živine s podporo za dobrobit živali, zdravje ali okrepljene ukrepe za biološko zaščito</w:t>
            </w:r>
          </w:p>
        </w:tc>
      </w:tr>
      <w:tr w:rsidR="00182609" w:rsidRPr="00B7760C" w14:paraId="19F7BCC2" w14:textId="77777777" w:rsidTr="00A35DEB">
        <w:trPr>
          <w:cantSplit/>
          <w:trHeight w:val="771"/>
        </w:trPr>
        <w:tc>
          <w:tcPr>
            <w:tcW w:w="2284" w:type="dxa"/>
            <w:tcBorders>
              <w:left w:val="single" w:sz="4" w:space="0" w:color="0070C0"/>
              <w:right w:val="single" w:sz="4" w:space="0" w:color="0070C0"/>
            </w:tcBorders>
            <w:hideMark/>
          </w:tcPr>
          <w:p w14:paraId="013AA01F" w14:textId="77777777" w:rsidR="00182609" w:rsidRPr="00B7760C" w:rsidRDefault="00182609" w:rsidP="009D3E2B">
            <w:pPr>
              <w:widowControl/>
              <w:spacing w:before="120" w:after="120" w:line="276" w:lineRule="auto"/>
              <w:rPr>
                <w:rFonts w:asciiTheme="minorHAnsi" w:hAnsiTheme="minorHAnsi" w:cstheme="minorHAnsi"/>
                <w:b/>
                <w:bCs/>
                <w:color w:val="000000"/>
                <w:sz w:val="18"/>
                <w:szCs w:val="18"/>
                <w:lang w:eastAsia="fr-BE"/>
              </w:rPr>
            </w:pPr>
          </w:p>
        </w:tc>
        <w:tc>
          <w:tcPr>
            <w:tcW w:w="3226" w:type="dxa"/>
            <w:tcBorders>
              <w:left w:val="single" w:sz="4" w:space="0" w:color="0070C0"/>
              <w:right w:val="single" w:sz="4" w:space="0" w:color="0070C0"/>
            </w:tcBorders>
          </w:tcPr>
          <w:p w14:paraId="411D7A89" w14:textId="77777777" w:rsidR="00182609" w:rsidRPr="00B7760C" w:rsidRDefault="00182609" w:rsidP="009D3E2B">
            <w:pPr>
              <w:widowControl/>
              <w:spacing w:before="120" w:after="120" w:line="276" w:lineRule="auto"/>
              <w:rPr>
                <w:rFonts w:asciiTheme="minorHAnsi" w:hAnsiTheme="minorHAnsi" w:cstheme="minorHAnsi"/>
                <w:sz w:val="18"/>
                <w:szCs w:val="18"/>
              </w:rPr>
            </w:pPr>
            <w:r w:rsidRPr="00B7760C">
              <w:rPr>
                <w:rFonts w:asciiTheme="minorHAnsi" w:hAnsiTheme="minorHAnsi" w:cstheme="minorHAnsi"/>
                <w:sz w:val="18"/>
                <w:szCs w:val="18"/>
              </w:rPr>
              <w:t>1.16 Zmanjšanje uhajanja hranil:</w:t>
            </w:r>
            <w:r w:rsidRPr="00B7760C">
              <w:rPr>
                <w:rFonts w:asciiTheme="minorHAnsi" w:hAnsiTheme="minorHAnsi" w:cstheme="minorHAnsi"/>
                <w:bCs/>
                <w:sz w:val="18"/>
                <w:szCs w:val="18"/>
              </w:rPr>
              <w:t xml:space="preserve"> </w:t>
            </w:r>
            <w:r w:rsidRPr="00B7760C">
              <w:rPr>
                <w:rFonts w:asciiTheme="minorHAnsi" w:hAnsiTheme="minorHAnsi" w:cstheme="minorHAnsi"/>
                <w:sz w:val="18"/>
                <w:szCs w:val="18"/>
              </w:rPr>
              <w:t>nitrati v podtalnici – odstotek postaj podzemne vode s koncentracijo nitratov nad 50 mg/l v skladu z direktivo o nitratih</w:t>
            </w:r>
          </w:p>
        </w:tc>
        <w:tc>
          <w:tcPr>
            <w:tcW w:w="4567" w:type="dxa"/>
            <w:tcBorders>
              <w:left w:val="single" w:sz="4" w:space="0" w:color="0070C0"/>
              <w:right w:val="single" w:sz="4" w:space="0" w:color="0070C0"/>
            </w:tcBorders>
          </w:tcPr>
          <w:p w14:paraId="22F2B93B" w14:textId="77777777" w:rsidR="00182609" w:rsidRPr="00B7760C" w:rsidRDefault="00182609" w:rsidP="009D3E2B">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R.21 Trajnostno upravljanje hranil:</w:t>
            </w:r>
            <w:r w:rsidRPr="00B7760C">
              <w:rPr>
                <w:rFonts w:asciiTheme="minorHAnsi" w:hAnsiTheme="minorHAnsi" w:cstheme="minorHAnsi"/>
                <w:bCs/>
                <w:sz w:val="18"/>
                <w:szCs w:val="18"/>
              </w:rPr>
              <w:t xml:space="preserve"> </w:t>
            </w:r>
            <w:r w:rsidRPr="00B7760C">
              <w:rPr>
                <w:rFonts w:asciiTheme="minorHAnsi" w:hAnsiTheme="minorHAnsi" w:cstheme="minorHAnsi"/>
                <w:sz w:val="18"/>
                <w:szCs w:val="18"/>
              </w:rPr>
              <w:t>delež kmetijskih zemljišč s prevzetimi obveznostmi za boljše upravljanje hranil</w:t>
            </w:r>
          </w:p>
        </w:tc>
        <w:tc>
          <w:tcPr>
            <w:tcW w:w="239" w:type="dxa"/>
            <w:tcBorders>
              <w:left w:val="single" w:sz="4" w:space="0" w:color="0070C0"/>
              <w:right w:val="single" w:sz="4" w:space="0" w:color="0070C0"/>
            </w:tcBorders>
          </w:tcPr>
          <w:p w14:paraId="54B8DB1B" w14:textId="77777777" w:rsidR="00182609" w:rsidRPr="00B7760C" w:rsidRDefault="00182609" w:rsidP="009D3E2B">
            <w:pPr>
              <w:widowControl/>
              <w:spacing w:before="120" w:after="120" w:line="276" w:lineRule="auto"/>
              <w:rPr>
                <w:rFonts w:asciiTheme="minorHAnsi" w:hAnsiTheme="minorHAnsi" w:cstheme="minorHAnsi"/>
                <w:sz w:val="18"/>
                <w:szCs w:val="18"/>
                <w:lang w:eastAsia="fr-BE"/>
              </w:rPr>
            </w:pPr>
          </w:p>
        </w:tc>
        <w:tc>
          <w:tcPr>
            <w:tcW w:w="1655" w:type="dxa"/>
            <w:tcBorders>
              <w:left w:val="single" w:sz="4" w:space="0" w:color="0070C0"/>
              <w:bottom w:val="single" w:sz="4" w:space="0" w:color="0070C0"/>
              <w:right w:val="single" w:sz="4" w:space="0" w:color="0070C0"/>
            </w:tcBorders>
          </w:tcPr>
          <w:p w14:paraId="52BA905F" w14:textId="77777777" w:rsidR="00182609" w:rsidRPr="00B7760C" w:rsidRDefault="00182609" w:rsidP="009D3E2B">
            <w:pPr>
              <w:widowControl/>
              <w:spacing w:before="120" w:after="120"/>
              <w:rPr>
                <w:rFonts w:asciiTheme="minorHAnsi" w:hAnsiTheme="minorHAnsi" w:cstheme="minorHAnsi"/>
                <w:b/>
                <w:bCs/>
                <w:color w:val="000000"/>
                <w:sz w:val="18"/>
                <w:szCs w:val="18"/>
                <w:lang w:eastAsia="fr-BE"/>
              </w:rPr>
            </w:pPr>
          </w:p>
        </w:tc>
        <w:tc>
          <w:tcPr>
            <w:tcW w:w="3223" w:type="dxa"/>
            <w:tcBorders>
              <w:left w:val="single" w:sz="4" w:space="0" w:color="0070C0"/>
              <w:bottom w:val="single" w:sz="4" w:space="0" w:color="0070C0"/>
              <w:right w:val="single" w:sz="4" w:space="0" w:color="0070C0"/>
            </w:tcBorders>
          </w:tcPr>
          <w:p w14:paraId="5A416620" w14:textId="77777777" w:rsidR="00182609" w:rsidRPr="00B7760C" w:rsidRDefault="00182609" w:rsidP="009D3E2B">
            <w:pPr>
              <w:widowControl/>
              <w:spacing w:before="120" w:after="120"/>
              <w:rPr>
                <w:rFonts w:asciiTheme="minorHAnsi" w:hAnsiTheme="minorHAnsi" w:cstheme="minorHAnsi"/>
                <w:color w:val="000000"/>
                <w:sz w:val="18"/>
                <w:szCs w:val="18"/>
              </w:rPr>
            </w:pPr>
            <w:r w:rsidRPr="00B7760C">
              <w:rPr>
                <w:rFonts w:asciiTheme="minorHAnsi" w:hAnsiTheme="minorHAnsi" w:cstheme="minorHAnsi"/>
                <w:color w:val="000000"/>
                <w:sz w:val="18"/>
                <w:szCs w:val="18"/>
              </w:rPr>
              <w:t>O.17 Število projektov, ki podpirajo genske vire</w:t>
            </w:r>
          </w:p>
        </w:tc>
      </w:tr>
      <w:tr w:rsidR="00182609" w:rsidRPr="00B7760C" w14:paraId="0001CB87" w14:textId="77777777" w:rsidTr="00A35DEB">
        <w:trPr>
          <w:cantSplit/>
          <w:trHeight w:val="721"/>
        </w:trPr>
        <w:tc>
          <w:tcPr>
            <w:tcW w:w="2284" w:type="dxa"/>
            <w:tcBorders>
              <w:left w:val="single" w:sz="4" w:space="0" w:color="0070C0"/>
              <w:right w:val="single" w:sz="4" w:space="0" w:color="0070C0"/>
            </w:tcBorders>
          </w:tcPr>
          <w:p w14:paraId="50111DDE" w14:textId="77777777" w:rsidR="00182609" w:rsidRPr="00B7760C" w:rsidRDefault="00182609" w:rsidP="009D3E2B">
            <w:pPr>
              <w:widowControl/>
              <w:spacing w:before="120" w:after="120" w:line="276" w:lineRule="auto"/>
              <w:rPr>
                <w:rFonts w:asciiTheme="minorHAnsi" w:hAnsiTheme="minorHAnsi" w:cstheme="minorHAnsi"/>
                <w:b/>
                <w:bCs/>
                <w:color w:val="000000"/>
                <w:sz w:val="18"/>
                <w:szCs w:val="18"/>
                <w:lang w:eastAsia="fr-BE"/>
              </w:rPr>
            </w:pPr>
          </w:p>
        </w:tc>
        <w:tc>
          <w:tcPr>
            <w:tcW w:w="3226" w:type="dxa"/>
            <w:tcBorders>
              <w:left w:val="single" w:sz="4" w:space="0" w:color="0070C0"/>
              <w:right w:val="single" w:sz="4" w:space="0" w:color="0070C0"/>
            </w:tcBorders>
          </w:tcPr>
          <w:p w14:paraId="3BB39AC0" w14:textId="77777777" w:rsidR="00182609" w:rsidRPr="00B7760C" w:rsidRDefault="00182609" w:rsidP="009D3E2B">
            <w:pPr>
              <w:widowControl/>
              <w:spacing w:before="120" w:after="120" w:line="276" w:lineRule="auto"/>
              <w:rPr>
                <w:rFonts w:asciiTheme="minorHAnsi" w:hAnsiTheme="minorHAnsi" w:cstheme="minorHAnsi"/>
                <w:sz w:val="18"/>
                <w:szCs w:val="18"/>
              </w:rPr>
            </w:pPr>
            <w:r w:rsidRPr="00B7760C">
              <w:rPr>
                <w:rFonts w:asciiTheme="minorHAnsi" w:hAnsiTheme="minorHAnsi" w:cstheme="minorHAnsi"/>
                <w:sz w:val="18"/>
                <w:szCs w:val="18"/>
              </w:rPr>
              <w:t>I.17 Zmanjšanje obremenitve vodnih virov:</w:t>
            </w:r>
            <w:r w:rsidRPr="00B7760C">
              <w:rPr>
                <w:rFonts w:asciiTheme="minorHAnsi" w:hAnsiTheme="minorHAnsi" w:cstheme="minorHAnsi"/>
                <w:bCs/>
                <w:sz w:val="18"/>
                <w:szCs w:val="18"/>
              </w:rPr>
              <w:t xml:space="preserve"> </w:t>
            </w:r>
            <w:r w:rsidRPr="00B7760C">
              <w:rPr>
                <w:rFonts w:asciiTheme="minorHAnsi" w:hAnsiTheme="minorHAnsi" w:cstheme="minorHAnsi"/>
                <w:sz w:val="18"/>
                <w:szCs w:val="18"/>
              </w:rPr>
              <w:t>indeks porabe vode plus (Water Exploitation Index Plus – WEI+)</w:t>
            </w:r>
          </w:p>
        </w:tc>
        <w:tc>
          <w:tcPr>
            <w:tcW w:w="4567" w:type="dxa"/>
            <w:tcBorders>
              <w:left w:val="single" w:sz="4" w:space="0" w:color="0070C0"/>
              <w:right w:val="single" w:sz="4" w:space="0" w:color="0070C0"/>
            </w:tcBorders>
          </w:tcPr>
          <w:p w14:paraId="74448E11" w14:textId="77777777" w:rsidR="00182609" w:rsidRPr="00B7760C" w:rsidRDefault="00182609" w:rsidP="009D3E2B">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R.22 Trajnostna raba pesticidov:</w:t>
            </w:r>
            <w:r w:rsidRPr="00B7760C">
              <w:rPr>
                <w:rFonts w:asciiTheme="minorHAnsi" w:hAnsiTheme="minorHAnsi" w:cstheme="minorHAnsi"/>
                <w:bCs/>
                <w:sz w:val="18"/>
                <w:szCs w:val="18"/>
              </w:rPr>
              <w:t xml:space="preserve"> </w:t>
            </w:r>
            <w:r w:rsidRPr="00B7760C">
              <w:rPr>
                <w:rFonts w:asciiTheme="minorHAnsi" w:hAnsiTheme="minorHAnsi" w:cstheme="minorHAnsi"/>
                <w:sz w:val="18"/>
                <w:szCs w:val="18"/>
              </w:rPr>
              <w:t>delež namakanih kmetijskih zemljišč s prevzetimi obveznostmi za izboljšanje vodnega ravnovesja</w:t>
            </w:r>
          </w:p>
        </w:tc>
        <w:tc>
          <w:tcPr>
            <w:tcW w:w="239" w:type="dxa"/>
            <w:tcBorders>
              <w:left w:val="single" w:sz="4" w:space="0" w:color="0070C0"/>
              <w:right w:val="single" w:sz="4" w:space="0" w:color="0070C0"/>
            </w:tcBorders>
          </w:tcPr>
          <w:p w14:paraId="050B059C" w14:textId="77777777" w:rsidR="00182609" w:rsidRPr="00B7760C" w:rsidRDefault="00182609" w:rsidP="009D3E2B">
            <w:pPr>
              <w:widowControl/>
              <w:spacing w:before="120" w:after="120" w:line="276" w:lineRule="auto"/>
              <w:rPr>
                <w:rFonts w:asciiTheme="minorHAnsi" w:hAnsiTheme="minorHAnsi" w:cstheme="minorHAnsi"/>
                <w:sz w:val="18"/>
                <w:szCs w:val="18"/>
                <w:lang w:eastAsia="fr-BE"/>
              </w:rPr>
            </w:pPr>
          </w:p>
        </w:tc>
        <w:tc>
          <w:tcPr>
            <w:tcW w:w="1655" w:type="dxa"/>
            <w:tcBorders>
              <w:top w:val="single" w:sz="4" w:space="0" w:color="0070C0"/>
              <w:left w:val="single" w:sz="4" w:space="0" w:color="0070C0"/>
              <w:right w:val="single" w:sz="4" w:space="0" w:color="0070C0"/>
            </w:tcBorders>
          </w:tcPr>
          <w:p w14:paraId="12E2E6A6" w14:textId="77777777" w:rsidR="00182609" w:rsidRPr="00B7760C" w:rsidRDefault="00182609" w:rsidP="009D3E2B">
            <w:pPr>
              <w:widowControl/>
              <w:spacing w:before="120" w:after="120"/>
              <w:rPr>
                <w:rFonts w:asciiTheme="minorHAnsi" w:hAnsiTheme="minorHAnsi" w:cstheme="minorHAnsi"/>
                <w:b/>
                <w:bCs/>
                <w:color w:val="000000"/>
                <w:sz w:val="18"/>
                <w:szCs w:val="18"/>
              </w:rPr>
            </w:pPr>
            <w:r w:rsidRPr="00B7760C">
              <w:rPr>
                <w:rFonts w:asciiTheme="minorHAnsi" w:hAnsiTheme="minorHAnsi" w:cstheme="minorHAnsi"/>
                <w:b/>
                <w:bCs/>
                <w:color w:val="000000"/>
                <w:sz w:val="18"/>
                <w:szCs w:val="18"/>
              </w:rPr>
              <w:t>Naložbe</w:t>
            </w:r>
          </w:p>
        </w:tc>
        <w:tc>
          <w:tcPr>
            <w:tcW w:w="3223" w:type="dxa"/>
            <w:tcBorders>
              <w:top w:val="single" w:sz="4" w:space="0" w:color="0070C0"/>
              <w:left w:val="single" w:sz="4" w:space="0" w:color="0070C0"/>
              <w:right w:val="single" w:sz="4" w:space="0" w:color="0070C0"/>
            </w:tcBorders>
          </w:tcPr>
          <w:p w14:paraId="25B731E4" w14:textId="77777777" w:rsidR="00182609" w:rsidRPr="00B7760C" w:rsidRDefault="00182609" w:rsidP="009D3E2B">
            <w:pPr>
              <w:widowControl/>
              <w:spacing w:before="120" w:after="120"/>
              <w:rPr>
                <w:rFonts w:asciiTheme="minorHAnsi" w:hAnsiTheme="minorHAnsi" w:cstheme="minorHAnsi"/>
                <w:color w:val="000000"/>
                <w:sz w:val="18"/>
                <w:szCs w:val="18"/>
              </w:rPr>
            </w:pPr>
            <w:r w:rsidRPr="00B7760C">
              <w:rPr>
                <w:rFonts w:asciiTheme="minorHAnsi" w:hAnsiTheme="minorHAnsi" w:cstheme="minorHAnsi"/>
                <w:sz w:val="18"/>
                <w:szCs w:val="18"/>
              </w:rPr>
              <w:t>O.18 Število produktivnih naložb na kmetiji, ki prejemajo podporo</w:t>
            </w:r>
          </w:p>
        </w:tc>
      </w:tr>
      <w:tr w:rsidR="00182609" w:rsidRPr="00B7760C" w14:paraId="61806500" w14:textId="77777777" w:rsidTr="00A35DEB">
        <w:trPr>
          <w:cantSplit/>
          <w:trHeight w:val="517"/>
        </w:trPr>
        <w:tc>
          <w:tcPr>
            <w:tcW w:w="2284" w:type="dxa"/>
            <w:tcBorders>
              <w:left w:val="single" w:sz="4" w:space="0" w:color="0070C0"/>
              <w:right w:val="single" w:sz="4" w:space="0" w:color="0070C0"/>
            </w:tcBorders>
            <w:hideMark/>
          </w:tcPr>
          <w:p w14:paraId="5FE9A965" w14:textId="77777777" w:rsidR="00182609" w:rsidRPr="00B7760C" w:rsidRDefault="00182609" w:rsidP="009D3E2B">
            <w:pPr>
              <w:widowControl/>
              <w:spacing w:before="120" w:after="120" w:line="276" w:lineRule="auto"/>
              <w:rPr>
                <w:rFonts w:asciiTheme="minorHAnsi" w:hAnsiTheme="minorHAnsi" w:cstheme="minorHAnsi"/>
                <w:b/>
                <w:bCs/>
                <w:color w:val="000000"/>
                <w:sz w:val="18"/>
                <w:szCs w:val="18"/>
                <w:lang w:eastAsia="fr-BE"/>
              </w:rPr>
            </w:pPr>
          </w:p>
        </w:tc>
        <w:tc>
          <w:tcPr>
            <w:tcW w:w="3226" w:type="dxa"/>
            <w:tcBorders>
              <w:left w:val="single" w:sz="4" w:space="0" w:color="0070C0"/>
              <w:right w:val="single" w:sz="4" w:space="0" w:color="0070C0"/>
            </w:tcBorders>
          </w:tcPr>
          <w:p w14:paraId="2214801B" w14:textId="77777777" w:rsidR="00182609" w:rsidRPr="00B7760C" w:rsidRDefault="00182609" w:rsidP="009D3E2B">
            <w:pPr>
              <w:widowControl/>
              <w:spacing w:before="120" w:after="120" w:line="276" w:lineRule="auto"/>
              <w:rPr>
                <w:rFonts w:asciiTheme="minorHAnsi" w:hAnsiTheme="minorHAnsi" w:cstheme="minorHAnsi"/>
                <w:sz w:val="18"/>
                <w:szCs w:val="18"/>
                <w:lang w:eastAsia="fr-BE"/>
              </w:rPr>
            </w:pPr>
          </w:p>
        </w:tc>
        <w:tc>
          <w:tcPr>
            <w:tcW w:w="4567" w:type="dxa"/>
            <w:tcBorders>
              <w:left w:val="single" w:sz="4" w:space="0" w:color="0070C0"/>
              <w:right w:val="single" w:sz="4" w:space="0" w:color="0070C0"/>
            </w:tcBorders>
          </w:tcPr>
          <w:p w14:paraId="0783492E" w14:textId="02C4B342" w:rsidR="00182609" w:rsidRPr="00B7760C" w:rsidRDefault="00182609" w:rsidP="009D3E2B">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R.23</w:t>
            </w:r>
            <w:r w:rsidR="009D3E2B" w:rsidRPr="00B7760C">
              <w:rPr>
                <w:rFonts w:asciiTheme="minorHAnsi" w:hAnsiTheme="minorHAnsi" w:cstheme="minorHAnsi"/>
                <w:sz w:val="18"/>
                <w:szCs w:val="18"/>
              </w:rPr>
              <w:t xml:space="preserve"> </w:t>
            </w:r>
            <w:r w:rsidRPr="00B7760C">
              <w:rPr>
                <w:rFonts w:asciiTheme="minorHAnsi" w:hAnsiTheme="minorHAnsi" w:cstheme="minorHAnsi"/>
                <w:sz w:val="18"/>
                <w:szCs w:val="18"/>
              </w:rPr>
              <w:t>Okoljska/podnebna uspešnost zaradi naložb: delež kmetov s podporo pri naložbah, vezanih na skrb za okolje ali podnebje</w:t>
            </w:r>
          </w:p>
        </w:tc>
        <w:tc>
          <w:tcPr>
            <w:tcW w:w="239" w:type="dxa"/>
            <w:tcBorders>
              <w:left w:val="single" w:sz="4" w:space="0" w:color="0070C0"/>
              <w:right w:val="single" w:sz="4" w:space="0" w:color="0070C0"/>
            </w:tcBorders>
          </w:tcPr>
          <w:p w14:paraId="529B141F" w14:textId="77777777" w:rsidR="00182609" w:rsidRPr="00B7760C" w:rsidRDefault="00182609" w:rsidP="009D3E2B">
            <w:pPr>
              <w:widowControl/>
              <w:spacing w:before="120" w:after="120"/>
              <w:rPr>
                <w:rFonts w:asciiTheme="minorHAnsi" w:hAnsiTheme="minorHAnsi" w:cstheme="minorHAnsi"/>
                <w:sz w:val="18"/>
                <w:szCs w:val="18"/>
                <w:lang w:eastAsia="fr-BE"/>
              </w:rPr>
            </w:pPr>
          </w:p>
        </w:tc>
        <w:tc>
          <w:tcPr>
            <w:tcW w:w="1655" w:type="dxa"/>
            <w:tcBorders>
              <w:left w:val="single" w:sz="4" w:space="0" w:color="0070C0"/>
              <w:right w:val="single" w:sz="4" w:space="0" w:color="0070C0"/>
            </w:tcBorders>
          </w:tcPr>
          <w:p w14:paraId="225FBBC3" w14:textId="77777777" w:rsidR="00182609" w:rsidRPr="00B7760C" w:rsidRDefault="00182609" w:rsidP="009D3E2B">
            <w:pPr>
              <w:widowControl/>
              <w:spacing w:before="120" w:after="120"/>
              <w:rPr>
                <w:rFonts w:asciiTheme="minorHAnsi" w:hAnsiTheme="minorHAnsi" w:cstheme="minorHAnsi"/>
                <w:b/>
                <w:bCs/>
                <w:color w:val="000000"/>
                <w:sz w:val="18"/>
                <w:szCs w:val="18"/>
                <w:lang w:eastAsia="fr-BE"/>
              </w:rPr>
            </w:pPr>
          </w:p>
        </w:tc>
        <w:tc>
          <w:tcPr>
            <w:tcW w:w="3223" w:type="dxa"/>
            <w:tcBorders>
              <w:left w:val="single" w:sz="4" w:space="0" w:color="0070C0"/>
              <w:right w:val="single" w:sz="4" w:space="0" w:color="0070C0"/>
            </w:tcBorders>
          </w:tcPr>
          <w:p w14:paraId="4DB2DACA" w14:textId="77777777" w:rsidR="00182609" w:rsidRPr="00B7760C" w:rsidRDefault="00182609" w:rsidP="009D3E2B">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O.19 Delež lokalne infrastrukture, ki prejema podporo</w:t>
            </w:r>
          </w:p>
        </w:tc>
      </w:tr>
      <w:tr w:rsidR="00182609" w:rsidRPr="00B7760C" w14:paraId="0654E869" w14:textId="77777777" w:rsidTr="00A35DEB">
        <w:trPr>
          <w:cantSplit/>
          <w:trHeight w:val="695"/>
        </w:trPr>
        <w:tc>
          <w:tcPr>
            <w:tcW w:w="2284" w:type="dxa"/>
            <w:tcBorders>
              <w:left w:val="single" w:sz="4" w:space="0" w:color="0070C0"/>
              <w:right w:val="single" w:sz="4" w:space="0" w:color="0070C0"/>
            </w:tcBorders>
          </w:tcPr>
          <w:p w14:paraId="15AFA73D" w14:textId="77777777" w:rsidR="00182609" w:rsidRPr="00B7760C" w:rsidRDefault="00182609" w:rsidP="009D3E2B">
            <w:pPr>
              <w:widowControl/>
              <w:spacing w:before="120" w:after="120" w:line="276" w:lineRule="auto"/>
              <w:rPr>
                <w:rFonts w:asciiTheme="minorHAnsi" w:hAnsiTheme="minorHAnsi" w:cstheme="minorHAnsi"/>
                <w:b/>
                <w:bCs/>
                <w:color w:val="000000"/>
                <w:sz w:val="18"/>
                <w:szCs w:val="18"/>
                <w:lang w:eastAsia="fr-BE"/>
              </w:rPr>
            </w:pPr>
          </w:p>
        </w:tc>
        <w:tc>
          <w:tcPr>
            <w:tcW w:w="3226" w:type="dxa"/>
            <w:tcBorders>
              <w:left w:val="single" w:sz="4" w:space="0" w:color="0070C0"/>
              <w:right w:val="single" w:sz="4" w:space="0" w:color="0070C0"/>
            </w:tcBorders>
          </w:tcPr>
          <w:p w14:paraId="0EAF9AC4" w14:textId="77777777" w:rsidR="00182609" w:rsidRPr="00B7760C" w:rsidRDefault="00182609" w:rsidP="009D3E2B">
            <w:pPr>
              <w:widowControl/>
              <w:spacing w:before="120" w:after="120" w:line="276" w:lineRule="auto"/>
              <w:rPr>
                <w:rFonts w:asciiTheme="minorHAnsi" w:hAnsiTheme="minorHAnsi" w:cstheme="minorHAnsi"/>
                <w:b/>
                <w:sz w:val="18"/>
                <w:szCs w:val="18"/>
                <w:lang w:eastAsia="fr-BE"/>
              </w:rPr>
            </w:pPr>
          </w:p>
        </w:tc>
        <w:tc>
          <w:tcPr>
            <w:tcW w:w="4567" w:type="dxa"/>
            <w:tcBorders>
              <w:left w:val="single" w:sz="4" w:space="0" w:color="0070C0"/>
              <w:right w:val="single" w:sz="4" w:space="0" w:color="0070C0"/>
            </w:tcBorders>
          </w:tcPr>
          <w:p w14:paraId="01D10F3F" w14:textId="77777777" w:rsidR="00182609" w:rsidRPr="00B7760C" w:rsidRDefault="00182609" w:rsidP="009D3E2B">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R.24 Okoljska/podnebna uspešnost zaradi znanja:</w:t>
            </w:r>
            <w:r w:rsidRPr="00B7760C">
              <w:rPr>
                <w:rFonts w:asciiTheme="minorHAnsi" w:hAnsiTheme="minorHAnsi" w:cstheme="minorHAnsi"/>
                <w:bCs/>
                <w:sz w:val="18"/>
                <w:szCs w:val="18"/>
              </w:rPr>
              <w:t xml:space="preserve"> </w:t>
            </w:r>
            <w:r w:rsidRPr="00B7760C">
              <w:rPr>
                <w:rFonts w:asciiTheme="minorHAnsi" w:hAnsiTheme="minorHAnsi" w:cstheme="minorHAnsi"/>
                <w:sz w:val="18"/>
                <w:szCs w:val="18"/>
              </w:rPr>
              <w:t>delež kmetov, ki prejemajo podporo za svetovanje/usposabljanje o okoljski/podnebni uspešnosti</w:t>
            </w:r>
          </w:p>
        </w:tc>
        <w:tc>
          <w:tcPr>
            <w:tcW w:w="239" w:type="dxa"/>
            <w:tcBorders>
              <w:left w:val="single" w:sz="4" w:space="0" w:color="0070C0"/>
              <w:right w:val="single" w:sz="4" w:space="0" w:color="0070C0"/>
            </w:tcBorders>
          </w:tcPr>
          <w:p w14:paraId="4C42A6A6" w14:textId="77777777" w:rsidR="00182609" w:rsidRPr="00B7760C" w:rsidRDefault="00182609" w:rsidP="009D3E2B">
            <w:pPr>
              <w:widowControl/>
              <w:spacing w:before="120" w:after="120"/>
              <w:rPr>
                <w:rFonts w:asciiTheme="minorHAnsi" w:hAnsiTheme="minorHAnsi" w:cstheme="minorHAnsi"/>
                <w:sz w:val="18"/>
                <w:szCs w:val="18"/>
                <w:lang w:eastAsia="fr-BE"/>
              </w:rPr>
            </w:pPr>
          </w:p>
        </w:tc>
        <w:tc>
          <w:tcPr>
            <w:tcW w:w="1655" w:type="dxa"/>
            <w:tcBorders>
              <w:left w:val="single" w:sz="4" w:space="0" w:color="0070C0"/>
              <w:right w:val="single" w:sz="4" w:space="0" w:color="0070C0"/>
            </w:tcBorders>
          </w:tcPr>
          <w:p w14:paraId="34000214" w14:textId="77777777" w:rsidR="00182609" w:rsidRPr="00B7760C" w:rsidRDefault="00182609" w:rsidP="009D3E2B">
            <w:pPr>
              <w:widowControl/>
              <w:spacing w:before="120" w:after="120"/>
              <w:rPr>
                <w:rFonts w:asciiTheme="minorHAnsi" w:hAnsiTheme="minorHAnsi" w:cstheme="minorHAnsi"/>
                <w:b/>
                <w:bCs/>
                <w:color w:val="000000"/>
                <w:sz w:val="18"/>
                <w:szCs w:val="18"/>
                <w:lang w:eastAsia="fr-BE"/>
              </w:rPr>
            </w:pPr>
          </w:p>
        </w:tc>
        <w:tc>
          <w:tcPr>
            <w:tcW w:w="3223" w:type="dxa"/>
            <w:tcBorders>
              <w:left w:val="single" w:sz="4" w:space="0" w:color="0070C0"/>
              <w:right w:val="single" w:sz="4" w:space="0" w:color="0070C0"/>
            </w:tcBorders>
          </w:tcPr>
          <w:p w14:paraId="7F5C8697" w14:textId="77777777" w:rsidR="00182609" w:rsidRPr="00B7760C" w:rsidRDefault="00182609" w:rsidP="009D3E2B">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O.20 Število neproduktivnih naložb, ki prejemajo podporo</w:t>
            </w:r>
          </w:p>
          <w:p w14:paraId="1BA43A15" w14:textId="77777777" w:rsidR="00182609" w:rsidRPr="00B7760C" w:rsidRDefault="00182609" w:rsidP="009D3E2B">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O.21 Število produktivnih naložb zunaj kmetije, ki prejemajo podporo</w:t>
            </w:r>
          </w:p>
        </w:tc>
      </w:tr>
    </w:tbl>
    <w:p w14:paraId="0264C124" w14:textId="77777777" w:rsidR="00182609" w:rsidRPr="00B7760C" w:rsidRDefault="00182609" w:rsidP="009D3E2B">
      <w:pPr>
        <w:widowControl/>
        <w:spacing w:before="120" w:after="120"/>
        <w:rPr>
          <w:rFonts w:asciiTheme="minorHAnsi" w:eastAsia="Calibri" w:hAnsiTheme="minorHAnsi" w:cstheme="minorHAnsi"/>
          <w:szCs w:val="22"/>
        </w:rPr>
      </w:pPr>
      <w:r w:rsidRPr="00B7760C">
        <w:rPr>
          <w:rFonts w:asciiTheme="minorHAnsi" w:hAnsiTheme="minorHAnsi" w:cstheme="minorHAnsi"/>
        </w:rPr>
        <w:br w:type="page"/>
      </w:r>
    </w:p>
    <w:tbl>
      <w:tblPr>
        <w:tblStyle w:val="TableGridLight1"/>
        <w:tblW w:w="15358"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1"/>
        <w:gridCol w:w="3262"/>
        <w:gridCol w:w="4617"/>
        <w:gridCol w:w="236"/>
        <w:gridCol w:w="1673"/>
        <w:gridCol w:w="3259"/>
      </w:tblGrid>
      <w:tr w:rsidR="00182609" w:rsidRPr="00B7760C" w14:paraId="51ECF536" w14:textId="77777777" w:rsidTr="00A35DEB">
        <w:trPr>
          <w:cantSplit/>
          <w:trHeight w:val="404"/>
          <w:tblHeader/>
        </w:trPr>
        <w:tc>
          <w:tcPr>
            <w:tcW w:w="2311" w:type="dxa"/>
            <w:tcBorders>
              <w:top w:val="single" w:sz="4" w:space="0" w:color="0070C0"/>
              <w:left w:val="single" w:sz="4" w:space="0" w:color="0070C0"/>
              <w:bottom w:val="single" w:sz="4" w:space="0" w:color="0070C0"/>
              <w:right w:val="single" w:sz="4" w:space="0" w:color="0070C0"/>
            </w:tcBorders>
            <w:shd w:val="clear" w:color="auto" w:fill="auto"/>
            <w:noWrap/>
          </w:tcPr>
          <w:p w14:paraId="6E523002" w14:textId="77777777" w:rsidR="00182609" w:rsidRPr="00B7760C" w:rsidRDefault="00182609" w:rsidP="009D3E2B">
            <w:pPr>
              <w:widowControl/>
              <w:spacing w:before="120" w:after="120" w:line="276" w:lineRule="auto"/>
              <w:ind w:left="64"/>
              <w:rPr>
                <w:rFonts w:asciiTheme="minorHAnsi" w:hAnsiTheme="minorHAnsi" w:cstheme="minorHAnsi"/>
                <w:bCs/>
                <w:sz w:val="18"/>
                <w:szCs w:val="18"/>
              </w:rPr>
            </w:pPr>
            <w:r w:rsidRPr="00B7760C">
              <w:rPr>
                <w:rFonts w:asciiTheme="minorHAnsi" w:hAnsiTheme="minorHAnsi" w:cstheme="minorHAnsi"/>
              </w:rPr>
              <w:br w:type="page"/>
            </w:r>
            <w:r w:rsidRPr="00B7760C">
              <w:rPr>
                <w:rFonts w:asciiTheme="minorHAnsi" w:hAnsiTheme="minorHAnsi" w:cstheme="minorHAnsi"/>
                <w:bCs/>
                <w:sz w:val="18"/>
                <w:szCs w:val="18"/>
              </w:rPr>
              <w:t>Specifični cilji EU</w:t>
            </w:r>
          </w:p>
        </w:tc>
        <w:tc>
          <w:tcPr>
            <w:tcW w:w="3263" w:type="dxa"/>
            <w:tcBorders>
              <w:top w:val="single" w:sz="4" w:space="0" w:color="0070C0"/>
              <w:left w:val="single" w:sz="4" w:space="0" w:color="0070C0"/>
              <w:bottom w:val="single" w:sz="4" w:space="0" w:color="0070C0"/>
              <w:right w:val="single" w:sz="4" w:space="0" w:color="0070C0"/>
            </w:tcBorders>
            <w:shd w:val="clear" w:color="auto" w:fill="auto"/>
            <w:noWrap/>
          </w:tcPr>
          <w:p w14:paraId="6208A3D4" w14:textId="77777777" w:rsidR="00182609" w:rsidRPr="00B7760C" w:rsidRDefault="00182609" w:rsidP="009D3E2B">
            <w:pPr>
              <w:widowControl/>
              <w:spacing w:before="120" w:after="120" w:line="276" w:lineRule="auto"/>
              <w:ind w:left="64"/>
              <w:rPr>
                <w:rFonts w:asciiTheme="minorHAnsi" w:hAnsiTheme="minorHAnsi" w:cstheme="minorHAnsi"/>
                <w:bCs/>
                <w:sz w:val="18"/>
                <w:szCs w:val="18"/>
              </w:rPr>
            </w:pPr>
            <w:r w:rsidRPr="00B7760C">
              <w:rPr>
                <w:rFonts w:asciiTheme="minorHAnsi" w:hAnsiTheme="minorHAnsi" w:cstheme="minorHAnsi"/>
                <w:bCs/>
                <w:sz w:val="18"/>
                <w:szCs w:val="18"/>
              </w:rPr>
              <w:t>Kazalniki učinka</w:t>
            </w:r>
          </w:p>
        </w:tc>
        <w:tc>
          <w:tcPr>
            <w:tcW w:w="4619" w:type="dxa"/>
            <w:tcBorders>
              <w:top w:val="single" w:sz="4" w:space="0" w:color="0070C0"/>
              <w:left w:val="single" w:sz="4" w:space="0" w:color="0070C0"/>
              <w:bottom w:val="single" w:sz="4" w:space="0" w:color="0070C0"/>
              <w:right w:val="single" w:sz="4" w:space="0" w:color="0070C0"/>
            </w:tcBorders>
            <w:shd w:val="clear" w:color="auto" w:fill="auto"/>
          </w:tcPr>
          <w:p w14:paraId="0081EA8A" w14:textId="77777777" w:rsidR="00182609" w:rsidRPr="00B7760C" w:rsidRDefault="00182609" w:rsidP="009D3E2B">
            <w:pPr>
              <w:widowControl/>
              <w:spacing w:before="120" w:after="120" w:line="276" w:lineRule="auto"/>
              <w:ind w:left="64"/>
              <w:rPr>
                <w:rFonts w:asciiTheme="minorHAnsi" w:hAnsiTheme="minorHAnsi" w:cstheme="minorHAnsi"/>
                <w:bCs/>
                <w:sz w:val="18"/>
                <w:szCs w:val="18"/>
              </w:rPr>
            </w:pPr>
            <w:r w:rsidRPr="00B7760C">
              <w:rPr>
                <w:rFonts w:asciiTheme="minorHAnsi" w:hAnsiTheme="minorHAnsi" w:cstheme="minorHAnsi"/>
                <w:bCs/>
                <w:sz w:val="18"/>
                <w:szCs w:val="18"/>
              </w:rPr>
              <w:t>Kazalniki rezultatov</w:t>
            </w:r>
          </w:p>
          <w:p w14:paraId="130F608A" w14:textId="77777777" w:rsidR="00182609" w:rsidRPr="00B7760C" w:rsidRDefault="00182609" w:rsidP="009D3E2B">
            <w:pPr>
              <w:widowControl/>
              <w:spacing w:before="120" w:after="120" w:line="276" w:lineRule="auto"/>
              <w:ind w:left="64"/>
              <w:rPr>
                <w:rFonts w:asciiTheme="minorHAnsi" w:hAnsiTheme="minorHAnsi" w:cstheme="minorHAnsi"/>
                <w:bCs/>
                <w:sz w:val="18"/>
                <w:szCs w:val="18"/>
              </w:rPr>
            </w:pPr>
            <w:r w:rsidRPr="00B7760C">
              <w:rPr>
                <w:rFonts w:asciiTheme="minorHAnsi" w:hAnsiTheme="minorHAnsi" w:cstheme="minorHAnsi"/>
                <w:bCs/>
                <w:sz w:val="18"/>
                <w:szCs w:val="18"/>
              </w:rPr>
              <w:t>(samo na podlagi intervencij, ki jih podpira SKP)</w:t>
            </w:r>
          </w:p>
        </w:tc>
        <w:tc>
          <w:tcPr>
            <w:tcW w:w="231" w:type="dxa"/>
            <w:tcBorders>
              <w:left w:val="single" w:sz="4" w:space="0" w:color="0070C0"/>
              <w:right w:val="single" w:sz="4" w:space="0" w:color="0070C0"/>
            </w:tcBorders>
            <w:shd w:val="clear" w:color="auto" w:fill="auto"/>
          </w:tcPr>
          <w:p w14:paraId="4FF74EA6" w14:textId="77777777" w:rsidR="00182609" w:rsidRPr="00B7760C" w:rsidRDefault="00182609" w:rsidP="009D3E2B">
            <w:pPr>
              <w:widowControl/>
              <w:spacing w:before="120" w:after="120" w:line="276" w:lineRule="auto"/>
              <w:ind w:left="64"/>
              <w:rPr>
                <w:rFonts w:asciiTheme="minorHAnsi" w:hAnsiTheme="minorHAnsi" w:cstheme="minorHAnsi"/>
                <w:bCs/>
                <w:sz w:val="18"/>
                <w:szCs w:val="18"/>
                <w:lang w:eastAsia="fr-BE"/>
              </w:rPr>
            </w:pPr>
          </w:p>
        </w:tc>
        <w:tc>
          <w:tcPr>
            <w:tcW w:w="1674" w:type="dxa"/>
            <w:tcBorders>
              <w:top w:val="single" w:sz="4" w:space="0" w:color="0070C0"/>
              <w:left w:val="single" w:sz="4" w:space="0" w:color="0070C0"/>
              <w:bottom w:val="single" w:sz="4" w:space="0" w:color="0070C0"/>
              <w:right w:val="single" w:sz="4" w:space="0" w:color="0070C0"/>
            </w:tcBorders>
            <w:shd w:val="clear" w:color="auto" w:fill="auto"/>
          </w:tcPr>
          <w:p w14:paraId="5D910457" w14:textId="77777777" w:rsidR="00182609" w:rsidRPr="00B7760C" w:rsidRDefault="00182609" w:rsidP="009D3E2B">
            <w:pPr>
              <w:widowControl/>
              <w:spacing w:before="120" w:after="120"/>
              <w:rPr>
                <w:rFonts w:asciiTheme="minorHAnsi" w:hAnsiTheme="minorHAnsi" w:cstheme="minorHAnsi"/>
                <w:bCs/>
                <w:sz w:val="18"/>
                <w:szCs w:val="18"/>
              </w:rPr>
            </w:pPr>
            <w:r w:rsidRPr="00B7760C">
              <w:rPr>
                <w:rFonts w:asciiTheme="minorHAnsi" w:hAnsiTheme="minorHAnsi" w:cstheme="minorHAnsi"/>
                <w:bCs/>
                <w:sz w:val="18"/>
                <w:szCs w:val="18"/>
              </w:rPr>
              <w:t>Široka vrsta intervencije</w:t>
            </w:r>
          </w:p>
        </w:tc>
        <w:tc>
          <w:tcPr>
            <w:tcW w:w="3260" w:type="dxa"/>
            <w:tcBorders>
              <w:top w:val="single" w:sz="4" w:space="0" w:color="0070C0"/>
              <w:left w:val="single" w:sz="4" w:space="0" w:color="0070C0"/>
              <w:bottom w:val="single" w:sz="4" w:space="0" w:color="0070C0"/>
              <w:right w:val="single" w:sz="4" w:space="0" w:color="0070C0"/>
            </w:tcBorders>
            <w:shd w:val="clear" w:color="auto" w:fill="auto"/>
          </w:tcPr>
          <w:p w14:paraId="1F607172" w14:textId="77777777" w:rsidR="00182609" w:rsidRPr="00B7760C" w:rsidRDefault="00182609" w:rsidP="009D3E2B">
            <w:pPr>
              <w:widowControl/>
              <w:spacing w:before="120" w:after="120"/>
              <w:rPr>
                <w:rFonts w:asciiTheme="minorHAnsi" w:hAnsiTheme="minorHAnsi" w:cstheme="minorHAnsi"/>
                <w:bCs/>
                <w:sz w:val="18"/>
                <w:szCs w:val="18"/>
              </w:rPr>
            </w:pPr>
            <w:r w:rsidRPr="00B7760C">
              <w:rPr>
                <w:rFonts w:asciiTheme="minorHAnsi" w:hAnsiTheme="minorHAnsi" w:cstheme="minorHAnsi"/>
                <w:bCs/>
                <w:sz w:val="18"/>
                <w:szCs w:val="18"/>
              </w:rPr>
              <w:t>Kazalniki izložkov (na intervencijo)</w:t>
            </w:r>
          </w:p>
        </w:tc>
      </w:tr>
      <w:tr w:rsidR="00182609" w:rsidRPr="00B7760C" w14:paraId="2DF76EF8" w14:textId="77777777" w:rsidTr="00A35DEB">
        <w:trPr>
          <w:cantSplit/>
          <w:trHeight w:val="717"/>
        </w:trPr>
        <w:tc>
          <w:tcPr>
            <w:tcW w:w="2311" w:type="dxa"/>
            <w:vMerge w:val="restart"/>
            <w:tcBorders>
              <w:top w:val="single" w:sz="4" w:space="0" w:color="0070C0"/>
              <w:left w:val="single" w:sz="4" w:space="0" w:color="0070C0"/>
              <w:right w:val="single" w:sz="4" w:space="0" w:color="0070C0"/>
            </w:tcBorders>
            <w:vAlign w:val="center"/>
            <w:hideMark/>
          </w:tcPr>
          <w:p w14:paraId="0A87E772" w14:textId="77777777" w:rsidR="00182609" w:rsidRPr="00B7760C" w:rsidRDefault="00182609" w:rsidP="009D3E2B">
            <w:pPr>
              <w:widowControl/>
              <w:spacing w:before="120" w:after="120" w:line="276" w:lineRule="auto"/>
              <w:rPr>
                <w:rFonts w:asciiTheme="minorHAnsi" w:hAnsiTheme="minorHAnsi" w:cstheme="minorHAnsi"/>
                <w:bCs/>
                <w:color w:val="000000"/>
                <w:sz w:val="18"/>
                <w:szCs w:val="18"/>
              </w:rPr>
            </w:pPr>
            <w:r w:rsidRPr="00B7760C">
              <w:rPr>
                <w:rFonts w:asciiTheme="minorHAnsi" w:hAnsiTheme="minorHAnsi" w:cstheme="minorHAnsi"/>
                <w:b/>
                <w:bCs/>
                <w:i/>
                <w:color w:val="000000"/>
                <w:sz w:val="18"/>
                <w:szCs w:val="18"/>
              </w:rPr>
              <w:t>Prispevanje k varstvu biotske raznovrstnosti,</w:t>
            </w:r>
            <w:r w:rsidRPr="00B7760C">
              <w:rPr>
                <w:rFonts w:asciiTheme="minorHAnsi" w:hAnsiTheme="minorHAnsi" w:cstheme="minorHAnsi"/>
                <w:bCs/>
                <w:color w:val="000000"/>
                <w:sz w:val="18"/>
                <w:szCs w:val="18"/>
              </w:rPr>
              <w:t xml:space="preserve"> krepitev ekosistemskih storitev </w:t>
            </w:r>
            <w:r w:rsidRPr="00B7760C">
              <w:rPr>
                <w:rFonts w:asciiTheme="minorHAnsi" w:hAnsiTheme="minorHAnsi" w:cstheme="minorHAnsi"/>
                <w:b/>
                <w:bCs/>
                <w:i/>
                <w:color w:val="000000"/>
                <w:sz w:val="18"/>
                <w:szCs w:val="18"/>
              </w:rPr>
              <w:t>ter ohranjanje</w:t>
            </w:r>
            <w:r w:rsidRPr="00B7760C">
              <w:rPr>
                <w:rFonts w:asciiTheme="minorHAnsi" w:hAnsiTheme="minorHAnsi" w:cstheme="minorHAnsi"/>
                <w:bCs/>
                <w:color w:val="000000"/>
                <w:sz w:val="18"/>
                <w:szCs w:val="18"/>
              </w:rPr>
              <w:t xml:space="preserve"> habitatov in krajine</w:t>
            </w:r>
          </w:p>
        </w:tc>
        <w:tc>
          <w:tcPr>
            <w:tcW w:w="3263" w:type="dxa"/>
            <w:tcBorders>
              <w:top w:val="single" w:sz="4" w:space="0" w:color="0070C0"/>
              <w:left w:val="single" w:sz="4" w:space="0" w:color="0070C0"/>
              <w:right w:val="single" w:sz="4" w:space="0" w:color="0070C0"/>
            </w:tcBorders>
            <w:hideMark/>
          </w:tcPr>
          <w:p w14:paraId="1AC6B730" w14:textId="77777777" w:rsidR="00182609" w:rsidRPr="00B7760C" w:rsidRDefault="00182609" w:rsidP="009D3E2B">
            <w:pPr>
              <w:widowControl/>
              <w:spacing w:before="120" w:after="120" w:line="276" w:lineRule="auto"/>
              <w:rPr>
                <w:rFonts w:asciiTheme="minorHAnsi" w:hAnsiTheme="minorHAnsi" w:cstheme="minorHAnsi"/>
                <w:sz w:val="18"/>
                <w:szCs w:val="18"/>
              </w:rPr>
            </w:pPr>
            <w:r w:rsidRPr="00B7760C">
              <w:rPr>
                <w:rFonts w:asciiTheme="minorHAnsi" w:hAnsiTheme="minorHAnsi" w:cstheme="minorHAnsi"/>
                <w:sz w:val="18"/>
                <w:szCs w:val="18"/>
              </w:rPr>
              <w:t>I.18 Povečanje populacije ptic kmetijske krajine:</w:t>
            </w:r>
            <w:r w:rsidRPr="00B7760C">
              <w:rPr>
                <w:rFonts w:asciiTheme="minorHAnsi" w:hAnsiTheme="minorHAnsi" w:cstheme="minorHAnsi"/>
                <w:bCs/>
                <w:sz w:val="18"/>
                <w:szCs w:val="18"/>
              </w:rPr>
              <w:t xml:space="preserve"> </w:t>
            </w:r>
            <w:r w:rsidRPr="00B7760C">
              <w:rPr>
                <w:rFonts w:asciiTheme="minorHAnsi" w:hAnsiTheme="minorHAnsi" w:cstheme="minorHAnsi"/>
                <w:sz w:val="18"/>
                <w:szCs w:val="18"/>
              </w:rPr>
              <w:t>indeks ptic kmetijske krajine</w:t>
            </w:r>
          </w:p>
        </w:tc>
        <w:tc>
          <w:tcPr>
            <w:tcW w:w="4619" w:type="dxa"/>
            <w:tcBorders>
              <w:top w:val="single" w:sz="4" w:space="0" w:color="0070C0"/>
              <w:left w:val="single" w:sz="4" w:space="0" w:color="0070C0"/>
              <w:right w:val="single" w:sz="4" w:space="0" w:color="0070C0"/>
            </w:tcBorders>
          </w:tcPr>
          <w:p w14:paraId="546E7DCF" w14:textId="77777777" w:rsidR="00182609" w:rsidRPr="00B7760C" w:rsidRDefault="00182609" w:rsidP="009D3E2B">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R.25 Podpiranje trajnostnega gospodarjenja z gozdovi: delež gozdnih zemljišč, za katera veljajo upravljavske obveznosti za podpiranje varstva gozdov in gospodarjenja z njimi</w:t>
            </w:r>
          </w:p>
        </w:tc>
        <w:tc>
          <w:tcPr>
            <w:tcW w:w="231" w:type="dxa"/>
            <w:tcBorders>
              <w:left w:val="single" w:sz="4" w:space="0" w:color="0070C0"/>
              <w:right w:val="single" w:sz="4" w:space="0" w:color="0070C0"/>
            </w:tcBorders>
          </w:tcPr>
          <w:p w14:paraId="2DDD5214" w14:textId="77777777" w:rsidR="00182609" w:rsidRPr="00B7760C" w:rsidRDefault="00182609" w:rsidP="009D3E2B">
            <w:pPr>
              <w:widowControl/>
              <w:spacing w:before="120" w:after="120" w:line="276" w:lineRule="auto"/>
              <w:rPr>
                <w:rFonts w:asciiTheme="minorHAnsi" w:hAnsiTheme="minorHAnsi" w:cstheme="minorHAnsi"/>
                <w:sz w:val="18"/>
                <w:szCs w:val="18"/>
                <w:lang w:eastAsia="fr-BE"/>
              </w:rPr>
            </w:pPr>
          </w:p>
        </w:tc>
        <w:tc>
          <w:tcPr>
            <w:tcW w:w="1674" w:type="dxa"/>
            <w:tcBorders>
              <w:top w:val="single" w:sz="4" w:space="0" w:color="0070C0"/>
              <w:left w:val="single" w:sz="4" w:space="0" w:color="0070C0"/>
              <w:right w:val="single" w:sz="4" w:space="0" w:color="0070C0"/>
            </w:tcBorders>
          </w:tcPr>
          <w:p w14:paraId="1EA2A7FA" w14:textId="77777777" w:rsidR="00182609" w:rsidRPr="00B7760C" w:rsidRDefault="00182609" w:rsidP="009D3E2B">
            <w:pPr>
              <w:widowControl/>
              <w:spacing w:before="120" w:after="120"/>
              <w:rPr>
                <w:rFonts w:asciiTheme="minorHAnsi" w:hAnsiTheme="minorHAnsi" w:cstheme="minorHAnsi"/>
                <w:b/>
                <w:bCs/>
                <w:color w:val="000000"/>
                <w:sz w:val="18"/>
                <w:szCs w:val="18"/>
              </w:rPr>
            </w:pPr>
            <w:r w:rsidRPr="00B7760C">
              <w:rPr>
                <w:rFonts w:asciiTheme="minorHAnsi" w:hAnsiTheme="minorHAnsi" w:cstheme="minorHAnsi"/>
                <w:b/>
                <w:bCs/>
                <w:color w:val="000000"/>
                <w:sz w:val="18"/>
                <w:szCs w:val="18"/>
              </w:rPr>
              <w:t>Nepovratna sredstva za vzpostavitev kmetijskih gospodarstev</w:t>
            </w:r>
          </w:p>
        </w:tc>
        <w:tc>
          <w:tcPr>
            <w:tcW w:w="3260" w:type="dxa"/>
            <w:tcBorders>
              <w:top w:val="single" w:sz="4" w:space="0" w:color="0070C0"/>
              <w:left w:val="single" w:sz="4" w:space="0" w:color="0070C0"/>
              <w:right w:val="single" w:sz="4" w:space="0" w:color="0070C0"/>
            </w:tcBorders>
          </w:tcPr>
          <w:p w14:paraId="6112EC13" w14:textId="77777777" w:rsidR="00182609" w:rsidRPr="00B7760C" w:rsidRDefault="00182609" w:rsidP="009D3E2B">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O.22 Število kmetov, ki prejemajo nepovratna sredstva za vzpostavitev kmetijskih gospodarstev</w:t>
            </w:r>
          </w:p>
        </w:tc>
      </w:tr>
      <w:tr w:rsidR="00182609" w:rsidRPr="00B7760C" w14:paraId="2897EBC3" w14:textId="77777777" w:rsidTr="00A35DEB">
        <w:trPr>
          <w:cantSplit/>
          <w:trHeight w:val="465"/>
        </w:trPr>
        <w:tc>
          <w:tcPr>
            <w:tcW w:w="2311" w:type="dxa"/>
            <w:vMerge/>
            <w:tcBorders>
              <w:left w:val="single" w:sz="4" w:space="0" w:color="0070C0"/>
              <w:right w:val="single" w:sz="4" w:space="0" w:color="0070C0"/>
            </w:tcBorders>
            <w:noWrap/>
            <w:hideMark/>
          </w:tcPr>
          <w:p w14:paraId="0868E050" w14:textId="77777777" w:rsidR="00182609" w:rsidRPr="00B7760C" w:rsidRDefault="00182609" w:rsidP="009D3E2B">
            <w:pPr>
              <w:widowControl/>
              <w:spacing w:before="120" w:after="120" w:line="276" w:lineRule="auto"/>
              <w:rPr>
                <w:rFonts w:asciiTheme="minorHAnsi" w:hAnsiTheme="minorHAnsi" w:cstheme="minorHAnsi"/>
                <w:b/>
                <w:bCs/>
                <w:color w:val="000000"/>
                <w:sz w:val="18"/>
                <w:szCs w:val="18"/>
                <w:lang w:eastAsia="fr-BE"/>
              </w:rPr>
            </w:pPr>
          </w:p>
        </w:tc>
        <w:tc>
          <w:tcPr>
            <w:tcW w:w="3263" w:type="dxa"/>
            <w:tcBorders>
              <w:left w:val="single" w:sz="4" w:space="0" w:color="0070C0"/>
              <w:right w:val="single" w:sz="4" w:space="0" w:color="0070C0"/>
            </w:tcBorders>
            <w:noWrap/>
          </w:tcPr>
          <w:p w14:paraId="3A7203BA" w14:textId="77777777" w:rsidR="00182609" w:rsidRPr="00B7760C" w:rsidRDefault="00182609" w:rsidP="009D3E2B">
            <w:pPr>
              <w:widowControl/>
              <w:spacing w:before="120" w:after="120" w:line="276" w:lineRule="auto"/>
              <w:rPr>
                <w:rFonts w:asciiTheme="minorHAnsi" w:hAnsiTheme="minorHAnsi" w:cstheme="minorHAnsi"/>
                <w:sz w:val="18"/>
                <w:szCs w:val="18"/>
              </w:rPr>
            </w:pPr>
            <w:r w:rsidRPr="00B7760C">
              <w:rPr>
                <w:rFonts w:asciiTheme="minorHAnsi" w:hAnsiTheme="minorHAnsi" w:cstheme="minorHAnsi"/>
                <w:sz w:val="18"/>
                <w:szCs w:val="18"/>
              </w:rPr>
              <w:t>I.19 Okrepljeno varstvo biotske raznovrstnosti:</w:t>
            </w:r>
            <w:r w:rsidRPr="00B7760C">
              <w:rPr>
                <w:rFonts w:asciiTheme="minorHAnsi" w:hAnsiTheme="minorHAnsi" w:cstheme="minorHAnsi"/>
                <w:bCs/>
                <w:sz w:val="18"/>
                <w:szCs w:val="18"/>
              </w:rPr>
              <w:t xml:space="preserve"> </w:t>
            </w:r>
            <w:r w:rsidRPr="00B7760C">
              <w:rPr>
                <w:rFonts w:asciiTheme="minorHAnsi" w:hAnsiTheme="minorHAnsi" w:cstheme="minorHAnsi"/>
                <w:sz w:val="18"/>
                <w:szCs w:val="18"/>
              </w:rPr>
              <w:t>odstotek vrst in habitatov v interesu Skupnosti, povezanih s kmetijstvom, ki so stabilni ali se povečujejo</w:t>
            </w:r>
          </w:p>
        </w:tc>
        <w:tc>
          <w:tcPr>
            <w:tcW w:w="4619" w:type="dxa"/>
            <w:tcBorders>
              <w:left w:val="single" w:sz="4" w:space="0" w:color="0070C0"/>
              <w:right w:val="single" w:sz="4" w:space="0" w:color="0070C0"/>
            </w:tcBorders>
          </w:tcPr>
          <w:p w14:paraId="4305C5EB" w14:textId="77777777" w:rsidR="00182609" w:rsidRPr="00B7760C" w:rsidRDefault="00182609" w:rsidP="009D3E2B">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R.26 Varstvo gozdnih ekosistemov:</w:t>
            </w:r>
            <w:r w:rsidRPr="00B7760C">
              <w:rPr>
                <w:rFonts w:asciiTheme="minorHAnsi" w:hAnsiTheme="minorHAnsi" w:cstheme="minorHAnsi"/>
                <w:bCs/>
                <w:sz w:val="18"/>
                <w:szCs w:val="18"/>
              </w:rPr>
              <w:t xml:space="preserve"> </w:t>
            </w:r>
            <w:r w:rsidRPr="00B7760C">
              <w:rPr>
                <w:rFonts w:asciiTheme="minorHAnsi" w:hAnsiTheme="minorHAnsi" w:cstheme="minorHAnsi"/>
                <w:sz w:val="18"/>
                <w:szCs w:val="18"/>
              </w:rPr>
              <w:t xml:space="preserve">delež gozdnih zemljišč z upravljavskimi obveznostmi za podpiranje storitev v zvezi s krajino in biotsko raznovrstnostjo ter ekosistemskih storitev </w:t>
            </w:r>
          </w:p>
        </w:tc>
        <w:tc>
          <w:tcPr>
            <w:tcW w:w="231" w:type="dxa"/>
            <w:tcBorders>
              <w:left w:val="single" w:sz="4" w:space="0" w:color="0070C0"/>
              <w:right w:val="single" w:sz="4" w:space="0" w:color="0070C0"/>
            </w:tcBorders>
          </w:tcPr>
          <w:p w14:paraId="4F86AFEC" w14:textId="77777777" w:rsidR="00182609" w:rsidRPr="00B7760C" w:rsidRDefault="00182609" w:rsidP="009D3E2B">
            <w:pPr>
              <w:widowControl/>
              <w:spacing w:before="120" w:after="120"/>
              <w:rPr>
                <w:rFonts w:asciiTheme="minorHAnsi" w:hAnsiTheme="minorHAnsi" w:cstheme="minorHAnsi"/>
                <w:sz w:val="18"/>
                <w:szCs w:val="18"/>
                <w:lang w:eastAsia="fr-BE"/>
              </w:rPr>
            </w:pPr>
          </w:p>
        </w:tc>
        <w:tc>
          <w:tcPr>
            <w:tcW w:w="1674" w:type="dxa"/>
            <w:tcBorders>
              <w:left w:val="single" w:sz="4" w:space="0" w:color="0070C0"/>
              <w:bottom w:val="single" w:sz="4" w:space="0" w:color="0070C0"/>
              <w:right w:val="single" w:sz="4" w:space="0" w:color="0070C0"/>
            </w:tcBorders>
          </w:tcPr>
          <w:p w14:paraId="7D17CB9E" w14:textId="77777777" w:rsidR="00182609" w:rsidRPr="00B7760C" w:rsidRDefault="00182609" w:rsidP="009D3E2B">
            <w:pPr>
              <w:widowControl/>
              <w:spacing w:before="120" w:after="120"/>
              <w:rPr>
                <w:rFonts w:asciiTheme="minorHAnsi" w:hAnsiTheme="minorHAnsi" w:cstheme="minorHAnsi"/>
                <w:b/>
                <w:bCs/>
                <w:color w:val="000000"/>
                <w:sz w:val="18"/>
                <w:szCs w:val="18"/>
                <w:lang w:eastAsia="fr-BE"/>
              </w:rPr>
            </w:pPr>
          </w:p>
        </w:tc>
        <w:tc>
          <w:tcPr>
            <w:tcW w:w="3260" w:type="dxa"/>
            <w:tcBorders>
              <w:left w:val="single" w:sz="4" w:space="0" w:color="0070C0"/>
              <w:bottom w:val="single" w:sz="4" w:space="0" w:color="0070C0"/>
              <w:right w:val="single" w:sz="4" w:space="0" w:color="0070C0"/>
            </w:tcBorders>
          </w:tcPr>
          <w:p w14:paraId="14EB7944" w14:textId="6AED41CD" w:rsidR="00182609" w:rsidRPr="00B7760C" w:rsidRDefault="00182609" w:rsidP="009D3E2B">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 xml:space="preserve">O.23 </w:t>
            </w:r>
            <w:r w:rsidR="009379FE" w:rsidRPr="00B7760C">
              <w:rPr>
                <w:rFonts w:asciiTheme="minorHAnsi" w:hAnsiTheme="minorHAnsi" w:cstheme="minorHAnsi"/>
                <w:sz w:val="18"/>
                <w:szCs w:val="18"/>
              </w:rPr>
              <w:t>Š</w:t>
            </w:r>
            <w:r w:rsidRPr="00B7760C">
              <w:rPr>
                <w:rFonts w:asciiTheme="minorHAnsi" w:hAnsiTheme="minorHAnsi" w:cstheme="minorHAnsi"/>
                <w:sz w:val="18"/>
                <w:szCs w:val="18"/>
              </w:rPr>
              <w:t>tevilo podeželskih podjetnikov, ki prejemajo nepovratna sredstva za vzpostavitev</w:t>
            </w:r>
          </w:p>
        </w:tc>
      </w:tr>
      <w:tr w:rsidR="00182609" w:rsidRPr="00B7760C" w14:paraId="41C5C837" w14:textId="77777777" w:rsidTr="00A35DEB">
        <w:trPr>
          <w:cantSplit/>
          <w:trHeight w:val="596"/>
        </w:trPr>
        <w:tc>
          <w:tcPr>
            <w:tcW w:w="2311" w:type="dxa"/>
            <w:vMerge/>
            <w:tcBorders>
              <w:left w:val="single" w:sz="4" w:space="0" w:color="0070C0"/>
              <w:right w:val="single" w:sz="4" w:space="0" w:color="0070C0"/>
            </w:tcBorders>
            <w:noWrap/>
          </w:tcPr>
          <w:p w14:paraId="673C6B4F" w14:textId="77777777" w:rsidR="00182609" w:rsidRPr="00B7760C" w:rsidRDefault="00182609" w:rsidP="009D3E2B">
            <w:pPr>
              <w:widowControl/>
              <w:spacing w:before="120" w:after="120" w:line="276" w:lineRule="auto"/>
              <w:rPr>
                <w:rFonts w:asciiTheme="minorHAnsi" w:hAnsiTheme="minorHAnsi" w:cstheme="minorHAnsi"/>
                <w:b/>
                <w:bCs/>
                <w:color w:val="000000"/>
                <w:sz w:val="18"/>
                <w:szCs w:val="18"/>
                <w:lang w:eastAsia="fr-BE"/>
              </w:rPr>
            </w:pPr>
          </w:p>
        </w:tc>
        <w:tc>
          <w:tcPr>
            <w:tcW w:w="3263" w:type="dxa"/>
            <w:tcBorders>
              <w:left w:val="single" w:sz="4" w:space="0" w:color="0070C0"/>
              <w:right w:val="single" w:sz="4" w:space="0" w:color="0070C0"/>
            </w:tcBorders>
            <w:noWrap/>
          </w:tcPr>
          <w:p w14:paraId="13ED9CE1" w14:textId="77777777" w:rsidR="00182609" w:rsidRPr="00B7760C" w:rsidRDefault="00182609" w:rsidP="009D3E2B">
            <w:pPr>
              <w:widowControl/>
              <w:spacing w:before="120" w:after="120" w:line="276" w:lineRule="auto"/>
              <w:rPr>
                <w:rFonts w:asciiTheme="minorHAnsi" w:hAnsiTheme="minorHAnsi" w:cstheme="minorHAnsi"/>
                <w:sz w:val="18"/>
                <w:szCs w:val="18"/>
              </w:rPr>
            </w:pPr>
            <w:r w:rsidRPr="00B7760C">
              <w:rPr>
                <w:rFonts w:asciiTheme="minorHAnsi" w:hAnsiTheme="minorHAnsi" w:cstheme="minorHAnsi"/>
                <w:sz w:val="18"/>
                <w:szCs w:val="18"/>
              </w:rPr>
              <w:t>I.20 Boljše zagotavljanje ekosistemskih storitev:</w:t>
            </w:r>
            <w:r w:rsidRPr="00B7760C">
              <w:rPr>
                <w:rFonts w:asciiTheme="minorHAnsi" w:hAnsiTheme="minorHAnsi" w:cstheme="minorHAnsi"/>
                <w:b/>
                <w:sz w:val="18"/>
                <w:szCs w:val="18"/>
              </w:rPr>
              <w:t xml:space="preserve"> </w:t>
            </w:r>
            <w:r w:rsidRPr="00B7760C">
              <w:rPr>
                <w:rFonts w:asciiTheme="minorHAnsi" w:hAnsiTheme="minorHAnsi" w:cstheme="minorHAnsi"/>
                <w:sz w:val="18"/>
                <w:szCs w:val="18"/>
              </w:rPr>
              <w:t xml:space="preserve">delež </w:t>
            </w:r>
            <w:r w:rsidRPr="00B7760C">
              <w:rPr>
                <w:rFonts w:asciiTheme="minorHAnsi" w:hAnsiTheme="minorHAnsi" w:cstheme="minorHAnsi"/>
                <w:b/>
                <w:i/>
                <w:sz w:val="18"/>
                <w:szCs w:val="18"/>
              </w:rPr>
              <w:t>kmetijske površine v uporabi</w:t>
            </w:r>
            <w:r w:rsidRPr="00B7760C">
              <w:rPr>
                <w:rFonts w:asciiTheme="minorHAnsi" w:hAnsiTheme="minorHAnsi" w:cstheme="minorHAnsi"/>
                <w:sz w:val="18"/>
                <w:szCs w:val="18"/>
              </w:rPr>
              <w:t xml:space="preserve"> s krajinskimi značilnostmi</w:t>
            </w:r>
          </w:p>
        </w:tc>
        <w:tc>
          <w:tcPr>
            <w:tcW w:w="4619" w:type="dxa"/>
            <w:tcBorders>
              <w:left w:val="single" w:sz="4" w:space="0" w:color="0070C0"/>
              <w:right w:val="single" w:sz="4" w:space="0" w:color="0070C0"/>
            </w:tcBorders>
          </w:tcPr>
          <w:p w14:paraId="1DA81BC9" w14:textId="77777777" w:rsidR="00182609" w:rsidRPr="00B7760C" w:rsidRDefault="00182609" w:rsidP="009D3E2B">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R.27 Ohranjanje habitatov in vrst:</w:t>
            </w:r>
            <w:r w:rsidRPr="00B7760C">
              <w:rPr>
                <w:rFonts w:asciiTheme="minorHAnsi" w:hAnsiTheme="minorHAnsi" w:cstheme="minorHAnsi"/>
                <w:bCs/>
                <w:sz w:val="18"/>
                <w:szCs w:val="18"/>
              </w:rPr>
              <w:t xml:space="preserve"> </w:t>
            </w:r>
            <w:r w:rsidRPr="00B7760C">
              <w:rPr>
                <w:rFonts w:asciiTheme="minorHAnsi" w:hAnsiTheme="minorHAnsi" w:cstheme="minorHAnsi"/>
                <w:sz w:val="18"/>
                <w:szCs w:val="18"/>
              </w:rPr>
              <w:t xml:space="preserve">delež kmetijskih zemljišč z upravljavskimi obveznostmi, ki podpirajo ohranjanje ali obnavljanje biotske raznovrstnosti </w:t>
            </w:r>
          </w:p>
        </w:tc>
        <w:tc>
          <w:tcPr>
            <w:tcW w:w="231" w:type="dxa"/>
            <w:tcBorders>
              <w:left w:val="single" w:sz="4" w:space="0" w:color="0070C0"/>
              <w:right w:val="single" w:sz="4" w:space="0" w:color="0070C0"/>
            </w:tcBorders>
          </w:tcPr>
          <w:p w14:paraId="553EC2C3" w14:textId="77777777" w:rsidR="00182609" w:rsidRPr="00B7760C" w:rsidRDefault="00182609" w:rsidP="009D3E2B">
            <w:pPr>
              <w:widowControl/>
              <w:spacing w:before="120" w:after="120" w:line="276" w:lineRule="auto"/>
              <w:rPr>
                <w:rFonts w:asciiTheme="minorHAnsi" w:hAnsiTheme="minorHAnsi" w:cstheme="minorHAnsi"/>
                <w:sz w:val="18"/>
                <w:szCs w:val="18"/>
                <w:lang w:eastAsia="fr-BE"/>
              </w:rPr>
            </w:pPr>
          </w:p>
        </w:tc>
        <w:tc>
          <w:tcPr>
            <w:tcW w:w="1674" w:type="dxa"/>
            <w:tcBorders>
              <w:top w:val="single" w:sz="4" w:space="0" w:color="0070C0"/>
              <w:left w:val="single" w:sz="4" w:space="0" w:color="0070C0"/>
              <w:right w:val="single" w:sz="4" w:space="0" w:color="0070C0"/>
            </w:tcBorders>
          </w:tcPr>
          <w:p w14:paraId="63C29D63" w14:textId="77777777" w:rsidR="00182609" w:rsidRPr="00B7760C" w:rsidRDefault="00182609" w:rsidP="009D3E2B">
            <w:pPr>
              <w:widowControl/>
              <w:spacing w:before="120" w:after="120"/>
              <w:rPr>
                <w:rFonts w:asciiTheme="minorHAnsi" w:hAnsiTheme="minorHAnsi" w:cstheme="minorHAnsi"/>
                <w:b/>
                <w:bCs/>
                <w:color w:val="000000"/>
                <w:sz w:val="18"/>
                <w:szCs w:val="18"/>
              </w:rPr>
            </w:pPr>
            <w:r w:rsidRPr="00B7760C">
              <w:rPr>
                <w:rFonts w:asciiTheme="minorHAnsi" w:hAnsiTheme="minorHAnsi" w:cstheme="minorHAnsi"/>
                <w:b/>
                <w:bCs/>
                <w:color w:val="000000"/>
                <w:sz w:val="18"/>
                <w:szCs w:val="18"/>
              </w:rPr>
              <w:t>Sodelovanje</w:t>
            </w:r>
          </w:p>
        </w:tc>
        <w:tc>
          <w:tcPr>
            <w:tcW w:w="3260" w:type="dxa"/>
            <w:tcBorders>
              <w:top w:val="single" w:sz="4" w:space="0" w:color="0070C0"/>
              <w:left w:val="single" w:sz="4" w:space="0" w:color="0070C0"/>
              <w:right w:val="single" w:sz="4" w:space="0" w:color="0070C0"/>
            </w:tcBorders>
          </w:tcPr>
          <w:p w14:paraId="3C1CC40B" w14:textId="3CBF4C0D" w:rsidR="00182609" w:rsidRPr="00B7760C" w:rsidRDefault="00182609" w:rsidP="009D3E2B">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O.24</w:t>
            </w:r>
            <w:r w:rsidR="009D3E2B" w:rsidRPr="00B7760C">
              <w:rPr>
                <w:rFonts w:asciiTheme="minorHAnsi" w:hAnsiTheme="minorHAnsi" w:cstheme="minorHAnsi"/>
                <w:sz w:val="18"/>
                <w:szCs w:val="18"/>
              </w:rPr>
              <w:t xml:space="preserve"> </w:t>
            </w:r>
            <w:r w:rsidRPr="00B7760C">
              <w:rPr>
                <w:rFonts w:asciiTheme="minorHAnsi" w:hAnsiTheme="minorHAnsi" w:cstheme="minorHAnsi"/>
                <w:sz w:val="18"/>
                <w:szCs w:val="18"/>
              </w:rPr>
              <w:t>Število skupin/organizacij proizvajalcev, ki prejemajo podporo</w:t>
            </w:r>
          </w:p>
          <w:p w14:paraId="3699B51C" w14:textId="77777777" w:rsidR="00182609" w:rsidRPr="00B7760C" w:rsidRDefault="00182609" w:rsidP="009D3E2B">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O.25 Število kmetov, ki prejemajo podporo za sodelovanje v shemah kakovosti EU</w:t>
            </w:r>
          </w:p>
        </w:tc>
      </w:tr>
      <w:tr w:rsidR="00182609" w:rsidRPr="00B7760C" w14:paraId="70491A76" w14:textId="77777777" w:rsidTr="00A35DEB">
        <w:trPr>
          <w:cantSplit/>
          <w:trHeight w:val="457"/>
        </w:trPr>
        <w:tc>
          <w:tcPr>
            <w:tcW w:w="2311" w:type="dxa"/>
            <w:vMerge/>
            <w:tcBorders>
              <w:left w:val="single" w:sz="4" w:space="0" w:color="0070C0"/>
              <w:right w:val="single" w:sz="4" w:space="0" w:color="0070C0"/>
            </w:tcBorders>
            <w:noWrap/>
          </w:tcPr>
          <w:p w14:paraId="5B9EC60A" w14:textId="77777777" w:rsidR="00182609" w:rsidRPr="00B7760C" w:rsidRDefault="00182609" w:rsidP="009D3E2B">
            <w:pPr>
              <w:widowControl/>
              <w:spacing w:before="120" w:after="120" w:line="276" w:lineRule="auto"/>
              <w:rPr>
                <w:rFonts w:asciiTheme="minorHAnsi" w:hAnsiTheme="minorHAnsi" w:cstheme="minorHAnsi"/>
                <w:b/>
                <w:bCs/>
                <w:color w:val="000000"/>
                <w:sz w:val="18"/>
                <w:szCs w:val="18"/>
                <w:lang w:eastAsia="fr-BE"/>
              </w:rPr>
            </w:pPr>
          </w:p>
        </w:tc>
        <w:tc>
          <w:tcPr>
            <w:tcW w:w="3263" w:type="dxa"/>
            <w:tcBorders>
              <w:left w:val="single" w:sz="4" w:space="0" w:color="0070C0"/>
              <w:right w:val="single" w:sz="4" w:space="0" w:color="0070C0"/>
            </w:tcBorders>
            <w:noWrap/>
          </w:tcPr>
          <w:p w14:paraId="75204239" w14:textId="77777777" w:rsidR="00182609" w:rsidRPr="00B7760C" w:rsidRDefault="00182609" w:rsidP="009D3E2B">
            <w:pPr>
              <w:widowControl/>
              <w:spacing w:before="120" w:after="120" w:line="276" w:lineRule="auto"/>
              <w:rPr>
                <w:rFonts w:asciiTheme="minorHAnsi" w:hAnsiTheme="minorHAnsi" w:cstheme="minorHAnsi"/>
                <w:b/>
                <w:sz w:val="18"/>
                <w:szCs w:val="18"/>
                <w:lang w:eastAsia="fr-BE"/>
              </w:rPr>
            </w:pPr>
          </w:p>
        </w:tc>
        <w:tc>
          <w:tcPr>
            <w:tcW w:w="4619" w:type="dxa"/>
            <w:tcBorders>
              <w:left w:val="single" w:sz="4" w:space="0" w:color="0070C0"/>
              <w:right w:val="single" w:sz="4" w:space="0" w:color="0070C0"/>
            </w:tcBorders>
          </w:tcPr>
          <w:p w14:paraId="719987AE" w14:textId="77777777" w:rsidR="00182609" w:rsidRPr="00B7760C" w:rsidRDefault="00182609" w:rsidP="009D3E2B">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R.28 Podpora v okviru omrežja Natura 2000: območja v omrežju Natura 2000 s prevzetimi obveznostmi za varstvo, vzdrževanje in obnavljanje</w:t>
            </w:r>
          </w:p>
        </w:tc>
        <w:tc>
          <w:tcPr>
            <w:tcW w:w="231" w:type="dxa"/>
            <w:tcBorders>
              <w:left w:val="single" w:sz="4" w:space="0" w:color="0070C0"/>
              <w:right w:val="single" w:sz="4" w:space="0" w:color="0070C0"/>
            </w:tcBorders>
          </w:tcPr>
          <w:p w14:paraId="29F70B88" w14:textId="77777777" w:rsidR="00182609" w:rsidRPr="00B7760C" w:rsidRDefault="00182609" w:rsidP="009D3E2B">
            <w:pPr>
              <w:widowControl/>
              <w:spacing w:before="120" w:after="120" w:line="276" w:lineRule="auto"/>
              <w:rPr>
                <w:rFonts w:asciiTheme="minorHAnsi" w:hAnsiTheme="minorHAnsi" w:cstheme="minorHAnsi"/>
                <w:sz w:val="18"/>
                <w:szCs w:val="18"/>
                <w:lang w:eastAsia="fr-BE"/>
              </w:rPr>
            </w:pPr>
          </w:p>
        </w:tc>
        <w:tc>
          <w:tcPr>
            <w:tcW w:w="1674" w:type="dxa"/>
            <w:tcBorders>
              <w:left w:val="single" w:sz="4" w:space="0" w:color="0070C0"/>
              <w:right w:val="single" w:sz="4" w:space="0" w:color="0070C0"/>
            </w:tcBorders>
          </w:tcPr>
          <w:p w14:paraId="05823AD9" w14:textId="77777777" w:rsidR="00182609" w:rsidRPr="00B7760C" w:rsidRDefault="00182609" w:rsidP="009D3E2B">
            <w:pPr>
              <w:widowControl/>
              <w:spacing w:before="120" w:after="120"/>
              <w:rPr>
                <w:rFonts w:asciiTheme="minorHAnsi" w:hAnsiTheme="minorHAnsi" w:cstheme="minorHAnsi"/>
                <w:b/>
                <w:bCs/>
                <w:color w:val="000000"/>
                <w:sz w:val="18"/>
                <w:szCs w:val="18"/>
                <w:lang w:eastAsia="fr-BE"/>
              </w:rPr>
            </w:pPr>
          </w:p>
        </w:tc>
        <w:tc>
          <w:tcPr>
            <w:tcW w:w="3260" w:type="dxa"/>
            <w:tcBorders>
              <w:left w:val="single" w:sz="4" w:space="0" w:color="0070C0"/>
              <w:right w:val="single" w:sz="4" w:space="0" w:color="0070C0"/>
            </w:tcBorders>
          </w:tcPr>
          <w:p w14:paraId="70185385" w14:textId="77777777" w:rsidR="00182609" w:rsidRPr="00B7760C" w:rsidRDefault="00182609" w:rsidP="009D3E2B">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O.26 Število projektov generacijske pomladitve (mladi kmetje/kmetje, ki ne sodijo med mlade kmete)</w:t>
            </w:r>
          </w:p>
        </w:tc>
      </w:tr>
      <w:tr w:rsidR="00182609" w:rsidRPr="00B7760C" w14:paraId="4A98944D" w14:textId="77777777" w:rsidTr="00A35DEB">
        <w:trPr>
          <w:cantSplit/>
          <w:trHeight w:val="457"/>
        </w:trPr>
        <w:tc>
          <w:tcPr>
            <w:tcW w:w="2311" w:type="dxa"/>
            <w:vMerge/>
            <w:tcBorders>
              <w:left w:val="single" w:sz="4" w:space="0" w:color="0070C0"/>
              <w:bottom w:val="single" w:sz="4" w:space="0" w:color="0070C0"/>
              <w:right w:val="single" w:sz="4" w:space="0" w:color="0070C0"/>
            </w:tcBorders>
            <w:noWrap/>
          </w:tcPr>
          <w:p w14:paraId="3F891887" w14:textId="77777777" w:rsidR="00182609" w:rsidRPr="00B7760C" w:rsidRDefault="00182609" w:rsidP="009D3E2B">
            <w:pPr>
              <w:widowControl/>
              <w:spacing w:before="120" w:after="120" w:line="276" w:lineRule="auto"/>
              <w:rPr>
                <w:rFonts w:asciiTheme="minorHAnsi" w:hAnsiTheme="minorHAnsi" w:cstheme="minorHAnsi"/>
                <w:b/>
                <w:bCs/>
                <w:color w:val="000000"/>
                <w:sz w:val="18"/>
                <w:szCs w:val="18"/>
                <w:lang w:eastAsia="fr-BE"/>
              </w:rPr>
            </w:pPr>
          </w:p>
        </w:tc>
        <w:tc>
          <w:tcPr>
            <w:tcW w:w="3263" w:type="dxa"/>
            <w:tcBorders>
              <w:left w:val="single" w:sz="4" w:space="0" w:color="0070C0"/>
              <w:bottom w:val="single" w:sz="4" w:space="0" w:color="0070C0"/>
              <w:right w:val="single" w:sz="4" w:space="0" w:color="0070C0"/>
            </w:tcBorders>
            <w:noWrap/>
          </w:tcPr>
          <w:p w14:paraId="097ED008" w14:textId="77777777" w:rsidR="00182609" w:rsidRPr="00B7760C" w:rsidRDefault="00182609" w:rsidP="009D3E2B">
            <w:pPr>
              <w:widowControl/>
              <w:spacing w:before="120" w:after="120" w:line="276" w:lineRule="auto"/>
              <w:rPr>
                <w:rFonts w:asciiTheme="minorHAnsi" w:hAnsiTheme="minorHAnsi" w:cstheme="minorHAnsi"/>
                <w:b/>
                <w:sz w:val="18"/>
                <w:szCs w:val="18"/>
                <w:lang w:eastAsia="fr-BE"/>
              </w:rPr>
            </w:pPr>
          </w:p>
        </w:tc>
        <w:tc>
          <w:tcPr>
            <w:tcW w:w="4619" w:type="dxa"/>
            <w:tcBorders>
              <w:left w:val="single" w:sz="4" w:space="0" w:color="0070C0"/>
              <w:bottom w:val="single" w:sz="4" w:space="0" w:color="0070C0"/>
              <w:right w:val="single" w:sz="4" w:space="0" w:color="0070C0"/>
            </w:tcBorders>
          </w:tcPr>
          <w:p w14:paraId="60FF8657" w14:textId="77777777" w:rsidR="00182609" w:rsidRPr="00B7760C" w:rsidRDefault="00182609" w:rsidP="009D3E2B">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R.29 Ohranjanje krajinskih značilnosti: delež kmetijskih zemljišč s prevzetimi obveznostmi za upravljanje krajinskih značilnosti, vključno z mejicami</w:t>
            </w:r>
          </w:p>
        </w:tc>
        <w:tc>
          <w:tcPr>
            <w:tcW w:w="231" w:type="dxa"/>
            <w:tcBorders>
              <w:left w:val="single" w:sz="4" w:space="0" w:color="0070C0"/>
              <w:right w:val="single" w:sz="4" w:space="0" w:color="0070C0"/>
            </w:tcBorders>
          </w:tcPr>
          <w:p w14:paraId="45D1A3BA" w14:textId="77777777" w:rsidR="00182609" w:rsidRPr="00B7760C" w:rsidRDefault="00182609" w:rsidP="009D3E2B">
            <w:pPr>
              <w:widowControl/>
              <w:spacing w:before="120" w:after="120" w:line="276" w:lineRule="auto"/>
              <w:rPr>
                <w:rFonts w:asciiTheme="minorHAnsi" w:hAnsiTheme="minorHAnsi" w:cstheme="minorHAnsi"/>
                <w:sz w:val="18"/>
                <w:szCs w:val="18"/>
                <w:lang w:eastAsia="fr-BE"/>
              </w:rPr>
            </w:pPr>
          </w:p>
        </w:tc>
        <w:tc>
          <w:tcPr>
            <w:tcW w:w="1674" w:type="dxa"/>
            <w:tcBorders>
              <w:left w:val="single" w:sz="4" w:space="0" w:color="0070C0"/>
              <w:right w:val="single" w:sz="4" w:space="0" w:color="0070C0"/>
            </w:tcBorders>
          </w:tcPr>
          <w:p w14:paraId="1682F489" w14:textId="77777777" w:rsidR="00182609" w:rsidRPr="00B7760C" w:rsidRDefault="00182609" w:rsidP="009D3E2B">
            <w:pPr>
              <w:widowControl/>
              <w:spacing w:before="120" w:after="120"/>
              <w:rPr>
                <w:rFonts w:asciiTheme="minorHAnsi" w:hAnsiTheme="minorHAnsi" w:cstheme="minorHAnsi"/>
                <w:b/>
                <w:bCs/>
                <w:color w:val="000000"/>
                <w:sz w:val="18"/>
                <w:szCs w:val="18"/>
                <w:lang w:eastAsia="fr-BE"/>
              </w:rPr>
            </w:pPr>
          </w:p>
        </w:tc>
        <w:tc>
          <w:tcPr>
            <w:tcW w:w="3260" w:type="dxa"/>
            <w:tcBorders>
              <w:left w:val="single" w:sz="4" w:space="0" w:color="0070C0"/>
              <w:right w:val="single" w:sz="4" w:space="0" w:color="0070C0"/>
            </w:tcBorders>
          </w:tcPr>
          <w:p w14:paraId="38EBD6B4" w14:textId="77777777" w:rsidR="00182609" w:rsidRPr="00B7760C" w:rsidRDefault="00182609" w:rsidP="009D3E2B">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O.27 Število strategij lokalnega razvoja (LEADER)</w:t>
            </w:r>
          </w:p>
        </w:tc>
      </w:tr>
      <w:tr w:rsidR="00182609" w:rsidRPr="00B7760C" w14:paraId="2347FE18" w14:textId="77777777" w:rsidTr="00A35DEB">
        <w:trPr>
          <w:cantSplit/>
          <w:trHeight w:val="457"/>
        </w:trPr>
        <w:tc>
          <w:tcPr>
            <w:tcW w:w="2311" w:type="dxa"/>
            <w:tcBorders>
              <w:top w:val="single" w:sz="4" w:space="0" w:color="0070C0"/>
            </w:tcBorders>
            <w:noWrap/>
          </w:tcPr>
          <w:p w14:paraId="5A7E30CD" w14:textId="77777777" w:rsidR="00182609" w:rsidRPr="00B7760C" w:rsidRDefault="00182609" w:rsidP="009D3E2B">
            <w:pPr>
              <w:widowControl/>
              <w:spacing w:before="120" w:after="120" w:line="276" w:lineRule="auto"/>
              <w:rPr>
                <w:rFonts w:asciiTheme="minorHAnsi" w:hAnsiTheme="minorHAnsi" w:cstheme="minorHAnsi"/>
                <w:b/>
                <w:bCs/>
                <w:color w:val="000000"/>
                <w:sz w:val="18"/>
                <w:szCs w:val="18"/>
                <w:lang w:eastAsia="fr-BE"/>
              </w:rPr>
            </w:pPr>
          </w:p>
        </w:tc>
        <w:tc>
          <w:tcPr>
            <w:tcW w:w="3263" w:type="dxa"/>
            <w:tcBorders>
              <w:top w:val="single" w:sz="4" w:space="0" w:color="0070C0"/>
            </w:tcBorders>
            <w:noWrap/>
          </w:tcPr>
          <w:p w14:paraId="362318B7" w14:textId="77777777" w:rsidR="00182609" w:rsidRPr="00B7760C" w:rsidRDefault="00182609" w:rsidP="009D3E2B">
            <w:pPr>
              <w:widowControl/>
              <w:spacing w:before="120" w:after="120" w:line="276" w:lineRule="auto"/>
              <w:rPr>
                <w:rFonts w:asciiTheme="minorHAnsi" w:hAnsiTheme="minorHAnsi" w:cstheme="minorHAnsi"/>
                <w:b/>
                <w:sz w:val="18"/>
                <w:szCs w:val="18"/>
                <w:lang w:eastAsia="fr-BE"/>
              </w:rPr>
            </w:pPr>
          </w:p>
        </w:tc>
        <w:tc>
          <w:tcPr>
            <w:tcW w:w="4619" w:type="dxa"/>
            <w:tcBorders>
              <w:top w:val="single" w:sz="4" w:space="0" w:color="0070C0"/>
            </w:tcBorders>
          </w:tcPr>
          <w:p w14:paraId="7B780210" w14:textId="77777777" w:rsidR="00182609" w:rsidRPr="00B7760C" w:rsidRDefault="00182609" w:rsidP="009D3E2B">
            <w:pPr>
              <w:widowControl/>
              <w:spacing w:before="120" w:after="120"/>
              <w:rPr>
                <w:rFonts w:asciiTheme="minorHAnsi" w:hAnsiTheme="minorHAnsi" w:cstheme="minorHAnsi"/>
                <w:sz w:val="18"/>
                <w:szCs w:val="18"/>
                <w:lang w:eastAsia="fr-BE"/>
              </w:rPr>
            </w:pPr>
          </w:p>
        </w:tc>
        <w:tc>
          <w:tcPr>
            <w:tcW w:w="231" w:type="dxa"/>
          </w:tcPr>
          <w:p w14:paraId="45F41AFF" w14:textId="77777777" w:rsidR="00182609" w:rsidRPr="00B7760C" w:rsidRDefault="00182609" w:rsidP="009D3E2B">
            <w:pPr>
              <w:widowControl/>
              <w:spacing w:before="120" w:after="120" w:line="276" w:lineRule="auto"/>
              <w:rPr>
                <w:rFonts w:asciiTheme="minorHAnsi" w:hAnsiTheme="minorHAnsi" w:cstheme="minorHAnsi"/>
                <w:sz w:val="18"/>
                <w:szCs w:val="18"/>
                <w:lang w:eastAsia="fr-BE"/>
              </w:rPr>
            </w:pPr>
          </w:p>
        </w:tc>
        <w:tc>
          <w:tcPr>
            <w:tcW w:w="1674" w:type="dxa"/>
            <w:tcBorders>
              <w:left w:val="single" w:sz="4" w:space="0" w:color="0070C0"/>
              <w:bottom w:val="single" w:sz="4" w:space="0" w:color="0070C0"/>
              <w:right w:val="single" w:sz="4" w:space="0" w:color="0070C0"/>
            </w:tcBorders>
          </w:tcPr>
          <w:p w14:paraId="40BC73CA" w14:textId="77777777" w:rsidR="00182609" w:rsidRPr="00B7760C" w:rsidRDefault="00182609" w:rsidP="009D3E2B">
            <w:pPr>
              <w:widowControl/>
              <w:spacing w:before="120" w:after="120"/>
              <w:rPr>
                <w:rFonts w:asciiTheme="minorHAnsi" w:hAnsiTheme="minorHAnsi" w:cstheme="minorHAnsi"/>
                <w:b/>
                <w:bCs/>
                <w:color w:val="000000"/>
                <w:sz w:val="18"/>
                <w:szCs w:val="18"/>
                <w:lang w:eastAsia="fr-BE"/>
              </w:rPr>
            </w:pPr>
          </w:p>
        </w:tc>
        <w:tc>
          <w:tcPr>
            <w:tcW w:w="3260" w:type="dxa"/>
            <w:tcBorders>
              <w:left w:val="single" w:sz="4" w:space="0" w:color="0070C0"/>
              <w:bottom w:val="single" w:sz="4" w:space="0" w:color="0070C0"/>
              <w:right w:val="single" w:sz="4" w:space="0" w:color="0070C0"/>
            </w:tcBorders>
          </w:tcPr>
          <w:p w14:paraId="18B2ED58" w14:textId="77777777" w:rsidR="00182609" w:rsidRPr="00B7760C" w:rsidRDefault="00182609" w:rsidP="009D3E2B">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O.28 Število drugih skupin za sodelovanje (razen EIP pod O.1)</w:t>
            </w:r>
          </w:p>
        </w:tc>
      </w:tr>
      <w:tr w:rsidR="00182609" w:rsidRPr="00B7760C" w14:paraId="526136D4" w14:textId="77777777" w:rsidTr="00A35DEB">
        <w:trPr>
          <w:cantSplit/>
          <w:trHeight w:val="808"/>
        </w:trPr>
        <w:tc>
          <w:tcPr>
            <w:tcW w:w="2311" w:type="dxa"/>
            <w:tcBorders>
              <w:top w:val="single" w:sz="4" w:space="0" w:color="0070C0"/>
              <w:left w:val="single" w:sz="4" w:space="0" w:color="0070C0"/>
              <w:bottom w:val="single" w:sz="4" w:space="0" w:color="0070C0"/>
              <w:right w:val="single" w:sz="4" w:space="0" w:color="0070C0"/>
            </w:tcBorders>
            <w:noWrap/>
            <w:vAlign w:val="center"/>
          </w:tcPr>
          <w:p w14:paraId="1BEBB03E" w14:textId="77777777" w:rsidR="00182609" w:rsidRPr="00B7760C" w:rsidRDefault="00182609" w:rsidP="009D3E2B">
            <w:pPr>
              <w:widowControl/>
              <w:spacing w:before="120" w:after="120"/>
              <w:rPr>
                <w:rFonts w:asciiTheme="minorHAnsi" w:hAnsiTheme="minorHAnsi" w:cstheme="minorHAnsi"/>
                <w:bCs/>
                <w:sz w:val="18"/>
                <w:szCs w:val="18"/>
              </w:rPr>
            </w:pPr>
            <w:r w:rsidRPr="00B7760C">
              <w:rPr>
                <w:rFonts w:asciiTheme="minorHAnsi" w:hAnsiTheme="minorHAnsi" w:cstheme="minorHAnsi"/>
                <w:bCs/>
                <w:sz w:val="18"/>
                <w:szCs w:val="18"/>
              </w:rPr>
              <w:t>Privabljanje mladih kmetov</w:t>
            </w:r>
            <w:r w:rsidRPr="00B7760C">
              <w:rPr>
                <w:rFonts w:asciiTheme="minorHAnsi" w:hAnsiTheme="minorHAnsi" w:cstheme="minorHAnsi"/>
                <w:b/>
                <w:bCs/>
                <w:i/>
                <w:sz w:val="18"/>
                <w:szCs w:val="18"/>
              </w:rPr>
              <w:t xml:space="preserve"> in spodbujanje</w:t>
            </w:r>
            <w:r w:rsidRPr="00B7760C">
              <w:rPr>
                <w:rFonts w:asciiTheme="minorHAnsi" w:hAnsiTheme="minorHAnsi" w:cstheme="minorHAnsi"/>
                <w:bCs/>
                <w:sz w:val="18"/>
                <w:szCs w:val="18"/>
              </w:rPr>
              <w:t xml:space="preserve"> razvoja podjetij na podeželskih območjih</w:t>
            </w:r>
          </w:p>
        </w:tc>
        <w:tc>
          <w:tcPr>
            <w:tcW w:w="3263" w:type="dxa"/>
            <w:tcBorders>
              <w:top w:val="single" w:sz="4" w:space="0" w:color="0070C0"/>
              <w:left w:val="single" w:sz="4" w:space="0" w:color="0070C0"/>
              <w:bottom w:val="single" w:sz="4" w:space="0" w:color="0070C0"/>
              <w:right w:val="single" w:sz="4" w:space="0" w:color="0070C0"/>
            </w:tcBorders>
          </w:tcPr>
          <w:p w14:paraId="3BD505FA" w14:textId="77777777" w:rsidR="00182609" w:rsidRPr="00B7760C" w:rsidRDefault="00182609" w:rsidP="009D3E2B">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 xml:space="preserve">1.21 Privabljanje mladih kmetov: spreminjanje števila novih kmetov </w:t>
            </w:r>
          </w:p>
        </w:tc>
        <w:tc>
          <w:tcPr>
            <w:tcW w:w="4619" w:type="dxa"/>
            <w:tcBorders>
              <w:top w:val="single" w:sz="4" w:space="0" w:color="0070C0"/>
              <w:left w:val="single" w:sz="4" w:space="0" w:color="0070C0"/>
              <w:bottom w:val="single" w:sz="4" w:space="0" w:color="0070C0"/>
              <w:right w:val="single" w:sz="4" w:space="0" w:color="0070C0"/>
            </w:tcBorders>
          </w:tcPr>
          <w:p w14:paraId="76531E49" w14:textId="41923F93" w:rsidR="00182609" w:rsidRPr="00B7760C" w:rsidRDefault="00182609" w:rsidP="009D3E2B">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R.30 Generacijska pomladitev:</w:t>
            </w:r>
            <w:r w:rsidRPr="00B7760C">
              <w:rPr>
                <w:rFonts w:asciiTheme="minorHAnsi" w:hAnsiTheme="minorHAnsi" w:cstheme="minorHAnsi"/>
                <w:bCs/>
                <w:sz w:val="18"/>
                <w:szCs w:val="18"/>
              </w:rPr>
              <w:t xml:space="preserve"> </w:t>
            </w:r>
            <w:r w:rsidRPr="00B7760C">
              <w:rPr>
                <w:rFonts w:asciiTheme="minorHAnsi" w:hAnsiTheme="minorHAnsi" w:cstheme="minorHAnsi"/>
                <w:sz w:val="18"/>
                <w:szCs w:val="18"/>
              </w:rPr>
              <w:t>število mladih kmetov, ki vzpostavljajo kmetijsko gospodarstvo s podporo iz SKP</w:t>
            </w:r>
            <w:r w:rsidR="009D3E2B" w:rsidRPr="00B7760C">
              <w:rPr>
                <w:rFonts w:asciiTheme="minorHAnsi" w:hAnsiTheme="minorHAnsi" w:cstheme="minorHAnsi"/>
                <w:sz w:val="18"/>
                <w:szCs w:val="18"/>
              </w:rPr>
              <w:t xml:space="preserve"> </w:t>
            </w:r>
          </w:p>
        </w:tc>
        <w:tc>
          <w:tcPr>
            <w:tcW w:w="231" w:type="dxa"/>
            <w:tcBorders>
              <w:left w:val="single" w:sz="4" w:space="0" w:color="0070C0"/>
              <w:right w:val="single" w:sz="4" w:space="0" w:color="0070C0"/>
            </w:tcBorders>
          </w:tcPr>
          <w:p w14:paraId="6DBDC7E2" w14:textId="77777777" w:rsidR="00182609" w:rsidRPr="00B7760C" w:rsidRDefault="00182609" w:rsidP="009D3E2B">
            <w:pPr>
              <w:widowControl/>
              <w:spacing w:before="120" w:after="120" w:line="276" w:lineRule="auto"/>
              <w:rPr>
                <w:rFonts w:asciiTheme="minorHAnsi" w:hAnsiTheme="minorHAnsi" w:cstheme="minorHAnsi"/>
                <w:sz w:val="18"/>
                <w:szCs w:val="18"/>
                <w:lang w:eastAsia="fr-BE"/>
              </w:rPr>
            </w:pPr>
          </w:p>
        </w:tc>
        <w:tc>
          <w:tcPr>
            <w:tcW w:w="1674" w:type="dxa"/>
            <w:tcBorders>
              <w:top w:val="single" w:sz="4" w:space="0" w:color="0070C0"/>
              <w:left w:val="single" w:sz="4" w:space="0" w:color="0070C0"/>
              <w:right w:val="single" w:sz="4" w:space="0" w:color="0070C0"/>
            </w:tcBorders>
            <w:shd w:val="clear" w:color="auto" w:fill="auto"/>
          </w:tcPr>
          <w:p w14:paraId="24AA2290" w14:textId="77777777" w:rsidR="00182609" w:rsidRPr="00B7760C" w:rsidRDefault="00182609" w:rsidP="009D3E2B">
            <w:pPr>
              <w:widowControl/>
              <w:spacing w:before="120" w:after="120"/>
              <w:rPr>
                <w:rFonts w:asciiTheme="minorHAnsi" w:hAnsiTheme="minorHAnsi" w:cstheme="minorHAnsi"/>
                <w:b/>
                <w:bCs/>
                <w:color w:val="000000"/>
                <w:sz w:val="18"/>
                <w:szCs w:val="18"/>
              </w:rPr>
            </w:pPr>
            <w:r w:rsidRPr="00B7760C">
              <w:rPr>
                <w:rFonts w:asciiTheme="minorHAnsi" w:hAnsiTheme="minorHAnsi" w:cstheme="minorHAnsi"/>
                <w:b/>
                <w:bCs/>
                <w:color w:val="000000"/>
                <w:sz w:val="18"/>
                <w:szCs w:val="18"/>
              </w:rPr>
              <w:t>Izmenjava znanja in informiranje</w:t>
            </w:r>
          </w:p>
        </w:tc>
        <w:tc>
          <w:tcPr>
            <w:tcW w:w="3260" w:type="dxa"/>
            <w:tcBorders>
              <w:top w:val="single" w:sz="4" w:space="0" w:color="0070C0"/>
              <w:left w:val="single" w:sz="4" w:space="0" w:color="0070C0"/>
              <w:right w:val="single" w:sz="4" w:space="0" w:color="0070C0"/>
            </w:tcBorders>
            <w:shd w:val="clear" w:color="auto" w:fill="auto"/>
          </w:tcPr>
          <w:p w14:paraId="2DFCB2B9" w14:textId="172E2AD7" w:rsidR="00182609" w:rsidRPr="00B7760C" w:rsidRDefault="00182609" w:rsidP="009D3E2B">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O.29</w:t>
            </w:r>
            <w:r w:rsidR="009D3E2B" w:rsidRPr="00B7760C">
              <w:rPr>
                <w:rFonts w:asciiTheme="minorHAnsi" w:hAnsiTheme="minorHAnsi" w:cstheme="minorHAnsi"/>
                <w:sz w:val="18"/>
                <w:szCs w:val="18"/>
              </w:rPr>
              <w:t xml:space="preserve"> </w:t>
            </w:r>
            <w:r w:rsidRPr="00B7760C">
              <w:rPr>
                <w:rFonts w:asciiTheme="minorHAnsi" w:hAnsiTheme="minorHAnsi" w:cstheme="minorHAnsi"/>
                <w:sz w:val="18"/>
                <w:szCs w:val="18"/>
              </w:rPr>
              <w:t>Število kmetov, ki so sodelovali na usposabljanju ali bili deležni svetovanja</w:t>
            </w:r>
          </w:p>
        </w:tc>
      </w:tr>
    </w:tbl>
    <w:p w14:paraId="768131C3" w14:textId="77777777" w:rsidR="00182609" w:rsidRPr="00B7760C" w:rsidRDefault="00182609" w:rsidP="009D3E2B">
      <w:pPr>
        <w:widowControl/>
        <w:spacing w:before="120" w:after="120"/>
        <w:rPr>
          <w:rFonts w:asciiTheme="minorHAnsi" w:eastAsia="Calibri" w:hAnsiTheme="minorHAnsi" w:cstheme="minorHAnsi"/>
          <w:szCs w:val="22"/>
          <w:lang w:eastAsia="en-US"/>
        </w:rPr>
      </w:pPr>
    </w:p>
    <w:tbl>
      <w:tblPr>
        <w:tblStyle w:val="TableGridLight1"/>
        <w:tblW w:w="22818"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3110"/>
        <w:gridCol w:w="4680"/>
        <w:gridCol w:w="240"/>
        <w:gridCol w:w="1680"/>
        <w:gridCol w:w="3240"/>
        <w:gridCol w:w="4058"/>
        <w:gridCol w:w="3400"/>
      </w:tblGrid>
      <w:tr w:rsidR="00182609" w:rsidRPr="00B7760C" w14:paraId="0E427863" w14:textId="77777777" w:rsidTr="00A35DEB">
        <w:trPr>
          <w:gridAfter w:val="2"/>
          <w:wAfter w:w="7458" w:type="dxa"/>
          <w:cantSplit/>
          <w:trHeight w:val="413"/>
          <w:tblHeader/>
        </w:trPr>
        <w:tc>
          <w:tcPr>
            <w:tcW w:w="2410" w:type="dxa"/>
            <w:tcBorders>
              <w:top w:val="single" w:sz="4" w:space="0" w:color="0070C0"/>
              <w:left w:val="single" w:sz="4" w:space="0" w:color="0070C0"/>
              <w:bottom w:val="single" w:sz="4" w:space="0" w:color="0070C0"/>
              <w:right w:val="single" w:sz="4" w:space="0" w:color="0070C0"/>
            </w:tcBorders>
            <w:shd w:val="clear" w:color="auto" w:fill="auto"/>
            <w:noWrap/>
          </w:tcPr>
          <w:p w14:paraId="555F025F" w14:textId="77777777" w:rsidR="00182609" w:rsidRPr="00B7760C" w:rsidRDefault="00182609" w:rsidP="009D3E2B">
            <w:pPr>
              <w:widowControl/>
              <w:spacing w:before="120" w:after="120" w:line="276" w:lineRule="auto"/>
              <w:ind w:left="64"/>
              <w:rPr>
                <w:rFonts w:asciiTheme="minorHAnsi" w:hAnsiTheme="minorHAnsi" w:cstheme="minorHAnsi"/>
                <w:bCs/>
                <w:sz w:val="18"/>
                <w:szCs w:val="18"/>
              </w:rPr>
            </w:pPr>
            <w:r w:rsidRPr="00B7760C">
              <w:rPr>
                <w:rFonts w:asciiTheme="minorHAnsi" w:hAnsiTheme="minorHAnsi" w:cstheme="minorHAnsi"/>
              </w:rPr>
              <w:br w:type="page"/>
            </w:r>
            <w:r w:rsidRPr="00B7760C">
              <w:rPr>
                <w:rFonts w:asciiTheme="minorHAnsi" w:hAnsiTheme="minorHAnsi" w:cstheme="minorHAnsi"/>
                <w:bCs/>
                <w:sz w:val="18"/>
                <w:szCs w:val="18"/>
              </w:rPr>
              <w:t>Specifični cilji EU</w:t>
            </w:r>
          </w:p>
        </w:tc>
        <w:tc>
          <w:tcPr>
            <w:tcW w:w="3110" w:type="dxa"/>
            <w:tcBorders>
              <w:top w:val="single" w:sz="4" w:space="0" w:color="0070C0"/>
              <w:left w:val="single" w:sz="4" w:space="0" w:color="0070C0"/>
              <w:bottom w:val="single" w:sz="4" w:space="0" w:color="0070C0"/>
              <w:right w:val="single" w:sz="4" w:space="0" w:color="0070C0"/>
            </w:tcBorders>
            <w:shd w:val="clear" w:color="auto" w:fill="auto"/>
            <w:noWrap/>
          </w:tcPr>
          <w:p w14:paraId="38EACC28" w14:textId="77777777" w:rsidR="00182609" w:rsidRPr="00B7760C" w:rsidRDefault="00182609" w:rsidP="009D3E2B">
            <w:pPr>
              <w:widowControl/>
              <w:spacing w:before="120" w:after="120" w:line="276" w:lineRule="auto"/>
              <w:ind w:left="64"/>
              <w:rPr>
                <w:rFonts w:asciiTheme="minorHAnsi" w:hAnsiTheme="minorHAnsi" w:cstheme="minorHAnsi"/>
                <w:bCs/>
                <w:sz w:val="18"/>
                <w:szCs w:val="18"/>
              </w:rPr>
            </w:pPr>
            <w:r w:rsidRPr="00B7760C">
              <w:rPr>
                <w:rFonts w:asciiTheme="minorHAnsi" w:hAnsiTheme="minorHAnsi" w:cstheme="minorHAnsi"/>
                <w:bCs/>
                <w:sz w:val="18"/>
                <w:szCs w:val="18"/>
              </w:rPr>
              <w:t>Kazalniki učinka</w:t>
            </w:r>
          </w:p>
        </w:tc>
        <w:tc>
          <w:tcPr>
            <w:tcW w:w="4680" w:type="dxa"/>
            <w:tcBorders>
              <w:top w:val="single" w:sz="4" w:space="0" w:color="0070C0"/>
              <w:left w:val="single" w:sz="4" w:space="0" w:color="0070C0"/>
              <w:bottom w:val="single" w:sz="4" w:space="0" w:color="0070C0"/>
              <w:right w:val="single" w:sz="4" w:space="0" w:color="0070C0"/>
            </w:tcBorders>
            <w:shd w:val="clear" w:color="auto" w:fill="auto"/>
          </w:tcPr>
          <w:p w14:paraId="22A6E59D" w14:textId="77777777" w:rsidR="00182609" w:rsidRPr="00B7760C" w:rsidRDefault="00182609" w:rsidP="009D3E2B">
            <w:pPr>
              <w:widowControl/>
              <w:spacing w:before="120" w:after="120" w:line="276" w:lineRule="auto"/>
              <w:ind w:left="64"/>
              <w:rPr>
                <w:rFonts w:asciiTheme="minorHAnsi" w:hAnsiTheme="minorHAnsi" w:cstheme="minorHAnsi"/>
                <w:bCs/>
                <w:sz w:val="18"/>
                <w:szCs w:val="18"/>
              </w:rPr>
            </w:pPr>
            <w:r w:rsidRPr="00B7760C">
              <w:rPr>
                <w:rFonts w:asciiTheme="minorHAnsi" w:hAnsiTheme="minorHAnsi" w:cstheme="minorHAnsi"/>
                <w:bCs/>
                <w:sz w:val="18"/>
                <w:szCs w:val="18"/>
              </w:rPr>
              <w:t>Kazalniki rezultatov</w:t>
            </w:r>
          </w:p>
          <w:p w14:paraId="77C36BA8" w14:textId="77777777" w:rsidR="00182609" w:rsidRPr="00B7760C" w:rsidRDefault="00182609" w:rsidP="009D3E2B">
            <w:pPr>
              <w:widowControl/>
              <w:spacing w:before="120" w:after="120" w:line="276" w:lineRule="auto"/>
              <w:ind w:left="64"/>
              <w:rPr>
                <w:rFonts w:asciiTheme="minorHAnsi" w:hAnsiTheme="minorHAnsi" w:cstheme="minorHAnsi"/>
                <w:bCs/>
                <w:sz w:val="18"/>
                <w:szCs w:val="18"/>
              </w:rPr>
            </w:pPr>
            <w:r w:rsidRPr="00B7760C">
              <w:rPr>
                <w:rFonts w:asciiTheme="minorHAnsi" w:hAnsiTheme="minorHAnsi" w:cstheme="minorHAnsi"/>
                <w:bCs/>
                <w:sz w:val="18"/>
                <w:szCs w:val="18"/>
              </w:rPr>
              <w:t>(samo na podlagi intervencij, ki jih podpira SKP)</w:t>
            </w:r>
          </w:p>
        </w:tc>
        <w:tc>
          <w:tcPr>
            <w:tcW w:w="240" w:type="dxa"/>
            <w:tcBorders>
              <w:left w:val="single" w:sz="4" w:space="0" w:color="0070C0"/>
              <w:right w:val="single" w:sz="4" w:space="0" w:color="0070C0"/>
            </w:tcBorders>
            <w:shd w:val="clear" w:color="auto" w:fill="auto"/>
          </w:tcPr>
          <w:p w14:paraId="1F061201" w14:textId="77777777" w:rsidR="00182609" w:rsidRPr="00B7760C" w:rsidRDefault="00182609" w:rsidP="009D3E2B">
            <w:pPr>
              <w:widowControl/>
              <w:spacing w:before="120" w:after="120" w:line="276" w:lineRule="auto"/>
              <w:ind w:left="64"/>
              <w:rPr>
                <w:rFonts w:asciiTheme="minorHAnsi" w:hAnsiTheme="minorHAnsi" w:cstheme="minorHAnsi"/>
                <w:bCs/>
                <w:sz w:val="18"/>
                <w:szCs w:val="18"/>
                <w:lang w:eastAsia="fr-BE"/>
              </w:rPr>
            </w:pPr>
          </w:p>
        </w:tc>
        <w:tc>
          <w:tcPr>
            <w:tcW w:w="1680" w:type="dxa"/>
            <w:tcBorders>
              <w:top w:val="single" w:sz="4" w:space="0" w:color="0070C0"/>
              <w:left w:val="single" w:sz="4" w:space="0" w:color="0070C0"/>
              <w:bottom w:val="single" w:sz="4" w:space="0" w:color="0070C0"/>
              <w:right w:val="single" w:sz="4" w:space="0" w:color="0070C0"/>
            </w:tcBorders>
            <w:shd w:val="clear" w:color="auto" w:fill="auto"/>
          </w:tcPr>
          <w:p w14:paraId="46ED8183" w14:textId="77777777" w:rsidR="00182609" w:rsidRPr="00B7760C" w:rsidRDefault="00182609" w:rsidP="009D3E2B">
            <w:pPr>
              <w:widowControl/>
              <w:spacing w:before="120" w:after="120"/>
              <w:rPr>
                <w:rFonts w:asciiTheme="minorHAnsi" w:hAnsiTheme="minorHAnsi" w:cstheme="minorHAnsi"/>
                <w:bCs/>
                <w:sz w:val="18"/>
                <w:szCs w:val="18"/>
              </w:rPr>
            </w:pPr>
            <w:r w:rsidRPr="00B7760C">
              <w:rPr>
                <w:rFonts w:asciiTheme="minorHAnsi" w:hAnsiTheme="minorHAnsi" w:cstheme="minorHAnsi"/>
                <w:bCs/>
                <w:sz w:val="18"/>
                <w:szCs w:val="18"/>
              </w:rPr>
              <w:t>Široka vrsta intervencije</w:t>
            </w:r>
          </w:p>
        </w:tc>
        <w:tc>
          <w:tcPr>
            <w:tcW w:w="3240" w:type="dxa"/>
            <w:tcBorders>
              <w:top w:val="single" w:sz="4" w:space="0" w:color="0070C0"/>
              <w:left w:val="single" w:sz="4" w:space="0" w:color="0070C0"/>
              <w:bottom w:val="single" w:sz="4" w:space="0" w:color="0070C0"/>
              <w:right w:val="single" w:sz="4" w:space="0" w:color="0070C0"/>
            </w:tcBorders>
            <w:shd w:val="clear" w:color="auto" w:fill="auto"/>
          </w:tcPr>
          <w:p w14:paraId="208E4D91" w14:textId="77777777" w:rsidR="00182609" w:rsidRPr="00B7760C" w:rsidRDefault="00182609" w:rsidP="009D3E2B">
            <w:pPr>
              <w:widowControl/>
              <w:spacing w:before="120" w:after="120"/>
              <w:rPr>
                <w:rFonts w:asciiTheme="minorHAnsi" w:hAnsiTheme="minorHAnsi" w:cstheme="minorHAnsi"/>
                <w:bCs/>
                <w:sz w:val="18"/>
                <w:szCs w:val="18"/>
              </w:rPr>
            </w:pPr>
            <w:r w:rsidRPr="00B7760C">
              <w:rPr>
                <w:rFonts w:asciiTheme="minorHAnsi" w:hAnsiTheme="minorHAnsi" w:cstheme="minorHAnsi"/>
                <w:bCs/>
                <w:sz w:val="18"/>
                <w:szCs w:val="18"/>
              </w:rPr>
              <w:t>Kazalniki izložkov (na intervencijo)</w:t>
            </w:r>
          </w:p>
        </w:tc>
      </w:tr>
      <w:tr w:rsidR="00182609" w:rsidRPr="00B7760C" w14:paraId="45CD08EB" w14:textId="77777777" w:rsidTr="00A35DEB">
        <w:trPr>
          <w:gridAfter w:val="2"/>
          <w:wAfter w:w="7458" w:type="dxa"/>
          <w:cantSplit/>
          <w:trHeight w:val="742"/>
        </w:trPr>
        <w:tc>
          <w:tcPr>
            <w:tcW w:w="2410" w:type="dxa"/>
            <w:vMerge w:val="restart"/>
            <w:tcBorders>
              <w:top w:val="single" w:sz="4" w:space="0" w:color="0070C0"/>
              <w:left w:val="single" w:sz="4" w:space="0" w:color="0070C0"/>
              <w:right w:val="single" w:sz="4" w:space="0" w:color="0070C0"/>
            </w:tcBorders>
            <w:noWrap/>
            <w:vAlign w:val="center"/>
          </w:tcPr>
          <w:p w14:paraId="27113719" w14:textId="4443F70B" w:rsidR="00182609" w:rsidRPr="00B7760C" w:rsidRDefault="00182609" w:rsidP="009D3E2B">
            <w:pPr>
              <w:widowControl/>
              <w:spacing w:before="120" w:after="120"/>
              <w:rPr>
                <w:rFonts w:asciiTheme="minorHAnsi" w:hAnsiTheme="minorHAnsi" w:cstheme="minorHAnsi"/>
                <w:bCs/>
                <w:color w:val="000000"/>
                <w:sz w:val="18"/>
                <w:szCs w:val="18"/>
              </w:rPr>
            </w:pPr>
            <w:r w:rsidRPr="00B7760C">
              <w:rPr>
                <w:rFonts w:asciiTheme="minorHAnsi" w:hAnsiTheme="minorHAnsi" w:cstheme="minorHAnsi"/>
                <w:bCs/>
                <w:color w:val="000000"/>
                <w:sz w:val="18"/>
                <w:szCs w:val="18"/>
              </w:rPr>
              <w:t xml:space="preserve">Spodbujanje </w:t>
            </w:r>
            <w:r w:rsidRPr="00B7760C">
              <w:rPr>
                <w:rFonts w:asciiTheme="minorHAnsi" w:hAnsiTheme="minorHAnsi" w:cstheme="minorHAnsi"/>
                <w:b/>
                <w:bCs/>
                <w:i/>
                <w:color w:val="000000"/>
                <w:sz w:val="18"/>
                <w:szCs w:val="18"/>
              </w:rPr>
              <w:t>zaposlovanja, rasti, socialne vključenosti in lokalnega razvoja</w:t>
            </w:r>
            <w:r w:rsidRPr="00B7760C">
              <w:rPr>
                <w:rFonts w:asciiTheme="minorHAnsi" w:hAnsiTheme="minorHAnsi" w:cstheme="minorHAnsi"/>
                <w:bCs/>
                <w:color w:val="000000"/>
                <w:sz w:val="18"/>
                <w:szCs w:val="18"/>
              </w:rPr>
              <w:t xml:space="preserve"> na podeželskih območjih, vključno z biogospodarstvom in trajnostnim gozdarstvom</w:t>
            </w:r>
            <w:r w:rsidR="009D3E2B" w:rsidRPr="00B7760C">
              <w:rPr>
                <w:rFonts w:asciiTheme="minorHAnsi" w:hAnsiTheme="minorHAnsi" w:cstheme="minorHAnsi"/>
                <w:bCs/>
                <w:color w:val="000000"/>
                <w:sz w:val="18"/>
                <w:szCs w:val="18"/>
              </w:rPr>
              <w:t xml:space="preserve"> </w:t>
            </w:r>
          </w:p>
        </w:tc>
        <w:tc>
          <w:tcPr>
            <w:tcW w:w="3110" w:type="dxa"/>
            <w:tcBorders>
              <w:top w:val="single" w:sz="4" w:space="0" w:color="0070C0"/>
              <w:left w:val="single" w:sz="4" w:space="0" w:color="0070C0"/>
              <w:right w:val="single" w:sz="4" w:space="0" w:color="0070C0"/>
            </w:tcBorders>
          </w:tcPr>
          <w:p w14:paraId="5A7B7859" w14:textId="236253AE" w:rsidR="00182609" w:rsidRPr="00B7760C" w:rsidRDefault="00182609" w:rsidP="009D3E2B">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I.22</w:t>
            </w:r>
            <w:r w:rsidR="009D3E2B" w:rsidRPr="00B7760C">
              <w:rPr>
                <w:rFonts w:asciiTheme="minorHAnsi" w:hAnsiTheme="minorHAnsi" w:cstheme="minorHAnsi"/>
                <w:sz w:val="18"/>
                <w:szCs w:val="18"/>
              </w:rPr>
              <w:t xml:space="preserve"> </w:t>
            </w:r>
            <w:r w:rsidRPr="00B7760C">
              <w:rPr>
                <w:rFonts w:asciiTheme="minorHAnsi" w:hAnsiTheme="minorHAnsi" w:cstheme="minorHAnsi"/>
                <w:sz w:val="18"/>
                <w:szCs w:val="18"/>
              </w:rPr>
              <w:t>Prispevanje k ustvarjanju delovnih mest na podeželskih območjih: spreminjanje stopnje zaposlenosti na pretežno podeželskih območjih</w:t>
            </w:r>
          </w:p>
        </w:tc>
        <w:tc>
          <w:tcPr>
            <w:tcW w:w="4680" w:type="dxa"/>
            <w:tcBorders>
              <w:top w:val="single" w:sz="4" w:space="0" w:color="0070C0"/>
              <w:left w:val="single" w:sz="4" w:space="0" w:color="0070C0"/>
              <w:right w:val="single" w:sz="4" w:space="0" w:color="0070C0"/>
            </w:tcBorders>
          </w:tcPr>
          <w:p w14:paraId="4DC4C5FF" w14:textId="71A49510" w:rsidR="00182609" w:rsidRPr="00B7760C" w:rsidRDefault="00182609" w:rsidP="009D3E2B">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R.31</w:t>
            </w:r>
            <w:r w:rsidR="009D3E2B" w:rsidRPr="00B7760C">
              <w:rPr>
                <w:rFonts w:asciiTheme="minorHAnsi" w:hAnsiTheme="minorHAnsi" w:cstheme="minorHAnsi"/>
                <w:bCs/>
                <w:sz w:val="18"/>
                <w:szCs w:val="18"/>
              </w:rPr>
              <w:t xml:space="preserve"> </w:t>
            </w:r>
            <w:r w:rsidRPr="00B7760C">
              <w:rPr>
                <w:rFonts w:asciiTheme="minorHAnsi" w:hAnsiTheme="minorHAnsi" w:cstheme="minorHAnsi"/>
                <w:sz w:val="18"/>
                <w:szCs w:val="18"/>
              </w:rPr>
              <w:t>Rast in delovna mesta na podeželskih območjih:</w:t>
            </w:r>
            <w:r w:rsidRPr="00B7760C">
              <w:rPr>
                <w:rFonts w:asciiTheme="minorHAnsi" w:hAnsiTheme="minorHAnsi" w:cstheme="minorHAnsi"/>
                <w:bCs/>
                <w:sz w:val="18"/>
                <w:szCs w:val="18"/>
              </w:rPr>
              <w:t xml:space="preserve"> </w:t>
            </w:r>
            <w:r w:rsidRPr="00B7760C">
              <w:rPr>
                <w:rFonts w:asciiTheme="minorHAnsi" w:hAnsiTheme="minorHAnsi" w:cstheme="minorHAnsi"/>
                <w:sz w:val="18"/>
                <w:szCs w:val="18"/>
              </w:rPr>
              <w:t xml:space="preserve">nova delovna mesta pri projektih, ki prejemajo podporo </w:t>
            </w:r>
          </w:p>
        </w:tc>
        <w:tc>
          <w:tcPr>
            <w:tcW w:w="240" w:type="dxa"/>
            <w:tcBorders>
              <w:left w:val="single" w:sz="4" w:space="0" w:color="0070C0"/>
              <w:right w:val="single" w:sz="4" w:space="0" w:color="0070C0"/>
            </w:tcBorders>
          </w:tcPr>
          <w:p w14:paraId="10ECB569" w14:textId="77777777" w:rsidR="00182609" w:rsidRPr="00B7760C" w:rsidRDefault="00182609" w:rsidP="009D3E2B">
            <w:pPr>
              <w:widowControl/>
              <w:spacing w:before="120" w:after="120" w:line="276" w:lineRule="auto"/>
              <w:rPr>
                <w:rFonts w:asciiTheme="minorHAnsi" w:hAnsiTheme="minorHAnsi" w:cstheme="minorHAnsi"/>
                <w:sz w:val="18"/>
                <w:szCs w:val="18"/>
                <w:lang w:eastAsia="fr-BE"/>
              </w:rPr>
            </w:pPr>
          </w:p>
        </w:tc>
        <w:tc>
          <w:tcPr>
            <w:tcW w:w="1680" w:type="dxa"/>
            <w:tcBorders>
              <w:left w:val="single" w:sz="4" w:space="0" w:color="0070C0"/>
              <w:bottom w:val="single" w:sz="4" w:space="0" w:color="0070C0"/>
              <w:right w:val="single" w:sz="4" w:space="0" w:color="0070C0"/>
            </w:tcBorders>
          </w:tcPr>
          <w:p w14:paraId="63F83497" w14:textId="77777777" w:rsidR="00182609" w:rsidRPr="00B7760C" w:rsidRDefault="00182609" w:rsidP="009D3E2B">
            <w:pPr>
              <w:widowControl/>
              <w:spacing w:before="120" w:after="120"/>
              <w:rPr>
                <w:rFonts w:asciiTheme="minorHAnsi" w:hAnsiTheme="minorHAnsi" w:cstheme="minorHAnsi"/>
                <w:b/>
                <w:bCs/>
                <w:color w:val="000000"/>
                <w:sz w:val="18"/>
                <w:szCs w:val="18"/>
                <w:lang w:eastAsia="fr-BE"/>
              </w:rPr>
            </w:pPr>
          </w:p>
        </w:tc>
        <w:tc>
          <w:tcPr>
            <w:tcW w:w="3240" w:type="dxa"/>
            <w:tcBorders>
              <w:left w:val="single" w:sz="4" w:space="0" w:color="0070C0"/>
              <w:bottom w:val="single" w:sz="4" w:space="0" w:color="0070C0"/>
              <w:right w:val="single" w:sz="4" w:space="0" w:color="0070C0"/>
            </w:tcBorders>
          </w:tcPr>
          <w:p w14:paraId="44066E94" w14:textId="77777777" w:rsidR="00182609" w:rsidRPr="00B7760C" w:rsidRDefault="00182609" w:rsidP="009D3E2B">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O.30 Število nekmetov, ki so sodelovali na usposabljanju ali bili deležni svetovanja</w:t>
            </w:r>
          </w:p>
        </w:tc>
      </w:tr>
      <w:tr w:rsidR="00182609" w:rsidRPr="00B7760C" w14:paraId="3CC2CF83" w14:textId="77777777" w:rsidTr="00A35DEB">
        <w:trPr>
          <w:gridAfter w:val="2"/>
          <w:wAfter w:w="7458" w:type="dxa"/>
          <w:cantSplit/>
          <w:trHeight w:val="629"/>
        </w:trPr>
        <w:tc>
          <w:tcPr>
            <w:tcW w:w="2410" w:type="dxa"/>
            <w:vMerge/>
            <w:tcBorders>
              <w:left w:val="single" w:sz="4" w:space="0" w:color="0070C0"/>
              <w:right w:val="single" w:sz="4" w:space="0" w:color="0070C0"/>
            </w:tcBorders>
            <w:noWrap/>
          </w:tcPr>
          <w:p w14:paraId="65DC0173" w14:textId="77777777" w:rsidR="00182609" w:rsidRPr="00B7760C" w:rsidRDefault="00182609" w:rsidP="009D3E2B">
            <w:pPr>
              <w:widowControl/>
              <w:spacing w:before="120" w:after="120"/>
              <w:rPr>
                <w:rFonts w:asciiTheme="minorHAnsi" w:hAnsiTheme="minorHAnsi" w:cstheme="minorHAnsi"/>
                <w:b/>
                <w:bCs/>
                <w:color w:val="000000"/>
                <w:sz w:val="18"/>
                <w:szCs w:val="18"/>
                <w:lang w:eastAsia="fr-BE"/>
              </w:rPr>
            </w:pPr>
          </w:p>
        </w:tc>
        <w:tc>
          <w:tcPr>
            <w:tcW w:w="3110" w:type="dxa"/>
            <w:tcBorders>
              <w:left w:val="single" w:sz="4" w:space="0" w:color="0070C0"/>
              <w:right w:val="single" w:sz="4" w:space="0" w:color="0070C0"/>
            </w:tcBorders>
          </w:tcPr>
          <w:p w14:paraId="44309010" w14:textId="77777777" w:rsidR="00182609" w:rsidRPr="00B7760C" w:rsidRDefault="00182609" w:rsidP="009D3E2B">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I.23 Prispevanje k ustvarjanju delovnih mest na podeželskih območjih: spreminjanje BDP na prebivalca na pretežno podeželskih območjih</w:t>
            </w:r>
          </w:p>
        </w:tc>
        <w:tc>
          <w:tcPr>
            <w:tcW w:w="4680" w:type="dxa"/>
            <w:tcBorders>
              <w:left w:val="single" w:sz="4" w:space="0" w:color="0070C0"/>
              <w:right w:val="single" w:sz="4" w:space="0" w:color="0070C0"/>
            </w:tcBorders>
          </w:tcPr>
          <w:p w14:paraId="16139640" w14:textId="1C1E0301" w:rsidR="00182609" w:rsidRPr="00B7760C" w:rsidRDefault="00182609" w:rsidP="009D3E2B">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R.32</w:t>
            </w:r>
            <w:r w:rsidR="009D3E2B" w:rsidRPr="00B7760C">
              <w:rPr>
                <w:rFonts w:asciiTheme="minorHAnsi" w:hAnsiTheme="minorHAnsi" w:cstheme="minorHAnsi"/>
                <w:sz w:val="18"/>
                <w:szCs w:val="18"/>
              </w:rPr>
              <w:t xml:space="preserve"> </w:t>
            </w:r>
            <w:r w:rsidRPr="00B7760C">
              <w:rPr>
                <w:rFonts w:asciiTheme="minorHAnsi" w:hAnsiTheme="minorHAnsi" w:cstheme="minorHAnsi"/>
                <w:sz w:val="18"/>
                <w:szCs w:val="18"/>
              </w:rPr>
              <w:t>Razvoj podeželskega biogospodarstva: število podjetij na področju biogospodarstva, ki so se razvila s pomočjo podpore</w:t>
            </w:r>
          </w:p>
        </w:tc>
        <w:tc>
          <w:tcPr>
            <w:tcW w:w="240" w:type="dxa"/>
            <w:tcBorders>
              <w:left w:val="single" w:sz="4" w:space="0" w:color="0070C0"/>
              <w:right w:val="single" w:sz="4" w:space="0" w:color="0070C0"/>
            </w:tcBorders>
          </w:tcPr>
          <w:p w14:paraId="0877BFF6" w14:textId="77777777" w:rsidR="00182609" w:rsidRPr="00B7760C" w:rsidRDefault="00182609" w:rsidP="009D3E2B">
            <w:pPr>
              <w:widowControl/>
              <w:spacing w:before="120" w:after="120" w:line="276" w:lineRule="auto"/>
              <w:rPr>
                <w:rFonts w:asciiTheme="minorHAnsi" w:hAnsiTheme="minorHAnsi" w:cstheme="minorHAnsi"/>
                <w:sz w:val="18"/>
                <w:szCs w:val="18"/>
                <w:lang w:eastAsia="fr-BE"/>
              </w:rPr>
            </w:pPr>
          </w:p>
        </w:tc>
        <w:tc>
          <w:tcPr>
            <w:tcW w:w="1680" w:type="dxa"/>
            <w:tcBorders>
              <w:top w:val="single" w:sz="4" w:space="0" w:color="0070C0"/>
              <w:left w:val="single" w:sz="4" w:space="0" w:color="0070C0"/>
              <w:right w:val="single" w:sz="4" w:space="0" w:color="0070C0"/>
            </w:tcBorders>
          </w:tcPr>
          <w:p w14:paraId="750C085F" w14:textId="77777777" w:rsidR="00182609" w:rsidRPr="00B7760C" w:rsidRDefault="00182609" w:rsidP="009D3E2B">
            <w:pPr>
              <w:widowControl/>
              <w:spacing w:before="120" w:after="120"/>
              <w:rPr>
                <w:rFonts w:asciiTheme="minorHAnsi" w:hAnsiTheme="minorHAnsi" w:cstheme="minorHAnsi"/>
                <w:b/>
                <w:bCs/>
                <w:color w:val="000000"/>
                <w:sz w:val="18"/>
                <w:szCs w:val="18"/>
              </w:rPr>
            </w:pPr>
            <w:r w:rsidRPr="00B7760C">
              <w:rPr>
                <w:rFonts w:asciiTheme="minorHAnsi" w:hAnsiTheme="minorHAnsi" w:cstheme="minorHAnsi"/>
                <w:b/>
                <w:bCs/>
                <w:color w:val="000000"/>
                <w:sz w:val="18"/>
                <w:szCs w:val="18"/>
              </w:rPr>
              <w:t>Horizontalni kazalniki</w:t>
            </w:r>
          </w:p>
        </w:tc>
        <w:tc>
          <w:tcPr>
            <w:tcW w:w="3240" w:type="dxa"/>
            <w:tcBorders>
              <w:top w:val="single" w:sz="4" w:space="0" w:color="0070C0"/>
              <w:left w:val="single" w:sz="4" w:space="0" w:color="0070C0"/>
              <w:right w:val="single" w:sz="4" w:space="0" w:color="0070C0"/>
            </w:tcBorders>
          </w:tcPr>
          <w:p w14:paraId="69AA13B4" w14:textId="77777777" w:rsidR="00182609" w:rsidRPr="00B7760C" w:rsidRDefault="00182609" w:rsidP="009D3E2B">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O.31 Število hektarov, na katerih se izvajajo okoljske prakse (sintezni kazalnik o fizičnem območju, zajetem v pogojenost, ekoshema, kmetijsko-okoljsko-podnebni ukrep, gozdarski ukrepi, ekološko kmetovanje)</w:t>
            </w:r>
          </w:p>
        </w:tc>
      </w:tr>
      <w:tr w:rsidR="00182609" w:rsidRPr="00B7760C" w14:paraId="43457F7B" w14:textId="77777777" w:rsidTr="00A35DEB">
        <w:trPr>
          <w:gridAfter w:val="2"/>
          <w:wAfter w:w="7458" w:type="dxa"/>
          <w:cantSplit/>
          <w:trHeight w:val="495"/>
        </w:trPr>
        <w:tc>
          <w:tcPr>
            <w:tcW w:w="2410" w:type="dxa"/>
            <w:vMerge/>
            <w:tcBorders>
              <w:left w:val="single" w:sz="4" w:space="0" w:color="0070C0"/>
              <w:right w:val="single" w:sz="4" w:space="0" w:color="0070C0"/>
            </w:tcBorders>
            <w:noWrap/>
          </w:tcPr>
          <w:p w14:paraId="189F9661" w14:textId="77777777" w:rsidR="00182609" w:rsidRPr="00B7760C" w:rsidRDefault="00182609" w:rsidP="009D3E2B">
            <w:pPr>
              <w:widowControl/>
              <w:spacing w:before="120" w:after="120"/>
              <w:rPr>
                <w:rFonts w:asciiTheme="minorHAnsi" w:hAnsiTheme="minorHAnsi" w:cstheme="minorHAnsi"/>
                <w:b/>
                <w:bCs/>
                <w:color w:val="000000"/>
                <w:sz w:val="18"/>
                <w:szCs w:val="18"/>
                <w:lang w:eastAsia="fr-BE"/>
              </w:rPr>
            </w:pPr>
          </w:p>
        </w:tc>
        <w:tc>
          <w:tcPr>
            <w:tcW w:w="3110" w:type="dxa"/>
            <w:tcBorders>
              <w:left w:val="single" w:sz="4" w:space="0" w:color="0070C0"/>
              <w:right w:val="single" w:sz="4" w:space="0" w:color="0070C0"/>
            </w:tcBorders>
          </w:tcPr>
          <w:p w14:paraId="3D58CD26" w14:textId="77777777" w:rsidR="00182609" w:rsidRPr="00B7760C" w:rsidRDefault="00182609" w:rsidP="009D3E2B">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 xml:space="preserve">1.24 Pravičnejša SKP: boljša porazdelitev podpore SKP </w:t>
            </w:r>
          </w:p>
        </w:tc>
        <w:tc>
          <w:tcPr>
            <w:tcW w:w="4680" w:type="dxa"/>
            <w:tcBorders>
              <w:left w:val="single" w:sz="4" w:space="0" w:color="0070C0"/>
              <w:right w:val="single" w:sz="4" w:space="0" w:color="0070C0"/>
            </w:tcBorders>
          </w:tcPr>
          <w:p w14:paraId="12C2F057" w14:textId="51594851" w:rsidR="00182609" w:rsidRPr="00B7760C" w:rsidRDefault="00182609" w:rsidP="009D3E2B">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R.33</w:t>
            </w:r>
            <w:r w:rsidR="009D3E2B" w:rsidRPr="00B7760C">
              <w:rPr>
                <w:rFonts w:asciiTheme="minorHAnsi" w:hAnsiTheme="minorHAnsi" w:cstheme="minorHAnsi"/>
                <w:sz w:val="18"/>
                <w:szCs w:val="18"/>
              </w:rPr>
              <w:t xml:space="preserve"> </w:t>
            </w:r>
            <w:r w:rsidRPr="00B7760C">
              <w:rPr>
                <w:rFonts w:asciiTheme="minorHAnsi" w:hAnsiTheme="minorHAnsi" w:cstheme="minorHAnsi"/>
                <w:sz w:val="18"/>
                <w:szCs w:val="18"/>
              </w:rPr>
              <w:t>Digitalizacija podeželskega gospodarstva: podeželsko prebivalstvo, zajeto v strategijo za pametne vasi, ki prejema podporo</w:t>
            </w:r>
          </w:p>
        </w:tc>
        <w:tc>
          <w:tcPr>
            <w:tcW w:w="240" w:type="dxa"/>
            <w:tcBorders>
              <w:left w:val="single" w:sz="4" w:space="0" w:color="0070C0"/>
              <w:right w:val="single" w:sz="4" w:space="0" w:color="0070C0"/>
            </w:tcBorders>
          </w:tcPr>
          <w:p w14:paraId="5B8B02A9" w14:textId="77777777" w:rsidR="00182609" w:rsidRPr="00B7760C" w:rsidRDefault="00182609" w:rsidP="009D3E2B">
            <w:pPr>
              <w:widowControl/>
              <w:spacing w:before="120" w:after="120" w:line="276" w:lineRule="auto"/>
              <w:rPr>
                <w:rFonts w:asciiTheme="minorHAnsi" w:hAnsiTheme="minorHAnsi" w:cstheme="minorHAnsi"/>
                <w:sz w:val="18"/>
                <w:szCs w:val="18"/>
                <w:lang w:eastAsia="fr-BE"/>
              </w:rPr>
            </w:pPr>
          </w:p>
        </w:tc>
        <w:tc>
          <w:tcPr>
            <w:tcW w:w="1680" w:type="dxa"/>
            <w:tcBorders>
              <w:left w:val="single" w:sz="4" w:space="0" w:color="0070C0"/>
              <w:bottom w:val="single" w:sz="4" w:space="0" w:color="0070C0"/>
              <w:right w:val="single" w:sz="4" w:space="0" w:color="0070C0"/>
            </w:tcBorders>
          </w:tcPr>
          <w:p w14:paraId="7EF1EB0D" w14:textId="77777777" w:rsidR="00182609" w:rsidRPr="00B7760C" w:rsidRDefault="00182609" w:rsidP="009D3E2B">
            <w:pPr>
              <w:widowControl/>
              <w:spacing w:before="120" w:after="120"/>
              <w:rPr>
                <w:rFonts w:asciiTheme="minorHAnsi" w:hAnsiTheme="minorHAnsi" w:cstheme="minorHAnsi"/>
                <w:b/>
                <w:bCs/>
                <w:color w:val="000000"/>
                <w:sz w:val="18"/>
                <w:szCs w:val="18"/>
                <w:lang w:eastAsia="fr-BE"/>
              </w:rPr>
            </w:pPr>
          </w:p>
        </w:tc>
        <w:tc>
          <w:tcPr>
            <w:tcW w:w="3240" w:type="dxa"/>
            <w:tcBorders>
              <w:left w:val="single" w:sz="4" w:space="0" w:color="0070C0"/>
              <w:bottom w:val="single" w:sz="4" w:space="0" w:color="0070C0"/>
              <w:right w:val="single" w:sz="4" w:space="0" w:color="0070C0"/>
            </w:tcBorders>
          </w:tcPr>
          <w:p w14:paraId="21D353E0" w14:textId="77777777" w:rsidR="00182609" w:rsidRPr="00B7760C" w:rsidRDefault="00182609" w:rsidP="009D3E2B">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O.32 Število hektarov, za katere velja pogojenost (razčlenjeno glede na dobre kmetijske in okoljske prakse)</w:t>
            </w:r>
          </w:p>
        </w:tc>
      </w:tr>
      <w:tr w:rsidR="00182609" w:rsidRPr="00B7760C" w14:paraId="7A8DE68B" w14:textId="77777777" w:rsidTr="00A35DEB">
        <w:trPr>
          <w:gridAfter w:val="2"/>
          <w:wAfter w:w="7458" w:type="dxa"/>
          <w:cantSplit/>
          <w:trHeight w:val="640"/>
        </w:trPr>
        <w:tc>
          <w:tcPr>
            <w:tcW w:w="2410" w:type="dxa"/>
            <w:vMerge/>
            <w:tcBorders>
              <w:left w:val="single" w:sz="4" w:space="0" w:color="0070C0"/>
              <w:right w:val="single" w:sz="4" w:space="0" w:color="0070C0"/>
            </w:tcBorders>
            <w:noWrap/>
          </w:tcPr>
          <w:p w14:paraId="5C3879FB" w14:textId="77777777" w:rsidR="00182609" w:rsidRPr="00B7760C" w:rsidRDefault="00182609" w:rsidP="009D3E2B">
            <w:pPr>
              <w:widowControl/>
              <w:spacing w:before="120" w:after="120"/>
              <w:rPr>
                <w:rFonts w:asciiTheme="minorHAnsi" w:hAnsiTheme="minorHAnsi" w:cstheme="minorHAnsi"/>
                <w:b/>
                <w:bCs/>
                <w:color w:val="000000"/>
                <w:sz w:val="18"/>
                <w:szCs w:val="18"/>
                <w:lang w:eastAsia="fr-BE"/>
              </w:rPr>
            </w:pPr>
          </w:p>
        </w:tc>
        <w:tc>
          <w:tcPr>
            <w:tcW w:w="3110" w:type="dxa"/>
            <w:tcBorders>
              <w:left w:val="single" w:sz="4" w:space="0" w:color="0070C0"/>
              <w:right w:val="single" w:sz="4" w:space="0" w:color="0070C0"/>
            </w:tcBorders>
          </w:tcPr>
          <w:p w14:paraId="7DAC8C63" w14:textId="77777777" w:rsidR="00182609" w:rsidRPr="00B7760C" w:rsidRDefault="00182609" w:rsidP="009D3E2B">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I.25 Spodbujanje podeželskega vključevanja: spreminjanje indeksa revščine na podeželskih območjih</w:t>
            </w:r>
          </w:p>
        </w:tc>
        <w:tc>
          <w:tcPr>
            <w:tcW w:w="4680" w:type="dxa"/>
            <w:tcBorders>
              <w:left w:val="single" w:sz="4" w:space="0" w:color="0070C0"/>
              <w:right w:val="single" w:sz="4" w:space="0" w:color="0070C0"/>
            </w:tcBorders>
          </w:tcPr>
          <w:p w14:paraId="5F92BBFB" w14:textId="77777777" w:rsidR="00182609" w:rsidRPr="00B7760C" w:rsidRDefault="00182609" w:rsidP="009D3E2B">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R. 34 Povezovanje evropskega podeželja:</w:t>
            </w:r>
            <w:r w:rsidRPr="00B7760C">
              <w:rPr>
                <w:rFonts w:asciiTheme="minorHAnsi" w:hAnsiTheme="minorHAnsi" w:cstheme="minorHAnsi"/>
                <w:bCs/>
                <w:sz w:val="18"/>
                <w:szCs w:val="18"/>
              </w:rPr>
              <w:t xml:space="preserve"> </w:t>
            </w:r>
            <w:r w:rsidRPr="00B7760C">
              <w:rPr>
                <w:rFonts w:asciiTheme="minorHAnsi" w:hAnsiTheme="minorHAnsi" w:cstheme="minorHAnsi"/>
                <w:sz w:val="18"/>
                <w:szCs w:val="18"/>
              </w:rPr>
              <w:t>delež podeželskega prebivalstva, ki ima koristi od boljšega dostopa do storitev in infrastrukture zaradi podpore iz SKP</w:t>
            </w:r>
          </w:p>
        </w:tc>
        <w:tc>
          <w:tcPr>
            <w:tcW w:w="240" w:type="dxa"/>
            <w:tcBorders>
              <w:left w:val="single" w:sz="4" w:space="0" w:color="0070C0"/>
              <w:right w:val="single" w:sz="4" w:space="0" w:color="0070C0"/>
            </w:tcBorders>
          </w:tcPr>
          <w:p w14:paraId="1B427C81" w14:textId="77777777" w:rsidR="00182609" w:rsidRPr="00B7760C" w:rsidRDefault="00182609" w:rsidP="009D3E2B">
            <w:pPr>
              <w:widowControl/>
              <w:spacing w:before="120" w:after="120" w:line="276" w:lineRule="auto"/>
              <w:rPr>
                <w:rFonts w:asciiTheme="minorHAnsi" w:hAnsiTheme="minorHAnsi" w:cstheme="minorHAnsi"/>
                <w:sz w:val="18"/>
                <w:szCs w:val="18"/>
                <w:lang w:eastAsia="fr-BE"/>
              </w:rPr>
            </w:pPr>
          </w:p>
        </w:tc>
        <w:tc>
          <w:tcPr>
            <w:tcW w:w="1680" w:type="dxa"/>
            <w:tcBorders>
              <w:top w:val="single" w:sz="4" w:space="0" w:color="0070C0"/>
              <w:left w:val="single" w:sz="4" w:space="0" w:color="0070C0"/>
              <w:right w:val="single" w:sz="4" w:space="0" w:color="0070C0"/>
            </w:tcBorders>
          </w:tcPr>
          <w:p w14:paraId="60AF1F0D" w14:textId="77777777" w:rsidR="00182609" w:rsidRPr="00B7760C" w:rsidRDefault="00182609" w:rsidP="009D3E2B">
            <w:pPr>
              <w:widowControl/>
              <w:spacing w:before="120" w:after="120"/>
              <w:rPr>
                <w:rFonts w:asciiTheme="minorHAnsi" w:hAnsiTheme="minorHAnsi" w:cstheme="minorHAnsi"/>
                <w:b/>
                <w:bCs/>
                <w:color w:val="000000"/>
                <w:sz w:val="18"/>
                <w:szCs w:val="18"/>
              </w:rPr>
            </w:pPr>
            <w:r w:rsidRPr="00B7760C">
              <w:rPr>
                <w:rFonts w:asciiTheme="minorHAnsi" w:hAnsiTheme="minorHAnsi" w:cstheme="minorHAnsi"/>
                <w:b/>
                <w:bCs/>
                <w:color w:val="000000"/>
                <w:sz w:val="18"/>
                <w:szCs w:val="18"/>
              </w:rPr>
              <w:t>Sektorski programi</w:t>
            </w:r>
          </w:p>
        </w:tc>
        <w:tc>
          <w:tcPr>
            <w:tcW w:w="3240" w:type="dxa"/>
            <w:tcBorders>
              <w:top w:val="single" w:sz="4" w:space="0" w:color="0070C0"/>
              <w:left w:val="single" w:sz="4" w:space="0" w:color="0070C0"/>
              <w:right w:val="single" w:sz="4" w:space="0" w:color="0070C0"/>
            </w:tcBorders>
          </w:tcPr>
          <w:p w14:paraId="39472CC9" w14:textId="77777777" w:rsidR="00182609" w:rsidRPr="00B7760C" w:rsidRDefault="00182609" w:rsidP="009D3E2B">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 xml:space="preserve">O.33 Število organizacij proizvajalcev, ki vzpostavijo operativni sklad/program </w:t>
            </w:r>
          </w:p>
        </w:tc>
      </w:tr>
      <w:tr w:rsidR="00182609" w:rsidRPr="00B7760C" w14:paraId="27D9660C" w14:textId="77777777" w:rsidTr="00A35DEB">
        <w:trPr>
          <w:gridAfter w:val="2"/>
          <w:wAfter w:w="7458" w:type="dxa"/>
          <w:cantSplit/>
          <w:trHeight w:val="640"/>
        </w:trPr>
        <w:tc>
          <w:tcPr>
            <w:tcW w:w="2410" w:type="dxa"/>
            <w:vMerge/>
            <w:tcBorders>
              <w:left w:val="single" w:sz="4" w:space="0" w:color="0070C0"/>
              <w:bottom w:val="single" w:sz="4" w:space="0" w:color="0070C0"/>
              <w:right w:val="single" w:sz="4" w:space="0" w:color="0070C0"/>
            </w:tcBorders>
            <w:noWrap/>
          </w:tcPr>
          <w:p w14:paraId="30D2664C" w14:textId="77777777" w:rsidR="00182609" w:rsidRPr="00B7760C" w:rsidRDefault="00182609" w:rsidP="009D3E2B">
            <w:pPr>
              <w:widowControl/>
              <w:spacing w:before="120" w:after="120"/>
              <w:rPr>
                <w:rFonts w:asciiTheme="minorHAnsi" w:hAnsiTheme="minorHAnsi" w:cstheme="minorHAnsi"/>
                <w:b/>
                <w:bCs/>
                <w:color w:val="000000"/>
                <w:sz w:val="18"/>
                <w:szCs w:val="18"/>
                <w:lang w:eastAsia="fr-BE"/>
              </w:rPr>
            </w:pPr>
          </w:p>
        </w:tc>
        <w:tc>
          <w:tcPr>
            <w:tcW w:w="3110" w:type="dxa"/>
            <w:tcBorders>
              <w:left w:val="single" w:sz="4" w:space="0" w:color="0070C0"/>
              <w:bottom w:val="single" w:sz="4" w:space="0" w:color="0070C0"/>
              <w:right w:val="single" w:sz="4" w:space="0" w:color="0070C0"/>
            </w:tcBorders>
          </w:tcPr>
          <w:p w14:paraId="12AB3892" w14:textId="77777777" w:rsidR="00182609" w:rsidRPr="00B7760C" w:rsidRDefault="00182609" w:rsidP="009D3E2B">
            <w:pPr>
              <w:widowControl/>
              <w:spacing w:before="120" w:after="120"/>
              <w:rPr>
                <w:rFonts w:asciiTheme="minorHAnsi" w:hAnsiTheme="minorHAnsi" w:cstheme="minorHAnsi"/>
                <w:sz w:val="18"/>
                <w:szCs w:val="18"/>
                <w:lang w:eastAsia="fr-BE"/>
              </w:rPr>
            </w:pPr>
          </w:p>
        </w:tc>
        <w:tc>
          <w:tcPr>
            <w:tcW w:w="4680" w:type="dxa"/>
            <w:tcBorders>
              <w:left w:val="single" w:sz="4" w:space="0" w:color="0070C0"/>
              <w:bottom w:val="single" w:sz="4" w:space="0" w:color="0070C0"/>
              <w:right w:val="single" w:sz="4" w:space="0" w:color="0070C0"/>
            </w:tcBorders>
          </w:tcPr>
          <w:p w14:paraId="4DA5ED0A" w14:textId="77777777" w:rsidR="00182609" w:rsidRPr="00B7760C" w:rsidRDefault="00182609" w:rsidP="009D3E2B">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R.35 Spodbujanje podeželskega vključevanja: število pripadnikov manjšin in/ali ranljivih skupin, ki imajo koristi od projektov socialnega vključevanja, ki prejemajo podporo</w:t>
            </w:r>
          </w:p>
        </w:tc>
        <w:tc>
          <w:tcPr>
            <w:tcW w:w="240" w:type="dxa"/>
            <w:tcBorders>
              <w:left w:val="single" w:sz="4" w:space="0" w:color="0070C0"/>
            </w:tcBorders>
          </w:tcPr>
          <w:p w14:paraId="718374B8" w14:textId="77777777" w:rsidR="00182609" w:rsidRPr="00B7760C" w:rsidRDefault="00182609" w:rsidP="009D3E2B">
            <w:pPr>
              <w:widowControl/>
              <w:spacing w:before="120" w:after="120" w:line="276" w:lineRule="auto"/>
              <w:rPr>
                <w:rFonts w:asciiTheme="minorHAnsi" w:hAnsiTheme="minorHAnsi" w:cstheme="minorHAnsi"/>
                <w:sz w:val="18"/>
                <w:szCs w:val="18"/>
                <w:lang w:eastAsia="fr-BE"/>
              </w:rPr>
            </w:pPr>
          </w:p>
        </w:tc>
        <w:tc>
          <w:tcPr>
            <w:tcW w:w="1680" w:type="dxa"/>
            <w:tcBorders>
              <w:left w:val="single" w:sz="4" w:space="0" w:color="0070C0"/>
              <w:right w:val="single" w:sz="4" w:space="0" w:color="0070C0"/>
            </w:tcBorders>
          </w:tcPr>
          <w:p w14:paraId="5B2199BF" w14:textId="77777777" w:rsidR="00182609" w:rsidRPr="00B7760C" w:rsidRDefault="00182609" w:rsidP="009D3E2B">
            <w:pPr>
              <w:widowControl/>
              <w:spacing w:before="120" w:after="120"/>
              <w:rPr>
                <w:rFonts w:asciiTheme="minorHAnsi" w:hAnsiTheme="minorHAnsi" w:cstheme="minorHAnsi"/>
                <w:b/>
                <w:bCs/>
                <w:color w:val="000000"/>
                <w:sz w:val="18"/>
                <w:szCs w:val="18"/>
                <w:lang w:eastAsia="fr-BE"/>
              </w:rPr>
            </w:pPr>
          </w:p>
        </w:tc>
        <w:tc>
          <w:tcPr>
            <w:tcW w:w="3240" w:type="dxa"/>
            <w:tcBorders>
              <w:left w:val="single" w:sz="4" w:space="0" w:color="0070C0"/>
              <w:right w:val="single" w:sz="4" w:space="0" w:color="0070C0"/>
            </w:tcBorders>
          </w:tcPr>
          <w:p w14:paraId="33142B99" w14:textId="77777777" w:rsidR="00182609" w:rsidRPr="00B7760C" w:rsidRDefault="00182609" w:rsidP="009D3E2B">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 xml:space="preserve">O.34 Število ukrepov za promocijo in informiranje ter spremljanje trga </w:t>
            </w:r>
          </w:p>
        </w:tc>
      </w:tr>
      <w:tr w:rsidR="00182609" w:rsidRPr="00B7760C" w14:paraId="288BA8BB" w14:textId="77777777" w:rsidTr="00A35DEB">
        <w:trPr>
          <w:gridAfter w:val="2"/>
          <w:wAfter w:w="7458" w:type="dxa"/>
          <w:cantSplit/>
          <w:trHeight w:val="668"/>
        </w:trPr>
        <w:tc>
          <w:tcPr>
            <w:tcW w:w="2410" w:type="dxa"/>
            <w:vMerge w:val="restart"/>
            <w:tcBorders>
              <w:top w:val="single" w:sz="4" w:space="0" w:color="0070C0"/>
              <w:left w:val="single" w:sz="4" w:space="0" w:color="0070C0"/>
              <w:right w:val="single" w:sz="4" w:space="0" w:color="0070C0"/>
            </w:tcBorders>
            <w:noWrap/>
            <w:vAlign w:val="center"/>
          </w:tcPr>
          <w:p w14:paraId="5A2CAF8D" w14:textId="77777777" w:rsidR="00182609" w:rsidRPr="00B7760C" w:rsidRDefault="00182609" w:rsidP="009D3E2B">
            <w:pPr>
              <w:widowControl/>
              <w:spacing w:before="120" w:after="120"/>
              <w:rPr>
                <w:rFonts w:asciiTheme="minorHAnsi" w:hAnsiTheme="minorHAnsi" w:cstheme="minorHAnsi"/>
                <w:bCs/>
                <w:color w:val="000000"/>
                <w:sz w:val="18"/>
                <w:szCs w:val="18"/>
              </w:rPr>
            </w:pPr>
            <w:r w:rsidRPr="00B7760C">
              <w:rPr>
                <w:rFonts w:asciiTheme="minorHAnsi" w:hAnsiTheme="minorHAnsi" w:cstheme="minorHAnsi"/>
                <w:bCs/>
                <w:color w:val="000000"/>
                <w:sz w:val="18"/>
                <w:szCs w:val="18"/>
              </w:rPr>
              <w:t>Izboljšanje odziva kmetijstva EU na potrebe družbe po hrani in zdravju, vključno z zdravo, hranljivo in trajnostno hrano, ter dobrobiti živali</w:t>
            </w:r>
          </w:p>
          <w:p w14:paraId="7F57A237" w14:textId="77777777" w:rsidR="00182609" w:rsidRPr="00B7760C" w:rsidRDefault="00182609" w:rsidP="009D3E2B">
            <w:pPr>
              <w:widowControl/>
              <w:spacing w:before="120" w:after="120"/>
              <w:rPr>
                <w:rFonts w:asciiTheme="minorHAnsi" w:hAnsiTheme="minorHAnsi" w:cstheme="minorHAnsi"/>
                <w:b/>
                <w:bCs/>
                <w:color w:val="000000"/>
                <w:sz w:val="18"/>
                <w:szCs w:val="18"/>
              </w:rPr>
            </w:pPr>
            <w:r w:rsidRPr="00B7760C">
              <w:rPr>
                <w:rFonts w:asciiTheme="minorHAnsi" w:hAnsiTheme="minorHAnsi" w:cstheme="minorHAnsi"/>
                <w:b/>
                <w:bCs/>
                <w:color w:val="000000"/>
                <w:sz w:val="18"/>
                <w:szCs w:val="18"/>
              </w:rPr>
              <w:t> </w:t>
            </w:r>
          </w:p>
        </w:tc>
        <w:tc>
          <w:tcPr>
            <w:tcW w:w="3110" w:type="dxa"/>
            <w:tcBorders>
              <w:top w:val="single" w:sz="4" w:space="0" w:color="0070C0"/>
              <w:left w:val="single" w:sz="4" w:space="0" w:color="0070C0"/>
              <w:right w:val="single" w:sz="4" w:space="0" w:color="0070C0"/>
            </w:tcBorders>
          </w:tcPr>
          <w:p w14:paraId="5FF70AB2" w14:textId="77777777" w:rsidR="00182609" w:rsidRPr="00B7760C" w:rsidRDefault="00182609" w:rsidP="009D3E2B">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I.26 Omejevanje uporabe antibiotikov v kmetijstvu:</w:t>
            </w:r>
            <w:r w:rsidRPr="00B7760C">
              <w:rPr>
                <w:rFonts w:asciiTheme="minorHAnsi" w:hAnsiTheme="minorHAnsi" w:cstheme="minorHAnsi"/>
                <w:bCs/>
                <w:sz w:val="18"/>
                <w:szCs w:val="18"/>
              </w:rPr>
              <w:t xml:space="preserve"> prodaja/uporaba pri živalih za proizvodnjo živil</w:t>
            </w:r>
          </w:p>
        </w:tc>
        <w:tc>
          <w:tcPr>
            <w:tcW w:w="4680" w:type="dxa"/>
            <w:tcBorders>
              <w:top w:val="single" w:sz="4" w:space="0" w:color="0070C0"/>
              <w:left w:val="single" w:sz="4" w:space="0" w:color="0070C0"/>
              <w:right w:val="single" w:sz="4" w:space="0" w:color="0070C0"/>
            </w:tcBorders>
          </w:tcPr>
          <w:p w14:paraId="23622C1A" w14:textId="77777777" w:rsidR="00182609" w:rsidRPr="00B7760C" w:rsidRDefault="00182609" w:rsidP="009D3E2B">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R.36 Omejevanje uporabe antibiotikov: delež glav velike živine, ki jih zadevajo ukrepi, ki prejemajo podporo, da se omeji uporaba antibiotikov (preprečevanje/zmanjšanje)</w:t>
            </w:r>
          </w:p>
        </w:tc>
        <w:tc>
          <w:tcPr>
            <w:tcW w:w="240" w:type="dxa"/>
            <w:tcBorders>
              <w:left w:val="single" w:sz="4" w:space="0" w:color="0070C0"/>
            </w:tcBorders>
          </w:tcPr>
          <w:p w14:paraId="0842A855" w14:textId="77777777" w:rsidR="00182609" w:rsidRPr="00B7760C" w:rsidRDefault="00182609" w:rsidP="009D3E2B">
            <w:pPr>
              <w:widowControl/>
              <w:spacing w:before="120" w:after="120" w:line="276" w:lineRule="auto"/>
              <w:rPr>
                <w:rFonts w:asciiTheme="minorHAnsi" w:hAnsiTheme="minorHAnsi" w:cstheme="minorHAnsi"/>
                <w:sz w:val="18"/>
                <w:szCs w:val="18"/>
                <w:lang w:eastAsia="fr-BE"/>
              </w:rPr>
            </w:pPr>
          </w:p>
        </w:tc>
        <w:tc>
          <w:tcPr>
            <w:tcW w:w="1680" w:type="dxa"/>
            <w:tcBorders>
              <w:left w:val="single" w:sz="4" w:space="0" w:color="0070C0"/>
              <w:bottom w:val="single" w:sz="4" w:space="0" w:color="0070C0"/>
              <w:right w:val="single" w:sz="4" w:space="0" w:color="0070C0"/>
            </w:tcBorders>
          </w:tcPr>
          <w:p w14:paraId="004071EA" w14:textId="77777777" w:rsidR="00182609" w:rsidRPr="00B7760C" w:rsidRDefault="00182609" w:rsidP="009D3E2B">
            <w:pPr>
              <w:widowControl/>
              <w:spacing w:before="120" w:after="120"/>
              <w:rPr>
                <w:rFonts w:asciiTheme="minorHAnsi" w:hAnsiTheme="minorHAnsi" w:cstheme="minorHAnsi"/>
                <w:b/>
                <w:sz w:val="18"/>
                <w:szCs w:val="18"/>
                <w:lang w:eastAsia="fr-BE"/>
              </w:rPr>
            </w:pPr>
          </w:p>
        </w:tc>
        <w:tc>
          <w:tcPr>
            <w:tcW w:w="3240" w:type="dxa"/>
            <w:tcBorders>
              <w:left w:val="single" w:sz="4" w:space="0" w:color="0070C0"/>
              <w:bottom w:val="single" w:sz="4" w:space="0" w:color="0070C0"/>
              <w:right w:val="single" w:sz="4" w:space="0" w:color="0070C0"/>
            </w:tcBorders>
          </w:tcPr>
          <w:p w14:paraId="435ED7DA" w14:textId="77777777" w:rsidR="00182609" w:rsidRPr="00B7760C" w:rsidRDefault="00182609" w:rsidP="009D3E2B">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O.35 Število ukrepov za ohranitev/izboljšanje čebelarstva</w:t>
            </w:r>
          </w:p>
        </w:tc>
      </w:tr>
      <w:tr w:rsidR="00182609" w:rsidRPr="00B7760C" w14:paraId="0BF18DE2" w14:textId="77777777" w:rsidTr="00A35DEB">
        <w:trPr>
          <w:gridAfter w:val="2"/>
          <w:wAfter w:w="7458" w:type="dxa"/>
          <w:cantSplit/>
          <w:trHeight w:val="723"/>
        </w:trPr>
        <w:tc>
          <w:tcPr>
            <w:tcW w:w="2410" w:type="dxa"/>
            <w:vMerge/>
            <w:tcBorders>
              <w:left w:val="single" w:sz="4" w:space="0" w:color="0070C0"/>
              <w:right w:val="single" w:sz="4" w:space="0" w:color="0070C0"/>
            </w:tcBorders>
            <w:noWrap/>
          </w:tcPr>
          <w:p w14:paraId="10D4CA54" w14:textId="77777777" w:rsidR="00182609" w:rsidRPr="00B7760C" w:rsidRDefault="00182609" w:rsidP="009D3E2B">
            <w:pPr>
              <w:widowControl/>
              <w:spacing w:before="120" w:after="120"/>
              <w:rPr>
                <w:rFonts w:asciiTheme="minorHAnsi" w:hAnsiTheme="minorHAnsi" w:cstheme="minorHAnsi"/>
                <w:b/>
                <w:bCs/>
                <w:color w:val="000000"/>
                <w:sz w:val="18"/>
                <w:szCs w:val="18"/>
                <w:lang w:eastAsia="fr-BE"/>
              </w:rPr>
            </w:pPr>
          </w:p>
        </w:tc>
        <w:tc>
          <w:tcPr>
            <w:tcW w:w="3110" w:type="dxa"/>
            <w:tcBorders>
              <w:left w:val="single" w:sz="4" w:space="0" w:color="0070C0"/>
              <w:right w:val="single" w:sz="4" w:space="0" w:color="0070C0"/>
            </w:tcBorders>
          </w:tcPr>
          <w:p w14:paraId="4E62BB6D" w14:textId="77777777" w:rsidR="00182609" w:rsidRPr="00B7760C" w:rsidRDefault="00182609" w:rsidP="009D3E2B">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I.27 Trajnostna raba pesticidov:</w:t>
            </w:r>
            <w:r w:rsidRPr="00B7760C">
              <w:rPr>
                <w:rFonts w:asciiTheme="minorHAnsi" w:hAnsiTheme="minorHAnsi" w:cstheme="minorHAnsi"/>
                <w:bCs/>
                <w:sz w:val="18"/>
                <w:szCs w:val="18"/>
              </w:rPr>
              <w:t xml:space="preserve"> </w:t>
            </w:r>
            <w:r w:rsidRPr="00B7760C">
              <w:rPr>
                <w:rFonts w:asciiTheme="minorHAnsi" w:hAnsiTheme="minorHAnsi" w:cstheme="minorHAnsi"/>
                <w:sz w:val="18"/>
                <w:szCs w:val="18"/>
              </w:rPr>
              <w:t>zmanjšanje tveganj in vplivov rabe pesticidov**</w:t>
            </w:r>
          </w:p>
        </w:tc>
        <w:tc>
          <w:tcPr>
            <w:tcW w:w="4680" w:type="dxa"/>
            <w:tcBorders>
              <w:left w:val="single" w:sz="4" w:space="0" w:color="0070C0"/>
              <w:right w:val="single" w:sz="4" w:space="0" w:color="0070C0"/>
            </w:tcBorders>
          </w:tcPr>
          <w:p w14:paraId="3CBD264E" w14:textId="77777777" w:rsidR="00182609" w:rsidRPr="00B7760C" w:rsidRDefault="00182609" w:rsidP="009D3E2B">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R.37 Trajnostna raba pesticidov: delež kmetijskih zemljišč, ki jih zadevajo posebni ukrepi, ki prejemajo podporo in vodijo v trajnostno rabo pesticidov, da se zmanjšajo tveganja in vplivi rabe pesticidov</w:t>
            </w:r>
          </w:p>
        </w:tc>
        <w:tc>
          <w:tcPr>
            <w:tcW w:w="240" w:type="dxa"/>
            <w:tcBorders>
              <w:left w:val="single" w:sz="4" w:space="0" w:color="0070C0"/>
            </w:tcBorders>
          </w:tcPr>
          <w:p w14:paraId="3F7352C8" w14:textId="77777777" w:rsidR="00182609" w:rsidRPr="00B7760C" w:rsidRDefault="00182609" w:rsidP="009D3E2B">
            <w:pPr>
              <w:widowControl/>
              <w:spacing w:before="120" w:after="120" w:line="276" w:lineRule="auto"/>
              <w:rPr>
                <w:rFonts w:asciiTheme="minorHAnsi" w:hAnsiTheme="minorHAnsi" w:cstheme="minorHAnsi"/>
                <w:sz w:val="18"/>
                <w:szCs w:val="18"/>
                <w:lang w:eastAsia="fr-BE"/>
              </w:rPr>
            </w:pPr>
          </w:p>
        </w:tc>
        <w:tc>
          <w:tcPr>
            <w:tcW w:w="1680" w:type="dxa"/>
            <w:tcBorders>
              <w:top w:val="single" w:sz="4" w:space="0" w:color="0070C0"/>
            </w:tcBorders>
          </w:tcPr>
          <w:p w14:paraId="463B9155" w14:textId="77777777" w:rsidR="00182609" w:rsidRPr="00B7760C" w:rsidRDefault="00182609" w:rsidP="009D3E2B">
            <w:pPr>
              <w:widowControl/>
              <w:spacing w:before="120" w:after="120"/>
              <w:rPr>
                <w:rFonts w:asciiTheme="minorHAnsi" w:hAnsiTheme="minorHAnsi" w:cstheme="minorHAnsi"/>
                <w:b/>
                <w:bCs/>
                <w:color w:val="000000"/>
                <w:sz w:val="18"/>
                <w:szCs w:val="18"/>
                <w:lang w:eastAsia="fr-BE"/>
              </w:rPr>
            </w:pPr>
          </w:p>
        </w:tc>
        <w:tc>
          <w:tcPr>
            <w:tcW w:w="3240" w:type="dxa"/>
            <w:tcBorders>
              <w:top w:val="single" w:sz="4" w:space="0" w:color="0070C0"/>
            </w:tcBorders>
          </w:tcPr>
          <w:p w14:paraId="76433913" w14:textId="77777777" w:rsidR="00182609" w:rsidRPr="00B7760C" w:rsidRDefault="00182609" w:rsidP="009D3E2B">
            <w:pPr>
              <w:widowControl/>
              <w:spacing w:before="120" w:after="120"/>
              <w:rPr>
                <w:rFonts w:asciiTheme="minorHAnsi" w:hAnsiTheme="minorHAnsi" w:cstheme="minorHAnsi"/>
                <w:b/>
                <w:sz w:val="18"/>
                <w:szCs w:val="18"/>
                <w:lang w:eastAsia="fr-BE"/>
              </w:rPr>
            </w:pPr>
          </w:p>
        </w:tc>
      </w:tr>
      <w:tr w:rsidR="00182609" w:rsidRPr="00B7760C" w14:paraId="5EEC23DA" w14:textId="77777777" w:rsidTr="00A35DEB">
        <w:trPr>
          <w:gridAfter w:val="2"/>
          <w:wAfter w:w="7458" w:type="dxa"/>
          <w:cantSplit/>
          <w:trHeight w:val="855"/>
        </w:trPr>
        <w:tc>
          <w:tcPr>
            <w:tcW w:w="2410" w:type="dxa"/>
            <w:vMerge/>
            <w:tcBorders>
              <w:left w:val="single" w:sz="4" w:space="0" w:color="0070C0"/>
              <w:bottom w:val="single" w:sz="4" w:space="0" w:color="0070C0"/>
              <w:right w:val="single" w:sz="4" w:space="0" w:color="0070C0"/>
            </w:tcBorders>
            <w:noWrap/>
          </w:tcPr>
          <w:p w14:paraId="4CDCD3DE" w14:textId="77777777" w:rsidR="00182609" w:rsidRPr="00B7760C" w:rsidRDefault="00182609" w:rsidP="009D3E2B">
            <w:pPr>
              <w:widowControl/>
              <w:spacing w:before="120" w:after="120"/>
              <w:rPr>
                <w:rFonts w:asciiTheme="minorHAnsi" w:hAnsiTheme="minorHAnsi" w:cstheme="minorHAnsi"/>
                <w:b/>
                <w:bCs/>
                <w:color w:val="000000"/>
                <w:sz w:val="18"/>
                <w:szCs w:val="18"/>
                <w:lang w:eastAsia="fr-BE"/>
              </w:rPr>
            </w:pPr>
          </w:p>
        </w:tc>
        <w:tc>
          <w:tcPr>
            <w:tcW w:w="3110" w:type="dxa"/>
            <w:tcBorders>
              <w:left w:val="single" w:sz="4" w:space="0" w:color="0070C0"/>
              <w:bottom w:val="single" w:sz="4" w:space="0" w:color="0070C0"/>
              <w:right w:val="single" w:sz="4" w:space="0" w:color="0070C0"/>
            </w:tcBorders>
          </w:tcPr>
          <w:p w14:paraId="4EB8D167" w14:textId="77777777" w:rsidR="00182609" w:rsidRPr="00B7760C" w:rsidRDefault="00182609" w:rsidP="009D3E2B">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 xml:space="preserve">1.28 Odziv na povpraševanje potrošnikov po kakovostni hrani: vrednost proizvodnje v okviru shem kakovosti EU (vključno z ekološkimi proizvodi) </w:t>
            </w:r>
          </w:p>
        </w:tc>
        <w:tc>
          <w:tcPr>
            <w:tcW w:w="4680" w:type="dxa"/>
            <w:tcBorders>
              <w:left w:val="single" w:sz="4" w:space="0" w:color="0070C0"/>
              <w:bottom w:val="single" w:sz="4" w:space="0" w:color="0070C0"/>
              <w:right w:val="single" w:sz="4" w:space="0" w:color="0070C0"/>
            </w:tcBorders>
          </w:tcPr>
          <w:p w14:paraId="23462985" w14:textId="77777777" w:rsidR="00182609" w:rsidRPr="00B7760C" w:rsidRDefault="00182609" w:rsidP="009D3E2B">
            <w:pPr>
              <w:widowControl/>
              <w:spacing w:before="120" w:after="120"/>
              <w:rPr>
                <w:rFonts w:asciiTheme="minorHAnsi" w:hAnsiTheme="minorHAnsi" w:cstheme="minorHAnsi"/>
                <w:bCs/>
                <w:sz w:val="18"/>
                <w:szCs w:val="18"/>
              </w:rPr>
            </w:pPr>
            <w:r w:rsidRPr="00B7760C">
              <w:rPr>
                <w:rFonts w:asciiTheme="minorHAnsi" w:hAnsiTheme="minorHAnsi" w:cstheme="minorHAnsi"/>
                <w:sz w:val="18"/>
                <w:szCs w:val="18"/>
              </w:rPr>
              <w:t>R.38</w:t>
            </w:r>
            <w:r w:rsidRPr="00B7760C">
              <w:rPr>
                <w:rFonts w:asciiTheme="minorHAnsi" w:hAnsiTheme="minorHAnsi" w:cstheme="minorHAnsi"/>
                <w:bCs/>
                <w:sz w:val="18"/>
                <w:szCs w:val="18"/>
              </w:rPr>
              <w:t xml:space="preserve"> </w:t>
            </w:r>
            <w:r w:rsidRPr="00B7760C">
              <w:rPr>
                <w:rFonts w:asciiTheme="minorHAnsi" w:hAnsiTheme="minorHAnsi" w:cstheme="minorHAnsi"/>
                <w:sz w:val="18"/>
                <w:szCs w:val="18"/>
              </w:rPr>
              <w:t>Izboljšanje dobrobiti živali: delež glav velike živine, ki jih zajema ukrep, ki prejema podporo, za izboljšanje dobrobiti živali</w:t>
            </w:r>
          </w:p>
        </w:tc>
        <w:tc>
          <w:tcPr>
            <w:tcW w:w="240" w:type="dxa"/>
            <w:tcBorders>
              <w:left w:val="single" w:sz="4" w:space="0" w:color="0070C0"/>
            </w:tcBorders>
          </w:tcPr>
          <w:p w14:paraId="55B3A9A2" w14:textId="77777777" w:rsidR="00182609" w:rsidRPr="00B7760C" w:rsidRDefault="00182609" w:rsidP="009D3E2B">
            <w:pPr>
              <w:widowControl/>
              <w:spacing w:before="120" w:after="120" w:line="276" w:lineRule="auto"/>
              <w:rPr>
                <w:rFonts w:asciiTheme="minorHAnsi" w:hAnsiTheme="minorHAnsi" w:cstheme="minorHAnsi"/>
                <w:sz w:val="18"/>
                <w:szCs w:val="18"/>
                <w:lang w:eastAsia="fr-BE"/>
              </w:rPr>
            </w:pPr>
          </w:p>
        </w:tc>
        <w:tc>
          <w:tcPr>
            <w:tcW w:w="1680" w:type="dxa"/>
          </w:tcPr>
          <w:p w14:paraId="687F8F47" w14:textId="77777777" w:rsidR="00182609" w:rsidRPr="00B7760C" w:rsidRDefault="00182609" w:rsidP="009D3E2B">
            <w:pPr>
              <w:widowControl/>
              <w:spacing w:before="120" w:after="120"/>
              <w:rPr>
                <w:rFonts w:asciiTheme="minorHAnsi" w:hAnsiTheme="minorHAnsi" w:cstheme="minorHAnsi"/>
                <w:b/>
                <w:bCs/>
                <w:color w:val="000000"/>
                <w:sz w:val="18"/>
                <w:szCs w:val="18"/>
                <w:lang w:eastAsia="fr-BE"/>
              </w:rPr>
            </w:pPr>
          </w:p>
        </w:tc>
        <w:tc>
          <w:tcPr>
            <w:tcW w:w="3240" w:type="dxa"/>
          </w:tcPr>
          <w:p w14:paraId="00A8986C" w14:textId="77777777" w:rsidR="00182609" w:rsidRPr="00B7760C" w:rsidRDefault="00182609" w:rsidP="009D3E2B">
            <w:pPr>
              <w:widowControl/>
              <w:spacing w:before="120" w:after="120"/>
              <w:rPr>
                <w:rFonts w:asciiTheme="minorHAnsi" w:hAnsiTheme="minorHAnsi" w:cstheme="minorHAnsi"/>
                <w:b/>
                <w:sz w:val="18"/>
                <w:szCs w:val="18"/>
                <w:lang w:eastAsia="fr-BE"/>
              </w:rPr>
            </w:pPr>
          </w:p>
        </w:tc>
      </w:tr>
      <w:tr w:rsidR="00182609" w:rsidRPr="00B7760C" w14:paraId="444CC59D" w14:textId="77777777" w:rsidTr="00A35DEB">
        <w:trPr>
          <w:cantSplit/>
          <w:trHeight w:val="535"/>
        </w:trPr>
        <w:tc>
          <w:tcPr>
            <w:tcW w:w="5520" w:type="dxa"/>
            <w:gridSpan w:val="2"/>
            <w:noWrap/>
            <w:vAlign w:val="bottom"/>
          </w:tcPr>
          <w:p w14:paraId="24283A04" w14:textId="77777777" w:rsidR="00182609" w:rsidRPr="00B7760C" w:rsidRDefault="00182609" w:rsidP="009D3E2B">
            <w:pPr>
              <w:widowControl/>
              <w:spacing w:before="120" w:after="120"/>
              <w:rPr>
                <w:rFonts w:asciiTheme="minorHAnsi" w:hAnsiTheme="minorHAnsi" w:cstheme="minorHAnsi"/>
                <w:sz w:val="18"/>
                <w:szCs w:val="18"/>
              </w:rPr>
            </w:pPr>
            <w:r w:rsidRPr="00B7760C">
              <w:rPr>
                <w:rFonts w:asciiTheme="minorHAnsi" w:hAnsiTheme="minorHAnsi" w:cstheme="minorHAnsi"/>
                <w:bCs/>
                <w:color w:val="000000"/>
                <w:sz w:val="18"/>
                <w:szCs w:val="18"/>
              </w:rPr>
              <w:t>* Večina kazalnikov učinka se že zbira prek drugih kanalov (Eurostat, Skupno raziskovalno središče, Evropska agencija za okolje itn.) in se uporablja v okviru druge zakonodaje EU ali ciljev trajnostnega razvoja. Podatki se ne zbirajo vedno na letni ravni in lahko pride do 2/3-letne zamude.</w:t>
            </w:r>
            <w:r w:rsidRPr="00B7760C">
              <w:rPr>
                <w:rFonts w:asciiTheme="minorHAnsi" w:hAnsiTheme="minorHAnsi" w:cstheme="minorHAnsi"/>
                <w:color w:val="000000"/>
                <w:sz w:val="18"/>
                <w:szCs w:val="18"/>
              </w:rPr>
              <w:t xml:space="preserve"> ** Direktiva o trajnostni rabi pesticidov.</w:t>
            </w:r>
          </w:p>
        </w:tc>
        <w:tc>
          <w:tcPr>
            <w:tcW w:w="4680" w:type="dxa"/>
          </w:tcPr>
          <w:p w14:paraId="364665E6" w14:textId="77777777" w:rsidR="00182609" w:rsidRPr="00B7760C" w:rsidRDefault="00182609" w:rsidP="009D3E2B">
            <w:pPr>
              <w:widowControl/>
              <w:spacing w:before="120" w:after="120"/>
              <w:rPr>
                <w:rFonts w:asciiTheme="minorHAnsi" w:hAnsiTheme="minorHAnsi" w:cstheme="minorHAnsi"/>
                <w:bCs/>
                <w:color w:val="000000"/>
                <w:sz w:val="18"/>
                <w:szCs w:val="18"/>
              </w:rPr>
            </w:pPr>
            <w:r w:rsidRPr="00B7760C">
              <w:rPr>
                <w:rFonts w:asciiTheme="minorHAnsi" w:hAnsiTheme="minorHAnsi" w:cstheme="minorHAnsi"/>
                <w:bCs/>
                <w:color w:val="000000"/>
                <w:sz w:val="18"/>
                <w:szCs w:val="18"/>
              </w:rPr>
              <w:t>* Približki za rezultate. Podatki, ki jih države članice vsako leto sporočijo za spremljanje napredka pri doseganju ciljev, ki so si jih zastavile v načrtih SKP.</w:t>
            </w:r>
          </w:p>
        </w:tc>
        <w:tc>
          <w:tcPr>
            <w:tcW w:w="240" w:type="dxa"/>
            <w:tcBorders>
              <w:left w:val="nil"/>
            </w:tcBorders>
          </w:tcPr>
          <w:p w14:paraId="45BFF61B" w14:textId="77777777" w:rsidR="00182609" w:rsidRPr="00B7760C" w:rsidRDefault="00182609" w:rsidP="009D3E2B">
            <w:pPr>
              <w:widowControl/>
              <w:spacing w:before="120" w:after="120" w:line="276" w:lineRule="auto"/>
              <w:rPr>
                <w:rFonts w:asciiTheme="minorHAnsi" w:hAnsiTheme="minorHAnsi" w:cstheme="minorHAnsi"/>
                <w:sz w:val="18"/>
                <w:szCs w:val="18"/>
                <w:lang w:eastAsia="fr-BE"/>
              </w:rPr>
            </w:pPr>
          </w:p>
        </w:tc>
        <w:tc>
          <w:tcPr>
            <w:tcW w:w="4920" w:type="dxa"/>
            <w:gridSpan w:val="2"/>
          </w:tcPr>
          <w:p w14:paraId="70514392" w14:textId="77777777" w:rsidR="00182609" w:rsidRPr="00B7760C" w:rsidRDefault="00182609" w:rsidP="009D3E2B">
            <w:pPr>
              <w:widowControl/>
              <w:spacing w:before="120" w:after="120"/>
              <w:rPr>
                <w:rFonts w:asciiTheme="minorHAnsi" w:hAnsiTheme="minorHAnsi" w:cstheme="minorHAnsi"/>
                <w:bCs/>
                <w:color w:val="000000"/>
                <w:sz w:val="18"/>
                <w:szCs w:val="18"/>
              </w:rPr>
            </w:pPr>
            <w:r w:rsidRPr="00B7760C">
              <w:rPr>
                <w:rFonts w:asciiTheme="minorHAnsi" w:hAnsiTheme="minorHAnsi" w:cstheme="minorHAnsi"/>
                <w:bCs/>
                <w:color w:val="000000"/>
                <w:sz w:val="18"/>
                <w:szCs w:val="18"/>
              </w:rPr>
              <w:t>Letno sporočeni podatki za prijavljene odhodke.</w:t>
            </w:r>
          </w:p>
          <w:p w14:paraId="789A291A" w14:textId="77777777" w:rsidR="00182609" w:rsidRPr="00B7760C" w:rsidRDefault="00182609" w:rsidP="009D3E2B">
            <w:pPr>
              <w:widowControl/>
              <w:spacing w:before="120" w:after="120"/>
              <w:rPr>
                <w:rFonts w:asciiTheme="minorHAnsi" w:hAnsiTheme="minorHAnsi" w:cstheme="minorHAnsi"/>
                <w:b/>
                <w:sz w:val="18"/>
                <w:szCs w:val="18"/>
              </w:rPr>
            </w:pPr>
            <w:r w:rsidRPr="00B7760C">
              <w:rPr>
                <w:rFonts w:asciiTheme="minorHAnsi" w:hAnsiTheme="minorHAnsi" w:cstheme="minorHAnsi"/>
                <w:sz w:val="18"/>
                <w:szCs w:val="18"/>
              </w:rPr>
              <w:t>Za podporo za operativne skupine v okviru evropskega inovacijskega partnerstva (EIP) se uporabljajo določbe o sodelovanju.</w:t>
            </w:r>
          </w:p>
        </w:tc>
        <w:tc>
          <w:tcPr>
            <w:tcW w:w="4058" w:type="dxa"/>
          </w:tcPr>
          <w:p w14:paraId="4D27CE65" w14:textId="77777777" w:rsidR="00182609" w:rsidRPr="00B7760C" w:rsidRDefault="00182609" w:rsidP="009D3E2B">
            <w:pPr>
              <w:widowControl/>
              <w:spacing w:before="120" w:after="120"/>
              <w:rPr>
                <w:rFonts w:asciiTheme="minorHAnsi" w:hAnsiTheme="minorHAnsi" w:cstheme="minorHAnsi"/>
              </w:rPr>
            </w:pPr>
          </w:p>
        </w:tc>
        <w:tc>
          <w:tcPr>
            <w:tcW w:w="3400" w:type="dxa"/>
          </w:tcPr>
          <w:p w14:paraId="0B25CD97" w14:textId="77777777" w:rsidR="00182609" w:rsidRPr="00B7760C" w:rsidRDefault="00182609" w:rsidP="009D3E2B">
            <w:pPr>
              <w:widowControl/>
              <w:spacing w:before="120" w:after="120"/>
              <w:rPr>
                <w:rFonts w:asciiTheme="minorHAnsi" w:hAnsiTheme="minorHAnsi" w:cstheme="minorHAnsi"/>
              </w:rPr>
            </w:pPr>
          </w:p>
        </w:tc>
      </w:tr>
    </w:tbl>
    <w:tbl>
      <w:tblPr>
        <w:tblW w:w="9752" w:type="dxa"/>
        <w:jc w:val="center"/>
        <w:tblLayout w:type="fixed"/>
        <w:tblCellMar>
          <w:left w:w="340" w:type="dxa"/>
          <w:right w:w="340" w:type="dxa"/>
        </w:tblCellMar>
        <w:tblLook w:val="0000" w:firstRow="0" w:lastRow="0" w:firstColumn="0" w:lastColumn="0" w:noHBand="0" w:noVBand="0"/>
      </w:tblPr>
      <w:tblGrid>
        <w:gridCol w:w="9752"/>
      </w:tblGrid>
      <w:tr w:rsidR="00182609" w:rsidRPr="00B7760C" w14:paraId="26CFEAE0" w14:textId="77777777" w:rsidTr="00A35DEB">
        <w:trPr>
          <w:jc w:val="center"/>
        </w:trPr>
        <w:tc>
          <w:tcPr>
            <w:tcW w:w="9752" w:type="dxa"/>
          </w:tcPr>
          <w:p w14:paraId="5045F4DF" w14:textId="7C832AD8" w:rsidR="00182609" w:rsidRPr="00B7760C" w:rsidRDefault="00182609" w:rsidP="00A35DEB">
            <w:pPr>
              <w:pStyle w:val="Normal6a"/>
              <w:jc w:val="center"/>
              <w:rPr>
                <w:i/>
              </w:rPr>
            </w:pPr>
            <w:r w:rsidRPr="00B7760C">
              <w:rPr>
                <w:i/>
              </w:rPr>
              <w:t>Sprememba</w:t>
            </w:r>
          </w:p>
        </w:tc>
      </w:tr>
    </w:tbl>
    <w:bookmarkEnd w:id="13"/>
    <w:bookmarkEnd w:id="14"/>
    <w:p w14:paraId="11726161" w14:textId="77777777" w:rsidR="00182609" w:rsidRPr="00B7760C" w:rsidRDefault="00182609" w:rsidP="00182609">
      <w:pPr>
        <w:widowControl/>
        <w:spacing w:before="120" w:after="120"/>
        <w:jc w:val="center"/>
        <w:rPr>
          <w:b/>
          <w:bCs/>
          <w:color w:val="000000"/>
          <w:szCs w:val="24"/>
        </w:rPr>
      </w:pPr>
      <w:r w:rsidRPr="00B7760C">
        <w:rPr>
          <w:b/>
          <w:bCs/>
          <w:color w:val="000000"/>
          <w:szCs w:val="24"/>
        </w:rPr>
        <w:t>PRILOGA I</w:t>
      </w:r>
    </w:p>
    <w:p w14:paraId="6C0E7D15" w14:textId="77777777" w:rsidR="00182609" w:rsidRPr="00B7760C" w:rsidRDefault="00182609" w:rsidP="00182609">
      <w:pPr>
        <w:widowControl/>
        <w:spacing w:before="120" w:after="120"/>
        <w:jc w:val="center"/>
        <w:rPr>
          <w:b/>
          <w:bCs/>
          <w:color w:val="000000"/>
          <w:szCs w:val="24"/>
        </w:rPr>
      </w:pPr>
      <w:r w:rsidRPr="00B7760C">
        <w:rPr>
          <w:b/>
          <w:bCs/>
          <w:color w:val="000000"/>
          <w:szCs w:val="24"/>
        </w:rPr>
        <w:t>KAZALNIKI UČINKA, REZULTATOV IN IZLOŽKOV NA PODLAGI ČLENA 7</w:t>
      </w:r>
    </w:p>
    <w:p w14:paraId="02E18D56" w14:textId="77777777" w:rsidR="00182609" w:rsidRPr="00B7760C" w:rsidRDefault="00182609" w:rsidP="00182609">
      <w:pPr>
        <w:widowControl/>
        <w:spacing w:before="120" w:after="120"/>
        <w:jc w:val="center"/>
        <w:rPr>
          <w:b/>
          <w:bCs/>
          <w:color w:val="000000"/>
          <w:szCs w:val="24"/>
          <w:lang w:eastAsia="fr-BE"/>
        </w:rPr>
      </w:pPr>
    </w:p>
    <w:tbl>
      <w:tblPr>
        <w:tblStyle w:val="TableGridLight11"/>
        <w:tblW w:w="15352"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0"/>
        <w:gridCol w:w="4627"/>
        <w:gridCol w:w="308"/>
        <w:gridCol w:w="4797"/>
      </w:tblGrid>
      <w:tr w:rsidR="00182609" w:rsidRPr="00B7760C" w14:paraId="73EC35F1" w14:textId="77777777" w:rsidTr="00A35DEB">
        <w:trPr>
          <w:trHeight w:val="357"/>
        </w:trPr>
        <w:tc>
          <w:tcPr>
            <w:tcW w:w="5620" w:type="dxa"/>
            <w:tcBorders>
              <w:top w:val="single" w:sz="4" w:space="0" w:color="0070C0"/>
              <w:left w:val="single" w:sz="4" w:space="0" w:color="0070C0"/>
              <w:right w:val="single" w:sz="4" w:space="0" w:color="0070C0"/>
            </w:tcBorders>
            <w:shd w:val="clear" w:color="auto" w:fill="auto"/>
            <w:noWrap/>
            <w:vAlign w:val="center"/>
          </w:tcPr>
          <w:p w14:paraId="21F7D5B7" w14:textId="77777777" w:rsidR="00182609" w:rsidRPr="00B7760C" w:rsidRDefault="00182609" w:rsidP="00A35DEB">
            <w:pPr>
              <w:widowControl/>
              <w:spacing w:before="120" w:after="120"/>
              <w:jc w:val="center"/>
              <w:rPr>
                <w:rFonts w:asciiTheme="minorHAnsi" w:hAnsiTheme="minorHAnsi" w:cstheme="minorHAnsi"/>
                <w:bCs/>
                <w:color w:val="000000"/>
                <w:sz w:val="20"/>
              </w:rPr>
            </w:pPr>
            <w:r w:rsidRPr="00B7760C">
              <w:rPr>
                <w:rFonts w:asciiTheme="minorHAnsi" w:hAnsiTheme="minorHAnsi" w:cstheme="minorHAnsi"/>
                <w:bCs/>
                <w:color w:val="000000"/>
                <w:sz w:val="20"/>
              </w:rPr>
              <w:t>(Večletna) ocena smotrnosti politike – UČINEK</w:t>
            </w:r>
          </w:p>
        </w:tc>
        <w:tc>
          <w:tcPr>
            <w:tcW w:w="4627" w:type="dxa"/>
            <w:tcBorders>
              <w:top w:val="single" w:sz="4" w:space="0" w:color="0070C0"/>
              <w:left w:val="single" w:sz="4" w:space="0" w:color="0070C0"/>
              <w:right w:val="single" w:sz="4" w:space="0" w:color="0070C0"/>
            </w:tcBorders>
            <w:shd w:val="clear" w:color="auto" w:fill="auto"/>
            <w:vAlign w:val="center"/>
          </w:tcPr>
          <w:p w14:paraId="3BCE8D2C" w14:textId="77777777" w:rsidR="00182609" w:rsidRPr="00B7760C" w:rsidRDefault="00182609" w:rsidP="00A35DEB">
            <w:pPr>
              <w:widowControl/>
              <w:spacing w:before="120" w:after="120"/>
              <w:jc w:val="center"/>
              <w:rPr>
                <w:rFonts w:asciiTheme="minorHAnsi" w:hAnsiTheme="minorHAnsi" w:cstheme="minorHAnsi"/>
                <w:bCs/>
                <w:color w:val="000000"/>
                <w:sz w:val="20"/>
              </w:rPr>
            </w:pPr>
            <w:r w:rsidRPr="00B7760C">
              <w:rPr>
                <w:rFonts w:asciiTheme="minorHAnsi" w:hAnsiTheme="minorHAnsi" w:cstheme="minorHAnsi"/>
                <w:bCs/>
                <w:color w:val="000000"/>
              </w:rPr>
              <w:t>Letni pregled smotrnosti – REZULTATI*</w:t>
            </w:r>
          </w:p>
        </w:tc>
        <w:tc>
          <w:tcPr>
            <w:tcW w:w="308" w:type="dxa"/>
            <w:tcBorders>
              <w:left w:val="single" w:sz="4" w:space="0" w:color="0070C0"/>
              <w:right w:val="single" w:sz="4" w:space="0" w:color="0070C0"/>
            </w:tcBorders>
            <w:shd w:val="clear" w:color="auto" w:fill="auto"/>
          </w:tcPr>
          <w:p w14:paraId="7E0AAA98" w14:textId="77777777" w:rsidR="00182609" w:rsidRPr="00B7760C" w:rsidRDefault="00182609" w:rsidP="00A35DEB">
            <w:pPr>
              <w:widowControl/>
              <w:spacing w:before="120" w:after="120" w:line="276" w:lineRule="auto"/>
              <w:ind w:left="64"/>
              <w:jc w:val="center"/>
              <w:rPr>
                <w:rFonts w:asciiTheme="minorHAnsi" w:hAnsiTheme="minorHAnsi" w:cstheme="minorHAnsi"/>
                <w:bCs/>
                <w:sz w:val="18"/>
                <w:szCs w:val="18"/>
                <w:lang w:eastAsia="fr-BE"/>
              </w:rPr>
            </w:pPr>
          </w:p>
        </w:tc>
        <w:tc>
          <w:tcPr>
            <w:tcW w:w="4797" w:type="dxa"/>
            <w:tcBorders>
              <w:top w:val="single" w:sz="4" w:space="0" w:color="0070C0"/>
              <w:left w:val="single" w:sz="4" w:space="0" w:color="0070C0"/>
              <w:right w:val="single" w:sz="4" w:space="0" w:color="0070C0"/>
            </w:tcBorders>
            <w:shd w:val="clear" w:color="auto" w:fill="auto"/>
            <w:vAlign w:val="center"/>
          </w:tcPr>
          <w:p w14:paraId="7A3F92B5" w14:textId="77777777" w:rsidR="00182609" w:rsidRPr="00B7760C" w:rsidRDefault="00182609" w:rsidP="00A35DEB">
            <w:pPr>
              <w:widowControl/>
              <w:spacing w:before="120" w:after="120"/>
              <w:jc w:val="center"/>
              <w:rPr>
                <w:rFonts w:asciiTheme="minorHAnsi" w:hAnsiTheme="minorHAnsi" w:cstheme="minorHAnsi"/>
                <w:bCs/>
                <w:color w:val="000000"/>
                <w:sz w:val="20"/>
              </w:rPr>
            </w:pPr>
            <w:r w:rsidRPr="00B7760C">
              <w:rPr>
                <w:rFonts w:asciiTheme="minorHAnsi" w:hAnsiTheme="minorHAnsi" w:cstheme="minorHAnsi"/>
                <w:bCs/>
                <w:color w:val="000000"/>
                <w:sz w:val="20"/>
              </w:rPr>
              <w:t>Letna potrditev smotrnosti – IZLOŽKI</w:t>
            </w:r>
          </w:p>
        </w:tc>
      </w:tr>
      <w:tr w:rsidR="00182609" w:rsidRPr="00B7760C" w14:paraId="212BB16D" w14:textId="77777777" w:rsidTr="00A35DEB">
        <w:trPr>
          <w:trHeight w:val="198"/>
        </w:trPr>
        <w:tc>
          <w:tcPr>
            <w:tcW w:w="5620" w:type="dxa"/>
            <w:tcBorders>
              <w:left w:val="single" w:sz="4" w:space="0" w:color="0070C0"/>
              <w:bottom w:val="single" w:sz="4" w:space="0" w:color="0070C0"/>
              <w:right w:val="single" w:sz="4" w:space="0" w:color="0070C0"/>
            </w:tcBorders>
            <w:shd w:val="clear" w:color="auto" w:fill="auto"/>
            <w:noWrap/>
          </w:tcPr>
          <w:p w14:paraId="47DE590F" w14:textId="77777777" w:rsidR="00182609" w:rsidRPr="00B7760C" w:rsidRDefault="00182609" w:rsidP="00A35DEB">
            <w:pPr>
              <w:widowControl/>
              <w:spacing w:before="120" w:after="120"/>
              <w:jc w:val="center"/>
              <w:rPr>
                <w:rFonts w:asciiTheme="minorHAnsi" w:hAnsiTheme="minorHAnsi" w:cstheme="minorHAnsi"/>
                <w:bCs/>
                <w:color w:val="000000"/>
                <w:sz w:val="18"/>
                <w:szCs w:val="18"/>
              </w:rPr>
            </w:pPr>
            <w:r w:rsidRPr="00B7760C">
              <w:rPr>
                <w:rFonts w:asciiTheme="minorHAnsi" w:hAnsiTheme="minorHAnsi" w:cstheme="minorHAnsi"/>
                <w:bCs/>
                <w:color w:val="000000"/>
                <w:sz w:val="18"/>
                <w:szCs w:val="18"/>
              </w:rPr>
              <w:t>Cilji in njihovi kazalniki učinka.*</w:t>
            </w:r>
          </w:p>
        </w:tc>
        <w:tc>
          <w:tcPr>
            <w:tcW w:w="4627" w:type="dxa"/>
            <w:tcBorders>
              <w:left w:val="single" w:sz="4" w:space="0" w:color="0070C0"/>
              <w:bottom w:val="single" w:sz="4" w:space="0" w:color="0070C0"/>
              <w:right w:val="single" w:sz="4" w:space="0" w:color="0070C0"/>
            </w:tcBorders>
            <w:shd w:val="clear" w:color="auto" w:fill="auto"/>
          </w:tcPr>
          <w:p w14:paraId="380B6DB1" w14:textId="77777777" w:rsidR="00182609" w:rsidRPr="00B7760C" w:rsidRDefault="00182609" w:rsidP="00A35DEB">
            <w:pPr>
              <w:widowControl/>
              <w:spacing w:before="120" w:after="120"/>
              <w:jc w:val="center"/>
              <w:rPr>
                <w:rFonts w:asciiTheme="minorHAnsi" w:hAnsiTheme="minorHAnsi" w:cstheme="minorHAnsi"/>
                <w:bCs/>
                <w:color w:val="000000"/>
                <w:sz w:val="18"/>
                <w:szCs w:val="18"/>
                <w:lang w:eastAsia="fr-BE"/>
              </w:rPr>
            </w:pPr>
          </w:p>
        </w:tc>
        <w:tc>
          <w:tcPr>
            <w:tcW w:w="308" w:type="dxa"/>
            <w:tcBorders>
              <w:left w:val="single" w:sz="4" w:space="0" w:color="0070C0"/>
              <w:right w:val="single" w:sz="4" w:space="0" w:color="0070C0"/>
            </w:tcBorders>
            <w:shd w:val="clear" w:color="auto" w:fill="auto"/>
          </w:tcPr>
          <w:p w14:paraId="297BDF97" w14:textId="77777777" w:rsidR="00182609" w:rsidRPr="00B7760C" w:rsidRDefault="00182609" w:rsidP="00A35DEB">
            <w:pPr>
              <w:widowControl/>
              <w:spacing w:before="120" w:after="120" w:line="276" w:lineRule="auto"/>
              <w:ind w:left="64"/>
              <w:jc w:val="center"/>
              <w:rPr>
                <w:rFonts w:asciiTheme="minorHAnsi" w:hAnsiTheme="minorHAnsi" w:cstheme="minorHAnsi"/>
                <w:bCs/>
                <w:sz w:val="18"/>
                <w:szCs w:val="18"/>
                <w:lang w:eastAsia="fr-BE"/>
              </w:rPr>
            </w:pPr>
          </w:p>
        </w:tc>
        <w:tc>
          <w:tcPr>
            <w:tcW w:w="4797" w:type="dxa"/>
            <w:tcBorders>
              <w:left w:val="single" w:sz="4" w:space="0" w:color="0070C0"/>
              <w:bottom w:val="single" w:sz="4" w:space="0" w:color="0070C0"/>
              <w:right w:val="single" w:sz="4" w:space="0" w:color="0070C0"/>
            </w:tcBorders>
            <w:shd w:val="clear" w:color="auto" w:fill="auto"/>
          </w:tcPr>
          <w:p w14:paraId="103D77DA" w14:textId="77777777" w:rsidR="00182609" w:rsidRPr="00B7760C" w:rsidRDefault="00182609" w:rsidP="00A35DEB">
            <w:pPr>
              <w:widowControl/>
              <w:spacing w:before="120" w:after="120"/>
              <w:jc w:val="center"/>
              <w:rPr>
                <w:rFonts w:asciiTheme="minorHAnsi" w:hAnsiTheme="minorHAnsi" w:cstheme="minorHAnsi"/>
                <w:bCs/>
                <w:color w:val="000000"/>
                <w:sz w:val="18"/>
                <w:szCs w:val="18"/>
              </w:rPr>
            </w:pPr>
            <w:r w:rsidRPr="00B7760C">
              <w:rPr>
                <w:rFonts w:asciiTheme="minorHAnsi" w:hAnsiTheme="minorHAnsi" w:cstheme="minorHAnsi"/>
                <w:bCs/>
                <w:color w:val="000000"/>
                <w:sz w:val="18"/>
                <w:szCs w:val="18"/>
              </w:rPr>
              <w:t>Široke vrste intervencij in njihovi kazalniki izložkov.*</w:t>
            </w:r>
          </w:p>
        </w:tc>
      </w:tr>
    </w:tbl>
    <w:p w14:paraId="24426429" w14:textId="77777777" w:rsidR="00182609" w:rsidRPr="00B7760C" w:rsidRDefault="00182609" w:rsidP="00182609">
      <w:pPr>
        <w:widowControl/>
        <w:spacing w:before="120" w:after="120"/>
        <w:jc w:val="both"/>
        <w:rPr>
          <w:rFonts w:asciiTheme="minorHAnsi" w:eastAsia="Calibri" w:hAnsiTheme="minorHAnsi" w:cstheme="minorHAnsi"/>
          <w:szCs w:val="22"/>
          <w:lang w:eastAsia="en-US"/>
        </w:rPr>
      </w:pPr>
    </w:p>
    <w:tbl>
      <w:tblPr>
        <w:tblStyle w:val="TableGridLight11"/>
        <w:tblW w:w="15372"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1"/>
        <w:gridCol w:w="3264"/>
        <w:gridCol w:w="4588"/>
        <w:gridCol w:w="236"/>
        <w:gridCol w:w="1710"/>
        <w:gridCol w:w="3263"/>
      </w:tblGrid>
      <w:tr w:rsidR="00182609" w:rsidRPr="00B7760C" w14:paraId="481153BD" w14:textId="77777777" w:rsidTr="00A35DEB">
        <w:trPr>
          <w:trHeight w:val="634"/>
        </w:trPr>
        <w:tc>
          <w:tcPr>
            <w:tcW w:w="2312" w:type="dxa"/>
            <w:tcBorders>
              <w:top w:val="single" w:sz="4" w:space="0" w:color="0070C0"/>
              <w:left w:val="single" w:sz="4" w:space="0" w:color="0070C0"/>
              <w:bottom w:val="single" w:sz="4" w:space="0" w:color="0070C0"/>
              <w:right w:val="single" w:sz="4" w:space="0" w:color="0070C0"/>
            </w:tcBorders>
            <w:shd w:val="clear" w:color="auto" w:fill="auto"/>
            <w:noWrap/>
          </w:tcPr>
          <w:p w14:paraId="22095043" w14:textId="77777777" w:rsidR="00182609" w:rsidRPr="00B7760C" w:rsidRDefault="00182609" w:rsidP="00A35DEB">
            <w:pPr>
              <w:widowControl/>
              <w:spacing w:before="120" w:after="120"/>
              <w:ind w:left="252"/>
              <w:jc w:val="both"/>
              <w:rPr>
                <w:rFonts w:asciiTheme="minorHAnsi" w:hAnsiTheme="minorHAnsi" w:cstheme="minorHAnsi"/>
              </w:rPr>
            </w:pPr>
          </w:p>
          <w:p w14:paraId="5A58EC3C" w14:textId="77777777" w:rsidR="00182609" w:rsidRPr="00B7760C" w:rsidRDefault="00182609" w:rsidP="00A35DEB">
            <w:pPr>
              <w:widowControl/>
              <w:spacing w:before="120" w:after="120" w:line="276" w:lineRule="auto"/>
              <w:jc w:val="center"/>
              <w:rPr>
                <w:rFonts w:asciiTheme="minorHAnsi" w:hAnsiTheme="minorHAnsi" w:cstheme="minorHAnsi"/>
                <w:bCs/>
                <w:color w:val="000000"/>
                <w:sz w:val="18"/>
                <w:szCs w:val="18"/>
              </w:rPr>
            </w:pPr>
            <w:r w:rsidRPr="00B7760C">
              <w:rPr>
                <w:rFonts w:asciiTheme="minorHAnsi" w:hAnsiTheme="minorHAnsi" w:cstheme="minorHAnsi"/>
                <w:bCs/>
                <w:color w:val="000000"/>
                <w:sz w:val="18"/>
                <w:szCs w:val="18"/>
              </w:rPr>
              <w:t>Medsektorski cilji EU: Posodobitev</w:t>
            </w:r>
          </w:p>
        </w:tc>
        <w:tc>
          <w:tcPr>
            <w:tcW w:w="3265" w:type="dxa"/>
            <w:tcBorders>
              <w:top w:val="single" w:sz="4" w:space="0" w:color="0070C0"/>
              <w:left w:val="single" w:sz="4" w:space="0" w:color="0070C0"/>
              <w:bottom w:val="single" w:sz="4" w:space="0" w:color="0070C0"/>
              <w:right w:val="single" w:sz="4" w:space="0" w:color="0070C0"/>
            </w:tcBorders>
            <w:shd w:val="clear" w:color="auto" w:fill="auto"/>
            <w:noWrap/>
          </w:tcPr>
          <w:p w14:paraId="206BA818" w14:textId="77777777" w:rsidR="00182609" w:rsidRPr="00B7760C" w:rsidRDefault="00182609" w:rsidP="00A35DEB">
            <w:pPr>
              <w:widowControl/>
              <w:spacing w:before="120" w:after="120" w:line="276" w:lineRule="auto"/>
              <w:jc w:val="center"/>
              <w:rPr>
                <w:rFonts w:asciiTheme="minorHAnsi" w:hAnsiTheme="minorHAnsi" w:cstheme="minorHAnsi"/>
                <w:bCs/>
                <w:color w:val="000000"/>
                <w:sz w:val="18"/>
                <w:szCs w:val="18"/>
                <w:lang w:eastAsia="fr-BE"/>
              </w:rPr>
            </w:pPr>
          </w:p>
          <w:p w14:paraId="5D1C6294" w14:textId="77777777" w:rsidR="00182609" w:rsidRPr="00B7760C" w:rsidRDefault="00182609" w:rsidP="00A35DEB">
            <w:pPr>
              <w:widowControl/>
              <w:spacing w:before="120" w:after="120" w:line="276" w:lineRule="auto"/>
              <w:jc w:val="center"/>
              <w:rPr>
                <w:rFonts w:asciiTheme="minorHAnsi" w:hAnsiTheme="minorHAnsi" w:cstheme="minorHAnsi"/>
                <w:bCs/>
                <w:color w:val="000000"/>
                <w:sz w:val="18"/>
                <w:szCs w:val="18"/>
              </w:rPr>
            </w:pPr>
            <w:r w:rsidRPr="00B7760C">
              <w:rPr>
                <w:rFonts w:asciiTheme="minorHAnsi" w:hAnsiTheme="minorHAnsi" w:cstheme="minorHAnsi"/>
                <w:bCs/>
                <w:color w:val="000000"/>
                <w:sz w:val="18"/>
                <w:szCs w:val="18"/>
              </w:rPr>
              <w:t>Kazalnik</w:t>
            </w:r>
          </w:p>
        </w:tc>
        <w:tc>
          <w:tcPr>
            <w:tcW w:w="4590" w:type="dxa"/>
            <w:tcBorders>
              <w:top w:val="single" w:sz="4" w:space="0" w:color="0070C0"/>
              <w:left w:val="single" w:sz="4" w:space="0" w:color="0070C0"/>
              <w:bottom w:val="single" w:sz="4" w:space="0" w:color="0070C0"/>
              <w:right w:val="single" w:sz="4" w:space="0" w:color="0070C0"/>
            </w:tcBorders>
            <w:shd w:val="clear" w:color="auto" w:fill="auto"/>
          </w:tcPr>
          <w:p w14:paraId="24FEBB02" w14:textId="77777777" w:rsidR="00182609" w:rsidRPr="00B7760C" w:rsidRDefault="00182609" w:rsidP="00A35DEB">
            <w:pPr>
              <w:widowControl/>
              <w:spacing w:before="120" w:after="120" w:line="276" w:lineRule="auto"/>
              <w:ind w:left="64"/>
              <w:jc w:val="center"/>
              <w:rPr>
                <w:rFonts w:asciiTheme="minorHAnsi" w:hAnsiTheme="minorHAnsi" w:cstheme="minorHAnsi"/>
                <w:bCs/>
                <w:sz w:val="18"/>
                <w:szCs w:val="18"/>
                <w:lang w:eastAsia="fr-BE"/>
              </w:rPr>
            </w:pPr>
          </w:p>
          <w:p w14:paraId="5B58FD23" w14:textId="77777777" w:rsidR="00182609" w:rsidRPr="00B7760C" w:rsidRDefault="00182609" w:rsidP="00A35DEB">
            <w:pPr>
              <w:widowControl/>
              <w:spacing w:before="120" w:after="120" w:line="276" w:lineRule="auto"/>
              <w:ind w:left="64"/>
              <w:jc w:val="center"/>
              <w:rPr>
                <w:rFonts w:asciiTheme="minorHAnsi" w:hAnsiTheme="minorHAnsi" w:cstheme="minorHAnsi"/>
                <w:bCs/>
                <w:sz w:val="18"/>
                <w:szCs w:val="18"/>
              </w:rPr>
            </w:pPr>
            <w:r w:rsidRPr="00B7760C">
              <w:rPr>
                <w:rFonts w:asciiTheme="minorHAnsi" w:hAnsiTheme="minorHAnsi" w:cstheme="minorHAnsi"/>
                <w:bCs/>
                <w:sz w:val="18"/>
                <w:szCs w:val="18"/>
              </w:rPr>
              <w:t>Kazalniki rezultatov</w:t>
            </w:r>
          </w:p>
          <w:p w14:paraId="7FF41781" w14:textId="77777777" w:rsidR="00182609" w:rsidRPr="00B7760C" w:rsidRDefault="00182609" w:rsidP="00A35DEB">
            <w:pPr>
              <w:widowControl/>
              <w:spacing w:before="120" w:after="120" w:line="276" w:lineRule="auto"/>
              <w:ind w:left="64"/>
              <w:jc w:val="center"/>
              <w:rPr>
                <w:rFonts w:asciiTheme="minorHAnsi" w:hAnsiTheme="minorHAnsi" w:cstheme="minorHAnsi"/>
                <w:bCs/>
                <w:sz w:val="18"/>
                <w:szCs w:val="18"/>
              </w:rPr>
            </w:pPr>
            <w:r w:rsidRPr="00B7760C">
              <w:rPr>
                <w:rFonts w:asciiTheme="minorHAnsi" w:hAnsiTheme="minorHAnsi" w:cstheme="minorHAnsi"/>
                <w:bCs/>
                <w:sz w:val="18"/>
                <w:szCs w:val="18"/>
              </w:rPr>
              <w:t>(samo na podlagi intervencij, ki jih podpira SKP)</w:t>
            </w:r>
          </w:p>
          <w:p w14:paraId="5236B05D" w14:textId="77777777" w:rsidR="00182609" w:rsidRPr="00B7760C" w:rsidRDefault="00182609" w:rsidP="00A35DEB">
            <w:pPr>
              <w:widowControl/>
              <w:spacing w:before="120" w:after="120" w:line="276" w:lineRule="auto"/>
              <w:ind w:left="64"/>
              <w:jc w:val="center"/>
              <w:rPr>
                <w:rFonts w:asciiTheme="minorHAnsi" w:hAnsiTheme="minorHAnsi" w:cstheme="minorHAnsi"/>
                <w:bCs/>
                <w:sz w:val="18"/>
                <w:szCs w:val="18"/>
                <w:lang w:eastAsia="fr-BE"/>
              </w:rPr>
            </w:pPr>
          </w:p>
        </w:tc>
        <w:tc>
          <w:tcPr>
            <w:tcW w:w="230" w:type="dxa"/>
            <w:tcBorders>
              <w:left w:val="single" w:sz="4" w:space="0" w:color="0070C0"/>
              <w:right w:val="single" w:sz="4" w:space="0" w:color="0070C0"/>
            </w:tcBorders>
            <w:shd w:val="clear" w:color="auto" w:fill="auto"/>
          </w:tcPr>
          <w:p w14:paraId="1718CD68" w14:textId="77777777" w:rsidR="00182609" w:rsidRPr="00B7760C" w:rsidRDefault="00182609" w:rsidP="00A35DEB">
            <w:pPr>
              <w:widowControl/>
              <w:spacing w:before="120" w:after="120" w:line="276" w:lineRule="auto"/>
              <w:ind w:left="64"/>
              <w:jc w:val="center"/>
              <w:rPr>
                <w:rFonts w:asciiTheme="minorHAnsi" w:hAnsiTheme="minorHAnsi" w:cstheme="minorHAnsi"/>
                <w:bCs/>
                <w:sz w:val="18"/>
                <w:szCs w:val="18"/>
                <w:lang w:eastAsia="fr-BE"/>
              </w:rPr>
            </w:pPr>
          </w:p>
        </w:tc>
        <w:tc>
          <w:tcPr>
            <w:tcW w:w="1711" w:type="dxa"/>
            <w:tcBorders>
              <w:top w:val="single" w:sz="4" w:space="0" w:color="0070C0"/>
              <w:left w:val="single" w:sz="4" w:space="0" w:color="0070C0"/>
              <w:bottom w:val="single" w:sz="4" w:space="0" w:color="0070C0"/>
              <w:right w:val="single" w:sz="4" w:space="0" w:color="0070C0"/>
            </w:tcBorders>
            <w:shd w:val="clear" w:color="auto" w:fill="auto"/>
          </w:tcPr>
          <w:p w14:paraId="2D8CDEA8" w14:textId="77777777" w:rsidR="00182609" w:rsidRPr="00B7760C" w:rsidRDefault="00182609" w:rsidP="00A35DEB">
            <w:pPr>
              <w:widowControl/>
              <w:spacing w:before="120" w:after="120" w:line="276" w:lineRule="auto"/>
              <w:ind w:left="64"/>
              <w:jc w:val="center"/>
              <w:rPr>
                <w:rFonts w:asciiTheme="minorHAnsi" w:hAnsiTheme="minorHAnsi" w:cstheme="minorHAnsi"/>
                <w:bCs/>
                <w:sz w:val="18"/>
                <w:szCs w:val="18"/>
              </w:rPr>
            </w:pPr>
            <w:r w:rsidRPr="00B7760C">
              <w:rPr>
                <w:rFonts w:asciiTheme="minorHAnsi" w:hAnsiTheme="minorHAnsi" w:cstheme="minorHAnsi"/>
                <w:bCs/>
                <w:sz w:val="18"/>
                <w:szCs w:val="18"/>
              </w:rPr>
              <w:t>Sistemi znanja in inovacij v kmetijstvu (AKIS)</w:t>
            </w:r>
          </w:p>
        </w:tc>
        <w:tc>
          <w:tcPr>
            <w:tcW w:w="3264" w:type="dxa"/>
            <w:tcBorders>
              <w:top w:val="single" w:sz="4" w:space="0" w:color="0070C0"/>
              <w:left w:val="single" w:sz="4" w:space="0" w:color="0070C0"/>
              <w:bottom w:val="single" w:sz="4" w:space="0" w:color="0070C0"/>
              <w:right w:val="single" w:sz="4" w:space="0" w:color="0070C0"/>
            </w:tcBorders>
            <w:shd w:val="clear" w:color="auto" w:fill="auto"/>
          </w:tcPr>
          <w:p w14:paraId="10469EA3" w14:textId="77777777" w:rsidR="00182609" w:rsidRPr="00B7760C" w:rsidRDefault="00182609" w:rsidP="00A35DEB">
            <w:pPr>
              <w:widowControl/>
              <w:spacing w:before="120" w:after="120" w:line="276" w:lineRule="auto"/>
              <w:ind w:left="64"/>
              <w:jc w:val="both"/>
              <w:rPr>
                <w:rFonts w:asciiTheme="minorHAnsi" w:hAnsiTheme="minorHAnsi" w:cstheme="minorHAnsi"/>
                <w:bCs/>
                <w:sz w:val="18"/>
                <w:szCs w:val="18"/>
                <w:lang w:eastAsia="fr-BE"/>
              </w:rPr>
            </w:pPr>
          </w:p>
          <w:p w14:paraId="00409142" w14:textId="77777777" w:rsidR="00182609" w:rsidRPr="00B7760C" w:rsidRDefault="00182609" w:rsidP="00A35DEB">
            <w:pPr>
              <w:widowControl/>
              <w:spacing w:before="120" w:after="120" w:line="276" w:lineRule="auto"/>
              <w:jc w:val="center"/>
              <w:rPr>
                <w:rFonts w:asciiTheme="minorHAnsi" w:hAnsiTheme="minorHAnsi" w:cstheme="minorHAnsi"/>
                <w:bCs/>
                <w:sz w:val="18"/>
                <w:szCs w:val="18"/>
              </w:rPr>
            </w:pPr>
            <w:r w:rsidRPr="00B7760C">
              <w:rPr>
                <w:rFonts w:asciiTheme="minorHAnsi" w:hAnsiTheme="minorHAnsi" w:cstheme="minorHAnsi"/>
                <w:bCs/>
                <w:sz w:val="18"/>
                <w:szCs w:val="18"/>
              </w:rPr>
              <w:t>Kazalniki izložkov</w:t>
            </w:r>
          </w:p>
        </w:tc>
      </w:tr>
      <w:tr w:rsidR="00182609" w:rsidRPr="00B7760C" w14:paraId="02AA9146" w14:textId="77777777" w:rsidTr="00A35DEB">
        <w:trPr>
          <w:trHeight w:val="970"/>
        </w:trPr>
        <w:tc>
          <w:tcPr>
            <w:tcW w:w="2312" w:type="dxa"/>
            <w:vMerge w:val="restart"/>
            <w:tcBorders>
              <w:top w:val="single" w:sz="4" w:space="0" w:color="0070C0"/>
              <w:left w:val="single" w:sz="4" w:space="0" w:color="0070C0"/>
              <w:right w:val="single" w:sz="4" w:space="0" w:color="0070C0"/>
            </w:tcBorders>
            <w:noWrap/>
            <w:vAlign w:val="center"/>
          </w:tcPr>
          <w:p w14:paraId="5BC64D6E" w14:textId="77777777" w:rsidR="00182609" w:rsidRPr="00B7760C" w:rsidRDefault="00182609" w:rsidP="00B7760C">
            <w:pPr>
              <w:widowControl/>
              <w:spacing w:before="120" w:after="120" w:line="276" w:lineRule="auto"/>
              <w:rPr>
                <w:rFonts w:asciiTheme="minorHAnsi" w:hAnsiTheme="minorHAnsi" w:cstheme="minorHAnsi"/>
                <w:b/>
                <w:bCs/>
                <w:color w:val="000000"/>
                <w:sz w:val="18"/>
                <w:szCs w:val="18"/>
              </w:rPr>
            </w:pPr>
            <w:r w:rsidRPr="00B7760C">
              <w:rPr>
                <w:rFonts w:asciiTheme="minorHAnsi" w:hAnsiTheme="minorHAnsi" w:cstheme="minorHAnsi"/>
                <w:b/>
                <w:bCs/>
                <w:i/>
                <w:color w:val="000000"/>
                <w:sz w:val="18"/>
                <w:szCs w:val="18"/>
              </w:rPr>
              <w:t>Posodobitev sektorja z zagotavljanjem, da imajo kmetje dostop do raziskav, usposabljanja in izmenjave</w:t>
            </w:r>
            <w:r w:rsidRPr="00B7760C">
              <w:rPr>
                <w:rFonts w:asciiTheme="minorHAnsi" w:hAnsiTheme="minorHAnsi" w:cstheme="minorHAnsi"/>
                <w:bCs/>
                <w:color w:val="000000"/>
                <w:sz w:val="18"/>
                <w:szCs w:val="18"/>
              </w:rPr>
              <w:t xml:space="preserve"> znanja </w:t>
            </w:r>
            <w:r w:rsidRPr="00B7760C">
              <w:rPr>
                <w:rFonts w:asciiTheme="minorHAnsi" w:hAnsiTheme="minorHAnsi" w:cstheme="minorHAnsi"/>
                <w:b/>
                <w:bCs/>
                <w:i/>
                <w:color w:val="000000"/>
                <w:sz w:val="18"/>
                <w:szCs w:val="18"/>
              </w:rPr>
              <w:t>ter storitev prenosa znanja</w:t>
            </w:r>
            <w:r w:rsidRPr="00B7760C">
              <w:rPr>
                <w:rFonts w:asciiTheme="minorHAnsi" w:hAnsiTheme="minorHAnsi" w:cstheme="minorHAnsi"/>
                <w:bCs/>
                <w:color w:val="000000"/>
                <w:sz w:val="18"/>
                <w:szCs w:val="18"/>
              </w:rPr>
              <w:t xml:space="preserve">, inovacij in digitalizacije v kmetijstvu in na podeželskih območjih ter </w:t>
            </w:r>
            <w:r w:rsidRPr="00B7760C">
              <w:rPr>
                <w:rFonts w:asciiTheme="minorHAnsi" w:hAnsiTheme="minorHAnsi" w:cstheme="minorHAnsi"/>
                <w:b/>
                <w:bCs/>
                <w:i/>
                <w:color w:val="000000"/>
                <w:sz w:val="18"/>
                <w:szCs w:val="18"/>
              </w:rPr>
              <w:t>s spodbujanjem</w:t>
            </w:r>
            <w:r w:rsidRPr="00B7760C">
              <w:rPr>
                <w:rFonts w:asciiTheme="minorHAnsi" w:hAnsiTheme="minorHAnsi" w:cstheme="minorHAnsi"/>
                <w:bCs/>
                <w:color w:val="000000"/>
                <w:sz w:val="18"/>
                <w:szCs w:val="18"/>
              </w:rPr>
              <w:t xml:space="preserve"> njihovega prevzemanja.</w:t>
            </w:r>
          </w:p>
        </w:tc>
        <w:tc>
          <w:tcPr>
            <w:tcW w:w="3265" w:type="dxa"/>
            <w:tcBorders>
              <w:top w:val="single" w:sz="4" w:space="0" w:color="0070C0"/>
              <w:left w:val="single" w:sz="4" w:space="0" w:color="0070C0"/>
              <w:right w:val="single" w:sz="4" w:space="0" w:color="0070C0"/>
            </w:tcBorders>
            <w:noWrap/>
          </w:tcPr>
          <w:p w14:paraId="61956008" w14:textId="77777777" w:rsidR="00182609" w:rsidRPr="00B7760C" w:rsidRDefault="00182609" w:rsidP="00A35DEB">
            <w:pPr>
              <w:widowControl/>
              <w:spacing w:before="120" w:after="120" w:line="276" w:lineRule="auto"/>
              <w:jc w:val="both"/>
              <w:rPr>
                <w:rFonts w:asciiTheme="minorHAnsi" w:hAnsiTheme="minorHAnsi" w:cstheme="minorHAnsi"/>
                <w:sz w:val="18"/>
                <w:szCs w:val="18"/>
              </w:rPr>
            </w:pPr>
            <w:r w:rsidRPr="00B7760C">
              <w:rPr>
                <w:rFonts w:asciiTheme="minorHAnsi" w:hAnsiTheme="minorHAnsi" w:cstheme="minorHAnsi"/>
                <w:bCs/>
                <w:iCs/>
                <w:sz w:val="18"/>
                <w:szCs w:val="18"/>
              </w:rPr>
              <w:t xml:space="preserve">I.1 </w:t>
            </w:r>
            <w:r w:rsidRPr="00B7760C">
              <w:rPr>
                <w:rFonts w:asciiTheme="minorHAnsi" w:hAnsiTheme="minorHAnsi" w:cstheme="minorHAnsi"/>
                <w:sz w:val="18"/>
                <w:szCs w:val="18"/>
              </w:rPr>
              <w:t>Izmenjava znanja in inovacije: delež proračuna SKP za širjenje znanja in inovacije</w:t>
            </w:r>
          </w:p>
        </w:tc>
        <w:tc>
          <w:tcPr>
            <w:tcW w:w="4590" w:type="dxa"/>
            <w:tcBorders>
              <w:top w:val="single" w:sz="4" w:space="0" w:color="0070C0"/>
              <w:left w:val="single" w:sz="4" w:space="0" w:color="0070C0"/>
              <w:right w:val="single" w:sz="4" w:space="0" w:color="0070C0"/>
            </w:tcBorders>
          </w:tcPr>
          <w:p w14:paraId="3A920266" w14:textId="77777777" w:rsidR="00182609" w:rsidRPr="00B7760C" w:rsidRDefault="00182609" w:rsidP="00B7760C">
            <w:pPr>
              <w:widowControl/>
              <w:spacing w:before="120" w:after="120" w:line="276" w:lineRule="auto"/>
              <w:rPr>
                <w:rFonts w:asciiTheme="minorHAnsi" w:hAnsiTheme="minorHAnsi" w:cstheme="minorHAnsi"/>
                <w:sz w:val="18"/>
                <w:szCs w:val="18"/>
              </w:rPr>
            </w:pPr>
            <w:r w:rsidRPr="00B7760C">
              <w:rPr>
                <w:rFonts w:asciiTheme="minorHAnsi" w:hAnsiTheme="minorHAnsi" w:cstheme="minorHAnsi"/>
                <w:sz w:val="18"/>
                <w:szCs w:val="18"/>
              </w:rPr>
              <w:t xml:space="preserve">R.1 </w:t>
            </w:r>
            <w:r w:rsidRPr="00B7760C">
              <w:rPr>
                <w:rFonts w:asciiTheme="minorHAnsi" w:hAnsiTheme="minorHAnsi" w:cstheme="minorHAnsi"/>
                <w:bCs/>
                <w:sz w:val="18"/>
                <w:szCs w:val="18"/>
              </w:rPr>
              <w:t>Izboljšanje uspešnosti s pomočjo znanja in inovacij:</w:t>
            </w:r>
            <w:r w:rsidRPr="00B7760C">
              <w:rPr>
                <w:rFonts w:asciiTheme="minorHAnsi" w:hAnsiTheme="minorHAnsi" w:cstheme="minorHAnsi"/>
                <w:sz w:val="18"/>
                <w:szCs w:val="18"/>
              </w:rPr>
              <w:t xml:space="preserve"> delež kmetov, ki prejemajo podporo za svetovanje, usposabljanje, izmenjavo znanja ali sodelovanje v operativnih skupinah za povečanje uspešnosti na področju </w:t>
            </w:r>
            <w:r w:rsidRPr="00B7760C">
              <w:rPr>
                <w:rFonts w:asciiTheme="minorHAnsi" w:hAnsiTheme="minorHAnsi" w:cstheme="minorHAnsi"/>
                <w:b/>
                <w:i/>
                <w:sz w:val="18"/>
                <w:szCs w:val="18"/>
              </w:rPr>
              <w:t>trajnostnega</w:t>
            </w:r>
            <w:r w:rsidRPr="00B7760C">
              <w:rPr>
                <w:rFonts w:asciiTheme="minorHAnsi" w:hAnsiTheme="minorHAnsi" w:cstheme="minorHAnsi"/>
                <w:sz w:val="18"/>
                <w:szCs w:val="18"/>
              </w:rPr>
              <w:t xml:space="preserve"> gospodarstva, okolja, podnebja in učinkovite rabe virov</w:t>
            </w:r>
          </w:p>
        </w:tc>
        <w:tc>
          <w:tcPr>
            <w:tcW w:w="230" w:type="dxa"/>
            <w:tcBorders>
              <w:left w:val="single" w:sz="4" w:space="0" w:color="0070C0"/>
              <w:right w:val="single" w:sz="4" w:space="0" w:color="0070C0"/>
            </w:tcBorders>
          </w:tcPr>
          <w:p w14:paraId="0E72E7B0" w14:textId="77777777" w:rsidR="00182609" w:rsidRPr="00B7760C" w:rsidRDefault="00182609" w:rsidP="00A35DEB">
            <w:pPr>
              <w:widowControl/>
              <w:spacing w:before="120" w:after="120" w:line="276" w:lineRule="auto"/>
              <w:jc w:val="both"/>
              <w:rPr>
                <w:rFonts w:asciiTheme="minorHAnsi" w:hAnsiTheme="minorHAnsi" w:cstheme="minorHAnsi"/>
                <w:sz w:val="18"/>
                <w:szCs w:val="18"/>
                <w:lang w:eastAsia="fr-BE"/>
              </w:rPr>
            </w:pPr>
          </w:p>
        </w:tc>
        <w:tc>
          <w:tcPr>
            <w:tcW w:w="1711" w:type="dxa"/>
            <w:tcBorders>
              <w:top w:val="single" w:sz="4" w:space="0" w:color="0070C0"/>
              <w:left w:val="single" w:sz="4" w:space="0" w:color="0070C0"/>
              <w:right w:val="single" w:sz="4" w:space="0" w:color="0070C0"/>
            </w:tcBorders>
          </w:tcPr>
          <w:p w14:paraId="692EFC3D" w14:textId="77777777" w:rsidR="00182609" w:rsidRPr="00B7760C" w:rsidRDefault="00182609" w:rsidP="00A35DEB">
            <w:pPr>
              <w:widowControl/>
              <w:spacing w:before="120" w:after="120"/>
              <w:jc w:val="both"/>
              <w:rPr>
                <w:rFonts w:asciiTheme="minorHAnsi" w:hAnsiTheme="minorHAnsi" w:cstheme="minorHAnsi"/>
                <w:b/>
                <w:bCs/>
                <w:color w:val="000000"/>
                <w:sz w:val="18"/>
                <w:szCs w:val="18"/>
              </w:rPr>
            </w:pPr>
            <w:r w:rsidRPr="00B7760C">
              <w:rPr>
                <w:rFonts w:asciiTheme="minorHAnsi" w:hAnsiTheme="minorHAnsi" w:cstheme="minorHAnsi"/>
                <w:b/>
                <w:bCs/>
                <w:color w:val="000000"/>
                <w:sz w:val="18"/>
                <w:szCs w:val="18"/>
              </w:rPr>
              <w:t>Evropsko inovacijsko partnerstvo (EIP)** za sistem znanja in inovacij v kmetijstvu</w:t>
            </w:r>
          </w:p>
        </w:tc>
        <w:tc>
          <w:tcPr>
            <w:tcW w:w="3264" w:type="dxa"/>
            <w:tcBorders>
              <w:top w:val="single" w:sz="4" w:space="0" w:color="0070C0"/>
              <w:left w:val="single" w:sz="4" w:space="0" w:color="0070C0"/>
              <w:right w:val="single" w:sz="4" w:space="0" w:color="0070C0"/>
            </w:tcBorders>
          </w:tcPr>
          <w:p w14:paraId="4A8F9DEE" w14:textId="77777777" w:rsidR="00182609" w:rsidRPr="00B7760C" w:rsidRDefault="00182609" w:rsidP="00A35DEB">
            <w:pPr>
              <w:widowControl/>
              <w:spacing w:before="120" w:after="120"/>
              <w:jc w:val="both"/>
              <w:rPr>
                <w:rFonts w:asciiTheme="minorHAnsi" w:hAnsiTheme="minorHAnsi" w:cstheme="minorHAnsi"/>
                <w:color w:val="000000"/>
                <w:sz w:val="18"/>
                <w:szCs w:val="18"/>
              </w:rPr>
            </w:pPr>
            <w:r w:rsidRPr="00B7760C">
              <w:rPr>
                <w:rFonts w:asciiTheme="minorHAnsi" w:hAnsiTheme="minorHAnsi" w:cstheme="minorHAnsi"/>
                <w:color w:val="000000"/>
                <w:sz w:val="18"/>
                <w:szCs w:val="18"/>
              </w:rPr>
              <w:t>O.1 Število operativnih skupin EIP</w:t>
            </w:r>
          </w:p>
        </w:tc>
      </w:tr>
      <w:tr w:rsidR="00182609" w:rsidRPr="00B7760C" w14:paraId="2C299AEE" w14:textId="77777777" w:rsidTr="00A35DEB">
        <w:trPr>
          <w:trHeight w:val="669"/>
        </w:trPr>
        <w:tc>
          <w:tcPr>
            <w:tcW w:w="2312" w:type="dxa"/>
            <w:vMerge/>
            <w:tcBorders>
              <w:left w:val="single" w:sz="4" w:space="0" w:color="0070C0"/>
              <w:right w:val="single" w:sz="4" w:space="0" w:color="0070C0"/>
            </w:tcBorders>
            <w:noWrap/>
          </w:tcPr>
          <w:p w14:paraId="6493EDCA" w14:textId="77777777" w:rsidR="00182609" w:rsidRPr="00B7760C" w:rsidRDefault="00182609" w:rsidP="00A35DEB">
            <w:pPr>
              <w:widowControl/>
              <w:spacing w:before="120" w:after="120" w:line="276" w:lineRule="auto"/>
              <w:ind w:left="64"/>
              <w:jc w:val="center"/>
              <w:rPr>
                <w:rFonts w:asciiTheme="minorHAnsi" w:hAnsiTheme="minorHAnsi" w:cstheme="minorHAnsi"/>
                <w:b/>
                <w:bCs/>
                <w:sz w:val="18"/>
                <w:szCs w:val="18"/>
                <w:lang w:eastAsia="fr-BE"/>
              </w:rPr>
            </w:pPr>
          </w:p>
        </w:tc>
        <w:tc>
          <w:tcPr>
            <w:tcW w:w="3265" w:type="dxa"/>
            <w:tcBorders>
              <w:left w:val="single" w:sz="4" w:space="0" w:color="0070C0"/>
              <w:right w:val="single" w:sz="4" w:space="0" w:color="0070C0"/>
            </w:tcBorders>
            <w:noWrap/>
          </w:tcPr>
          <w:p w14:paraId="1A16438A" w14:textId="77777777" w:rsidR="00182609" w:rsidRPr="00B7760C" w:rsidRDefault="00182609" w:rsidP="00A35DEB">
            <w:pPr>
              <w:widowControl/>
              <w:spacing w:before="120" w:after="120" w:line="276" w:lineRule="auto"/>
              <w:ind w:left="64"/>
              <w:jc w:val="center"/>
              <w:rPr>
                <w:rFonts w:asciiTheme="minorHAnsi" w:hAnsiTheme="minorHAnsi" w:cstheme="minorHAnsi"/>
                <w:b/>
                <w:bCs/>
                <w:sz w:val="18"/>
                <w:szCs w:val="18"/>
                <w:lang w:eastAsia="fr-BE"/>
              </w:rPr>
            </w:pPr>
          </w:p>
        </w:tc>
        <w:tc>
          <w:tcPr>
            <w:tcW w:w="4590" w:type="dxa"/>
            <w:tcBorders>
              <w:left w:val="single" w:sz="4" w:space="0" w:color="0070C0"/>
              <w:right w:val="single" w:sz="4" w:space="0" w:color="0070C0"/>
            </w:tcBorders>
          </w:tcPr>
          <w:p w14:paraId="6329D7DA" w14:textId="77777777" w:rsidR="00182609" w:rsidRPr="00B7760C" w:rsidRDefault="00182609" w:rsidP="00B7760C">
            <w:pPr>
              <w:widowControl/>
              <w:spacing w:before="120" w:after="120" w:line="276" w:lineRule="auto"/>
              <w:ind w:left="34"/>
              <w:rPr>
                <w:rFonts w:asciiTheme="minorHAnsi" w:hAnsiTheme="minorHAnsi" w:cstheme="minorHAnsi"/>
                <w:iCs/>
                <w:sz w:val="18"/>
                <w:szCs w:val="18"/>
              </w:rPr>
            </w:pPr>
            <w:r w:rsidRPr="00B7760C">
              <w:rPr>
                <w:rFonts w:asciiTheme="minorHAnsi" w:hAnsiTheme="minorHAnsi" w:cstheme="minorHAnsi"/>
                <w:iCs/>
                <w:sz w:val="18"/>
                <w:szCs w:val="18"/>
              </w:rPr>
              <w:t>R.2 Povezovanje sistemov svetovanja in znanja: število svetovalcev v AKIS (v primerjavi s skupnim številom kmetov)</w:t>
            </w:r>
          </w:p>
        </w:tc>
        <w:tc>
          <w:tcPr>
            <w:tcW w:w="230" w:type="dxa"/>
            <w:tcBorders>
              <w:left w:val="single" w:sz="4" w:space="0" w:color="0070C0"/>
              <w:right w:val="single" w:sz="4" w:space="0" w:color="0070C0"/>
            </w:tcBorders>
          </w:tcPr>
          <w:p w14:paraId="574AB46A" w14:textId="77777777" w:rsidR="00182609" w:rsidRPr="00B7760C" w:rsidRDefault="00182609" w:rsidP="00A35DEB">
            <w:pPr>
              <w:widowControl/>
              <w:spacing w:before="120" w:after="120" w:line="276" w:lineRule="auto"/>
              <w:ind w:left="64"/>
              <w:jc w:val="center"/>
              <w:rPr>
                <w:rFonts w:asciiTheme="minorHAnsi" w:hAnsiTheme="minorHAnsi" w:cstheme="minorHAnsi"/>
                <w:b/>
                <w:bCs/>
                <w:sz w:val="18"/>
                <w:szCs w:val="18"/>
                <w:lang w:eastAsia="fr-BE"/>
              </w:rPr>
            </w:pPr>
          </w:p>
        </w:tc>
        <w:tc>
          <w:tcPr>
            <w:tcW w:w="1711" w:type="dxa"/>
            <w:tcBorders>
              <w:left w:val="single" w:sz="4" w:space="0" w:color="0070C0"/>
              <w:right w:val="single" w:sz="4" w:space="0" w:color="0070C0"/>
            </w:tcBorders>
          </w:tcPr>
          <w:p w14:paraId="67F827C3" w14:textId="77777777" w:rsidR="00182609" w:rsidRPr="00B7760C" w:rsidRDefault="00182609" w:rsidP="00A35DEB">
            <w:pPr>
              <w:widowControl/>
              <w:spacing w:before="120" w:after="120"/>
              <w:jc w:val="center"/>
              <w:rPr>
                <w:rFonts w:asciiTheme="minorHAnsi" w:hAnsiTheme="minorHAnsi" w:cstheme="minorHAnsi"/>
                <w:b/>
                <w:bCs/>
                <w:sz w:val="18"/>
                <w:szCs w:val="18"/>
                <w:lang w:eastAsia="fr-BE"/>
              </w:rPr>
            </w:pPr>
          </w:p>
        </w:tc>
        <w:tc>
          <w:tcPr>
            <w:tcW w:w="3264" w:type="dxa"/>
            <w:tcBorders>
              <w:left w:val="single" w:sz="4" w:space="0" w:color="0070C0"/>
              <w:right w:val="single" w:sz="4" w:space="0" w:color="0070C0"/>
            </w:tcBorders>
          </w:tcPr>
          <w:p w14:paraId="361A5B34" w14:textId="77777777" w:rsidR="00182609" w:rsidRPr="00B7760C" w:rsidRDefault="00182609" w:rsidP="00A35DEB">
            <w:pPr>
              <w:widowControl/>
              <w:spacing w:before="120" w:after="120"/>
              <w:jc w:val="both"/>
              <w:rPr>
                <w:rFonts w:asciiTheme="minorHAnsi" w:hAnsiTheme="minorHAnsi" w:cstheme="minorHAnsi"/>
                <w:color w:val="000000"/>
                <w:sz w:val="18"/>
                <w:szCs w:val="18"/>
              </w:rPr>
            </w:pPr>
            <w:r w:rsidRPr="00B7760C">
              <w:rPr>
                <w:rFonts w:asciiTheme="minorHAnsi" w:hAnsiTheme="minorHAnsi" w:cstheme="minorHAnsi"/>
                <w:color w:val="000000"/>
                <w:sz w:val="18"/>
                <w:szCs w:val="18"/>
              </w:rPr>
              <w:t>O.2 Število svetovalcev, ki se vzpostavijo ali sodelujejo pri operativnih skupinah EIP</w:t>
            </w:r>
          </w:p>
        </w:tc>
      </w:tr>
      <w:tr w:rsidR="00182609" w:rsidRPr="00B7760C" w14:paraId="0CA0C54C" w14:textId="77777777" w:rsidTr="00A35DEB">
        <w:trPr>
          <w:trHeight w:val="422"/>
        </w:trPr>
        <w:tc>
          <w:tcPr>
            <w:tcW w:w="2312" w:type="dxa"/>
            <w:tcBorders>
              <w:left w:val="single" w:sz="4" w:space="0" w:color="0070C0"/>
              <w:bottom w:val="single" w:sz="4" w:space="0" w:color="0070C0"/>
              <w:right w:val="single" w:sz="4" w:space="0" w:color="0070C0"/>
            </w:tcBorders>
            <w:noWrap/>
          </w:tcPr>
          <w:p w14:paraId="53296969" w14:textId="77777777" w:rsidR="00182609" w:rsidRPr="00B7760C" w:rsidRDefault="00182609" w:rsidP="00A35DEB">
            <w:pPr>
              <w:widowControl/>
              <w:spacing w:before="120" w:after="120" w:line="276" w:lineRule="auto"/>
              <w:ind w:left="64"/>
              <w:jc w:val="center"/>
              <w:rPr>
                <w:rFonts w:asciiTheme="minorHAnsi" w:hAnsiTheme="minorHAnsi" w:cstheme="minorHAnsi"/>
                <w:b/>
                <w:bCs/>
                <w:sz w:val="18"/>
                <w:szCs w:val="18"/>
                <w:lang w:eastAsia="fr-BE"/>
              </w:rPr>
            </w:pPr>
          </w:p>
        </w:tc>
        <w:tc>
          <w:tcPr>
            <w:tcW w:w="3265" w:type="dxa"/>
            <w:tcBorders>
              <w:left w:val="single" w:sz="4" w:space="0" w:color="0070C0"/>
              <w:bottom w:val="single" w:sz="4" w:space="0" w:color="0070C0"/>
              <w:right w:val="single" w:sz="4" w:space="0" w:color="0070C0"/>
            </w:tcBorders>
            <w:noWrap/>
          </w:tcPr>
          <w:p w14:paraId="76BDCFE3" w14:textId="77777777" w:rsidR="00182609" w:rsidRPr="00B7760C" w:rsidRDefault="00182609" w:rsidP="00A35DEB">
            <w:pPr>
              <w:widowControl/>
              <w:spacing w:before="120" w:after="120" w:line="276" w:lineRule="auto"/>
              <w:ind w:left="64"/>
              <w:jc w:val="center"/>
              <w:rPr>
                <w:rFonts w:asciiTheme="minorHAnsi" w:hAnsiTheme="minorHAnsi" w:cstheme="minorHAnsi"/>
                <w:b/>
                <w:bCs/>
                <w:sz w:val="18"/>
                <w:szCs w:val="18"/>
                <w:lang w:eastAsia="fr-BE"/>
              </w:rPr>
            </w:pPr>
          </w:p>
        </w:tc>
        <w:tc>
          <w:tcPr>
            <w:tcW w:w="4590" w:type="dxa"/>
            <w:tcBorders>
              <w:left w:val="single" w:sz="4" w:space="0" w:color="0070C0"/>
              <w:bottom w:val="single" w:sz="4" w:space="0" w:color="0070C0"/>
              <w:right w:val="single" w:sz="4" w:space="0" w:color="0070C0"/>
            </w:tcBorders>
          </w:tcPr>
          <w:p w14:paraId="6ADD2322" w14:textId="77777777" w:rsidR="00182609" w:rsidRPr="00B7760C" w:rsidRDefault="00182609" w:rsidP="00B7760C">
            <w:pPr>
              <w:widowControl/>
              <w:spacing w:before="120" w:after="120" w:line="276" w:lineRule="auto"/>
              <w:ind w:left="34"/>
              <w:rPr>
                <w:rFonts w:asciiTheme="minorHAnsi" w:hAnsiTheme="minorHAnsi" w:cstheme="minorHAnsi"/>
                <w:b/>
                <w:iCs/>
                <w:sz w:val="18"/>
                <w:szCs w:val="18"/>
              </w:rPr>
            </w:pPr>
            <w:r w:rsidRPr="00B7760C">
              <w:rPr>
                <w:rFonts w:asciiTheme="minorHAnsi" w:hAnsiTheme="minorHAnsi" w:cstheme="minorHAnsi"/>
                <w:color w:val="000000"/>
                <w:sz w:val="18"/>
                <w:szCs w:val="18"/>
              </w:rPr>
              <w:t xml:space="preserve">R.3 </w:t>
            </w:r>
            <w:r w:rsidRPr="00B7760C">
              <w:rPr>
                <w:rFonts w:asciiTheme="minorHAnsi" w:hAnsiTheme="minorHAnsi" w:cstheme="minorHAnsi"/>
                <w:bCs/>
                <w:color w:val="000000"/>
                <w:sz w:val="18"/>
                <w:szCs w:val="18"/>
              </w:rPr>
              <w:t>Digitalizacija kmetijstva:</w:t>
            </w:r>
            <w:r w:rsidRPr="00B7760C">
              <w:rPr>
                <w:rFonts w:asciiTheme="minorHAnsi" w:hAnsiTheme="minorHAnsi" w:cstheme="minorHAnsi"/>
                <w:color w:val="000000"/>
                <w:sz w:val="18"/>
                <w:szCs w:val="18"/>
              </w:rPr>
              <w:t xml:space="preserve"> delež kmetov, ki iz SKP prejemajo podporo za tehnologijo preciznega </w:t>
            </w:r>
            <w:r w:rsidRPr="00B7760C">
              <w:rPr>
                <w:rFonts w:asciiTheme="minorHAnsi" w:hAnsiTheme="minorHAnsi" w:cstheme="minorHAnsi"/>
                <w:b/>
                <w:i/>
                <w:color w:val="000000"/>
                <w:sz w:val="18"/>
                <w:szCs w:val="18"/>
              </w:rPr>
              <w:t>in pametnega</w:t>
            </w:r>
            <w:r w:rsidRPr="00B7760C">
              <w:rPr>
                <w:rFonts w:asciiTheme="minorHAnsi" w:hAnsiTheme="minorHAnsi" w:cstheme="minorHAnsi"/>
                <w:color w:val="000000"/>
                <w:sz w:val="18"/>
                <w:szCs w:val="18"/>
              </w:rPr>
              <w:t xml:space="preserve"> kmetijstva</w:t>
            </w:r>
            <w:r w:rsidRPr="00B7760C">
              <w:rPr>
                <w:rFonts w:asciiTheme="minorHAnsi" w:hAnsiTheme="minorHAnsi" w:cstheme="minorHAnsi"/>
                <w:b/>
                <w:i/>
                <w:color w:val="000000"/>
                <w:sz w:val="18"/>
                <w:szCs w:val="18"/>
              </w:rPr>
              <w:t>, ki lahko zmanjša rabo vložkov ter poveča trajnost in okoljsko uspešnost</w:t>
            </w:r>
          </w:p>
        </w:tc>
        <w:tc>
          <w:tcPr>
            <w:tcW w:w="230" w:type="dxa"/>
            <w:tcBorders>
              <w:left w:val="single" w:sz="4" w:space="0" w:color="0070C0"/>
              <w:right w:val="single" w:sz="4" w:space="0" w:color="0070C0"/>
            </w:tcBorders>
          </w:tcPr>
          <w:p w14:paraId="4099D04E" w14:textId="77777777" w:rsidR="00182609" w:rsidRPr="00B7760C" w:rsidRDefault="00182609" w:rsidP="00A35DEB">
            <w:pPr>
              <w:widowControl/>
              <w:spacing w:before="120" w:after="120" w:line="276" w:lineRule="auto"/>
              <w:ind w:left="64"/>
              <w:jc w:val="center"/>
              <w:rPr>
                <w:rFonts w:asciiTheme="minorHAnsi" w:hAnsiTheme="minorHAnsi" w:cstheme="minorHAnsi"/>
                <w:b/>
                <w:bCs/>
                <w:sz w:val="18"/>
                <w:szCs w:val="18"/>
                <w:lang w:eastAsia="fr-BE"/>
              </w:rPr>
            </w:pPr>
          </w:p>
        </w:tc>
        <w:tc>
          <w:tcPr>
            <w:tcW w:w="1711" w:type="dxa"/>
            <w:tcBorders>
              <w:left w:val="single" w:sz="4" w:space="0" w:color="0070C0"/>
              <w:bottom w:val="single" w:sz="4" w:space="0" w:color="0070C0"/>
              <w:right w:val="single" w:sz="4" w:space="0" w:color="0070C0"/>
            </w:tcBorders>
          </w:tcPr>
          <w:p w14:paraId="67D90B0A" w14:textId="77777777" w:rsidR="00182609" w:rsidRPr="00B7760C" w:rsidRDefault="00182609" w:rsidP="00A35DEB">
            <w:pPr>
              <w:widowControl/>
              <w:spacing w:before="120" w:after="120"/>
              <w:jc w:val="center"/>
              <w:rPr>
                <w:rFonts w:asciiTheme="minorHAnsi" w:hAnsiTheme="minorHAnsi" w:cstheme="minorHAnsi"/>
                <w:b/>
                <w:bCs/>
                <w:sz w:val="18"/>
                <w:szCs w:val="18"/>
                <w:lang w:eastAsia="fr-BE"/>
              </w:rPr>
            </w:pPr>
          </w:p>
        </w:tc>
        <w:tc>
          <w:tcPr>
            <w:tcW w:w="3264" w:type="dxa"/>
            <w:tcBorders>
              <w:left w:val="single" w:sz="4" w:space="0" w:color="0070C0"/>
              <w:bottom w:val="single" w:sz="4" w:space="0" w:color="0070C0"/>
              <w:right w:val="single" w:sz="4" w:space="0" w:color="0070C0"/>
            </w:tcBorders>
          </w:tcPr>
          <w:p w14:paraId="0C895C26" w14:textId="77777777" w:rsidR="00182609" w:rsidRPr="00B7760C" w:rsidRDefault="00182609" w:rsidP="00A35DEB">
            <w:pPr>
              <w:widowControl/>
              <w:spacing w:before="120" w:after="120"/>
              <w:jc w:val="both"/>
              <w:rPr>
                <w:rFonts w:asciiTheme="minorHAnsi" w:hAnsiTheme="minorHAnsi" w:cstheme="minorHAnsi"/>
                <w:b/>
                <w:color w:val="000000"/>
                <w:sz w:val="18"/>
                <w:szCs w:val="18"/>
                <w:lang w:eastAsia="fr-BE"/>
              </w:rPr>
            </w:pPr>
          </w:p>
        </w:tc>
      </w:tr>
    </w:tbl>
    <w:p w14:paraId="0EBD9D86" w14:textId="77777777" w:rsidR="00182609" w:rsidRPr="00B7760C" w:rsidRDefault="00182609" w:rsidP="00182609">
      <w:pPr>
        <w:widowControl/>
        <w:spacing w:before="120" w:after="120"/>
        <w:jc w:val="both"/>
        <w:rPr>
          <w:rFonts w:asciiTheme="minorHAnsi" w:eastAsia="Calibri" w:hAnsiTheme="minorHAnsi" w:cstheme="minorHAnsi"/>
          <w:szCs w:val="22"/>
          <w:lang w:eastAsia="en-US"/>
        </w:rPr>
      </w:pPr>
    </w:p>
    <w:tbl>
      <w:tblPr>
        <w:tblStyle w:val="TableGridLight11"/>
        <w:tblW w:w="15133"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7"/>
        <w:gridCol w:w="3213"/>
        <w:gridCol w:w="4549"/>
        <w:gridCol w:w="236"/>
        <w:gridCol w:w="1648"/>
        <w:gridCol w:w="3210"/>
      </w:tblGrid>
      <w:tr w:rsidR="00182609" w:rsidRPr="00B7760C" w14:paraId="55E5E2A8" w14:textId="77777777" w:rsidTr="00A35DEB">
        <w:trPr>
          <w:cantSplit/>
          <w:trHeight w:val="391"/>
          <w:tblHeader/>
        </w:trPr>
        <w:tc>
          <w:tcPr>
            <w:tcW w:w="2277" w:type="dxa"/>
            <w:tcBorders>
              <w:top w:val="single" w:sz="4" w:space="0" w:color="0070C0"/>
              <w:left w:val="single" w:sz="4" w:space="0" w:color="0070C0"/>
              <w:bottom w:val="single" w:sz="4" w:space="0" w:color="0070C0"/>
              <w:right w:val="single" w:sz="4" w:space="0" w:color="0070C0"/>
            </w:tcBorders>
            <w:shd w:val="clear" w:color="auto" w:fill="auto"/>
            <w:noWrap/>
          </w:tcPr>
          <w:p w14:paraId="1B50D7E7" w14:textId="77777777" w:rsidR="00182609" w:rsidRPr="00B7760C" w:rsidRDefault="00182609" w:rsidP="00A35DEB">
            <w:pPr>
              <w:widowControl/>
              <w:spacing w:before="120" w:after="120" w:line="276" w:lineRule="auto"/>
              <w:ind w:left="64"/>
              <w:jc w:val="center"/>
              <w:rPr>
                <w:rFonts w:asciiTheme="minorHAnsi" w:hAnsiTheme="minorHAnsi" w:cstheme="minorHAnsi"/>
                <w:bCs/>
                <w:sz w:val="18"/>
                <w:szCs w:val="18"/>
              </w:rPr>
            </w:pPr>
            <w:r w:rsidRPr="00B7760C">
              <w:rPr>
                <w:rFonts w:asciiTheme="minorHAnsi" w:hAnsiTheme="minorHAnsi" w:cstheme="minorHAnsi"/>
              </w:rPr>
              <w:br w:type="page"/>
            </w:r>
            <w:r w:rsidRPr="00B7760C">
              <w:rPr>
                <w:rFonts w:asciiTheme="minorHAnsi" w:hAnsiTheme="minorHAnsi" w:cstheme="minorHAnsi"/>
                <w:bCs/>
                <w:sz w:val="18"/>
                <w:szCs w:val="18"/>
              </w:rPr>
              <w:t>Specifični cilji EU</w:t>
            </w:r>
          </w:p>
        </w:tc>
        <w:tc>
          <w:tcPr>
            <w:tcW w:w="3213" w:type="dxa"/>
            <w:tcBorders>
              <w:top w:val="single" w:sz="4" w:space="0" w:color="0070C0"/>
              <w:left w:val="single" w:sz="4" w:space="0" w:color="0070C0"/>
              <w:bottom w:val="single" w:sz="4" w:space="0" w:color="0070C0"/>
              <w:right w:val="single" w:sz="4" w:space="0" w:color="0070C0"/>
            </w:tcBorders>
            <w:shd w:val="clear" w:color="auto" w:fill="auto"/>
            <w:noWrap/>
          </w:tcPr>
          <w:p w14:paraId="07777191" w14:textId="77777777" w:rsidR="00182609" w:rsidRPr="00B7760C" w:rsidRDefault="00182609" w:rsidP="00A35DEB">
            <w:pPr>
              <w:widowControl/>
              <w:spacing w:before="120" w:after="120" w:line="276" w:lineRule="auto"/>
              <w:ind w:left="64"/>
              <w:jc w:val="center"/>
              <w:rPr>
                <w:rFonts w:asciiTheme="minorHAnsi" w:hAnsiTheme="minorHAnsi" w:cstheme="minorHAnsi"/>
                <w:bCs/>
                <w:sz w:val="18"/>
                <w:szCs w:val="18"/>
              </w:rPr>
            </w:pPr>
            <w:r w:rsidRPr="00B7760C">
              <w:rPr>
                <w:rFonts w:asciiTheme="minorHAnsi" w:hAnsiTheme="minorHAnsi" w:cstheme="minorHAnsi"/>
                <w:bCs/>
                <w:sz w:val="18"/>
                <w:szCs w:val="18"/>
              </w:rPr>
              <w:t>Kazalniki učinka</w:t>
            </w:r>
          </w:p>
        </w:tc>
        <w:tc>
          <w:tcPr>
            <w:tcW w:w="4549" w:type="dxa"/>
            <w:tcBorders>
              <w:top w:val="single" w:sz="4" w:space="0" w:color="0070C0"/>
              <w:left w:val="single" w:sz="4" w:space="0" w:color="0070C0"/>
              <w:bottom w:val="single" w:sz="4" w:space="0" w:color="0070C0"/>
              <w:right w:val="single" w:sz="4" w:space="0" w:color="0070C0"/>
            </w:tcBorders>
            <w:shd w:val="clear" w:color="auto" w:fill="auto"/>
          </w:tcPr>
          <w:p w14:paraId="0C4C8771" w14:textId="77777777" w:rsidR="00182609" w:rsidRPr="00B7760C" w:rsidRDefault="00182609" w:rsidP="00A35DEB">
            <w:pPr>
              <w:widowControl/>
              <w:spacing w:before="120" w:after="120" w:line="276" w:lineRule="auto"/>
              <w:ind w:left="64"/>
              <w:jc w:val="center"/>
              <w:rPr>
                <w:rFonts w:asciiTheme="minorHAnsi" w:hAnsiTheme="minorHAnsi" w:cstheme="minorHAnsi"/>
                <w:bCs/>
                <w:sz w:val="18"/>
                <w:szCs w:val="18"/>
              </w:rPr>
            </w:pPr>
            <w:r w:rsidRPr="00B7760C">
              <w:rPr>
                <w:rFonts w:asciiTheme="minorHAnsi" w:hAnsiTheme="minorHAnsi" w:cstheme="minorHAnsi"/>
                <w:bCs/>
                <w:sz w:val="18"/>
                <w:szCs w:val="18"/>
              </w:rPr>
              <w:t>Kazalniki rezultatov</w:t>
            </w:r>
          </w:p>
          <w:p w14:paraId="6EF4C3A1" w14:textId="77777777" w:rsidR="00182609" w:rsidRPr="00B7760C" w:rsidRDefault="00182609" w:rsidP="00A35DEB">
            <w:pPr>
              <w:widowControl/>
              <w:spacing w:before="120" w:after="120" w:line="276" w:lineRule="auto"/>
              <w:ind w:left="64"/>
              <w:jc w:val="center"/>
              <w:rPr>
                <w:rFonts w:asciiTheme="minorHAnsi" w:hAnsiTheme="minorHAnsi" w:cstheme="minorHAnsi"/>
                <w:bCs/>
                <w:sz w:val="18"/>
                <w:szCs w:val="18"/>
              </w:rPr>
            </w:pPr>
            <w:r w:rsidRPr="00B7760C">
              <w:rPr>
                <w:rFonts w:asciiTheme="minorHAnsi" w:hAnsiTheme="minorHAnsi" w:cstheme="minorHAnsi"/>
                <w:bCs/>
                <w:sz w:val="18"/>
                <w:szCs w:val="18"/>
              </w:rPr>
              <w:t>(samo na podlagi intervencij, ki jih podpira SKP)</w:t>
            </w:r>
          </w:p>
        </w:tc>
        <w:tc>
          <w:tcPr>
            <w:tcW w:w="236" w:type="dxa"/>
            <w:tcBorders>
              <w:left w:val="single" w:sz="4" w:space="0" w:color="0070C0"/>
              <w:right w:val="single" w:sz="4" w:space="0" w:color="0070C0"/>
            </w:tcBorders>
            <w:shd w:val="clear" w:color="auto" w:fill="auto"/>
          </w:tcPr>
          <w:p w14:paraId="3F01DF90" w14:textId="77777777" w:rsidR="00182609" w:rsidRPr="00B7760C" w:rsidRDefault="00182609" w:rsidP="00A35DEB">
            <w:pPr>
              <w:widowControl/>
              <w:spacing w:before="120" w:after="120" w:line="276" w:lineRule="auto"/>
              <w:ind w:left="64"/>
              <w:jc w:val="center"/>
              <w:rPr>
                <w:rFonts w:asciiTheme="minorHAnsi" w:hAnsiTheme="minorHAnsi" w:cstheme="minorHAnsi"/>
                <w:bCs/>
                <w:sz w:val="18"/>
                <w:szCs w:val="18"/>
                <w:lang w:eastAsia="fr-BE"/>
              </w:rPr>
            </w:pPr>
          </w:p>
        </w:tc>
        <w:tc>
          <w:tcPr>
            <w:tcW w:w="1648" w:type="dxa"/>
            <w:tcBorders>
              <w:top w:val="single" w:sz="4" w:space="0" w:color="0070C0"/>
              <w:left w:val="single" w:sz="4" w:space="0" w:color="0070C0"/>
              <w:bottom w:val="single" w:sz="4" w:space="0" w:color="0070C0"/>
              <w:right w:val="single" w:sz="4" w:space="0" w:color="0070C0"/>
            </w:tcBorders>
            <w:shd w:val="clear" w:color="auto" w:fill="auto"/>
          </w:tcPr>
          <w:p w14:paraId="45EA7CB1" w14:textId="77777777" w:rsidR="00182609" w:rsidRPr="00B7760C" w:rsidRDefault="00182609" w:rsidP="00A35DEB">
            <w:pPr>
              <w:widowControl/>
              <w:spacing w:before="120" w:after="120"/>
              <w:jc w:val="center"/>
              <w:rPr>
                <w:rFonts w:asciiTheme="minorHAnsi" w:hAnsiTheme="minorHAnsi" w:cstheme="minorHAnsi"/>
                <w:bCs/>
                <w:sz w:val="18"/>
                <w:szCs w:val="18"/>
              </w:rPr>
            </w:pPr>
            <w:r w:rsidRPr="00B7760C">
              <w:rPr>
                <w:rFonts w:asciiTheme="minorHAnsi" w:hAnsiTheme="minorHAnsi" w:cstheme="minorHAnsi"/>
                <w:bCs/>
                <w:sz w:val="18"/>
                <w:szCs w:val="18"/>
              </w:rPr>
              <w:t>Široka vrsta intervencije</w:t>
            </w:r>
          </w:p>
        </w:tc>
        <w:tc>
          <w:tcPr>
            <w:tcW w:w="3210" w:type="dxa"/>
            <w:tcBorders>
              <w:top w:val="single" w:sz="4" w:space="0" w:color="0070C0"/>
              <w:left w:val="single" w:sz="4" w:space="0" w:color="0070C0"/>
              <w:bottom w:val="single" w:sz="4" w:space="0" w:color="0070C0"/>
              <w:right w:val="single" w:sz="4" w:space="0" w:color="0070C0"/>
            </w:tcBorders>
            <w:shd w:val="clear" w:color="auto" w:fill="auto"/>
          </w:tcPr>
          <w:p w14:paraId="4FBE62EC" w14:textId="77777777" w:rsidR="00182609" w:rsidRPr="00B7760C" w:rsidRDefault="00182609" w:rsidP="00A35DEB">
            <w:pPr>
              <w:widowControl/>
              <w:spacing w:before="120" w:after="120"/>
              <w:jc w:val="center"/>
              <w:rPr>
                <w:rFonts w:asciiTheme="minorHAnsi" w:hAnsiTheme="minorHAnsi" w:cstheme="minorHAnsi"/>
                <w:bCs/>
                <w:sz w:val="18"/>
                <w:szCs w:val="18"/>
              </w:rPr>
            </w:pPr>
            <w:r w:rsidRPr="00B7760C">
              <w:rPr>
                <w:rFonts w:asciiTheme="minorHAnsi" w:hAnsiTheme="minorHAnsi" w:cstheme="minorHAnsi"/>
                <w:bCs/>
                <w:sz w:val="18"/>
                <w:szCs w:val="18"/>
              </w:rPr>
              <w:t>Kazalniki izložkov (na intervencijo)</w:t>
            </w:r>
          </w:p>
        </w:tc>
      </w:tr>
      <w:tr w:rsidR="00182609" w:rsidRPr="00B7760C" w14:paraId="068D954E" w14:textId="77777777" w:rsidTr="00A35DEB">
        <w:trPr>
          <w:trHeight w:val="599"/>
        </w:trPr>
        <w:tc>
          <w:tcPr>
            <w:tcW w:w="2277" w:type="dxa"/>
            <w:vMerge w:val="restart"/>
            <w:tcBorders>
              <w:top w:val="single" w:sz="4" w:space="0" w:color="0070C0"/>
              <w:left w:val="single" w:sz="4" w:space="0" w:color="0070C0"/>
              <w:right w:val="single" w:sz="4" w:space="0" w:color="0070C0"/>
            </w:tcBorders>
            <w:vAlign w:val="center"/>
            <w:hideMark/>
          </w:tcPr>
          <w:p w14:paraId="6F352896" w14:textId="77777777" w:rsidR="00182609" w:rsidRPr="00B7760C" w:rsidRDefault="00182609" w:rsidP="009D3E2B">
            <w:pPr>
              <w:widowControl/>
              <w:spacing w:before="120" w:after="120" w:line="276" w:lineRule="auto"/>
              <w:rPr>
                <w:rFonts w:asciiTheme="minorHAnsi" w:hAnsiTheme="minorHAnsi" w:cstheme="minorHAnsi"/>
                <w:bCs/>
                <w:color w:val="000000"/>
                <w:sz w:val="18"/>
                <w:szCs w:val="18"/>
              </w:rPr>
            </w:pPr>
            <w:r w:rsidRPr="00B7760C">
              <w:rPr>
                <w:rFonts w:asciiTheme="minorHAnsi" w:hAnsiTheme="minorHAnsi" w:cstheme="minorHAnsi"/>
                <w:sz w:val="18"/>
                <w:szCs w:val="18"/>
              </w:rPr>
              <w:t xml:space="preserve">Podpora vzdržnim dohodkom in odpornosti </w:t>
            </w:r>
            <w:r w:rsidRPr="00B7760C">
              <w:rPr>
                <w:rFonts w:asciiTheme="minorHAnsi" w:hAnsiTheme="minorHAnsi" w:cstheme="minorHAnsi"/>
                <w:b/>
                <w:i/>
                <w:sz w:val="18"/>
                <w:szCs w:val="18"/>
              </w:rPr>
              <w:t>kmetijskega sektorja</w:t>
            </w:r>
            <w:r w:rsidRPr="00B7760C">
              <w:rPr>
                <w:rFonts w:asciiTheme="minorHAnsi" w:hAnsiTheme="minorHAnsi" w:cstheme="minorHAnsi"/>
                <w:sz w:val="18"/>
                <w:szCs w:val="18"/>
              </w:rPr>
              <w:t xml:space="preserve"> po vsej Uniji za povečanje </w:t>
            </w:r>
            <w:r w:rsidRPr="00B7760C">
              <w:rPr>
                <w:rFonts w:asciiTheme="minorHAnsi" w:hAnsiTheme="minorHAnsi" w:cstheme="minorHAnsi"/>
                <w:b/>
                <w:i/>
                <w:sz w:val="18"/>
                <w:szCs w:val="18"/>
              </w:rPr>
              <w:t>dolgoročne</w:t>
            </w:r>
            <w:r w:rsidRPr="00B7760C">
              <w:rPr>
                <w:rFonts w:asciiTheme="minorHAnsi" w:hAnsiTheme="minorHAnsi" w:cstheme="minorHAnsi"/>
                <w:sz w:val="18"/>
                <w:szCs w:val="18"/>
              </w:rPr>
              <w:t xml:space="preserve"> prehranske varnosti </w:t>
            </w:r>
            <w:r w:rsidRPr="00B7760C">
              <w:rPr>
                <w:rFonts w:asciiTheme="minorHAnsi" w:hAnsiTheme="minorHAnsi" w:cstheme="minorHAnsi"/>
                <w:b/>
                <w:i/>
                <w:sz w:val="18"/>
                <w:szCs w:val="18"/>
              </w:rPr>
              <w:t>in raznovrstnosti kmetijstva ob hkratnem zagotavljanju varne in visokokakovostne hrane po poštenih cenah, da bi spremenili izgubo kmetov in zagotovili ekonomsko trajnost kmetijske proizvodnje v Uniji;</w:t>
            </w:r>
          </w:p>
        </w:tc>
        <w:tc>
          <w:tcPr>
            <w:tcW w:w="3213" w:type="dxa"/>
            <w:tcBorders>
              <w:top w:val="single" w:sz="4" w:space="0" w:color="0070C0"/>
              <w:left w:val="single" w:sz="4" w:space="0" w:color="0070C0"/>
              <w:right w:val="single" w:sz="4" w:space="0" w:color="0070C0"/>
            </w:tcBorders>
            <w:hideMark/>
          </w:tcPr>
          <w:p w14:paraId="6562EF5C" w14:textId="77777777" w:rsidR="00182609" w:rsidRPr="00B7760C" w:rsidRDefault="00182609" w:rsidP="009D3E2B">
            <w:pPr>
              <w:widowControl/>
              <w:spacing w:before="120" w:after="120" w:line="276" w:lineRule="auto"/>
              <w:rPr>
                <w:rFonts w:asciiTheme="minorHAnsi" w:hAnsiTheme="minorHAnsi" w:cstheme="minorHAnsi"/>
                <w:sz w:val="18"/>
                <w:szCs w:val="18"/>
              </w:rPr>
            </w:pPr>
            <w:r w:rsidRPr="00B7760C">
              <w:rPr>
                <w:rFonts w:asciiTheme="minorHAnsi" w:hAnsiTheme="minorHAnsi" w:cstheme="minorHAnsi"/>
                <w:sz w:val="18"/>
                <w:szCs w:val="18"/>
              </w:rPr>
              <w:t xml:space="preserve">I.2 Zmanjšanje razlik v dohodku: spreminjanje kmetijskega dohodka v primerjavi s splošnim gospodarstvom </w:t>
            </w:r>
          </w:p>
        </w:tc>
        <w:tc>
          <w:tcPr>
            <w:tcW w:w="4549" w:type="dxa"/>
            <w:tcBorders>
              <w:top w:val="single" w:sz="4" w:space="0" w:color="0070C0"/>
              <w:left w:val="single" w:sz="4" w:space="0" w:color="0070C0"/>
              <w:right w:val="single" w:sz="4" w:space="0" w:color="0070C0"/>
            </w:tcBorders>
          </w:tcPr>
          <w:p w14:paraId="1F8599C7" w14:textId="77777777" w:rsidR="00182609" w:rsidRPr="00B7760C" w:rsidRDefault="00182609" w:rsidP="009D3E2B">
            <w:pPr>
              <w:widowControl/>
              <w:spacing w:before="120" w:after="120" w:line="276" w:lineRule="auto"/>
              <w:rPr>
                <w:rFonts w:asciiTheme="minorHAnsi" w:hAnsiTheme="minorHAnsi" w:cstheme="minorHAnsi"/>
                <w:sz w:val="18"/>
                <w:szCs w:val="18"/>
              </w:rPr>
            </w:pPr>
            <w:r w:rsidRPr="00B7760C">
              <w:rPr>
                <w:rFonts w:asciiTheme="minorHAnsi" w:hAnsiTheme="minorHAnsi" w:cstheme="minorHAnsi"/>
                <w:b/>
                <w:sz w:val="18"/>
                <w:szCs w:val="18"/>
              </w:rPr>
              <w:t>R.4 Povezovanje dohodkovne podpore s standardi in dobrimi praksami:</w:t>
            </w:r>
            <w:r w:rsidRPr="00B7760C">
              <w:rPr>
                <w:rFonts w:asciiTheme="minorHAnsi" w:hAnsiTheme="minorHAnsi" w:cstheme="minorHAnsi"/>
                <w:sz w:val="18"/>
                <w:szCs w:val="18"/>
              </w:rPr>
              <w:t xml:space="preserve"> delež kmetijskih površin v uporabi, ki jih pokriva dohodkovna podpora in za katere velja pogojenost</w:t>
            </w:r>
          </w:p>
        </w:tc>
        <w:tc>
          <w:tcPr>
            <w:tcW w:w="236" w:type="dxa"/>
            <w:tcBorders>
              <w:left w:val="single" w:sz="4" w:space="0" w:color="0070C0"/>
              <w:right w:val="single" w:sz="4" w:space="0" w:color="0070C0"/>
            </w:tcBorders>
          </w:tcPr>
          <w:p w14:paraId="63693CB6" w14:textId="77777777" w:rsidR="00182609" w:rsidRPr="00B7760C" w:rsidRDefault="00182609" w:rsidP="009D3E2B">
            <w:pPr>
              <w:widowControl/>
              <w:spacing w:before="120" w:after="120"/>
              <w:rPr>
                <w:rFonts w:asciiTheme="minorHAnsi" w:hAnsiTheme="minorHAnsi" w:cstheme="minorHAnsi"/>
                <w:color w:val="000000"/>
                <w:sz w:val="18"/>
                <w:szCs w:val="18"/>
                <w:lang w:eastAsia="fr-BE"/>
              </w:rPr>
            </w:pPr>
          </w:p>
        </w:tc>
        <w:tc>
          <w:tcPr>
            <w:tcW w:w="1648" w:type="dxa"/>
            <w:tcBorders>
              <w:top w:val="single" w:sz="4" w:space="0" w:color="0070C0"/>
              <w:left w:val="single" w:sz="4" w:space="0" w:color="0070C0"/>
              <w:bottom w:val="single" w:sz="4" w:space="0" w:color="0070C0"/>
              <w:right w:val="single" w:sz="4" w:space="0" w:color="0070C0"/>
            </w:tcBorders>
          </w:tcPr>
          <w:p w14:paraId="574AEEA7" w14:textId="77777777" w:rsidR="00182609" w:rsidRPr="00B7760C" w:rsidRDefault="00182609" w:rsidP="009D3E2B">
            <w:pPr>
              <w:widowControl/>
              <w:spacing w:before="120" w:after="120"/>
              <w:rPr>
                <w:rFonts w:asciiTheme="minorHAnsi" w:hAnsiTheme="minorHAnsi" w:cstheme="minorHAnsi"/>
                <w:b/>
                <w:bCs/>
                <w:color w:val="000000"/>
                <w:sz w:val="18"/>
                <w:szCs w:val="18"/>
              </w:rPr>
            </w:pPr>
            <w:r w:rsidRPr="00B7760C">
              <w:rPr>
                <w:rFonts w:asciiTheme="minorHAnsi" w:hAnsiTheme="minorHAnsi" w:cstheme="minorHAnsi"/>
                <w:b/>
                <w:bCs/>
                <w:color w:val="000000"/>
                <w:sz w:val="18"/>
                <w:szCs w:val="18"/>
              </w:rPr>
              <w:t>Podpora SKP</w:t>
            </w:r>
          </w:p>
        </w:tc>
        <w:tc>
          <w:tcPr>
            <w:tcW w:w="3210" w:type="dxa"/>
            <w:tcBorders>
              <w:top w:val="single" w:sz="4" w:space="0" w:color="0070C0"/>
              <w:left w:val="single" w:sz="4" w:space="0" w:color="0070C0"/>
              <w:bottom w:val="single" w:sz="4" w:space="0" w:color="0070C0"/>
              <w:right w:val="single" w:sz="4" w:space="0" w:color="0070C0"/>
            </w:tcBorders>
          </w:tcPr>
          <w:p w14:paraId="70B26304" w14:textId="77777777" w:rsidR="00182609" w:rsidRPr="00B7760C" w:rsidRDefault="00182609" w:rsidP="009D3E2B">
            <w:pPr>
              <w:widowControl/>
              <w:spacing w:before="120" w:after="120"/>
              <w:rPr>
                <w:rFonts w:asciiTheme="minorHAnsi" w:hAnsiTheme="minorHAnsi" w:cstheme="minorHAnsi"/>
                <w:b/>
                <w:i/>
                <w:color w:val="000000"/>
                <w:sz w:val="18"/>
                <w:szCs w:val="18"/>
              </w:rPr>
            </w:pPr>
            <w:r w:rsidRPr="00B7760C">
              <w:rPr>
                <w:rFonts w:asciiTheme="minorHAnsi" w:hAnsiTheme="minorHAnsi" w:cstheme="minorHAnsi"/>
                <w:b/>
                <w:color w:val="000000"/>
                <w:sz w:val="18"/>
                <w:szCs w:val="18"/>
              </w:rPr>
              <w:t xml:space="preserve">O.3 </w:t>
            </w:r>
            <w:r w:rsidRPr="00B7760C">
              <w:rPr>
                <w:rFonts w:asciiTheme="minorHAnsi" w:hAnsiTheme="minorHAnsi" w:cstheme="minorHAnsi"/>
                <w:color w:val="000000"/>
                <w:sz w:val="18"/>
                <w:szCs w:val="18"/>
              </w:rPr>
              <w:t>Število upravičencev do podpore SKP</w:t>
            </w:r>
            <w:r w:rsidRPr="00B7760C">
              <w:rPr>
                <w:rFonts w:asciiTheme="minorHAnsi" w:hAnsiTheme="minorHAnsi" w:cstheme="minorHAnsi"/>
                <w:b/>
                <w:i/>
                <w:color w:val="000000"/>
                <w:sz w:val="18"/>
                <w:szCs w:val="18"/>
              </w:rPr>
              <w:t>, vključno z razčlenitvijo na vrsto intervencije</w:t>
            </w:r>
          </w:p>
        </w:tc>
      </w:tr>
      <w:tr w:rsidR="00182609" w:rsidRPr="00B7760C" w14:paraId="70AD73AB" w14:textId="77777777" w:rsidTr="00A35DEB">
        <w:trPr>
          <w:trHeight w:val="400"/>
        </w:trPr>
        <w:tc>
          <w:tcPr>
            <w:tcW w:w="2277" w:type="dxa"/>
            <w:vMerge/>
            <w:tcBorders>
              <w:left w:val="single" w:sz="4" w:space="0" w:color="0070C0"/>
              <w:right w:val="single" w:sz="4" w:space="0" w:color="0070C0"/>
            </w:tcBorders>
            <w:hideMark/>
          </w:tcPr>
          <w:p w14:paraId="00A586C4" w14:textId="77777777" w:rsidR="00182609" w:rsidRPr="00B7760C" w:rsidRDefault="00182609" w:rsidP="009D3E2B">
            <w:pPr>
              <w:widowControl/>
              <w:spacing w:before="120" w:after="120" w:line="276" w:lineRule="auto"/>
              <w:rPr>
                <w:rFonts w:asciiTheme="minorHAnsi" w:hAnsiTheme="minorHAnsi" w:cstheme="minorHAnsi"/>
                <w:b/>
                <w:bCs/>
                <w:color w:val="000000"/>
                <w:sz w:val="18"/>
                <w:szCs w:val="18"/>
                <w:lang w:eastAsia="fr-BE"/>
              </w:rPr>
            </w:pPr>
          </w:p>
        </w:tc>
        <w:tc>
          <w:tcPr>
            <w:tcW w:w="3213" w:type="dxa"/>
            <w:tcBorders>
              <w:left w:val="single" w:sz="4" w:space="0" w:color="0070C0"/>
              <w:right w:val="single" w:sz="4" w:space="0" w:color="0070C0"/>
            </w:tcBorders>
            <w:hideMark/>
          </w:tcPr>
          <w:p w14:paraId="692FADDF" w14:textId="77777777" w:rsidR="00182609" w:rsidRPr="00B7760C" w:rsidRDefault="00182609" w:rsidP="009D3E2B">
            <w:pPr>
              <w:widowControl/>
              <w:spacing w:before="120" w:after="120" w:line="276" w:lineRule="auto"/>
              <w:rPr>
                <w:rFonts w:asciiTheme="minorHAnsi" w:hAnsiTheme="minorHAnsi" w:cstheme="minorHAnsi"/>
                <w:bCs/>
                <w:sz w:val="18"/>
                <w:szCs w:val="18"/>
              </w:rPr>
            </w:pPr>
            <w:r w:rsidRPr="00B7760C">
              <w:rPr>
                <w:rFonts w:asciiTheme="minorHAnsi" w:hAnsiTheme="minorHAnsi" w:cstheme="minorHAnsi"/>
                <w:bCs/>
                <w:sz w:val="18"/>
                <w:szCs w:val="18"/>
              </w:rPr>
              <w:t xml:space="preserve">I.3 </w:t>
            </w:r>
            <w:r w:rsidRPr="00B7760C">
              <w:rPr>
                <w:rFonts w:asciiTheme="minorHAnsi" w:hAnsiTheme="minorHAnsi" w:cstheme="minorHAnsi"/>
                <w:sz w:val="18"/>
                <w:szCs w:val="18"/>
              </w:rPr>
              <w:t>Zmanjšanje variabilnosti dohodkov kmetij:</w:t>
            </w:r>
            <w:r w:rsidRPr="00B7760C">
              <w:rPr>
                <w:rFonts w:asciiTheme="minorHAnsi" w:hAnsiTheme="minorHAnsi" w:cstheme="minorHAnsi"/>
                <w:bCs/>
                <w:sz w:val="18"/>
                <w:szCs w:val="18"/>
              </w:rPr>
              <w:t xml:space="preserve"> </w:t>
            </w:r>
            <w:r w:rsidRPr="00B7760C">
              <w:rPr>
                <w:rFonts w:asciiTheme="minorHAnsi" w:hAnsiTheme="minorHAnsi" w:cstheme="minorHAnsi"/>
                <w:sz w:val="18"/>
                <w:szCs w:val="18"/>
              </w:rPr>
              <w:t xml:space="preserve">spreminjanje kmetijskega dohodka </w:t>
            </w:r>
          </w:p>
        </w:tc>
        <w:tc>
          <w:tcPr>
            <w:tcW w:w="4549" w:type="dxa"/>
            <w:tcBorders>
              <w:left w:val="single" w:sz="4" w:space="0" w:color="0070C0"/>
              <w:right w:val="single" w:sz="4" w:space="0" w:color="0070C0"/>
            </w:tcBorders>
          </w:tcPr>
          <w:p w14:paraId="652E2558" w14:textId="77777777" w:rsidR="00182609" w:rsidRPr="00B7760C" w:rsidRDefault="00182609" w:rsidP="009D3E2B">
            <w:pPr>
              <w:widowControl/>
              <w:spacing w:before="120" w:after="120" w:line="276" w:lineRule="auto"/>
              <w:rPr>
                <w:rFonts w:asciiTheme="minorHAnsi" w:hAnsiTheme="minorHAnsi" w:cstheme="minorHAnsi"/>
                <w:b/>
                <w:bCs/>
                <w:sz w:val="18"/>
                <w:szCs w:val="18"/>
              </w:rPr>
            </w:pPr>
            <w:r w:rsidRPr="00B7760C">
              <w:rPr>
                <w:rFonts w:asciiTheme="minorHAnsi" w:hAnsiTheme="minorHAnsi" w:cstheme="minorHAnsi"/>
                <w:b/>
                <w:sz w:val="18"/>
                <w:szCs w:val="18"/>
              </w:rPr>
              <w:t>R.5 Obvladovanje tveganj:</w:t>
            </w:r>
            <w:r w:rsidRPr="00B7760C">
              <w:rPr>
                <w:rFonts w:asciiTheme="minorHAnsi" w:hAnsiTheme="minorHAnsi" w:cstheme="minorHAnsi"/>
                <w:sz w:val="18"/>
                <w:szCs w:val="18"/>
              </w:rPr>
              <w:t xml:space="preserve"> delež kmetij z instrumenti SKP za obvladovanje tveganj</w:t>
            </w:r>
          </w:p>
        </w:tc>
        <w:tc>
          <w:tcPr>
            <w:tcW w:w="236" w:type="dxa"/>
            <w:tcBorders>
              <w:left w:val="single" w:sz="4" w:space="0" w:color="0070C0"/>
              <w:right w:val="single" w:sz="4" w:space="0" w:color="0070C0"/>
            </w:tcBorders>
          </w:tcPr>
          <w:p w14:paraId="365B8466" w14:textId="77777777" w:rsidR="00182609" w:rsidRPr="00B7760C" w:rsidRDefault="00182609" w:rsidP="009D3E2B">
            <w:pPr>
              <w:widowControl/>
              <w:spacing w:before="120" w:after="120" w:line="276" w:lineRule="auto"/>
              <w:rPr>
                <w:rFonts w:asciiTheme="minorHAnsi" w:hAnsiTheme="minorHAnsi" w:cstheme="minorHAnsi"/>
                <w:sz w:val="18"/>
                <w:szCs w:val="18"/>
                <w:lang w:eastAsia="fr-BE"/>
              </w:rPr>
            </w:pPr>
          </w:p>
        </w:tc>
        <w:tc>
          <w:tcPr>
            <w:tcW w:w="1648" w:type="dxa"/>
            <w:tcBorders>
              <w:top w:val="single" w:sz="4" w:space="0" w:color="0070C0"/>
              <w:left w:val="single" w:sz="4" w:space="0" w:color="0070C0"/>
              <w:right w:val="single" w:sz="4" w:space="0" w:color="0070C0"/>
            </w:tcBorders>
          </w:tcPr>
          <w:p w14:paraId="6FF31851" w14:textId="77777777" w:rsidR="00182609" w:rsidRPr="00B7760C" w:rsidRDefault="00182609" w:rsidP="009D3E2B">
            <w:pPr>
              <w:widowControl/>
              <w:spacing w:before="120" w:after="120"/>
              <w:rPr>
                <w:rFonts w:asciiTheme="minorHAnsi" w:hAnsiTheme="minorHAnsi" w:cstheme="minorHAnsi"/>
                <w:b/>
                <w:bCs/>
                <w:color w:val="000000"/>
                <w:sz w:val="18"/>
                <w:szCs w:val="18"/>
              </w:rPr>
            </w:pPr>
            <w:r w:rsidRPr="00B7760C">
              <w:rPr>
                <w:rFonts w:asciiTheme="minorHAnsi" w:hAnsiTheme="minorHAnsi" w:cstheme="minorHAnsi"/>
                <w:b/>
                <w:bCs/>
                <w:color w:val="000000"/>
                <w:sz w:val="18"/>
                <w:szCs w:val="18"/>
              </w:rPr>
              <w:t>Nevezana neposredna podpora</w:t>
            </w:r>
          </w:p>
        </w:tc>
        <w:tc>
          <w:tcPr>
            <w:tcW w:w="3210" w:type="dxa"/>
            <w:tcBorders>
              <w:top w:val="single" w:sz="4" w:space="0" w:color="0070C0"/>
              <w:left w:val="single" w:sz="4" w:space="0" w:color="0070C0"/>
              <w:right w:val="single" w:sz="4" w:space="0" w:color="0070C0"/>
            </w:tcBorders>
          </w:tcPr>
          <w:p w14:paraId="5BF8BE68" w14:textId="77777777" w:rsidR="00182609" w:rsidRPr="00B7760C" w:rsidRDefault="00182609" w:rsidP="009D3E2B">
            <w:pPr>
              <w:widowControl/>
              <w:spacing w:before="120" w:after="120"/>
              <w:rPr>
                <w:rFonts w:asciiTheme="minorHAnsi" w:hAnsiTheme="minorHAnsi" w:cstheme="minorHAnsi"/>
                <w:b/>
                <w:color w:val="000000"/>
                <w:sz w:val="18"/>
                <w:szCs w:val="18"/>
              </w:rPr>
            </w:pPr>
            <w:r w:rsidRPr="00B7760C">
              <w:rPr>
                <w:rFonts w:asciiTheme="minorHAnsi" w:hAnsiTheme="minorHAnsi" w:cstheme="minorHAnsi"/>
                <w:b/>
                <w:color w:val="000000"/>
                <w:sz w:val="18"/>
                <w:szCs w:val="18"/>
              </w:rPr>
              <w:t xml:space="preserve">O.4 </w:t>
            </w:r>
            <w:r w:rsidRPr="00B7760C">
              <w:rPr>
                <w:rFonts w:asciiTheme="minorHAnsi" w:hAnsiTheme="minorHAnsi" w:cstheme="minorHAnsi"/>
                <w:color w:val="000000"/>
                <w:sz w:val="18"/>
                <w:szCs w:val="18"/>
              </w:rPr>
              <w:t xml:space="preserve">Število hektarov za nevezana neposredna plačila </w:t>
            </w:r>
          </w:p>
        </w:tc>
      </w:tr>
      <w:tr w:rsidR="00182609" w:rsidRPr="00B7760C" w14:paraId="0B938E7E" w14:textId="77777777" w:rsidTr="00A35DEB">
        <w:trPr>
          <w:trHeight w:val="764"/>
        </w:trPr>
        <w:tc>
          <w:tcPr>
            <w:tcW w:w="2277" w:type="dxa"/>
            <w:vMerge/>
            <w:tcBorders>
              <w:left w:val="single" w:sz="4" w:space="0" w:color="0070C0"/>
              <w:right w:val="single" w:sz="4" w:space="0" w:color="0070C0"/>
            </w:tcBorders>
            <w:hideMark/>
          </w:tcPr>
          <w:p w14:paraId="493B69CC" w14:textId="77777777" w:rsidR="00182609" w:rsidRPr="00B7760C" w:rsidRDefault="00182609" w:rsidP="009D3E2B">
            <w:pPr>
              <w:widowControl/>
              <w:spacing w:before="120" w:after="120" w:line="276" w:lineRule="auto"/>
              <w:rPr>
                <w:rFonts w:asciiTheme="minorHAnsi" w:hAnsiTheme="minorHAnsi" w:cstheme="minorHAnsi"/>
                <w:b/>
                <w:bCs/>
                <w:color w:val="000000"/>
                <w:sz w:val="18"/>
                <w:szCs w:val="18"/>
                <w:lang w:eastAsia="fr-BE"/>
              </w:rPr>
            </w:pPr>
          </w:p>
        </w:tc>
        <w:tc>
          <w:tcPr>
            <w:tcW w:w="3215" w:type="dxa"/>
            <w:tcBorders>
              <w:left w:val="single" w:sz="4" w:space="0" w:color="0070C0"/>
              <w:right w:val="single" w:sz="4" w:space="0" w:color="0070C0"/>
            </w:tcBorders>
            <w:hideMark/>
          </w:tcPr>
          <w:p w14:paraId="0756888F" w14:textId="77777777" w:rsidR="00182609" w:rsidRPr="00B7760C" w:rsidRDefault="00182609" w:rsidP="009D3E2B">
            <w:pPr>
              <w:widowControl/>
              <w:spacing w:before="120" w:after="120" w:line="276" w:lineRule="auto"/>
              <w:rPr>
                <w:rFonts w:asciiTheme="minorHAnsi" w:hAnsiTheme="minorHAnsi" w:cstheme="minorHAnsi"/>
                <w:sz w:val="18"/>
                <w:szCs w:val="18"/>
              </w:rPr>
            </w:pPr>
            <w:r w:rsidRPr="00B7760C">
              <w:rPr>
                <w:rFonts w:asciiTheme="minorHAnsi" w:hAnsiTheme="minorHAnsi" w:cstheme="minorHAnsi"/>
                <w:b/>
                <w:sz w:val="18"/>
                <w:szCs w:val="18"/>
              </w:rPr>
              <w:t>I</w:t>
            </w:r>
            <w:r w:rsidRPr="00B7760C">
              <w:rPr>
                <w:rFonts w:asciiTheme="minorHAnsi" w:hAnsiTheme="minorHAnsi" w:cstheme="minorHAnsi"/>
                <w:sz w:val="18"/>
                <w:szCs w:val="18"/>
              </w:rPr>
              <w:t xml:space="preserve">.4 </w:t>
            </w:r>
            <w:r w:rsidRPr="00B7760C">
              <w:rPr>
                <w:rFonts w:asciiTheme="minorHAnsi" w:hAnsiTheme="minorHAnsi" w:cstheme="minorHAnsi"/>
                <w:bCs/>
                <w:sz w:val="18"/>
                <w:szCs w:val="18"/>
              </w:rPr>
              <w:t>Podpora vzdržnim dohodkom kmetij:</w:t>
            </w:r>
            <w:r w:rsidRPr="00B7760C">
              <w:rPr>
                <w:rFonts w:asciiTheme="minorHAnsi" w:hAnsiTheme="minorHAnsi" w:cstheme="minorHAnsi"/>
                <w:sz w:val="18"/>
                <w:szCs w:val="18"/>
              </w:rPr>
              <w:t xml:space="preserve"> spreminjanje ravni kmetijskega dohodka po sektorjih (v primerjavi s povprečjem v kmetijstvu)</w:t>
            </w:r>
          </w:p>
        </w:tc>
        <w:tc>
          <w:tcPr>
            <w:tcW w:w="4552" w:type="dxa"/>
            <w:tcBorders>
              <w:left w:val="single" w:sz="4" w:space="0" w:color="0070C0"/>
              <w:right w:val="single" w:sz="4" w:space="0" w:color="0070C0"/>
            </w:tcBorders>
          </w:tcPr>
          <w:p w14:paraId="1DC19A70" w14:textId="77777777" w:rsidR="00182609" w:rsidRPr="00B7760C" w:rsidRDefault="00182609" w:rsidP="009D3E2B">
            <w:pPr>
              <w:widowControl/>
              <w:spacing w:before="120" w:after="120" w:line="276" w:lineRule="auto"/>
              <w:rPr>
                <w:rFonts w:asciiTheme="minorHAnsi" w:hAnsiTheme="minorHAnsi" w:cstheme="minorHAnsi"/>
                <w:sz w:val="18"/>
                <w:szCs w:val="18"/>
              </w:rPr>
            </w:pPr>
            <w:r w:rsidRPr="00B7760C">
              <w:rPr>
                <w:rFonts w:asciiTheme="minorHAnsi" w:hAnsiTheme="minorHAnsi" w:cstheme="minorHAnsi"/>
                <w:sz w:val="18"/>
                <w:szCs w:val="18"/>
              </w:rPr>
              <w:t>R.6</w:t>
            </w:r>
            <w:r w:rsidRPr="00B7760C">
              <w:rPr>
                <w:rFonts w:asciiTheme="minorHAnsi" w:hAnsiTheme="minorHAnsi" w:cstheme="minorHAnsi"/>
                <w:bCs/>
                <w:sz w:val="18"/>
                <w:szCs w:val="18"/>
              </w:rPr>
              <w:t xml:space="preserve"> </w:t>
            </w:r>
            <w:r w:rsidRPr="00B7760C">
              <w:rPr>
                <w:rFonts w:asciiTheme="minorHAnsi" w:hAnsiTheme="minorHAnsi" w:cstheme="minorHAnsi"/>
                <w:sz w:val="18"/>
                <w:szCs w:val="18"/>
              </w:rPr>
              <w:t>Prerazporeditev na manjše kmetije: odstotek dodatne podpore na hektar za upravičene kmetije pod povprečno velikostjo kmetije (v primerjavi s povprečjem)</w:t>
            </w:r>
          </w:p>
        </w:tc>
        <w:tc>
          <w:tcPr>
            <w:tcW w:w="228" w:type="dxa"/>
            <w:tcBorders>
              <w:left w:val="single" w:sz="4" w:space="0" w:color="0070C0"/>
              <w:right w:val="single" w:sz="4" w:space="0" w:color="0070C0"/>
            </w:tcBorders>
          </w:tcPr>
          <w:p w14:paraId="274E6EEA" w14:textId="77777777" w:rsidR="00182609" w:rsidRPr="00B7760C" w:rsidRDefault="00182609" w:rsidP="009D3E2B">
            <w:pPr>
              <w:widowControl/>
              <w:spacing w:before="120" w:after="120" w:line="276" w:lineRule="auto"/>
              <w:rPr>
                <w:rFonts w:asciiTheme="minorHAnsi" w:hAnsiTheme="minorHAnsi" w:cstheme="minorHAnsi"/>
                <w:sz w:val="18"/>
                <w:szCs w:val="18"/>
                <w:lang w:eastAsia="fr-BE"/>
              </w:rPr>
            </w:pPr>
          </w:p>
        </w:tc>
        <w:tc>
          <w:tcPr>
            <w:tcW w:w="1649" w:type="dxa"/>
            <w:tcBorders>
              <w:left w:val="single" w:sz="4" w:space="0" w:color="0070C0"/>
              <w:right w:val="single" w:sz="4" w:space="0" w:color="0070C0"/>
            </w:tcBorders>
          </w:tcPr>
          <w:p w14:paraId="0701D1A4" w14:textId="77777777" w:rsidR="00182609" w:rsidRPr="00B7760C" w:rsidRDefault="00182609" w:rsidP="009D3E2B">
            <w:pPr>
              <w:widowControl/>
              <w:spacing w:before="120" w:after="120"/>
              <w:rPr>
                <w:rFonts w:asciiTheme="minorHAnsi" w:hAnsiTheme="minorHAnsi" w:cstheme="minorHAnsi"/>
                <w:b/>
                <w:bCs/>
                <w:color w:val="000000"/>
                <w:sz w:val="18"/>
                <w:szCs w:val="18"/>
              </w:rPr>
            </w:pPr>
            <w:r w:rsidRPr="00B7760C">
              <w:rPr>
                <w:rFonts w:asciiTheme="minorHAnsi" w:hAnsiTheme="minorHAnsi" w:cstheme="minorHAnsi"/>
                <w:b/>
                <w:bCs/>
                <w:color w:val="000000"/>
                <w:sz w:val="18"/>
                <w:szCs w:val="18"/>
              </w:rPr>
              <w:t> </w:t>
            </w:r>
          </w:p>
        </w:tc>
        <w:tc>
          <w:tcPr>
            <w:tcW w:w="3212" w:type="dxa"/>
            <w:vMerge w:val="restart"/>
            <w:tcBorders>
              <w:left w:val="single" w:sz="4" w:space="0" w:color="0070C0"/>
              <w:right w:val="single" w:sz="4" w:space="0" w:color="0070C0"/>
            </w:tcBorders>
          </w:tcPr>
          <w:p w14:paraId="6BD430C1" w14:textId="77777777" w:rsidR="00182609" w:rsidRPr="00B7760C" w:rsidRDefault="00182609" w:rsidP="009D3E2B">
            <w:pPr>
              <w:widowControl/>
              <w:spacing w:before="120" w:after="120"/>
              <w:rPr>
                <w:rFonts w:asciiTheme="minorHAnsi" w:hAnsiTheme="minorHAnsi" w:cstheme="minorHAnsi"/>
                <w:b/>
                <w:color w:val="000000"/>
                <w:sz w:val="18"/>
                <w:szCs w:val="18"/>
              </w:rPr>
            </w:pPr>
            <w:r w:rsidRPr="00B7760C">
              <w:rPr>
                <w:rFonts w:asciiTheme="minorHAnsi" w:hAnsiTheme="minorHAnsi" w:cstheme="minorHAnsi"/>
                <w:color w:val="000000"/>
                <w:sz w:val="18"/>
                <w:szCs w:val="18"/>
              </w:rPr>
              <w:t>O.5</w:t>
            </w:r>
            <w:r w:rsidRPr="00B7760C">
              <w:rPr>
                <w:rFonts w:asciiTheme="minorHAnsi" w:hAnsiTheme="minorHAnsi" w:cstheme="minorHAnsi"/>
                <w:b/>
                <w:color w:val="000000"/>
                <w:sz w:val="18"/>
                <w:szCs w:val="18"/>
              </w:rPr>
              <w:t xml:space="preserve"> </w:t>
            </w:r>
            <w:r w:rsidRPr="00B7760C">
              <w:rPr>
                <w:rFonts w:asciiTheme="minorHAnsi" w:hAnsiTheme="minorHAnsi" w:cstheme="minorHAnsi"/>
                <w:color w:val="000000"/>
                <w:sz w:val="18"/>
                <w:szCs w:val="18"/>
              </w:rPr>
              <w:t xml:space="preserve">Število upravičencev za nevezana neposredna plačila </w:t>
            </w:r>
          </w:p>
          <w:p w14:paraId="465F5473" w14:textId="77777777" w:rsidR="00182609" w:rsidRPr="00B7760C" w:rsidRDefault="00182609" w:rsidP="009D3E2B">
            <w:pPr>
              <w:widowControl/>
              <w:spacing w:before="120" w:after="120"/>
              <w:rPr>
                <w:rFonts w:asciiTheme="minorHAnsi" w:hAnsiTheme="minorHAnsi" w:cstheme="minorHAnsi"/>
                <w:b/>
                <w:i/>
                <w:color w:val="000000"/>
                <w:sz w:val="18"/>
                <w:szCs w:val="18"/>
              </w:rPr>
            </w:pPr>
            <w:r w:rsidRPr="00B7760C">
              <w:rPr>
                <w:rFonts w:asciiTheme="minorHAnsi" w:hAnsiTheme="minorHAnsi" w:cstheme="minorHAnsi"/>
                <w:b/>
                <w:i/>
                <w:color w:val="000000"/>
                <w:sz w:val="18"/>
                <w:szCs w:val="18"/>
              </w:rPr>
              <w:t>O.5a Število upravičencev za osnovno dohodkovno podporo</w:t>
            </w:r>
          </w:p>
          <w:p w14:paraId="52378ED3" w14:textId="77777777" w:rsidR="00182609" w:rsidRPr="00B7760C" w:rsidRDefault="00182609" w:rsidP="009D3E2B">
            <w:pPr>
              <w:widowControl/>
              <w:spacing w:before="120" w:after="120"/>
              <w:rPr>
                <w:rFonts w:asciiTheme="minorHAnsi" w:hAnsiTheme="minorHAnsi" w:cstheme="minorHAnsi"/>
                <w:color w:val="000000"/>
                <w:sz w:val="18"/>
                <w:szCs w:val="18"/>
              </w:rPr>
            </w:pPr>
            <w:r w:rsidRPr="00B7760C">
              <w:rPr>
                <w:rFonts w:asciiTheme="minorHAnsi" w:hAnsiTheme="minorHAnsi" w:cstheme="minorHAnsi"/>
                <w:color w:val="000000"/>
                <w:sz w:val="18"/>
                <w:szCs w:val="18"/>
              </w:rPr>
              <w:t>O.6 Število hektarov, za katere velja okrepljena dohodkovna podpora za mlade kmete</w:t>
            </w:r>
          </w:p>
          <w:p w14:paraId="386F26B2" w14:textId="77777777" w:rsidR="00182609" w:rsidRPr="00B7760C" w:rsidRDefault="00182609" w:rsidP="009D3E2B">
            <w:pPr>
              <w:widowControl/>
              <w:spacing w:before="120" w:after="120"/>
              <w:rPr>
                <w:rFonts w:asciiTheme="minorHAnsi" w:hAnsiTheme="minorHAnsi" w:cstheme="minorHAnsi"/>
                <w:color w:val="000000"/>
                <w:sz w:val="18"/>
                <w:szCs w:val="18"/>
              </w:rPr>
            </w:pPr>
            <w:r w:rsidRPr="00B7760C">
              <w:rPr>
                <w:rFonts w:asciiTheme="minorHAnsi" w:hAnsiTheme="minorHAnsi" w:cstheme="minorHAnsi"/>
                <w:color w:val="000000"/>
                <w:sz w:val="18"/>
                <w:szCs w:val="18"/>
              </w:rPr>
              <w:t>O.7 Število upravičencev, za katere velja okrepljena dohodkovna podpora za mlade kmete</w:t>
            </w:r>
          </w:p>
          <w:p w14:paraId="1B2C3FAD" w14:textId="77777777" w:rsidR="00182609" w:rsidRPr="00B7760C" w:rsidRDefault="00182609" w:rsidP="009D3E2B">
            <w:pPr>
              <w:spacing w:before="120" w:after="120"/>
              <w:rPr>
                <w:rFonts w:asciiTheme="minorHAnsi" w:hAnsiTheme="minorHAnsi" w:cstheme="minorHAnsi"/>
                <w:b/>
                <w:color w:val="000000"/>
                <w:sz w:val="18"/>
                <w:szCs w:val="18"/>
              </w:rPr>
            </w:pPr>
            <w:r w:rsidRPr="00B7760C">
              <w:rPr>
                <w:rFonts w:asciiTheme="minorHAnsi" w:hAnsiTheme="minorHAnsi" w:cstheme="minorHAnsi"/>
                <w:b/>
                <w:i/>
                <w:color w:val="000000"/>
                <w:sz w:val="18"/>
                <w:szCs w:val="18"/>
              </w:rPr>
              <w:t>O.7b Število upravičencev, ki prejemajo podporo za ekosheme</w:t>
            </w:r>
          </w:p>
        </w:tc>
      </w:tr>
      <w:tr w:rsidR="00182609" w:rsidRPr="00B7760C" w14:paraId="773035C1" w14:textId="77777777" w:rsidTr="00A35DEB">
        <w:trPr>
          <w:trHeight w:val="764"/>
        </w:trPr>
        <w:tc>
          <w:tcPr>
            <w:tcW w:w="2277" w:type="dxa"/>
            <w:vMerge/>
            <w:tcBorders>
              <w:left w:val="single" w:sz="4" w:space="0" w:color="0070C0"/>
              <w:right w:val="single" w:sz="4" w:space="0" w:color="0070C0"/>
            </w:tcBorders>
          </w:tcPr>
          <w:p w14:paraId="36CE258E" w14:textId="77777777" w:rsidR="00182609" w:rsidRPr="00B7760C" w:rsidRDefault="00182609" w:rsidP="00A35DEB">
            <w:pPr>
              <w:widowControl/>
              <w:spacing w:before="120" w:after="120" w:line="276" w:lineRule="auto"/>
              <w:jc w:val="both"/>
              <w:rPr>
                <w:rFonts w:asciiTheme="minorHAnsi" w:hAnsiTheme="minorHAnsi" w:cstheme="minorHAnsi"/>
                <w:b/>
                <w:bCs/>
                <w:color w:val="000000"/>
                <w:sz w:val="18"/>
                <w:szCs w:val="18"/>
                <w:lang w:eastAsia="fr-BE"/>
              </w:rPr>
            </w:pPr>
          </w:p>
        </w:tc>
        <w:tc>
          <w:tcPr>
            <w:tcW w:w="3213" w:type="dxa"/>
            <w:tcBorders>
              <w:left w:val="single" w:sz="4" w:space="0" w:color="0070C0"/>
              <w:right w:val="single" w:sz="4" w:space="0" w:color="0070C0"/>
            </w:tcBorders>
          </w:tcPr>
          <w:p w14:paraId="1D8391C1" w14:textId="77777777" w:rsidR="00182609" w:rsidRPr="00B7760C" w:rsidRDefault="00182609" w:rsidP="00A35DEB">
            <w:pPr>
              <w:widowControl/>
              <w:spacing w:before="120" w:after="120" w:line="276" w:lineRule="auto"/>
              <w:jc w:val="both"/>
              <w:rPr>
                <w:rFonts w:asciiTheme="minorHAnsi" w:hAnsiTheme="minorHAnsi" w:cstheme="minorHAnsi"/>
                <w:b/>
                <w:sz w:val="18"/>
                <w:szCs w:val="18"/>
                <w:lang w:eastAsia="fr-BE"/>
              </w:rPr>
            </w:pPr>
          </w:p>
        </w:tc>
        <w:tc>
          <w:tcPr>
            <w:tcW w:w="4549" w:type="dxa"/>
            <w:tcBorders>
              <w:left w:val="single" w:sz="4" w:space="0" w:color="0070C0"/>
              <w:right w:val="single" w:sz="4" w:space="0" w:color="0070C0"/>
            </w:tcBorders>
          </w:tcPr>
          <w:p w14:paraId="5B7B526F" w14:textId="77777777" w:rsidR="00182609" w:rsidRPr="00B7760C" w:rsidRDefault="00182609" w:rsidP="00A35DEB">
            <w:pPr>
              <w:widowControl/>
              <w:spacing w:before="120" w:after="120" w:line="276" w:lineRule="auto"/>
              <w:jc w:val="both"/>
              <w:rPr>
                <w:rFonts w:asciiTheme="minorHAnsi" w:hAnsiTheme="minorHAnsi" w:cstheme="minorHAnsi"/>
                <w:b/>
                <w:sz w:val="18"/>
                <w:szCs w:val="18"/>
                <w:lang w:eastAsia="fr-BE"/>
              </w:rPr>
            </w:pPr>
          </w:p>
        </w:tc>
        <w:tc>
          <w:tcPr>
            <w:tcW w:w="236" w:type="dxa"/>
            <w:tcBorders>
              <w:left w:val="single" w:sz="4" w:space="0" w:color="0070C0"/>
              <w:right w:val="single" w:sz="4" w:space="0" w:color="0070C0"/>
            </w:tcBorders>
          </w:tcPr>
          <w:p w14:paraId="25164471" w14:textId="77777777" w:rsidR="00182609" w:rsidRPr="00B7760C" w:rsidRDefault="00182609" w:rsidP="00A35DEB">
            <w:pPr>
              <w:widowControl/>
              <w:spacing w:before="120" w:after="120" w:line="276" w:lineRule="auto"/>
              <w:jc w:val="both"/>
              <w:rPr>
                <w:rFonts w:asciiTheme="minorHAnsi" w:hAnsiTheme="minorHAnsi" w:cstheme="minorHAnsi"/>
                <w:sz w:val="18"/>
                <w:szCs w:val="18"/>
                <w:lang w:eastAsia="fr-BE"/>
              </w:rPr>
            </w:pPr>
          </w:p>
        </w:tc>
        <w:tc>
          <w:tcPr>
            <w:tcW w:w="1648" w:type="dxa"/>
            <w:tcBorders>
              <w:left w:val="single" w:sz="4" w:space="0" w:color="0070C0"/>
              <w:right w:val="single" w:sz="4" w:space="0" w:color="0070C0"/>
            </w:tcBorders>
          </w:tcPr>
          <w:p w14:paraId="624C6DE7" w14:textId="77777777" w:rsidR="00182609" w:rsidRPr="00B7760C" w:rsidRDefault="00182609" w:rsidP="00A35DEB">
            <w:pPr>
              <w:widowControl/>
              <w:spacing w:before="120" w:after="120"/>
              <w:jc w:val="both"/>
              <w:rPr>
                <w:rFonts w:asciiTheme="minorHAnsi" w:hAnsiTheme="minorHAnsi" w:cstheme="minorHAnsi"/>
                <w:b/>
                <w:bCs/>
                <w:color w:val="000000"/>
                <w:sz w:val="18"/>
                <w:szCs w:val="18"/>
                <w:lang w:eastAsia="fr-BE"/>
              </w:rPr>
            </w:pPr>
          </w:p>
        </w:tc>
        <w:tc>
          <w:tcPr>
            <w:tcW w:w="3210" w:type="dxa"/>
            <w:vMerge/>
            <w:tcBorders>
              <w:left w:val="single" w:sz="4" w:space="0" w:color="0070C0"/>
              <w:right w:val="single" w:sz="4" w:space="0" w:color="0070C0"/>
            </w:tcBorders>
          </w:tcPr>
          <w:p w14:paraId="2921225E" w14:textId="77777777" w:rsidR="00182609" w:rsidRPr="00B7760C" w:rsidRDefault="00182609" w:rsidP="00A35DEB">
            <w:pPr>
              <w:spacing w:before="120" w:after="120"/>
              <w:jc w:val="both"/>
              <w:rPr>
                <w:rFonts w:asciiTheme="minorHAnsi" w:hAnsiTheme="minorHAnsi" w:cstheme="minorHAnsi"/>
                <w:b/>
                <w:i/>
                <w:color w:val="000000"/>
                <w:sz w:val="18"/>
                <w:szCs w:val="18"/>
                <w:lang w:eastAsia="fr-BE"/>
              </w:rPr>
            </w:pPr>
          </w:p>
        </w:tc>
      </w:tr>
      <w:tr w:rsidR="00182609" w:rsidRPr="00B7760C" w14:paraId="60B2F0EC" w14:textId="77777777" w:rsidTr="00A35DEB">
        <w:trPr>
          <w:trHeight w:val="764"/>
        </w:trPr>
        <w:tc>
          <w:tcPr>
            <w:tcW w:w="2277" w:type="dxa"/>
            <w:vMerge/>
            <w:tcBorders>
              <w:left w:val="single" w:sz="4" w:space="0" w:color="0070C0"/>
              <w:right w:val="single" w:sz="4" w:space="0" w:color="0070C0"/>
            </w:tcBorders>
          </w:tcPr>
          <w:p w14:paraId="0F8B2381" w14:textId="77777777" w:rsidR="00182609" w:rsidRPr="00B7760C" w:rsidRDefault="00182609" w:rsidP="009D3E2B">
            <w:pPr>
              <w:widowControl/>
              <w:spacing w:before="120" w:after="120" w:line="276" w:lineRule="auto"/>
              <w:rPr>
                <w:rFonts w:asciiTheme="minorHAnsi" w:hAnsiTheme="minorHAnsi" w:cstheme="minorHAnsi"/>
                <w:b/>
                <w:bCs/>
                <w:color w:val="000000"/>
                <w:sz w:val="18"/>
                <w:szCs w:val="18"/>
                <w:lang w:eastAsia="fr-BE"/>
              </w:rPr>
            </w:pPr>
          </w:p>
        </w:tc>
        <w:tc>
          <w:tcPr>
            <w:tcW w:w="3213" w:type="dxa"/>
            <w:tcBorders>
              <w:left w:val="single" w:sz="4" w:space="0" w:color="0070C0"/>
              <w:right w:val="single" w:sz="4" w:space="0" w:color="0070C0"/>
            </w:tcBorders>
          </w:tcPr>
          <w:p w14:paraId="67DDBF0A" w14:textId="77777777" w:rsidR="00182609" w:rsidRPr="00B7760C" w:rsidRDefault="00182609" w:rsidP="009D3E2B">
            <w:pPr>
              <w:widowControl/>
              <w:spacing w:before="120" w:after="120" w:line="276" w:lineRule="auto"/>
              <w:rPr>
                <w:rFonts w:asciiTheme="minorHAnsi" w:hAnsiTheme="minorHAnsi" w:cstheme="minorHAnsi"/>
                <w:b/>
                <w:i/>
                <w:sz w:val="18"/>
                <w:szCs w:val="18"/>
              </w:rPr>
            </w:pPr>
            <w:r w:rsidRPr="00B7760C">
              <w:rPr>
                <w:rFonts w:asciiTheme="minorHAnsi" w:hAnsiTheme="minorHAnsi" w:cstheme="minorHAnsi"/>
                <w:b/>
                <w:i/>
                <w:sz w:val="18"/>
                <w:szCs w:val="18"/>
              </w:rPr>
              <w:t>I.4a Preprečevanje zmanjšanja števila kmečkega prebivalstva: razvoj števila kmetov in zaposlenih na kmetiji po sektorjih v primerjavi z zadnjim letom pred začetkom izvajanja strateškega načrta;</w:t>
            </w:r>
          </w:p>
        </w:tc>
        <w:tc>
          <w:tcPr>
            <w:tcW w:w="4549" w:type="dxa"/>
            <w:tcBorders>
              <w:left w:val="single" w:sz="4" w:space="0" w:color="0070C0"/>
              <w:right w:val="single" w:sz="4" w:space="0" w:color="0070C0"/>
            </w:tcBorders>
          </w:tcPr>
          <w:p w14:paraId="40F6BECB" w14:textId="77777777" w:rsidR="00182609" w:rsidRPr="00B7760C" w:rsidRDefault="00182609" w:rsidP="009D3E2B">
            <w:pPr>
              <w:widowControl/>
              <w:spacing w:before="120" w:after="120" w:line="276" w:lineRule="auto"/>
              <w:rPr>
                <w:rFonts w:asciiTheme="minorHAnsi" w:hAnsiTheme="minorHAnsi" w:cstheme="minorHAnsi"/>
                <w:b/>
                <w:sz w:val="18"/>
                <w:szCs w:val="18"/>
                <w:lang w:eastAsia="fr-BE"/>
              </w:rPr>
            </w:pPr>
          </w:p>
        </w:tc>
        <w:tc>
          <w:tcPr>
            <w:tcW w:w="236" w:type="dxa"/>
            <w:tcBorders>
              <w:left w:val="single" w:sz="4" w:space="0" w:color="0070C0"/>
              <w:right w:val="single" w:sz="4" w:space="0" w:color="0070C0"/>
            </w:tcBorders>
          </w:tcPr>
          <w:p w14:paraId="55025B9E" w14:textId="77777777" w:rsidR="00182609" w:rsidRPr="00B7760C" w:rsidRDefault="00182609" w:rsidP="009D3E2B">
            <w:pPr>
              <w:widowControl/>
              <w:spacing w:before="120" w:after="120" w:line="276" w:lineRule="auto"/>
              <w:rPr>
                <w:rFonts w:asciiTheme="minorHAnsi" w:hAnsiTheme="minorHAnsi" w:cstheme="minorHAnsi"/>
                <w:sz w:val="18"/>
                <w:szCs w:val="18"/>
                <w:lang w:eastAsia="fr-BE"/>
              </w:rPr>
            </w:pPr>
          </w:p>
        </w:tc>
        <w:tc>
          <w:tcPr>
            <w:tcW w:w="1648" w:type="dxa"/>
            <w:tcBorders>
              <w:left w:val="single" w:sz="4" w:space="0" w:color="0070C0"/>
              <w:right w:val="single" w:sz="4" w:space="0" w:color="0070C0"/>
            </w:tcBorders>
          </w:tcPr>
          <w:p w14:paraId="5681AF7D" w14:textId="77777777" w:rsidR="00182609" w:rsidRPr="00B7760C" w:rsidRDefault="00182609" w:rsidP="009D3E2B">
            <w:pPr>
              <w:widowControl/>
              <w:spacing w:before="120" w:after="120"/>
              <w:rPr>
                <w:rFonts w:asciiTheme="minorHAnsi" w:hAnsiTheme="minorHAnsi" w:cstheme="minorHAnsi"/>
                <w:b/>
                <w:bCs/>
                <w:color w:val="000000"/>
                <w:sz w:val="18"/>
                <w:szCs w:val="18"/>
                <w:lang w:eastAsia="fr-BE"/>
              </w:rPr>
            </w:pPr>
          </w:p>
        </w:tc>
        <w:tc>
          <w:tcPr>
            <w:tcW w:w="3210" w:type="dxa"/>
            <w:vMerge/>
            <w:tcBorders>
              <w:left w:val="single" w:sz="4" w:space="0" w:color="0070C0"/>
              <w:right w:val="single" w:sz="4" w:space="0" w:color="0070C0"/>
            </w:tcBorders>
          </w:tcPr>
          <w:p w14:paraId="48362840" w14:textId="77777777" w:rsidR="00182609" w:rsidRPr="00B7760C" w:rsidRDefault="00182609" w:rsidP="009D3E2B">
            <w:pPr>
              <w:spacing w:before="120" w:after="120"/>
              <w:rPr>
                <w:rFonts w:asciiTheme="minorHAnsi" w:hAnsiTheme="minorHAnsi" w:cstheme="minorHAnsi"/>
                <w:color w:val="000000"/>
                <w:sz w:val="18"/>
                <w:szCs w:val="18"/>
                <w:lang w:eastAsia="fr-BE"/>
              </w:rPr>
            </w:pPr>
          </w:p>
        </w:tc>
      </w:tr>
      <w:tr w:rsidR="00182609" w:rsidRPr="00B7760C" w14:paraId="485014AD" w14:textId="77777777" w:rsidTr="00A35DEB">
        <w:trPr>
          <w:trHeight w:val="764"/>
        </w:trPr>
        <w:tc>
          <w:tcPr>
            <w:tcW w:w="2277" w:type="dxa"/>
            <w:vMerge/>
            <w:tcBorders>
              <w:left w:val="single" w:sz="4" w:space="0" w:color="0070C0"/>
              <w:bottom w:val="single" w:sz="4" w:space="0" w:color="0070C0"/>
              <w:right w:val="single" w:sz="4" w:space="0" w:color="0070C0"/>
            </w:tcBorders>
          </w:tcPr>
          <w:p w14:paraId="4BD16720" w14:textId="77777777" w:rsidR="00182609" w:rsidRPr="00B7760C" w:rsidRDefault="00182609" w:rsidP="009D3E2B">
            <w:pPr>
              <w:widowControl/>
              <w:spacing w:before="120" w:after="120" w:line="276" w:lineRule="auto"/>
              <w:rPr>
                <w:rFonts w:asciiTheme="minorHAnsi" w:hAnsiTheme="minorHAnsi" w:cstheme="minorHAnsi"/>
                <w:b/>
                <w:bCs/>
                <w:color w:val="000000"/>
                <w:sz w:val="18"/>
                <w:szCs w:val="18"/>
                <w:lang w:eastAsia="fr-BE"/>
              </w:rPr>
            </w:pPr>
          </w:p>
        </w:tc>
        <w:tc>
          <w:tcPr>
            <w:tcW w:w="3213" w:type="dxa"/>
            <w:tcBorders>
              <w:left w:val="single" w:sz="4" w:space="0" w:color="0070C0"/>
              <w:bottom w:val="single" w:sz="4" w:space="0" w:color="0070C0"/>
              <w:right w:val="single" w:sz="4" w:space="0" w:color="0070C0"/>
            </w:tcBorders>
          </w:tcPr>
          <w:p w14:paraId="3B6E04DA" w14:textId="77777777" w:rsidR="00182609" w:rsidRPr="00B7760C" w:rsidRDefault="00182609" w:rsidP="009D3E2B">
            <w:pPr>
              <w:widowControl/>
              <w:spacing w:before="120" w:after="120" w:line="276" w:lineRule="auto"/>
              <w:rPr>
                <w:rFonts w:asciiTheme="minorHAnsi" w:hAnsiTheme="minorHAnsi" w:cstheme="minorHAnsi"/>
                <w:sz w:val="18"/>
                <w:szCs w:val="18"/>
              </w:rPr>
            </w:pPr>
            <w:r w:rsidRPr="00B7760C">
              <w:rPr>
                <w:rFonts w:asciiTheme="minorHAnsi" w:hAnsiTheme="minorHAnsi" w:cstheme="minorHAnsi"/>
                <w:sz w:val="18"/>
                <w:szCs w:val="18"/>
              </w:rPr>
              <w:t>I.5 Prispevek k ozemeljskemu ravnovesju: spreminjanje kmetijskega dohodka na območjih z naravnimi omejitvami (v primerjavi s povprečjem)</w:t>
            </w:r>
          </w:p>
        </w:tc>
        <w:tc>
          <w:tcPr>
            <w:tcW w:w="4549" w:type="dxa"/>
            <w:tcBorders>
              <w:left w:val="single" w:sz="4" w:space="0" w:color="0070C0"/>
              <w:bottom w:val="single" w:sz="4" w:space="0" w:color="0070C0"/>
              <w:right w:val="single" w:sz="4" w:space="0" w:color="0070C0"/>
            </w:tcBorders>
          </w:tcPr>
          <w:p w14:paraId="06BCEAF4" w14:textId="77777777" w:rsidR="00182609" w:rsidRPr="00B7760C" w:rsidRDefault="00182609" w:rsidP="009D3E2B">
            <w:pPr>
              <w:widowControl/>
              <w:spacing w:before="120" w:after="120" w:line="276" w:lineRule="auto"/>
              <w:rPr>
                <w:rFonts w:asciiTheme="minorHAnsi" w:hAnsiTheme="minorHAnsi" w:cstheme="minorHAnsi"/>
                <w:sz w:val="18"/>
                <w:szCs w:val="18"/>
              </w:rPr>
            </w:pPr>
            <w:r w:rsidRPr="00B7760C">
              <w:rPr>
                <w:rFonts w:asciiTheme="minorHAnsi" w:hAnsiTheme="minorHAnsi" w:cstheme="minorHAnsi"/>
                <w:sz w:val="18"/>
                <w:szCs w:val="18"/>
              </w:rPr>
              <w:t xml:space="preserve">R.7 </w:t>
            </w:r>
            <w:r w:rsidRPr="00B7760C">
              <w:rPr>
                <w:rFonts w:asciiTheme="minorHAnsi" w:hAnsiTheme="minorHAnsi" w:cstheme="minorHAnsi"/>
                <w:bCs/>
                <w:sz w:val="18"/>
                <w:szCs w:val="18"/>
              </w:rPr>
              <w:t xml:space="preserve">Krepitev podpore za kmetije na območjih s posebnimi potrebami: </w:t>
            </w:r>
            <w:r w:rsidRPr="00B7760C">
              <w:rPr>
                <w:rFonts w:asciiTheme="minorHAnsi" w:hAnsiTheme="minorHAnsi" w:cstheme="minorHAnsi"/>
                <w:sz w:val="18"/>
                <w:szCs w:val="18"/>
              </w:rPr>
              <w:t>odstotek dodatne podpore na hektar na območjih z večjimi potrebami (v primerjavi s povprečjem)</w:t>
            </w:r>
          </w:p>
        </w:tc>
        <w:tc>
          <w:tcPr>
            <w:tcW w:w="236" w:type="dxa"/>
            <w:tcBorders>
              <w:left w:val="single" w:sz="4" w:space="0" w:color="0070C0"/>
              <w:right w:val="single" w:sz="4" w:space="0" w:color="0070C0"/>
            </w:tcBorders>
          </w:tcPr>
          <w:p w14:paraId="188E3842" w14:textId="77777777" w:rsidR="00182609" w:rsidRPr="00B7760C" w:rsidRDefault="00182609" w:rsidP="009D3E2B">
            <w:pPr>
              <w:widowControl/>
              <w:spacing w:before="120" w:after="120" w:line="276" w:lineRule="auto"/>
              <w:rPr>
                <w:rFonts w:asciiTheme="minorHAnsi" w:hAnsiTheme="minorHAnsi" w:cstheme="minorHAnsi"/>
                <w:sz w:val="18"/>
                <w:szCs w:val="18"/>
                <w:lang w:eastAsia="fr-BE"/>
              </w:rPr>
            </w:pPr>
          </w:p>
        </w:tc>
        <w:tc>
          <w:tcPr>
            <w:tcW w:w="1648" w:type="dxa"/>
            <w:tcBorders>
              <w:left w:val="single" w:sz="4" w:space="0" w:color="0070C0"/>
              <w:bottom w:val="single" w:sz="4" w:space="0" w:color="0070C0"/>
              <w:right w:val="single" w:sz="4" w:space="0" w:color="0070C0"/>
            </w:tcBorders>
          </w:tcPr>
          <w:p w14:paraId="2310F67F" w14:textId="77777777" w:rsidR="00182609" w:rsidRPr="00B7760C" w:rsidRDefault="00182609" w:rsidP="009D3E2B">
            <w:pPr>
              <w:widowControl/>
              <w:spacing w:before="120" w:after="120"/>
              <w:rPr>
                <w:rFonts w:asciiTheme="minorHAnsi" w:hAnsiTheme="minorHAnsi" w:cstheme="minorHAnsi"/>
                <w:b/>
                <w:bCs/>
                <w:color w:val="000000"/>
                <w:sz w:val="18"/>
                <w:szCs w:val="18"/>
                <w:lang w:eastAsia="fr-BE"/>
              </w:rPr>
            </w:pPr>
          </w:p>
        </w:tc>
        <w:tc>
          <w:tcPr>
            <w:tcW w:w="3210" w:type="dxa"/>
            <w:vMerge/>
            <w:tcBorders>
              <w:left w:val="single" w:sz="4" w:space="0" w:color="0070C0"/>
              <w:right w:val="single" w:sz="4" w:space="0" w:color="0070C0"/>
            </w:tcBorders>
          </w:tcPr>
          <w:p w14:paraId="5CCD3AA8" w14:textId="77777777" w:rsidR="00182609" w:rsidRPr="00B7760C" w:rsidRDefault="00182609" w:rsidP="009D3E2B">
            <w:pPr>
              <w:spacing w:before="120" w:after="120"/>
              <w:rPr>
                <w:rFonts w:asciiTheme="minorHAnsi" w:hAnsiTheme="minorHAnsi" w:cstheme="minorHAnsi"/>
                <w:color w:val="000000"/>
                <w:sz w:val="18"/>
                <w:szCs w:val="18"/>
                <w:lang w:eastAsia="fr-BE"/>
              </w:rPr>
            </w:pPr>
          </w:p>
        </w:tc>
      </w:tr>
      <w:tr w:rsidR="00182609" w:rsidRPr="00B7760C" w14:paraId="3B413501" w14:textId="77777777" w:rsidTr="00A35DEB">
        <w:trPr>
          <w:trHeight w:val="764"/>
        </w:trPr>
        <w:tc>
          <w:tcPr>
            <w:tcW w:w="2277" w:type="dxa"/>
            <w:tcBorders>
              <w:left w:val="single" w:sz="4" w:space="0" w:color="0070C0"/>
              <w:bottom w:val="single" w:sz="4" w:space="0" w:color="0070C0"/>
              <w:right w:val="single" w:sz="4" w:space="0" w:color="0070C0"/>
            </w:tcBorders>
          </w:tcPr>
          <w:p w14:paraId="4335FBED" w14:textId="77777777" w:rsidR="00182609" w:rsidRPr="00B7760C" w:rsidRDefault="00182609" w:rsidP="009D3E2B">
            <w:pPr>
              <w:widowControl/>
              <w:spacing w:before="120" w:after="120" w:line="276" w:lineRule="auto"/>
              <w:rPr>
                <w:rFonts w:asciiTheme="minorHAnsi" w:hAnsiTheme="minorHAnsi" w:cstheme="minorHAnsi"/>
                <w:b/>
                <w:bCs/>
                <w:color w:val="000000"/>
                <w:sz w:val="18"/>
                <w:szCs w:val="18"/>
                <w:lang w:eastAsia="fr-BE"/>
              </w:rPr>
            </w:pPr>
          </w:p>
        </w:tc>
        <w:tc>
          <w:tcPr>
            <w:tcW w:w="3213" w:type="dxa"/>
            <w:tcBorders>
              <w:left w:val="single" w:sz="4" w:space="0" w:color="0070C0"/>
              <w:bottom w:val="single" w:sz="4" w:space="0" w:color="0070C0"/>
              <w:right w:val="single" w:sz="4" w:space="0" w:color="0070C0"/>
            </w:tcBorders>
          </w:tcPr>
          <w:p w14:paraId="090E8D17" w14:textId="77777777" w:rsidR="00182609" w:rsidRPr="00B7760C" w:rsidRDefault="00182609" w:rsidP="009D3E2B">
            <w:pPr>
              <w:widowControl/>
              <w:spacing w:before="120" w:after="120" w:line="276" w:lineRule="auto"/>
              <w:rPr>
                <w:rFonts w:asciiTheme="minorHAnsi" w:hAnsiTheme="minorHAnsi" w:cstheme="minorHAnsi"/>
                <w:b/>
                <w:sz w:val="18"/>
                <w:szCs w:val="18"/>
                <w:lang w:eastAsia="fr-BE"/>
              </w:rPr>
            </w:pPr>
          </w:p>
        </w:tc>
        <w:tc>
          <w:tcPr>
            <w:tcW w:w="4549" w:type="dxa"/>
            <w:tcBorders>
              <w:left w:val="single" w:sz="4" w:space="0" w:color="0070C0"/>
              <w:bottom w:val="single" w:sz="4" w:space="0" w:color="0070C0"/>
              <w:right w:val="single" w:sz="4" w:space="0" w:color="0070C0"/>
            </w:tcBorders>
          </w:tcPr>
          <w:p w14:paraId="0E47649B" w14:textId="77777777" w:rsidR="00182609" w:rsidRPr="00B7760C" w:rsidRDefault="00182609" w:rsidP="009D3E2B">
            <w:pPr>
              <w:widowControl/>
              <w:spacing w:before="120" w:after="120" w:line="276" w:lineRule="auto"/>
              <w:rPr>
                <w:rFonts w:asciiTheme="minorHAnsi" w:hAnsiTheme="minorHAnsi" w:cstheme="minorHAnsi"/>
                <w:b/>
                <w:sz w:val="18"/>
                <w:szCs w:val="18"/>
                <w:lang w:eastAsia="fr-BE"/>
              </w:rPr>
            </w:pPr>
          </w:p>
        </w:tc>
        <w:tc>
          <w:tcPr>
            <w:tcW w:w="236" w:type="dxa"/>
            <w:tcBorders>
              <w:left w:val="single" w:sz="4" w:space="0" w:color="0070C0"/>
              <w:right w:val="single" w:sz="4" w:space="0" w:color="0070C0"/>
            </w:tcBorders>
          </w:tcPr>
          <w:p w14:paraId="63EB3917" w14:textId="77777777" w:rsidR="00182609" w:rsidRPr="00B7760C" w:rsidRDefault="00182609" w:rsidP="009D3E2B">
            <w:pPr>
              <w:widowControl/>
              <w:spacing w:before="120" w:after="120" w:line="276" w:lineRule="auto"/>
              <w:rPr>
                <w:rFonts w:asciiTheme="minorHAnsi" w:hAnsiTheme="minorHAnsi" w:cstheme="minorHAnsi"/>
                <w:sz w:val="18"/>
                <w:szCs w:val="18"/>
                <w:lang w:eastAsia="fr-BE"/>
              </w:rPr>
            </w:pPr>
          </w:p>
        </w:tc>
        <w:tc>
          <w:tcPr>
            <w:tcW w:w="1648" w:type="dxa"/>
            <w:tcBorders>
              <w:left w:val="single" w:sz="4" w:space="0" w:color="0070C0"/>
              <w:bottom w:val="single" w:sz="4" w:space="0" w:color="0070C0"/>
              <w:right w:val="single" w:sz="4" w:space="0" w:color="0070C0"/>
            </w:tcBorders>
          </w:tcPr>
          <w:p w14:paraId="51FA1CB1" w14:textId="77777777" w:rsidR="00182609" w:rsidRPr="00B7760C" w:rsidRDefault="00182609" w:rsidP="009D3E2B">
            <w:pPr>
              <w:widowControl/>
              <w:spacing w:before="120" w:after="120"/>
              <w:rPr>
                <w:rFonts w:asciiTheme="minorHAnsi" w:hAnsiTheme="minorHAnsi" w:cstheme="minorHAnsi"/>
                <w:b/>
                <w:bCs/>
                <w:color w:val="000000"/>
                <w:sz w:val="18"/>
                <w:szCs w:val="18"/>
                <w:lang w:eastAsia="fr-BE"/>
              </w:rPr>
            </w:pPr>
          </w:p>
        </w:tc>
        <w:tc>
          <w:tcPr>
            <w:tcW w:w="3210" w:type="dxa"/>
            <w:vMerge/>
            <w:tcBorders>
              <w:left w:val="single" w:sz="4" w:space="0" w:color="0070C0"/>
              <w:right w:val="single" w:sz="4" w:space="0" w:color="0070C0"/>
            </w:tcBorders>
          </w:tcPr>
          <w:p w14:paraId="032B9D61" w14:textId="77777777" w:rsidR="00182609" w:rsidRPr="00B7760C" w:rsidRDefault="00182609" w:rsidP="009D3E2B">
            <w:pPr>
              <w:spacing w:before="120" w:after="120"/>
              <w:rPr>
                <w:rFonts w:asciiTheme="minorHAnsi" w:hAnsiTheme="minorHAnsi" w:cstheme="minorHAnsi"/>
                <w:color w:val="000000"/>
                <w:sz w:val="18"/>
                <w:szCs w:val="18"/>
                <w:lang w:eastAsia="fr-BE"/>
              </w:rPr>
            </w:pPr>
          </w:p>
        </w:tc>
      </w:tr>
      <w:tr w:rsidR="00182609" w:rsidRPr="00B7760C" w14:paraId="754EB895" w14:textId="77777777" w:rsidTr="00A35DEB">
        <w:trPr>
          <w:trHeight w:val="764"/>
        </w:trPr>
        <w:tc>
          <w:tcPr>
            <w:tcW w:w="2277" w:type="dxa"/>
            <w:tcBorders>
              <w:left w:val="single" w:sz="4" w:space="0" w:color="0070C0"/>
              <w:bottom w:val="single" w:sz="4" w:space="0" w:color="0070C0"/>
              <w:right w:val="single" w:sz="4" w:space="0" w:color="0070C0"/>
            </w:tcBorders>
          </w:tcPr>
          <w:p w14:paraId="4F9B4BFE" w14:textId="77777777" w:rsidR="00182609" w:rsidRPr="00B7760C" w:rsidRDefault="00182609" w:rsidP="009D3E2B">
            <w:pPr>
              <w:widowControl/>
              <w:spacing w:before="120" w:after="120" w:line="276" w:lineRule="auto"/>
              <w:rPr>
                <w:rFonts w:asciiTheme="minorHAnsi" w:hAnsiTheme="minorHAnsi" w:cstheme="minorHAnsi"/>
                <w:b/>
                <w:bCs/>
                <w:color w:val="000000"/>
                <w:sz w:val="18"/>
                <w:szCs w:val="18"/>
                <w:lang w:eastAsia="fr-BE"/>
              </w:rPr>
            </w:pPr>
          </w:p>
        </w:tc>
        <w:tc>
          <w:tcPr>
            <w:tcW w:w="3213" w:type="dxa"/>
            <w:tcBorders>
              <w:left w:val="single" w:sz="4" w:space="0" w:color="0070C0"/>
              <w:bottom w:val="single" w:sz="4" w:space="0" w:color="0070C0"/>
              <w:right w:val="single" w:sz="4" w:space="0" w:color="0070C0"/>
            </w:tcBorders>
          </w:tcPr>
          <w:p w14:paraId="13BF3DF2" w14:textId="77777777" w:rsidR="00182609" w:rsidRPr="00B7760C" w:rsidRDefault="00182609" w:rsidP="009D3E2B">
            <w:pPr>
              <w:widowControl/>
              <w:spacing w:before="120" w:after="120" w:line="276" w:lineRule="auto"/>
              <w:rPr>
                <w:rFonts w:asciiTheme="minorHAnsi" w:hAnsiTheme="minorHAnsi" w:cstheme="minorHAnsi"/>
                <w:b/>
                <w:sz w:val="18"/>
                <w:szCs w:val="18"/>
                <w:lang w:eastAsia="fr-BE"/>
              </w:rPr>
            </w:pPr>
          </w:p>
        </w:tc>
        <w:tc>
          <w:tcPr>
            <w:tcW w:w="4549" w:type="dxa"/>
            <w:tcBorders>
              <w:left w:val="single" w:sz="4" w:space="0" w:color="0070C0"/>
              <w:bottom w:val="single" w:sz="4" w:space="0" w:color="0070C0"/>
              <w:right w:val="single" w:sz="4" w:space="0" w:color="0070C0"/>
            </w:tcBorders>
          </w:tcPr>
          <w:p w14:paraId="2AB82B42" w14:textId="77777777" w:rsidR="00182609" w:rsidRPr="00B7760C" w:rsidRDefault="00182609" w:rsidP="009D3E2B">
            <w:pPr>
              <w:widowControl/>
              <w:spacing w:before="120" w:after="120" w:line="276" w:lineRule="auto"/>
              <w:rPr>
                <w:rFonts w:asciiTheme="minorHAnsi" w:hAnsiTheme="minorHAnsi" w:cstheme="minorHAnsi"/>
                <w:b/>
                <w:sz w:val="18"/>
                <w:szCs w:val="18"/>
                <w:lang w:eastAsia="fr-BE"/>
              </w:rPr>
            </w:pPr>
          </w:p>
        </w:tc>
        <w:tc>
          <w:tcPr>
            <w:tcW w:w="236" w:type="dxa"/>
            <w:tcBorders>
              <w:left w:val="single" w:sz="4" w:space="0" w:color="0070C0"/>
              <w:right w:val="single" w:sz="4" w:space="0" w:color="0070C0"/>
            </w:tcBorders>
          </w:tcPr>
          <w:p w14:paraId="76603B3F" w14:textId="77777777" w:rsidR="00182609" w:rsidRPr="00B7760C" w:rsidRDefault="00182609" w:rsidP="009D3E2B">
            <w:pPr>
              <w:widowControl/>
              <w:spacing w:before="120" w:after="120" w:line="276" w:lineRule="auto"/>
              <w:rPr>
                <w:rFonts w:asciiTheme="minorHAnsi" w:hAnsiTheme="minorHAnsi" w:cstheme="minorHAnsi"/>
                <w:sz w:val="18"/>
                <w:szCs w:val="18"/>
                <w:lang w:eastAsia="fr-BE"/>
              </w:rPr>
            </w:pPr>
          </w:p>
        </w:tc>
        <w:tc>
          <w:tcPr>
            <w:tcW w:w="1648" w:type="dxa"/>
            <w:tcBorders>
              <w:left w:val="single" w:sz="4" w:space="0" w:color="0070C0"/>
              <w:bottom w:val="single" w:sz="4" w:space="0" w:color="0070C0"/>
              <w:right w:val="single" w:sz="4" w:space="0" w:color="0070C0"/>
            </w:tcBorders>
          </w:tcPr>
          <w:p w14:paraId="64CDC989" w14:textId="77777777" w:rsidR="00182609" w:rsidRPr="00B7760C" w:rsidRDefault="00182609" w:rsidP="009D3E2B">
            <w:pPr>
              <w:widowControl/>
              <w:spacing w:before="120" w:after="120"/>
              <w:rPr>
                <w:rFonts w:asciiTheme="minorHAnsi" w:hAnsiTheme="minorHAnsi" w:cstheme="minorHAnsi"/>
                <w:b/>
                <w:bCs/>
                <w:color w:val="000000"/>
                <w:sz w:val="18"/>
                <w:szCs w:val="18"/>
                <w:lang w:eastAsia="fr-BE"/>
              </w:rPr>
            </w:pPr>
          </w:p>
        </w:tc>
        <w:tc>
          <w:tcPr>
            <w:tcW w:w="3210" w:type="dxa"/>
            <w:vMerge/>
            <w:tcBorders>
              <w:left w:val="single" w:sz="4" w:space="0" w:color="0070C0"/>
              <w:bottom w:val="single" w:sz="4" w:space="0" w:color="0070C0"/>
              <w:right w:val="single" w:sz="4" w:space="0" w:color="0070C0"/>
            </w:tcBorders>
          </w:tcPr>
          <w:p w14:paraId="45B96B1B" w14:textId="77777777" w:rsidR="00182609" w:rsidRPr="00B7760C" w:rsidRDefault="00182609" w:rsidP="009D3E2B">
            <w:pPr>
              <w:widowControl/>
              <w:spacing w:before="120" w:after="120"/>
              <w:rPr>
                <w:rFonts w:asciiTheme="minorHAnsi" w:hAnsiTheme="minorHAnsi" w:cstheme="minorHAnsi"/>
                <w:b/>
                <w:i/>
                <w:color w:val="000000"/>
                <w:sz w:val="18"/>
                <w:szCs w:val="18"/>
                <w:lang w:eastAsia="fr-BE"/>
              </w:rPr>
            </w:pPr>
          </w:p>
        </w:tc>
      </w:tr>
      <w:tr w:rsidR="00182609" w:rsidRPr="00B7760C" w14:paraId="4E2B0BBB" w14:textId="77777777" w:rsidTr="00A35DEB">
        <w:trPr>
          <w:trHeight w:val="728"/>
        </w:trPr>
        <w:tc>
          <w:tcPr>
            <w:tcW w:w="2277" w:type="dxa"/>
            <w:vMerge w:val="restart"/>
            <w:tcBorders>
              <w:top w:val="single" w:sz="4" w:space="0" w:color="0070C0"/>
              <w:left w:val="single" w:sz="4" w:space="0" w:color="0070C0"/>
              <w:right w:val="single" w:sz="4" w:space="0" w:color="0070C0"/>
            </w:tcBorders>
            <w:shd w:val="clear" w:color="auto" w:fill="FFFFFF"/>
            <w:vAlign w:val="center"/>
            <w:hideMark/>
          </w:tcPr>
          <w:p w14:paraId="680C1ACC" w14:textId="77777777" w:rsidR="00182609" w:rsidRPr="00B7760C" w:rsidRDefault="00182609" w:rsidP="009D3E2B">
            <w:pPr>
              <w:widowControl/>
              <w:spacing w:before="120" w:after="120" w:line="276" w:lineRule="auto"/>
              <w:rPr>
                <w:rFonts w:asciiTheme="minorHAnsi" w:hAnsiTheme="minorHAnsi" w:cstheme="minorHAnsi"/>
                <w:bCs/>
                <w:color w:val="000000"/>
                <w:sz w:val="18"/>
                <w:szCs w:val="18"/>
              </w:rPr>
            </w:pPr>
            <w:r w:rsidRPr="00B7760C">
              <w:rPr>
                <w:rFonts w:asciiTheme="minorHAnsi" w:hAnsiTheme="minorHAnsi" w:cstheme="minorHAnsi"/>
                <w:sz w:val="18"/>
                <w:szCs w:val="18"/>
              </w:rPr>
              <w:t xml:space="preserve">krepitev tržne usmerjenosti </w:t>
            </w:r>
            <w:r w:rsidRPr="00B7760C">
              <w:rPr>
                <w:rFonts w:asciiTheme="minorHAnsi" w:hAnsiTheme="minorHAnsi" w:cstheme="minorHAnsi"/>
                <w:b/>
                <w:i/>
                <w:sz w:val="18"/>
                <w:szCs w:val="18"/>
              </w:rPr>
              <w:t>na lokalnih, nacionalnih in mednarodnih trgih ter trgih Unije, pa tudi stabilizacija trga, obvladovanje tveganj in kriz in</w:t>
            </w:r>
            <w:r w:rsidRPr="00B7760C">
              <w:rPr>
                <w:rFonts w:asciiTheme="minorHAnsi" w:hAnsiTheme="minorHAnsi" w:cstheme="minorHAnsi"/>
                <w:sz w:val="18"/>
                <w:szCs w:val="18"/>
              </w:rPr>
              <w:t xml:space="preserve"> povečanje </w:t>
            </w:r>
            <w:r w:rsidRPr="00B7760C">
              <w:rPr>
                <w:rFonts w:asciiTheme="minorHAnsi" w:hAnsiTheme="minorHAnsi" w:cstheme="minorHAnsi"/>
                <w:b/>
                <w:i/>
                <w:sz w:val="18"/>
                <w:szCs w:val="18"/>
              </w:rPr>
              <w:t>dolgoročne</w:t>
            </w:r>
            <w:r w:rsidRPr="00B7760C">
              <w:rPr>
                <w:rFonts w:asciiTheme="minorHAnsi" w:hAnsiTheme="minorHAnsi" w:cstheme="minorHAnsi"/>
                <w:sz w:val="18"/>
                <w:szCs w:val="18"/>
              </w:rPr>
              <w:t xml:space="preserve"> konkurenčnosti </w:t>
            </w:r>
            <w:r w:rsidRPr="00B7760C">
              <w:rPr>
                <w:rFonts w:asciiTheme="minorHAnsi" w:hAnsiTheme="minorHAnsi" w:cstheme="minorHAnsi"/>
                <w:b/>
                <w:i/>
                <w:sz w:val="18"/>
                <w:szCs w:val="18"/>
              </w:rPr>
              <w:t>kmetij ter zmožnosti predelave in trženja kmetijskih proizvodov</w:t>
            </w:r>
            <w:r w:rsidRPr="00B7760C">
              <w:rPr>
                <w:rFonts w:asciiTheme="minorHAnsi" w:hAnsiTheme="minorHAnsi" w:cstheme="minorHAnsi"/>
                <w:sz w:val="18"/>
                <w:szCs w:val="18"/>
              </w:rPr>
              <w:t xml:space="preserve"> z večjim poudarkom na </w:t>
            </w:r>
            <w:r w:rsidRPr="00B7760C">
              <w:rPr>
                <w:rFonts w:asciiTheme="minorHAnsi" w:hAnsiTheme="minorHAnsi" w:cstheme="minorHAnsi"/>
                <w:b/>
                <w:i/>
                <w:sz w:val="18"/>
                <w:szCs w:val="18"/>
              </w:rPr>
              <w:t>razlikovanju kakovosti,</w:t>
            </w:r>
            <w:r w:rsidRPr="00B7760C">
              <w:rPr>
                <w:rFonts w:asciiTheme="minorHAnsi" w:hAnsiTheme="minorHAnsi" w:cstheme="minorHAnsi"/>
                <w:sz w:val="18"/>
                <w:szCs w:val="18"/>
              </w:rPr>
              <w:t xml:space="preserve"> raziskavah, </w:t>
            </w:r>
            <w:r w:rsidRPr="00B7760C">
              <w:rPr>
                <w:rFonts w:asciiTheme="minorHAnsi" w:hAnsiTheme="minorHAnsi" w:cstheme="minorHAnsi"/>
                <w:b/>
                <w:i/>
                <w:sz w:val="18"/>
                <w:szCs w:val="18"/>
              </w:rPr>
              <w:t>inovacijah,</w:t>
            </w:r>
            <w:r w:rsidRPr="00B7760C">
              <w:rPr>
                <w:rFonts w:asciiTheme="minorHAnsi" w:hAnsiTheme="minorHAnsi" w:cstheme="minorHAnsi"/>
                <w:sz w:val="18"/>
                <w:szCs w:val="18"/>
              </w:rPr>
              <w:t xml:space="preserve"> tehnologiji, </w:t>
            </w:r>
            <w:r w:rsidRPr="00B7760C">
              <w:rPr>
                <w:rFonts w:asciiTheme="minorHAnsi" w:hAnsiTheme="minorHAnsi" w:cstheme="minorHAnsi"/>
                <w:b/>
                <w:i/>
                <w:sz w:val="18"/>
                <w:szCs w:val="18"/>
              </w:rPr>
              <w:t>prenosu in izmenjavi znanja</w:t>
            </w:r>
            <w:r w:rsidRPr="00B7760C">
              <w:rPr>
                <w:rFonts w:asciiTheme="minorHAnsi" w:hAnsiTheme="minorHAnsi" w:cstheme="minorHAnsi"/>
                <w:sz w:val="18"/>
                <w:szCs w:val="18"/>
              </w:rPr>
              <w:t xml:space="preserve"> in digitalizaciji </w:t>
            </w:r>
            <w:r w:rsidRPr="00B7760C">
              <w:rPr>
                <w:rFonts w:asciiTheme="minorHAnsi" w:hAnsiTheme="minorHAnsi" w:cstheme="minorHAnsi"/>
                <w:b/>
                <w:i/>
                <w:sz w:val="18"/>
                <w:szCs w:val="18"/>
              </w:rPr>
              <w:t>ter olajšanje dostopa kmetov do dinamike krožnega gospodarstva.</w:t>
            </w:r>
          </w:p>
        </w:tc>
        <w:tc>
          <w:tcPr>
            <w:tcW w:w="3213" w:type="dxa"/>
            <w:tcBorders>
              <w:top w:val="single" w:sz="4" w:space="0" w:color="0070C0"/>
              <w:left w:val="single" w:sz="4" w:space="0" w:color="0070C0"/>
              <w:right w:val="single" w:sz="4" w:space="0" w:color="0070C0"/>
            </w:tcBorders>
            <w:shd w:val="clear" w:color="auto" w:fill="FFFFFF"/>
            <w:noWrap/>
            <w:hideMark/>
          </w:tcPr>
          <w:p w14:paraId="336CE8E4" w14:textId="77777777" w:rsidR="00182609" w:rsidRPr="00B7760C" w:rsidRDefault="00182609" w:rsidP="009D3E2B">
            <w:pPr>
              <w:widowControl/>
              <w:spacing w:before="120" w:after="120" w:line="276" w:lineRule="auto"/>
              <w:rPr>
                <w:rFonts w:asciiTheme="minorHAnsi" w:hAnsiTheme="minorHAnsi" w:cstheme="minorHAnsi"/>
                <w:sz w:val="18"/>
                <w:szCs w:val="18"/>
              </w:rPr>
            </w:pPr>
            <w:r w:rsidRPr="00B7760C">
              <w:rPr>
                <w:rFonts w:asciiTheme="minorHAnsi" w:hAnsiTheme="minorHAnsi" w:cstheme="minorHAnsi"/>
                <w:sz w:val="18"/>
                <w:szCs w:val="18"/>
              </w:rPr>
              <w:t xml:space="preserve">I.6 </w:t>
            </w:r>
            <w:r w:rsidRPr="00B7760C">
              <w:rPr>
                <w:rFonts w:asciiTheme="minorHAnsi" w:hAnsiTheme="minorHAnsi" w:cstheme="minorHAnsi"/>
                <w:bCs/>
                <w:sz w:val="18"/>
                <w:szCs w:val="18"/>
              </w:rPr>
              <w:t xml:space="preserve">Povečanje produktivnosti kmetij: </w:t>
            </w:r>
            <w:r w:rsidRPr="00B7760C">
              <w:rPr>
                <w:rFonts w:asciiTheme="minorHAnsi" w:hAnsiTheme="minorHAnsi" w:cstheme="minorHAnsi"/>
                <w:sz w:val="18"/>
                <w:szCs w:val="18"/>
              </w:rPr>
              <w:t>skupna faktorska produktivnost</w:t>
            </w:r>
          </w:p>
        </w:tc>
        <w:tc>
          <w:tcPr>
            <w:tcW w:w="4549" w:type="dxa"/>
            <w:tcBorders>
              <w:top w:val="single" w:sz="4" w:space="0" w:color="0070C0"/>
              <w:left w:val="single" w:sz="4" w:space="0" w:color="0070C0"/>
              <w:right w:val="single" w:sz="4" w:space="0" w:color="0070C0"/>
            </w:tcBorders>
            <w:shd w:val="clear" w:color="auto" w:fill="FFFFFF"/>
          </w:tcPr>
          <w:p w14:paraId="742F3211" w14:textId="77777777" w:rsidR="00182609" w:rsidRPr="00B7760C" w:rsidRDefault="00182609" w:rsidP="009D3E2B">
            <w:pPr>
              <w:widowControl/>
              <w:spacing w:before="120" w:after="120" w:line="276" w:lineRule="auto"/>
              <w:rPr>
                <w:rFonts w:asciiTheme="minorHAnsi" w:hAnsiTheme="minorHAnsi" w:cstheme="minorHAnsi"/>
                <w:bCs/>
                <w:sz w:val="18"/>
                <w:szCs w:val="18"/>
              </w:rPr>
            </w:pPr>
            <w:r w:rsidRPr="00B7760C">
              <w:rPr>
                <w:rFonts w:asciiTheme="minorHAnsi" w:hAnsiTheme="minorHAnsi" w:cstheme="minorHAnsi"/>
                <w:sz w:val="18"/>
                <w:szCs w:val="18"/>
              </w:rPr>
              <w:t xml:space="preserve">R.8 </w:t>
            </w:r>
            <w:r w:rsidRPr="00B7760C">
              <w:rPr>
                <w:rFonts w:asciiTheme="minorHAnsi" w:hAnsiTheme="minorHAnsi" w:cstheme="minorHAnsi"/>
                <w:bCs/>
                <w:sz w:val="18"/>
                <w:szCs w:val="18"/>
              </w:rPr>
              <w:t xml:space="preserve">Usmerjenost v kmetije v sektorjih v težavah: </w:t>
            </w:r>
          </w:p>
          <w:p w14:paraId="51A09BB4" w14:textId="77777777" w:rsidR="00182609" w:rsidRPr="00B7760C" w:rsidRDefault="00182609" w:rsidP="009D3E2B">
            <w:pPr>
              <w:widowControl/>
              <w:spacing w:before="120" w:after="120" w:line="276" w:lineRule="auto"/>
              <w:rPr>
                <w:rFonts w:asciiTheme="minorHAnsi" w:hAnsiTheme="minorHAnsi" w:cstheme="minorHAnsi"/>
                <w:sz w:val="18"/>
                <w:szCs w:val="18"/>
              </w:rPr>
            </w:pPr>
            <w:r w:rsidRPr="00B7760C">
              <w:rPr>
                <w:rFonts w:asciiTheme="minorHAnsi" w:hAnsiTheme="minorHAnsi" w:cstheme="minorHAnsi"/>
                <w:sz w:val="18"/>
                <w:szCs w:val="18"/>
              </w:rPr>
              <w:t>delež kmetov, ki prejemajo vezano podporo za izboljšanje konkurenčnosti, trajnostnosti ali kakovosti</w:t>
            </w:r>
          </w:p>
        </w:tc>
        <w:tc>
          <w:tcPr>
            <w:tcW w:w="236" w:type="dxa"/>
            <w:tcBorders>
              <w:left w:val="single" w:sz="4" w:space="0" w:color="0070C0"/>
              <w:right w:val="single" w:sz="4" w:space="0" w:color="0070C0"/>
            </w:tcBorders>
            <w:shd w:val="clear" w:color="auto" w:fill="FFFFFF"/>
          </w:tcPr>
          <w:p w14:paraId="19822707" w14:textId="77777777" w:rsidR="00182609" w:rsidRPr="00B7760C" w:rsidRDefault="00182609" w:rsidP="009D3E2B">
            <w:pPr>
              <w:widowControl/>
              <w:spacing w:before="120" w:after="120" w:line="276" w:lineRule="auto"/>
              <w:rPr>
                <w:rFonts w:asciiTheme="minorHAnsi" w:hAnsiTheme="minorHAnsi" w:cstheme="minorHAnsi"/>
                <w:sz w:val="18"/>
                <w:szCs w:val="18"/>
                <w:lang w:eastAsia="fr-BE"/>
              </w:rPr>
            </w:pPr>
          </w:p>
        </w:tc>
        <w:tc>
          <w:tcPr>
            <w:tcW w:w="1648" w:type="dxa"/>
            <w:tcBorders>
              <w:left w:val="single" w:sz="4" w:space="0" w:color="0070C0"/>
              <w:bottom w:val="single" w:sz="4" w:space="0" w:color="0070C0"/>
              <w:right w:val="single" w:sz="4" w:space="0" w:color="0070C0"/>
            </w:tcBorders>
            <w:shd w:val="clear" w:color="auto" w:fill="FFFFFF"/>
          </w:tcPr>
          <w:p w14:paraId="311FFAD4" w14:textId="77777777" w:rsidR="00182609" w:rsidRPr="00B7760C" w:rsidRDefault="00182609" w:rsidP="009D3E2B">
            <w:pPr>
              <w:widowControl/>
              <w:spacing w:before="120" w:after="120"/>
              <w:rPr>
                <w:rFonts w:asciiTheme="minorHAnsi" w:hAnsiTheme="minorHAnsi" w:cstheme="minorHAnsi"/>
                <w:b/>
                <w:bCs/>
                <w:color w:val="000000"/>
                <w:sz w:val="18"/>
                <w:szCs w:val="18"/>
              </w:rPr>
            </w:pPr>
            <w:r w:rsidRPr="00B7760C">
              <w:rPr>
                <w:rFonts w:asciiTheme="minorHAnsi" w:hAnsiTheme="minorHAnsi" w:cstheme="minorHAnsi"/>
                <w:b/>
                <w:bCs/>
                <w:color w:val="000000"/>
                <w:sz w:val="18"/>
                <w:szCs w:val="18"/>
              </w:rPr>
              <w:t>Instrumenti za obvladovanje tveganj</w:t>
            </w:r>
          </w:p>
        </w:tc>
        <w:tc>
          <w:tcPr>
            <w:tcW w:w="3210" w:type="dxa"/>
            <w:tcBorders>
              <w:left w:val="single" w:sz="4" w:space="0" w:color="0070C0"/>
              <w:bottom w:val="single" w:sz="4" w:space="0" w:color="0070C0"/>
              <w:right w:val="single" w:sz="4" w:space="0" w:color="0070C0"/>
            </w:tcBorders>
            <w:shd w:val="clear" w:color="auto" w:fill="FFFFFF"/>
          </w:tcPr>
          <w:p w14:paraId="32E67534" w14:textId="77777777" w:rsidR="00182609" w:rsidRPr="00B7760C" w:rsidRDefault="00182609" w:rsidP="009D3E2B">
            <w:pPr>
              <w:widowControl/>
              <w:spacing w:before="120" w:after="120"/>
              <w:rPr>
                <w:rFonts w:asciiTheme="minorHAnsi" w:hAnsiTheme="minorHAnsi" w:cstheme="minorHAnsi"/>
                <w:b/>
                <w:color w:val="000000"/>
                <w:sz w:val="18"/>
                <w:szCs w:val="18"/>
              </w:rPr>
            </w:pPr>
            <w:r w:rsidRPr="00B7760C">
              <w:rPr>
                <w:rFonts w:asciiTheme="minorHAnsi" w:hAnsiTheme="minorHAnsi" w:cstheme="minorHAnsi"/>
                <w:color w:val="000000"/>
                <w:sz w:val="18"/>
                <w:szCs w:val="18"/>
              </w:rPr>
              <w:t>O.8</w:t>
            </w:r>
            <w:r w:rsidRPr="00B7760C">
              <w:rPr>
                <w:rFonts w:asciiTheme="minorHAnsi" w:hAnsiTheme="minorHAnsi" w:cstheme="minorHAnsi"/>
                <w:b/>
                <w:i/>
                <w:color w:val="000000"/>
                <w:sz w:val="18"/>
                <w:szCs w:val="18"/>
              </w:rPr>
              <w:t xml:space="preserve"> </w:t>
            </w:r>
            <w:r w:rsidRPr="00B7760C">
              <w:rPr>
                <w:rFonts w:asciiTheme="minorHAnsi" w:hAnsiTheme="minorHAnsi" w:cstheme="minorHAnsi"/>
                <w:color w:val="000000"/>
                <w:sz w:val="18"/>
                <w:szCs w:val="18"/>
              </w:rPr>
              <w:t>Število kmetov, vključenih v instrumente za obvladovanje tveganj, ki prejemajo podporo</w:t>
            </w:r>
          </w:p>
        </w:tc>
      </w:tr>
      <w:tr w:rsidR="00182609" w:rsidRPr="00B7760C" w14:paraId="2662764D" w14:textId="77777777" w:rsidTr="00A35DEB">
        <w:trPr>
          <w:trHeight w:val="709"/>
        </w:trPr>
        <w:tc>
          <w:tcPr>
            <w:tcW w:w="2277" w:type="dxa"/>
            <w:vMerge/>
            <w:tcBorders>
              <w:left w:val="single" w:sz="4" w:space="0" w:color="0070C0"/>
              <w:bottom w:val="single" w:sz="4" w:space="0" w:color="0070C0"/>
              <w:right w:val="single" w:sz="4" w:space="0" w:color="0070C0"/>
            </w:tcBorders>
            <w:hideMark/>
          </w:tcPr>
          <w:p w14:paraId="646DD57B" w14:textId="77777777" w:rsidR="00182609" w:rsidRPr="00B7760C" w:rsidRDefault="00182609" w:rsidP="009D3E2B">
            <w:pPr>
              <w:widowControl/>
              <w:spacing w:before="120" w:after="120" w:line="276" w:lineRule="auto"/>
              <w:rPr>
                <w:rFonts w:asciiTheme="minorHAnsi" w:hAnsiTheme="minorHAnsi" w:cstheme="minorHAnsi"/>
                <w:b/>
                <w:bCs/>
                <w:color w:val="000000"/>
                <w:sz w:val="18"/>
                <w:szCs w:val="18"/>
                <w:lang w:eastAsia="fr-BE"/>
              </w:rPr>
            </w:pPr>
          </w:p>
        </w:tc>
        <w:tc>
          <w:tcPr>
            <w:tcW w:w="3213" w:type="dxa"/>
            <w:tcBorders>
              <w:left w:val="single" w:sz="4" w:space="0" w:color="0070C0"/>
              <w:bottom w:val="single" w:sz="4" w:space="0" w:color="0070C0"/>
              <w:right w:val="single" w:sz="4" w:space="0" w:color="0070C0"/>
            </w:tcBorders>
            <w:noWrap/>
            <w:hideMark/>
          </w:tcPr>
          <w:p w14:paraId="64A3B3A3" w14:textId="77777777" w:rsidR="00182609" w:rsidRPr="00B7760C" w:rsidRDefault="00182609" w:rsidP="009D3E2B">
            <w:pPr>
              <w:widowControl/>
              <w:spacing w:before="120" w:after="120" w:line="276" w:lineRule="auto"/>
              <w:rPr>
                <w:rFonts w:asciiTheme="minorHAnsi" w:hAnsiTheme="minorHAnsi" w:cstheme="minorHAnsi"/>
                <w:sz w:val="18"/>
                <w:szCs w:val="18"/>
              </w:rPr>
            </w:pPr>
            <w:r w:rsidRPr="00B7760C">
              <w:rPr>
                <w:rFonts w:asciiTheme="minorHAnsi" w:hAnsiTheme="minorHAnsi" w:cstheme="minorHAnsi"/>
                <w:sz w:val="18"/>
                <w:szCs w:val="18"/>
              </w:rPr>
              <w:t>I.7 Izkoriščanje trgovine s kmetijskimi in živilskimi proizvodi: uvoz in izvoz v okviru trgovine s kmetijskimi in živilskimi proizvodi</w:t>
            </w:r>
          </w:p>
        </w:tc>
        <w:tc>
          <w:tcPr>
            <w:tcW w:w="4549" w:type="dxa"/>
            <w:tcBorders>
              <w:left w:val="single" w:sz="4" w:space="0" w:color="0070C0"/>
              <w:bottom w:val="single" w:sz="4" w:space="0" w:color="0070C0"/>
              <w:right w:val="single" w:sz="4" w:space="0" w:color="0070C0"/>
            </w:tcBorders>
          </w:tcPr>
          <w:p w14:paraId="772F59E4" w14:textId="77777777" w:rsidR="00182609" w:rsidRPr="00B7760C" w:rsidRDefault="00182609" w:rsidP="009D3E2B">
            <w:pPr>
              <w:widowControl/>
              <w:spacing w:before="120" w:after="120" w:line="276" w:lineRule="auto"/>
              <w:rPr>
                <w:rFonts w:asciiTheme="minorHAnsi" w:hAnsiTheme="minorHAnsi" w:cstheme="minorHAnsi"/>
                <w:sz w:val="18"/>
                <w:szCs w:val="18"/>
              </w:rPr>
            </w:pPr>
            <w:r w:rsidRPr="00B7760C">
              <w:rPr>
                <w:rFonts w:asciiTheme="minorHAnsi" w:hAnsiTheme="minorHAnsi" w:cstheme="minorHAnsi"/>
                <w:sz w:val="18"/>
                <w:szCs w:val="18"/>
              </w:rPr>
              <w:t xml:space="preserve">R.9 </w:t>
            </w:r>
            <w:r w:rsidRPr="00B7760C">
              <w:rPr>
                <w:rFonts w:asciiTheme="minorHAnsi" w:hAnsiTheme="minorHAnsi" w:cstheme="minorHAnsi"/>
                <w:bCs/>
                <w:sz w:val="18"/>
                <w:szCs w:val="18"/>
              </w:rPr>
              <w:t xml:space="preserve">Modernizacija kmetij: </w:t>
            </w:r>
            <w:r w:rsidRPr="00B7760C">
              <w:rPr>
                <w:rFonts w:asciiTheme="minorHAnsi" w:hAnsiTheme="minorHAnsi" w:cstheme="minorHAnsi"/>
                <w:sz w:val="18"/>
                <w:szCs w:val="18"/>
              </w:rPr>
              <w:t>delež kmetov, ki prejemajo podporo za naložbe v prestrukturiranje in modernizacijo, vključno za učinkovitejšo rabo virov</w:t>
            </w:r>
          </w:p>
        </w:tc>
        <w:tc>
          <w:tcPr>
            <w:tcW w:w="236" w:type="dxa"/>
            <w:tcBorders>
              <w:left w:val="single" w:sz="4" w:space="0" w:color="0070C0"/>
              <w:right w:val="single" w:sz="4" w:space="0" w:color="0070C0"/>
            </w:tcBorders>
          </w:tcPr>
          <w:p w14:paraId="6E986C52" w14:textId="77777777" w:rsidR="00182609" w:rsidRPr="00B7760C" w:rsidRDefault="00182609" w:rsidP="009D3E2B">
            <w:pPr>
              <w:widowControl/>
              <w:spacing w:before="120" w:after="120" w:line="276" w:lineRule="auto"/>
              <w:rPr>
                <w:rFonts w:asciiTheme="minorHAnsi" w:hAnsiTheme="minorHAnsi" w:cstheme="minorHAnsi"/>
                <w:sz w:val="18"/>
                <w:szCs w:val="18"/>
                <w:lang w:eastAsia="fr-BE"/>
              </w:rPr>
            </w:pPr>
          </w:p>
        </w:tc>
        <w:tc>
          <w:tcPr>
            <w:tcW w:w="1648" w:type="dxa"/>
            <w:tcBorders>
              <w:top w:val="single" w:sz="4" w:space="0" w:color="0070C0"/>
              <w:left w:val="single" w:sz="4" w:space="0" w:color="0070C0"/>
              <w:right w:val="single" w:sz="4" w:space="0" w:color="0070C0"/>
            </w:tcBorders>
          </w:tcPr>
          <w:p w14:paraId="68808697" w14:textId="77777777" w:rsidR="00182609" w:rsidRPr="00B7760C" w:rsidRDefault="00182609" w:rsidP="009D3E2B">
            <w:pPr>
              <w:widowControl/>
              <w:spacing w:before="120" w:after="120"/>
              <w:rPr>
                <w:rFonts w:asciiTheme="minorHAnsi" w:hAnsiTheme="minorHAnsi" w:cstheme="minorHAnsi"/>
                <w:b/>
                <w:bCs/>
                <w:color w:val="000000"/>
                <w:sz w:val="18"/>
                <w:szCs w:val="18"/>
              </w:rPr>
            </w:pPr>
            <w:r w:rsidRPr="00B7760C">
              <w:rPr>
                <w:rFonts w:asciiTheme="minorHAnsi" w:hAnsiTheme="minorHAnsi" w:cstheme="minorHAnsi"/>
                <w:b/>
                <w:bCs/>
                <w:color w:val="000000"/>
                <w:sz w:val="18"/>
                <w:szCs w:val="18"/>
              </w:rPr>
              <w:t>Vezana podpora</w:t>
            </w:r>
          </w:p>
        </w:tc>
        <w:tc>
          <w:tcPr>
            <w:tcW w:w="3210" w:type="dxa"/>
            <w:tcBorders>
              <w:top w:val="single" w:sz="4" w:space="0" w:color="0070C0"/>
              <w:left w:val="single" w:sz="4" w:space="0" w:color="0070C0"/>
              <w:right w:val="single" w:sz="4" w:space="0" w:color="0070C0"/>
            </w:tcBorders>
          </w:tcPr>
          <w:p w14:paraId="25B831FD" w14:textId="77777777" w:rsidR="00182609" w:rsidRPr="00B7760C" w:rsidRDefault="00182609" w:rsidP="009D3E2B">
            <w:pPr>
              <w:widowControl/>
              <w:spacing w:before="120" w:after="120"/>
              <w:rPr>
                <w:rFonts w:asciiTheme="minorHAnsi" w:hAnsiTheme="minorHAnsi" w:cstheme="minorHAnsi"/>
                <w:b/>
                <w:color w:val="000000"/>
                <w:sz w:val="18"/>
                <w:szCs w:val="18"/>
              </w:rPr>
            </w:pPr>
            <w:r w:rsidRPr="00B7760C">
              <w:rPr>
                <w:rFonts w:asciiTheme="minorHAnsi" w:hAnsiTheme="minorHAnsi" w:cstheme="minorHAnsi"/>
                <w:color w:val="000000"/>
                <w:sz w:val="18"/>
                <w:szCs w:val="18"/>
              </w:rPr>
              <w:t xml:space="preserve">O.9 Število hektarov, ki prejemajo vezano podporo </w:t>
            </w:r>
          </w:p>
        </w:tc>
      </w:tr>
      <w:tr w:rsidR="00182609" w:rsidRPr="00B7760C" w14:paraId="0D65EB3F" w14:textId="77777777" w:rsidTr="00A35DEB">
        <w:trPr>
          <w:trHeight w:val="935"/>
        </w:trPr>
        <w:tc>
          <w:tcPr>
            <w:tcW w:w="2277" w:type="dxa"/>
            <w:vMerge w:val="restart"/>
            <w:tcBorders>
              <w:top w:val="single" w:sz="4" w:space="0" w:color="0070C0"/>
              <w:left w:val="single" w:sz="4" w:space="0" w:color="0070C0"/>
              <w:right w:val="single" w:sz="4" w:space="0" w:color="0070C0"/>
            </w:tcBorders>
            <w:vAlign w:val="center"/>
            <w:hideMark/>
          </w:tcPr>
          <w:p w14:paraId="2A613513" w14:textId="77777777" w:rsidR="00182609" w:rsidRPr="00B7760C" w:rsidRDefault="00182609" w:rsidP="009D3E2B">
            <w:pPr>
              <w:widowControl/>
              <w:spacing w:before="120" w:after="120" w:line="276" w:lineRule="auto"/>
              <w:rPr>
                <w:rFonts w:asciiTheme="minorHAnsi" w:hAnsiTheme="minorHAnsi" w:cstheme="minorHAnsi"/>
                <w:bCs/>
                <w:color w:val="000000"/>
                <w:sz w:val="18"/>
                <w:szCs w:val="18"/>
              </w:rPr>
            </w:pPr>
            <w:r w:rsidRPr="00B7760C">
              <w:rPr>
                <w:rFonts w:asciiTheme="minorHAnsi" w:hAnsiTheme="minorHAnsi" w:cstheme="minorHAnsi"/>
                <w:sz w:val="18"/>
                <w:szCs w:val="18"/>
              </w:rPr>
              <w:t xml:space="preserve">Izboljšanje </w:t>
            </w:r>
            <w:r w:rsidRPr="00B7760C">
              <w:rPr>
                <w:rFonts w:asciiTheme="minorHAnsi" w:hAnsiTheme="minorHAnsi" w:cstheme="minorHAnsi"/>
                <w:b/>
                <w:i/>
                <w:sz w:val="18"/>
                <w:szCs w:val="18"/>
              </w:rPr>
              <w:t>pogajalskega</w:t>
            </w:r>
            <w:r w:rsidRPr="00B7760C">
              <w:rPr>
                <w:rFonts w:asciiTheme="minorHAnsi" w:hAnsiTheme="minorHAnsi" w:cstheme="minorHAnsi"/>
                <w:sz w:val="18"/>
                <w:szCs w:val="18"/>
              </w:rPr>
              <w:t xml:space="preserve"> položaja kmetov v</w:t>
            </w:r>
            <w:r w:rsidRPr="00B7760C">
              <w:rPr>
                <w:rFonts w:asciiTheme="minorHAnsi" w:hAnsiTheme="minorHAnsi" w:cstheme="minorHAnsi"/>
                <w:b/>
                <w:i/>
                <w:sz w:val="18"/>
                <w:szCs w:val="18"/>
              </w:rPr>
              <w:t xml:space="preserve"> vrednostnih verigah s spodbujanjem združenj, organizacij proizvajalcev in kolektivnih pogajanj ter spodbujanjem kratkih dobavnih verig</w:t>
            </w:r>
          </w:p>
        </w:tc>
        <w:tc>
          <w:tcPr>
            <w:tcW w:w="3213" w:type="dxa"/>
            <w:tcBorders>
              <w:top w:val="single" w:sz="4" w:space="0" w:color="0070C0"/>
              <w:left w:val="single" w:sz="4" w:space="0" w:color="0070C0"/>
              <w:right w:val="single" w:sz="4" w:space="0" w:color="0070C0"/>
            </w:tcBorders>
            <w:hideMark/>
          </w:tcPr>
          <w:p w14:paraId="6E3DF038" w14:textId="77777777" w:rsidR="00182609" w:rsidRPr="00B7760C" w:rsidRDefault="00182609" w:rsidP="009D3E2B">
            <w:pPr>
              <w:widowControl/>
              <w:spacing w:before="120" w:after="120" w:line="276" w:lineRule="auto"/>
              <w:rPr>
                <w:rFonts w:asciiTheme="minorHAnsi" w:hAnsiTheme="minorHAnsi" w:cstheme="minorHAnsi"/>
                <w:sz w:val="18"/>
                <w:szCs w:val="18"/>
              </w:rPr>
            </w:pPr>
            <w:r w:rsidRPr="00B7760C">
              <w:rPr>
                <w:rFonts w:asciiTheme="minorHAnsi" w:hAnsiTheme="minorHAnsi" w:cstheme="minorHAnsi"/>
                <w:sz w:val="18"/>
                <w:szCs w:val="18"/>
              </w:rPr>
              <w:t>I.8 Izboljšanje položaja kmetov v prehranski verigi: dodana vrednost za primarne proizvajalce v prehranski verigi</w:t>
            </w:r>
          </w:p>
        </w:tc>
        <w:tc>
          <w:tcPr>
            <w:tcW w:w="4549" w:type="dxa"/>
            <w:tcBorders>
              <w:top w:val="single" w:sz="4" w:space="0" w:color="0070C0"/>
              <w:left w:val="single" w:sz="4" w:space="0" w:color="0070C0"/>
              <w:right w:val="single" w:sz="4" w:space="0" w:color="0070C0"/>
            </w:tcBorders>
          </w:tcPr>
          <w:p w14:paraId="593577C6" w14:textId="77777777" w:rsidR="00182609" w:rsidRPr="00B7760C" w:rsidRDefault="00182609" w:rsidP="009D3E2B">
            <w:pPr>
              <w:widowControl/>
              <w:spacing w:before="120" w:after="120" w:line="276" w:lineRule="auto"/>
              <w:rPr>
                <w:rFonts w:asciiTheme="minorHAnsi" w:hAnsiTheme="minorHAnsi" w:cstheme="minorHAnsi"/>
                <w:bCs/>
                <w:sz w:val="18"/>
                <w:szCs w:val="18"/>
              </w:rPr>
            </w:pPr>
            <w:r w:rsidRPr="00B7760C">
              <w:rPr>
                <w:rFonts w:asciiTheme="minorHAnsi" w:hAnsiTheme="minorHAnsi" w:cstheme="minorHAnsi"/>
                <w:bCs/>
                <w:sz w:val="18"/>
                <w:szCs w:val="18"/>
              </w:rPr>
              <w:t xml:space="preserve">R.10 Boljša organizacija dobavne verige: </w:t>
            </w:r>
            <w:r w:rsidRPr="00B7760C">
              <w:rPr>
                <w:rFonts w:asciiTheme="minorHAnsi" w:hAnsiTheme="minorHAnsi" w:cstheme="minorHAnsi"/>
                <w:sz w:val="18"/>
                <w:szCs w:val="18"/>
              </w:rPr>
              <w:t>delež kmetov, ki sodelujejo v skupinah proizvajalcev, organizacijah proizvajalcev, na lokalnih trgih, v kratkih dobavnih verigah in shemah kakovosti, ki prejemajo podporo</w:t>
            </w:r>
          </w:p>
        </w:tc>
        <w:tc>
          <w:tcPr>
            <w:tcW w:w="236" w:type="dxa"/>
            <w:tcBorders>
              <w:left w:val="single" w:sz="4" w:space="0" w:color="0070C0"/>
              <w:right w:val="single" w:sz="4" w:space="0" w:color="0070C0"/>
            </w:tcBorders>
          </w:tcPr>
          <w:p w14:paraId="7340C244" w14:textId="77777777" w:rsidR="00182609" w:rsidRPr="00B7760C" w:rsidRDefault="00182609" w:rsidP="009D3E2B">
            <w:pPr>
              <w:widowControl/>
              <w:spacing w:before="120" w:after="120" w:line="276" w:lineRule="auto"/>
              <w:rPr>
                <w:rFonts w:asciiTheme="minorHAnsi" w:hAnsiTheme="minorHAnsi" w:cstheme="minorHAnsi"/>
                <w:sz w:val="18"/>
                <w:szCs w:val="18"/>
                <w:lang w:eastAsia="fr-BE"/>
              </w:rPr>
            </w:pPr>
          </w:p>
        </w:tc>
        <w:tc>
          <w:tcPr>
            <w:tcW w:w="1648" w:type="dxa"/>
            <w:tcBorders>
              <w:left w:val="single" w:sz="4" w:space="0" w:color="0070C0"/>
              <w:bottom w:val="single" w:sz="4" w:space="0" w:color="0070C0"/>
              <w:right w:val="single" w:sz="4" w:space="0" w:color="0070C0"/>
            </w:tcBorders>
          </w:tcPr>
          <w:p w14:paraId="166994A8" w14:textId="77777777" w:rsidR="00182609" w:rsidRPr="00B7760C" w:rsidRDefault="00182609" w:rsidP="009D3E2B">
            <w:pPr>
              <w:widowControl/>
              <w:spacing w:before="120" w:after="120"/>
              <w:rPr>
                <w:rFonts w:asciiTheme="minorHAnsi" w:hAnsiTheme="minorHAnsi" w:cstheme="minorHAnsi"/>
                <w:bCs/>
                <w:color w:val="000000"/>
                <w:sz w:val="18"/>
                <w:szCs w:val="18"/>
                <w:lang w:eastAsia="fr-BE"/>
              </w:rPr>
            </w:pPr>
          </w:p>
        </w:tc>
        <w:tc>
          <w:tcPr>
            <w:tcW w:w="3210" w:type="dxa"/>
            <w:tcBorders>
              <w:left w:val="single" w:sz="4" w:space="0" w:color="0070C0"/>
              <w:bottom w:val="single" w:sz="4" w:space="0" w:color="0070C0"/>
              <w:right w:val="single" w:sz="4" w:space="0" w:color="0070C0"/>
            </w:tcBorders>
          </w:tcPr>
          <w:p w14:paraId="6B789E83" w14:textId="77777777" w:rsidR="00182609" w:rsidRPr="00B7760C" w:rsidRDefault="00182609" w:rsidP="009D3E2B">
            <w:pPr>
              <w:widowControl/>
              <w:spacing w:before="120" w:after="120"/>
              <w:rPr>
                <w:rFonts w:asciiTheme="minorHAnsi" w:hAnsiTheme="minorHAnsi" w:cstheme="minorHAnsi"/>
                <w:sz w:val="18"/>
                <w:szCs w:val="18"/>
              </w:rPr>
            </w:pPr>
            <w:r w:rsidRPr="00B7760C">
              <w:rPr>
                <w:rFonts w:asciiTheme="minorHAnsi" w:hAnsiTheme="minorHAnsi" w:cstheme="minorHAnsi"/>
                <w:color w:val="000000"/>
                <w:sz w:val="18"/>
                <w:szCs w:val="18"/>
              </w:rPr>
              <w:t>O.10 Število glav živine, ki prejemajo vezano podporo</w:t>
            </w:r>
          </w:p>
        </w:tc>
      </w:tr>
      <w:tr w:rsidR="00182609" w:rsidRPr="00B7760C" w14:paraId="180B9AAB" w14:textId="77777777" w:rsidTr="00A35DEB">
        <w:trPr>
          <w:trHeight w:val="935"/>
        </w:trPr>
        <w:tc>
          <w:tcPr>
            <w:tcW w:w="2277" w:type="dxa"/>
            <w:vMerge/>
            <w:tcBorders>
              <w:top w:val="single" w:sz="4" w:space="0" w:color="0070C0"/>
              <w:left w:val="single" w:sz="4" w:space="0" w:color="0070C0"/>
              <w:right w:val="single" w:sz="4" w:space="0" w:color="0070C0"/>
            </w:tcBorders>
            <w:vAlign w:val="center"/>
          </w:tcPr>
          <w:p w14:paraId="19FE99D8" w14:textId="77777777" w:rsidR="00182609" w:rsidRPr="00B7760C" w:rsidRDefault="00182609" w:rsidP="009D3E2B">
            <w:pPr>
              <w:widowControl/>
              <w:spacing w:before="120" w:after="120" w:line="276" w:lineRule="auto"/>
              <w:rPr>
                <w:rFonts w:asciiTheme="minorHAnsi" w:hAnsiTheme="minorHAnsi" w:cstheme="minorHAnsi"/>
                <w:bCs/>
                <w:color w:val="000000"/>
                <w:sz w:val="18"/>
                <w:szCs w:val="18"/>
                <w:lang w:eastAsia="fr-BE"/>
              </w:rPr>
            </w:pPr>
          </w:p>
        </w:tc>
        <w:tc>
          <w:tcPr>
            <w:tcW w:w="3213" w:type="dxa"/>
            <w:tcBorders>
              <w:top w:val="single" w:sz="4" w:space="0" w:color="0070C0"/>
              <w:left w:val="single" w:sz="4" w:space="0" w:color="0070C0"/>
              <w:right w:val="single" w:sz="4" w:space="0" w:color="0070C0"/>
            </w:tcBorders>
          </w:tcPr>
          <w:p w14:paraId="5760B1A8" w14:textId="77777777" w:rsidR="00182609" w:rsidRPr="00B7760C" w:rsidRDefault="00182609" w:rsidP="009D3E2B">
            <w:pPr>
              <w:widowControl/>
              <w:spacing w:before="120" w:after="120" w:line="276" w:lineRule="auto"/>
              <w:rPr>
                <w:rFonts w:asciiTheme="minorHAnsi" w:hAnsiTheme="minorHAnsi" w:cstheme="minorHAnsi"/>
                <w:b/>
                <w:sz w:val="18"/>
                <w:szCs w:val="18"/>
                <w:lang w:eastAsia="fr-BE"/>
              </w:rPr>
            </w:pPr>
          </w:p>
        </w:tc>
        <w:tc>
          <w:tcPr>
            <w:tcW w:w="4549" w:type="dxa"/>
            <w:tcBorders>
              <w:top w:val="single" w:sz="4" w:space="0" w:color="0070C0"/>
              <w:left w:val="single" w:sz="4" w:space="0" w:color="0070C0"/>
              <w:right w:val="single" w:sz="4" w:space="0" w:color="0070C0"/>
            </w:tcBorders>
          </w:tcPr>
          <w:p w14:paraId="338C7118" w14:textId="77777777" w:rsidR="00182609" w:rsidRPr="00B7760C" w:rsidRDefault="00182609" w:rsidP="009D3E2B">
            <w:pPr>
              <w:widowControl/>
              <w:spacing w:before="120" w:after="120" w:line="276" w:lineRule="auto"/>
              <w:rPr>
                <w:rFonts w:asciiTheme="minorHAnsi" w:hAnsiTheme="minorHAnsi" w:cstheme="minorHAnsi"/>
                <w:bCs/>
                <w:sz w:val="18"/>
                <w:szCs w:val="18"/>
                <w:lang w:eastAsia="fr-BE"/>
              </w:rPr>
            </w:pPr>
          </w:p>
        </w:tc>
        <w:tc>
          <w:tcPr>
            <w:tcW w:w="236" w:type="dxa"/>
            <w:tcBorders>
              <w:left w:val="single" w:sz="4" w:space="0" w:color="0070C0"/>
              <w:right w:val="single" w:sz="4" w:space="0" w:color="0070C0"/>
            </w:tcBorders>
          </w:tcPr>
          <w:p w14:paraId="2DDB713F" w14:textId="77777777" w:rsidR="00182609" w:rsidRPr="00B7760C" w:rsidRDefault="00182609" w:rsidP="009D3E2B">
            <w:pPr>
              <w:widowControl/>
              <w:spacing w:before="120" w:after="120" w:line="276" w:lineRule="auto"/>
              <w:rPr>
                <w:rFonts w:asciiTheme="minorHAnsi" w:hAnsiTheme="minorHAnsi" w:cstheme="minorHAnsi"/>
                <w:sz w:val="18"/>
                <w:szCs w:val="18"/>
                <w:lang w:eastAsia="fr-BE"/>
              </w:rPr>
            </w:pPr>
          </w:p>
        </w:tc>
        <w:tc>
          <w:tcPr>
            <w:tcW w:w="1648" w:type="dxa"/>
            <w:tcBorders>
              <w:left w:val="single" w:sz="4" w:space="0" w:color="0070C0"/>
              <w:bottom w:val="single" w:sz="4" w:space="0" w:color="0070C0"/>
              <w:right w:val="single" w:sz="4" w:space="0" w:color="0070C0"/>
            </w:tcBorders>
          </w:tcPr>
          <w:p w14:paraId="56945B52" w14:textId="77777777" w:rsidR="00182609" w:rsidRPr="00B7760C" w:rsidRDefault="00182609" w:rsidP="009D3E2B">
            <w:pPr>
              <w:widowControl/>
              <w:spacing w:before="120" w:after="120"/>
              <w:rPr>
                <w:rFonts w:asciiTheme="minorHAnsi" w:hAnsiTheme="minorHAnsi" w:cstheme="minorHAnsi"/>
                <w:b/>
                <w:bCs/>
                <w:color w:val="000000"/>
                <w:sz w:val="18"/>
                <w:szCs w:val="18"/>
                <w:lang w:eastAsia="fr-BE"/>
              </w:rPr>
            </w:pPr>
          </w:p>
        </w:tc>
        <w:tc>
          <w:tcPr>
            <w:tcW w:w="3210" w:type="dxa"/>
            <w:tcBorders>
              <w:left w:val="single" w:sz="4" w:space="0" w:color="0070C0"/>
              <w:bottom w:val="single" w:sz="4" w:space="0" w:color="0070C0"/>
              <w:right w:val="single" w:sz="4" w:space="0" w:color="0070C0"/>
            </w:tcBorders>
          </w:tcPr>
          <w:p w14:paraId="1480460A" w14:textId="77777777" w:rsidR="00182609" w:rsidRPr="00B7760C" w:rsidRDefault="00182609" w:rsidP="009D3E2B">
            <w:pPr>
              <w:widowControl/>
              <w:spacing w:before="120" w:after="120"/>
              <w:rPr>
                <w:rFonts w:asciiTheme="minorHAnsi" w:hAnsiTheme="minorHAnsi" w:cstheme="minorHAnsi"/>
                <w:b/>
                <w:i/>
                <w:color w:val="000000"/>
                <w:sz w:val="18"/>
                <w:szCs w:val="18"/>
              </w:rPr>
            </w:pPr>
            <w:r w:rsidRPr="00B7760C">
              <w:rPr>
                <w:rFonts w:asciiTheme="minorHAnsi" w:hAnsiTheme="minorHAnsi" w:cstheme="minorHAnsi"/>
                <w:b/>
                <w:i/>
                <w:color w:val="000000"/>
                <w:sz w:val="18"/>
                <w:szCs w:val="18"/>
              </w:rPr>
              <w:t>O.10a Število hektarov, za katere veljajo obveznosti za pridelavo stročnic</w:t>
            </w:r>
          </w:p>
        </w:tc>
      </w:tr>
      <w:tr w:rsidR="00182609" w:rsidRPr="00B7760C" w14:paraId="246D3A97" w14:textId="77777777" w:rsidTr="00A35DEB">
        <w:trPr>
          <w:trHeight w:val="393"/>
        </w:trPr>
        <w:tc>
          <w:tcPr>
            <w:tcW w:w="2277" w:type="dxa"/>
            <w:vMerge/>
            <w:tcBorders>
              <w:left w:val="single" w:sz="4" w:space="0" w:color="0070C0"/>
              <w:bottom w:val="single" w:sz="4" w:space="0" w:color="0070C0"/>
              <w:right w:val="single" w:sz="4" w:space="0" w:color="0070C0"/>
            </w:tcBorders>
          </w:tcPr>
          <w:p w14:paraId="10394BF8" w14:textId="77777777" w:rsidR="00182609" w:rsidRPr="00B7760C" w:rsidRDefault="00182609" w:rsidP="009D3E2B">
            <w:pPr>
              <w:widowControl/>
              <w:spacing w:before="120" w:after="120" w:line="276" w:lineRule="auto"/>
              <w:rPr>
                <w:rFonts w:asciiTheme="minorHAnsi" w:hAnsiTheme="minorHAnsi" w:cstheme="minorHAnsi"/>
                <w:b/>
                <w:bCs/>
                <w:color w:val="000000"/>
                <w:sz w:val="18"/>
                <w:szCs w:val="18"/>
                <w:lang w:eastAsia="fr-BE"/>
              </w:rPr>
            </w:pPr>
          </w:p>
        </w:tc>
        <w:tc>
          <w:tcPr>
            <w:tcW w:w="3213" w:type="dxa"/>
            <w:tcBorders>
              <w:left w:val="single" w:sz="4" w:space="0" w:color="0070C0"/>
              <w:bottom w:val="single" w:sz="4" w:space="0" w:color="0070C0"/>
              <w:right w:val="single" w:sz="4" w:space="0" w:color="0070C0"/>
            </w:tcBorders>
          </w:tcPr>
          <w:p w14:paraId="01242544" w14:textId="77777777" w:rsidR="00182609" w:rsidRPr="00B7760C" w:rsidRDefault="00182609" w:rsidP="009D3E2B">
            <w:pPr>
              <w:widowControl/>
              <w:spacing w:before="120" w:after="120" w:line="276" w:lineRule="auto"/>
              <w:rPr>
                <w:rFonts w:asciiTheme="minorHAnsi" w:hAnsiTheme="minorHAnsi" w:cstheme="minorHAnsi"/>
                <w:b/>
                <w:sz w:val="18"/>
                <w:szCs w:val="18"/>
                <w:lang w:eastAsia="fr-BE"/>
              </w:rPr>
            </w:pPr>
          </w:p>
        </w:tc>
        <w:tc>
          <w:tcPr>
            <w:tcW w:w="4549" w:type="dxa"/>
            <w:tcBorders>
              <w:left w:val="single" w:sz="4" w:space="0" w:color="0070C0"/>
              <w:bottom w:val="single" w:sz="4" w:space="0" w:color="0070C0"/>
              <w:right w:val="single" w:sz="4" w:space="0" w:color="0070C0"/>
            </w:tcBorders>
          </w:tcPr>
          <w:p w14:paraId="62B64FB5" w14:textId="77777777" w:rsidR="00182609" w:rsidRPr="00B7760C" w:rsidRDefault="00182609" w:rsidP="009D3E2B">
            <w:pPr>
              <w:widowControl/>
              <w:spacing w:before="120" w:after="120" w:line="276" w:lineRule="auto"/>
              <w:rPr>
                <w:rFonts w:asciiTheme="minorHAnsi" w:hAnsiTheme="minorHAnsi" w:cstheme="minorHAnsi"/>
                <w:sz w:val="18"/>
                <w:szCs w:val="18"/>
              </w:rPr>
            </w:pPr>
            <w:r w:rsidRPr="00B7760C">
              <w:rPr>
                <w:rFonts w:asciiTheme="minorHAnsi" w:hAnsiTheme="minorHAnsi" w:cstheme="minorHAnsi"/>
                <w:sz w:val="18"/>
                <w:szCs w:val="18"/>
              </w:rPr>
              <w:t>R.11 Koncentracija ponudbe:</w:t>
            </w:r>
            <w:r w:rsidRPr="00B7760C">
              <w:rPr>
                <w:rFonts w:asciiTheme="minorHAnsi" w:hAnsiTheme="minorHAnsi" w:cstheme="minorHAnsi"/>
                <w:bCs/>
                <w:sz w:val="18"/>
                <w:szCs w:val="18"/>
              </w:rPr>
              <w:t xml:space="preserve"> </w:t>
            </w:r>
            <w:r w:rsidRPr="00B7760C">
              <w:rPr>
                <w:rFonts w:asciiTheme="minorHAnsi" w:hAnsiTheme="minorHAnsi" w:cstheme="minorHAnsi"/>
                <w:sz w:val="18"/>
                <w:szCs w:val="18"/>
              </w:rPr>
              <w:t>delež vrednosti tržne proizvodnje s strani organizacij proizvajalcev z operativnimi programi</w:t>
            </w:r>
          </w:p>
        </w:tc>
        <w:tc>
          <w:tcPr>
            <w:tcW w:w="236" w:type="dxa"/>
            <w:tcBorders>
              <w:left w:val="single" w:sz="4" w:space="0" w:color="0070C0"/>
              <w:right w:val="single" w:sz="4" w:space="0" w:color="0070C0"/>
            </w:tcBorders>
          </w:tcPr>
          <w:p w14:paraId="071CC0D4" w14:textId="77777777" w:rsidR="00182609" w:rsidRPr="00B7760C" w:rsidRDefault="00182609" w:rsidP="009D3E2B">
            <w:pPr>
              <w:widowControl/>
              <w:spacing w:before="120" w:after="120" w:line="276" w:lineRule="auto"/>
              <w:rPr>
                <w:rFonts w:asciiTheme="minorHAnsi" w:hAnsiTheme="minorHAnsi" w:cstheme="minorHAnsi"/>
                <w:sz w:val="18"/>
                <w:szCs w:val="18"/>
                <w:lang w:eastAsia="fr-BE"/>
              </w:rPr>
            </w:pPr>
          </w:p>
        </w:tc>
        <w:tc>
          <w:tcPr>
            <w:tcW w:w="1648" w:type="dxa"/>
            <w:tcBorders>
              <w:top w:val="single" w:sz="4" w:space="0" w:color="0070C0"/>
              <w:left w:val="single" w:sz="4" w:space="0" w:color="0070C0"/>
              <w:right w:val="single" w:sz="4" w:space="0" w:color="0070C0"/>
            </w:tcBorders>
          </w:tcPr>
          <w:p w14:paraId="751E3D6F" w14:textId="77777777" w:rsidR="00182609" w:rsidRPr="00B7760C" w:rsidRDefault="00182609" w:rsidP="009D3E2B">
            <w:pPr>
              <w:widowControl/>
              <w:spacing w:before="120" w:after="120"/>
              <w:rPr>
                <w:rFonts w:asciiTheme="minorHAnsi" w:hAnsiTheme="minorHAnsi" w:cstheme="minorHAnsi"/>
                <w:b/>
                <w:bCs/>
                <w:color w:val="000000"/>
                <w:sz w:val="18"/>
                <w:szCs w:val="18"/>
              </w:rPr>
            </w:pPr>
            <w:r w:rsidRPr="00B7760C">
              <w:rPr>
                <w:rFonts w:asciiTheme="minorHAnsi" w:hAnsiTheme="minorHAnsi" w:cstheme="minorHAnsi"/>
                <w:b/>
                <w:bCs/>
                <w:color w:val="000000"/>
                <w:sz w:val="18"/>
                <w:szCs w:val="18"/>
              </w:rPr>
              <w:t>Plačila za naravne omejitve in druge regije s posebnimi omejitvami</w:t>
            </w:r>
          </w:p>
        </w:tc>
        <w:tc>
          <w:tcPr>
            <w:tcW w:w="3210" w:type="dxa"/>
            <w:tcBorders>
              <w:top w:val="single" w:sz="4" w:space="0" w:color="0070C0"/>
              <w:left w:val="single" w:sz="4" w:space="0" w:color="0070C0"/>
              <w:right w:val="single" w:sz="4" w:space="0" w:color="0070C0"/>
            </w:tcBorders>
          </w:tcPr>
          <w:p w14:paraId="2427C2E9" w14:textId="77777777" w:rsidR="00182609" w:rsidRPr="00B7760C" w:rsidRDefault="00182609" w:rsidP="009D3E2B">
            <w:pPr>
              <w:widowControl/>
              <w:spacing w:before="120" w:after="120"/>
              <w:rPr>
                <w:rFonts w:asciiTheme="minorHAnsi" w:hAnsiTheme="minorHAnsi" w:cstheme="minorHAnsi"/>
                <w:color w:val="000000"/>
                <w:sz w:val="18"/>
                <w:szCs w:val="18"/>
              </w:rPr>
            </w:pPr>
            <w:r w:rsidRPr="00B7760C">
              <w:rPr>
                <w:rFonts w:asciiTheme="minorHAnsi" w:hAnsiTheme="minorHAnsi" w:cstheme="minorHAnsi"/>
                <w:color w:val="000000"/>
                <w:sz w:val="18"/>
                <w:szCs w:val="18"/>
              </w:rPr>
              <w:t>O.11 Število hektarov, ki prejemajo dodatek za območja z naravnimi omejitvami (3 kategorije)</w:t>
            </w:r>
          </w:p>
        </w:tc>
      </w:tr>
      <w:tr w:rsidR="00182609" w:rsidRPr="00B7760C" w14:paraId="4DB502EC" w14:textId="77777777" w:rsidTr="00A35DEB">
        <w:trPr>
          <w:trHeight w:val="487"/>
        </w:trPr>
        <w:tc>
          <w:tcPr>
            <w:tcW w:w="2277" w:type="dxa"/>
            <w:vMerge w:val="restart"/>
            <w:tcBorders>
              <w:top w:val="single" w:sz="4" w:space="0" w:color="0070C0"/>
              <w:left w:val="single" w:sz="4" w:space="0" w:color="0070C0"/>
              <w:right w:val="single" w:sz="4" w:space="0" w:color="0070C0"/>
            </w:tcBorders>
            <w:vAlign w:val="center"/>
            <w:hideMark/>
          </w:tcPr>
          <w:p w14:paraId="0D6D7372" w14:textId="77777777" w:rsidR="00182609" w:rsidRPr="00B7760C" w:rsidRDefault="00182609" w:rsidP="009D3E2B">
            <w:pPr>
              <w:widowControl/>
              <w:spacing w:before="120" w:after="120" w:line="276" w:lineRule="auto"/>
              <w:rPr>
                <w:rFonts w:asciiTheme="minorHAnsi" w:hAnsiTheme="minorHAnsi" w:cstheme="minorHAnsi"/>
                <w:b/>
                <w:bCs/>
                <w:color w:val="000000"/>
                <w:sz w:val="18"/>
                <w:szCs w:val="18"/>
              </w:rPr>
            </w:pPr>
            <w:r w:rsidRPr="00B7760C">
              <w:rPr>
                <w:rFonts w:asciiTheme="minorHAnsi" w:hAnsiTheme="minorHAnsi" w:cstheme="minorHAnsi"/>
                <w:sz w:val="18"/>
                <w:szCs w:val="18"/>
              </w:rPr>
              <w:t>prispevanje k blažitvi podnebnih sprememb in prilagajanju nanje</w:t>
            </w:r>
            <w:r w:rsidRPr="00B7760C">
              <w:rPr>
                <w:rFonts w:asciiTheme="minorHAnsi" w:hAnsiTheme="minorHAnsi" w:cstheme="minorHAnsi"/>
                <w:b/>
                <w:i/>
                <w:sz w:val="18"/>
                <w:szCs w:val="18"/>
              </w:rPr>
              <w:t xml:space="preserve"> z zmanjševanjem emisij toplogrednih plinov, vključno s povečanjem ponorov ogljika, sekvestracijo in skladiščenjem ogljika v kmetijskem in živilskem sektorju ter vključevanjem trajnostne energije, ob zagotavljanju prehranske varnosti ter trajnostnega upravljanja in varstva gozdov v skladu s Pariškim sporazumom;</w:t>
            </w:r>
            <w:r w:rsidRPr="00B7760C">
              <w:rPr>
                <w:rFonts w:asciiTheme="minorHAnsi" w:hAnsiTheme="minorHAnsi" w:cstheme="minorHAnsi"/>
                <w:b/>
                <w:bCs/>
                <w:color w:val="000000"/>
                <w:sz w:val="18"/>
                <w:szCs w:val="18"/>
              </w:rPr>
              <w:t> </w:t>
            </w:r>
          </w:p>
        </w:tc>
        <w:tc>
          <w:tcPr>
            <w:tcW w:w="3213" w:type="dxa"/>
            <w:vMerge w:val="restart"/>
            <w:tcBorders>
              <w:top w:val="single" w:sz="4" w:space="0" w:color="0070C0"/>
              <w:left w:val="single" w:sz="4" w:space="0" w:color="0070C0"/>
              <w:right w:val="single" w:sz="4" w:space="0" w:color="0070C0"/>
            </w:tcBorders>
            <w:noWrap/>
            <w:hideMark/>
          </w:tcPr>
          <w:p w14:paraId="3AF2A5EB" w14:textId="77777777" w:rsidR="00182609" w:rsidRPr="00B7760C" w:rsidRDefault="00182609" w:rsidP="009D3E2B">
            <w:pPr>
              <w:widowControl/>
              <w:spacing w:before="120" w:after="120" w:line="276" w:lineRule="auto"/>
              <w:rPr>
                <w:rFonts w:asciiTheme="minorHAnsi" w:hAnsiTheme="minorHAnsi" w:cstheme="minorHAnsi"/>
                <w:sz w:val="18"/>
                <w:szCs w:val="18"/>
              </w:rPr>
            </w:pPr>
            <w:r w:rsidRPr="00B7760C">
              <w:rPr>
                <w:rFonts w:asciiTheme="minorHAnsi" w:hAnsiTheme="minorHAnsi" w:cstheme="minorHAnsi"/>
                <w:sz w:val="18"/>
                <w:szCs w:val="18"/>
              </w:rPr>
              <w:t>I.9 Izboljšanje odpornosti kmetij: indeks</w:t>
            </w:r>
          </w:p>
        </w:tc>
        <w:tc>
          <w:tcPr>
            <w:tcW w:w="4549" w:type="dxa"/>
            <w:vMerge w:val="restart"/>
            <w:tcBorders>
              <w:top w:val="single" w:sz="4" w:space="0" w:color="0070C0"/>
              <w:left w:val="single" w:sz="4" w:space="0" w:color="0070C0"/>
              <w:right w:val="single" w:sz="4" w:space="0" w:color="0070C0"/>
            </w:tcBorders>
          </w:tcPr>
          <w:p w14:paraId="09D4097B" w14:textId="77777777" w:rsidR="00182609" w:rsidRPr="00B7760C" w:rsidRDefault="00182609" w:rsidP="009D3E2B">
            <w:pPr>
              <w:widowControl/>
              <w:spacing w:before="120" w:after="120" w:line="276" w:lineRule="auto"/>
              <w:rPr>
                <w:rFonts w:asciiTheme="minorHAnsi" w:hAnsiTheme="minorHAnsi" w:cstheme="minorHAnsi"/>
                <w:sz w:val="18"/>
                <w:szCs w:val="18"/>
              </w:rPr>
            </w:pPr>
            <w:r w:rsidRPr="00B7760C">
              <w:rPr>
                <w:rFonts w:asciiTheme="minorHAnsi" w:hAnsiTheme="minorHAnsi" w:cstheme="minorHAnsi"/>
                <w:b/>
                <w:sz w:val="18"/>
                <w:szCs w:val="18"/>
              </w:rPr>
              <w:t>R.12 Prilagajanje podnebnim spremembam</w:t>
            </w:r>
            <w:r w:rsidRPr="00B7760C">
              <w:rPr>
                <w:rFonts w:asciiTheme="minorHAnsi" w:hAnsiTheme="minorHAnsi" w:cstheme="minorHAnsi"/>
                <w:sz w:val="18"/>
                <w:szCs w:val="18"/>
              </w:rPr>
              <w:t>: delež kmetijskih zemljišč s prevzetimi obveznostmi za izboljšanje prilagajanja podnebnim spremembam</w:t>
            </w:r>
          </w:p>
          <w:p w14:paraId="267C76BF" w14:textId="77777777" w:rsidR="00182609" w:rsidRPr="00B7760C" w:rsidRDefault="00182609" w:rsidP="009D3E2B">
            <w:pPr>
              <w:rPr>
                <w:rFonts w:asciiTheme="minorHAnsi" w:hAnsiTheme="minorHAnsi" w:cstheme="minorHAnsi"/>
                <w:sz w:val="18"/>
                <w:szCs w:val="18"/>
              </w:rPr>
            </w:pPr>
            <w:r w:rsidRPr="00B7760C">
              <w:rPr>
                <w:rFonts w:asciiTheme="minorHAnsi" w:hAnsiTheme="minorHAnsi" w:cstheme="minorHAnsi"/>
                <w:b/>
                <w:i/>
                <w:sz w:val="18"/>
                <w:szCs w:val="18"/>
              </w:rPr>
              <w:t>R.12.a Izboljšanje odpornosti z večjo gensko raznovrstnostjo: delež podprtih kmetijskih zemljišč, ki izvajajo prakse in izbire, ugodne za gensko raznovrstnost</w:t>
            </w:r>
          </w:p>
        </w:tc>
        <w:tc>
          <w:tcPr>
            <w:tcW w:w="236" w:type="dxa"/>
            <w:tcBorders>
              <w:left w:val="single" w:sz="4" w:space="0" w:color="0070C0"/>
              <w:right w:val="single" w:sz="4" w:space="0" w:color="0070C0"/>
            </w:tcBorders>
          </w:tcPr>
          <w:p w14:paraId="0FE446AB" w14:textId="77777777" w:rsidR="00182609" w:rsidRPr="00B7760C" w:rsidRDefault="00182609" w:rsidP="009D3E2B">
            <w:pPr>
              <w:widowControl/>
              <w:spacing w:before="120" w:after="120" w:line="276" w:lineRule="auto"/>
              <w:rPr>
                <w:rFonts w:asciiTheme="minorHAnsi" w:hAnsiTheme="minorHAnsi" w:cstheme="minorHAnsi"/>
                <w:sz w:val="18"/>
                <w:szCs w:val="18"/>
                <w:lang w:eastAsia="fr-BE"/>
              </w:rPr>
            </w:pPr>
          </w:p>
        </w:tc>
        <w:tc>
          <w:tcPr>
            <w:tcW w:w="1648" w:type="dxa"/>
            <w:tcBorders>
              <w:left w:val="single" w:sz="4" w:space="0" w:color="0070C0"/>
              <w:bottom w:val="single" w:sz="4" w:space="0" w:color="0070C0"/>
              <w:right w:val="single" w:sz="4" w:space="0" w:color="0070C0"/>
            </w:tcBorders>
          </w:tcPr>
          <w:p w14:paraId="4377DA53" w14:textId="77777777" w:rsidR="00182609" w:rsidRPr="00B7760C" w:rsidRDefault="00182609" w:rsidP="009D3E2B">
            <w:pPr>
              <w:widowControl/>
              <w:spacing w:before="120" w:after="120"/>
              <w:rPr>
                <w:rFonts w:asciiTheme="minorHAnsi" w:hAnsiTheme="minorHAnsi" w:cstheme="minorHAnsi"/>
                <w:b/>
                <w:bCs/>
                <w:color w:val="000000"/>
                <w:sz w:val="18"/>
                <w:szCs w:val="18"/>
                <w:lang w:eastAsia="fr-BE"/>
              </w:rPr>
            </w:pPr>
          </w:p>
        </w:tc>
        <w:tc>
          <w:tcPr>
            <w:tcW w:w="3210" w:type="dxa"/>
            <w:tcBorders>
              <w:left w:val="single" w:sz="4" w:space="0" w:color="0070C0"/>
              <w:bottom w:val="single" w:sz="4" w:space="0" w:color="0070C0"/>
              <w:right w:val="single" w:sz="4" w:space="0" w:color="0070C0"/>
            </w:tcBorders>
          </w:tcPr>
          <w:p w14:paraId="67FF7193" w14:textId="77777777" w:rsidR="00182609" w:rsidRPr="00B7760C" w:rsidRDefault="00182609" w:rsidP="009D3E2B">
            <w:pPr>
              <w:widowControl/>
              <w:spacing w:before="120" w:after="120"/>
              <w:rPr>
                <w:rFonts w:asciiTheme="minorHAnsi" w:hAnsiTheme="minorHAnsi" w:cstheme="minorHAnsi"/>
                <w:color w:val="000000"/>
                <w:sz w:val="18"/>
                <w:szCs w:val="18"/>
              </w:rPr>
            </w:pPr>
            <w:r w:rsidRPr="00B7760C">
              <w:rPr>
                <w:rFonts w:asciiTheme="minorHAnsi" w:hAnsiTheme="minorHAnsi" w:cstheme="minorHAnsi"/>
                <w:color w:val="000000"/>
                <w:sz w:val="18"/>
                <w:szCs w:val="18"/>
              </w:rPr>
              <w:t>O.12 Število hektarov, ki prejemajo podporo v okviru omrežja Natura 2000 ali okvirne direktive o vodah</w:t>
            </w:r>
          </w:p>
        </w:tc>
      </w:tr>
      <w:tr w:rsidR="00182609" w:rsidRPr="00B7760C" w14:paraId="09334946" w14:textId="77777777" w:rsidTr="00A35DEB">
        <w:trPr>
          <w:trHeight w:val="487"/>
        </w:trPr>
        <w:tc>
          <w:tcPr>
            <w:tcW w:w="2277" w:type="dxa"/>
            <w:vMerge/>
            <w:tcBorders>
              <w:top w:val="single" w:sz="4" w:space="0" w:color="0070C0"/>
              <w:left w:val="single" w:sz="4" w:space="0" w:color="0070C0"/>
              <w:right w:val="single" w:sz="4" w:space="0" w:color="0070C0"/>
            </w:tcBorders>
            <w:vAlign w:val="center"/>
          </w:tcPr>
          <w:p w14:paraId="343DEE81" w14:textId="77777777" w:rsidR="00182609" w:rsidRPr="00B7760C" w:rsidRDefault="00182609" w:rsidP="009D3E2B">
            <w:pPr>
              <w:widowControl/>
              <w:spacing w:before="120" w:after="120" w:line="276" w:lineRule="auto"/>
              <w:rPr>
                <w:rFonts w:asciiTheme="minorHAnsi" w:hAnsiTheme="minorHAnsi" w:cstheme="minorHAnsi"/>
                <w:bCs/>
                <w:color w:val="000000"/>
                <w:sz w:val="20"/>
                <w:lang w:eastAsia="fr-BE"/>
              </w:rPr>
            </w:pPr>
          </w:p>
        </w:tc>
        <w:tc>
          <w:tcPr>
            <w:tcW w:w="3213" w:type="dxa"/>
            <w:vMerge/>
            <w:tcBorders>
              <w:left w:val="single" w:sz="4" w:space="0" w:color="0070C0"/>
              <w:right w:val="single" w:sz="4" w:space="0" w:color="0070C0"/>
            </w:tcBorders>
            <w:noWrap/>
          </w:tcPr>
          <w:p w14:paraId="46F38B60" w14:textId="77777777" w:rsidR="00182609" w:rsidRPr="00B7760C" w:rsidRDefault="00182609" w:rsidP="009D3E2B">
            <w:pPr>
              <w:widowControl/>
              <w:spacing w:before="120" w:after="120" w:line="276" w:lineRule="auto"/>
              <w:rPr>
                <w:rFonts w:asciiTheme="minorHAnsi" w:hAnsiTheme="minorHAnsi" w:cstheme="minorHAnsi"/>
                <w:b/>
                <w:sz w:val="18"/>
                <w:szCs w:val="18"/>
                <w:lang w:eastAsia="fr-BE"/>
              </w:rPr>
            </w:pPr>
          </w:p>
        </w:tc>
        <w:tc>
          <w:tcPr>
            <w:tcW w:w="4549" w:type="dxa"/>
            <w:vMerge/>
            <w:tcBorders>
              <w:left w:val="single" w:sz="4" w:space="0" w:color="0070C0"/>
              <w:right w:val="single" w:sz="4" w:space="0" w:color="0070C0"/>
            </w:tcBorders>
          </w:tcPr>
          <w:p w14:paraId="0836CAC7" w14:textId="77777777" w:rsidR="00182609" w:rsidRPr="00B7760C" w:rsidRDefault="00182609" w:rsidP="009D3E2B">
            <w:pPr>
              <w:rPr>
                <w:rFonts w:asciiTheme="minorHAnsi" w:eastAsia="Times New Roman" w:hAnsiTheme="minorHAnsi" w:cstheme="minorHAnsi"/>
                <w:b/>
                <w:i/>
                <w:sz w:val="20"/>
                <w:szCs w:val="20"/>
                <w:lang w:eastAsia="fr-BE"/>
              </w:rPr>
            </w:pPr>
          </w:p>
        </w:tc>
        <w:tc>
          <w:tcPr>
            <w:tcW w:w="236" w:type="dxa"/>
            <w:tcBorders>
              <w:left w:val="single" w:sz="4" w:space="0" w:color="0070C0"/>
              <w:right w:val="single" w:sz="4" w:space="0" w:color="0070C0"/>
            </w:tcBorders>
          </w:tcPr>
          <w:p w14:paraId="390DF329" w14:textId="77777777" w:rsidR="00182609" w:rsidRPr="00B7760C" w:rsidRDefault="00182609" w:rsidP="009D3E2B">
            <w:pPr>
              <w:widowControl/>
              <w:spacing w:before="120" w:after="120" w:line="276" w:lineRule="auto"/>
              <w:rPr>
                <w:rFonts w:asciiTheme="minorHAnsi" w:hAnsiTheme="minorHAnsi" w:cstheme="minorHAnsi"/>
                <w:sz w:val="18"/>
                <w:szCs w:val="18"/>
                <w:lang w:eastAsia="fr-BE"/>
              </w:rPr>
            </w:pPr>
          </w:p>
        </w:tc>
        <w:tc>
          <w:tcPr>
            <w:tcW w:w="1648" w:type="dxa"/>
            <w:tcBorders>
              <w:left w:val="single" w:sz="4" w:space="0" w:color="0070C0"/>
              <w:bottom w:val="single" w:sz="4" w:space="0" w:color="0070C0"/>
              <w:right w:val="single" w:sz="4" w:space="0" w:color="0070C0"/>
            </w:tcBorders>
          </w:tcPr>
          <w:p w14:paraId="67362E94" w14:textId="77777777" w:rsidR="00182609" w:rsidRPr="00B7760C" w:rsidRDefault="00182609" w:rsidP="009D3E2B">
            <w:pPr>
              <w:widowControl/>
              <w:spacing w:before="120" w:after="120"/>
              <w:rPr>
                <w:rFonts w:asciiTheme="minorHAnsi" w:hAnsiTheme="minorHAnsi" w:cstheme="minorHAnsi"/>
                <w:b/>
                <w:bCs/>
                <w:color w:val="000000"/>
                <w:sz w:val="18"/>
                <w:szCs w:val="18"/>
                <w:lang w:eastAsia="fr-BE"/>
              </w:rPr>
            </w:pPr>
          </w:p>
        </w:tc>
        <w:tc>
          <w:tcPr>
            <w:tcW w:w="3210" w:type="dxa"/>
            <w:tcBorders>
              <w:left w:val="single" w:sz="4" w:space="0" w:color="0070C0"/>
              <w:bottom w:val="single" w:sz="4" w:space="0" w:color="0070C0"/>
              <w:right w:val="single" w:sz="4" w:space="0" w:color="0070C0"/>
            </w:tcBorders>
          </w:tcPr>
          <w:p w14:paraId="24A5D6EF" w14:textId="77777777" w:rsidR="00182609" w:rsidRPr="00B7760C" w:rsidRDefault="00182609" w:rsidP="009D3E2B">
            <w:pPr>
              <w:widowControl/>
              <w:spacing w:before="120" w:after="120"/>
              <w:rPr>
                <w:rFonts w:asciiTheme="minorHAnsi" w:hAnsiTheme="minorHAnsi" w:cstheme="minorHAnsi"/>
                <w:b/>
                <w:color w:val="000000"/>
                <w:sz w:val="18"/>
                <w:szCs w:val="18"/>
                <w:lang w:eastAsia="fr-BE"/>
              </w:rPr>
            </w:pPr>
          </w:p>
        </w:tc>
      </w:tr>
      <w:tr w:rsidR="00182609" w:rsidRPr="00B7760C" w14:paraId="08C28A5B" w14:textId="77777777" w:rsidTr="00A35DEB">
        <w:trPr>
          <w:trHeight w:val="929"/>
        </w:trPr>
        <w:tc>
          <w:tcPr>
            <w:tcW w:w="2277" w:type="dxa"/>
            <w:vMerge/>
            <w:tcBorders>
              <w:left w:val="single" w:sz="4" w:space="0" w:color="0070C0"/>
              <w:right w:val="single" w:sz="4" w:space="0" w:color="0070C0"/>
            </w:tcBorders>
            <w:hideMark/>
          </w:tcPr>
          <w:p w14:paraId="0F8EA99F" w14:textId="77777777" w:rsidR="00182609" w:rsidRPr="00B7760C" w:rsidRDefault="00182609" w:rsidP="009D3E2B">
            <w:pPr>
              <w:widowControl/>
              <w:spacing w:before="120" w:after="120" w:line="276" w:lineRule="auto"/>
              <w:rPr>
                <w:rFonts w:asciiTheme="minorHAnsi" w:hAnsiTheme="minorHAnsi" w:cstheme="minorHAnsi"/>
                <w:b/>
                <w:bCs/>
                <w:color w:val="000000"/>
                <w:sz w:val="18"/>
                <w:szCs w:val="18"/>
                <w:lang w:eastAsia="fr-BE"/>
              </w:rPr>
            </w:pPr>
          </w:p>
        </w:tc>
        <w:tc>
          <w:tcPr>
            <w:tcW w:w="3213" w:type="dxa"/>
            <w:tcBorders>
              <w:left w:val="single" w:sz="4" w:space="0" w:color="0070C0"/>
              <w:right w:val="single" w:sz="4" w:space="0" w:color="0070C0"/>
            </w:tcBorders>
            <w:noWrap/>
          </w:tcPr>
          <w:p w14:paraId="6F0DEC29" w14:textId="77777777" w:rsidR="00182609" w:rsidRPr="00B7760C" w:rsidRDefault="00182609" w:rsidP="009D3E2B">
            <w:pPr>
              <w:widowControl/>
              <w:spacing w:before="120" w:after="120" w:line="276" w:lineRule="auto"/>
              <w:rPr>
                <w:rFonts w:asciiTheme="minorHAnsi" w:hAnsiTheme="minorHAnsi" w:cstheme="minorHAnsi"/>
                <w:bCs/>
                <w:sz w:val="18"/>
                <w:szCs w:val="18"/>
              </w:rPr>
            </w:pPr>
            <w:r w:rsidRPr="00B7760C">
              <w:rPr>
                <w:rFonts w:asciiTheme="minorHAnsi" w:hAnsiTheme="minorHAnsi" w:cstheme="minorHAnsi"/>
                <w:sz w:val="18"/>
                <w:szCs w:val="18"/>
              </w:rPr>
              <w:t xml:space="preserve">I.10 </w:t>
            </w:r>
            <w:r w:rsidRPr="00B7760C">
              <w:rPr>
                <w:rFonts w:asciiTheme="minorHAnsi" w:hAnsiTheme="minorHAnsi" w:cstheme="minorHAnsi"/>
                <w:bCs/>
                <w:sz w:val="18"/>
                <w:szCs w:val="18"/>
              </w:rPr>
              <w:t>Prispevek k blažitvi podnebnih sprememb: zmanjšanje emisij toplogrednih plinov iz kmetijstva</w:t>
            </w:r>
          </w:p>
          <w:p w14:paraId="0429D1F7" w14:textId="77777777" w:rsidR="00182609" w:rsidRPr="00B7760C" w:rsidRDefault="00182609" w:rsidP="009D3E2B">
            <w:pPr>
              <w:widowControl/>
              <w:spacing w:before="120" w:after="120" w:line="276" w:lineRule="auto"/>
              <w:rPr>
                <w:rFonts w:asciiTheme="minorHAnsi" w:hAnsiTheme="minorHAnsi" w:cstheme="minorHAnsi"/>
                <w:sz w:val="18"/>
                <w:szCs w:val="18"/>
              </w:rPr>
            </w:pPr>
            <w:r w:rsidRPr="00B7760C">
              <w:rPr>
                <w:rFonts w:asciiTheme="minorHAnsi" w:hAnsiTheme="minorHAnsi" w:cstheme="minorHAnsi"/>
                <w:sz w:val="18"/>
                <w:szCs w:val="18"/>
              </w:rPr>
              <w:t>I.11 Povečanje sekvestracije ogljika: povečanje ravni organskega ogljika v tleh</w:t>
            </w:r>
          </w:p>
          <w:p w14:paraId="5368A7F4" w14:textId="2CC6332D" w:rsidR="00182609" w:rsidRPr="00B7760C" w:rsidRDefault="00182609" w:rsidP="009D3E2B">
            <w:pPr>
              <w:widowControl/>
              <w:spacing w:before="120" w:after="120" w:line="276" w:lineRule="auto"/>
              <w:rPr>
                <w:rFonts w:asciiTheme="minorHAnsi" w:hAnsiTheme="minorHAnsi" w:cstheme="minorHAnsi"/>
                <w:b/>
                <w:sz w:val="18"/>
                <w:szCs w:val="18"/>
              </w:rPr>
            </w:pPr>
            <w:r w:rsidRPr="00B7760C">
              <w:rPr>
                <w:rFonts w:asciiTheme="minorHAnsi" w:hAnsiTheme="minorHAnsi" w:cstheme="minorHAnsi"/>
                <w:b/>
                <w:i/>
                <w:sz w:val="18"/>
                <w:szCs w:val="18"/>
              </w:rPr>
              <w:t>I.12 Zagotavljanje proizvodnje in uporabe</w:t>
            </w:r>
            <w:r w:rsidRPr="00B7760C">
              <w:rPr>
                <w:rFonts w:asciiTheme="minorHAnsi" w:hAnsiTheme="minorHAnsi" w:cstheme="minorHAnsi"/>
                <w:sz w:val="18"/>
                <w:szCs w:val="18"/>
              </w:rPr>
              <w:t xml:space="preserve"> trajnostne energije v kmetijstvu: proizvodnja</w:t>
            </w:r>
            <w:r w:rsidRPr="00B7760C">
              <w:rPr>
                <w:rFonts w:asciiTheme="minorHAnsi" w:hAnsiTheme="minorHAnsi" w:cstheme="minorHAnsi"/>
                <w:b/>
                <w:i/>
                <w:sz w:val="18"/>
                <w:szCs w:val="18"/>
              </w:rPr>
              <w:t xml:space="preserve"> in uporaba</w:t>
            </w:r>
            <w:r w:rsidRPr="00B7760C">
              <w:rPr>
                <w:rFonts w:asciiTheme="minorHAnsi" w:hAnsiTheme="minorHAnsi" w:cstheme="minorHAnsi"/>
                <w:sz w:val="18"/>
                <w:szCs w:val="18"/>
              </w:rPr>
              <w:t xml:space="preserve"> energije iz obnovljivih virov iz kmetijstva in gozdarstva</w:t>
            </w:r>
            <w:r w:rsidRPr="00B7760C">
              <w:rPr>
                <w:rFonts w:asciiTheme="minorHAnsi" w:hAnsiTheme="minorHAnsi" w:cstheme="minorHAnsi"/>
                <w:b/>
                <w:i/>
                <w:sz w:val="18"/>
                <w:szCs w:val="18"/>
              </w:rPr>
              <w:t>, ki prikazuje neto ponor ogljika in neto prihranke emisij toplogrednih plinov brez</w:t>
            </w:r>
            <w:r w:rsidR="009D3E2B" w:rsidRPr="00B7760C">
              <w:rPr>
                <w:rFonts w:asciiTheme="minorHAnsi" w:hAnsiTheme="minorHAnsi" w:cstheme="minorHAnsi"/>
                <w:b/>
                <w:i/>
                <w:sz w:val="18"/>
                <w:szCs w:val="18"/>
              </w:rPr>
              <w:t xml:space="preserve"> </w:t>
            </w:r>
            <w:r w:rsidRPr="00B7760C">
              <w:rPr>
                <w:rFonts w:asciiTheme="minorHAnsi" w:hAnsiTheme="minorHAnsi" w:cstheme="minorHAnsi"/>
                <w:b/>
                <w:i/>
                <w:sz w:val="18"/>
                <w:szCs w:val="18"/>
              </w:rPr>
              <w:t>spremembe rabe zemljišč</w:t>
            </w:r>
          </w:p>
        </w:tc>
        <w:tc>
          <w:tcPr>
            <w:tcW w:w="4549" w:type="dxa"/>
            <w:tcBorders>
              <w:left w:val="single" w:sz="4" w:space="0" w:color="0070C0"/>
              <w:right w:val="single" w:sz="4" w:space="0" w:color="0070C0"/>
            </w:tcBorders>
          </w:tcPr>
          <w:p w14:paraId="71001075" w14:textId="77777777" w:rsidR="00182609" w:rsidRPr="00B7760C" w:rsidRDefault="00182609" w:rsidP="009D3E2B">
            <w:pPr>
              <w:widowControl/>
              <w:spacing w:before="120" w:after="120" w:line="276" w:lineRule="auto"/>
              <w:rPr>
                <w:rFonts w:asciiTheme="minorHAnsi" w:hAnsiTheme="minorHAnsi" w:cstheme="minorHAnsi"/>
                <w:sz w:val="18"/>
                <w:szCs w:val="18"/>
              </w:rPr>
            </w:pPr>
            <w:r w:rsidRPr="00B7760C">
              <w:rPr>
                <w:rFonts w:asciiTheme="minorHAnsi" w:hAnsiTheme="minorHAnsi" w:cstheme="minorHAnsi"/>
                <w:bCs/>
                <w:sz w:val="18"/>
                <w:szCs w:val="18"/>
              </w:rPr>
              <w:t xml:space="preserve">R.13 Zmanjšanje emisij v živinorejskem sektorju: </w:t>
            </w:r>
            <w:r w:rsidRPr="00B7760C">
              <w:rPr>
                <w:rFonts w:asciiTheme="minorHAnsi" w:hAnsiTheme="minorHAnsi" w:cstheme="minorHAnsi"/>
                <w:sz w:val="18"/>
              </w:rPr>
              <w:t xml:space="preserve">delež glav velike živine s podporo za zmanjšanje emisij toplogrednih plinov in/ali amoniaka, vključno z </w:t>
            </w:r>
            <w:r w:rsidRPr="00B7760C">
              <w:rPr>
                <w:rFonts w:asciiTheme="minorHAnsi" w:hAnsiTheme="minorHAnsi" w:cstheme="minorHAnsi"/>
                <w:b/>
                <w:i/>
                <w:sz w:val="18"/>
              </w:rPr>
              <w:t>upravljanjem hranil</w:t>
            </w:r>
          </w:p>
          <w:p w14:paraId="2A844A06" w14:textId="77777777" w:rsidR="00182609" w:rsidRPr="00B7760C" w:rsidRDefault="00182609" w:rsidP="009D3E2B">
            <w:pPr>
              <w:widowControl/>
              <w:spacing w:before="120" w:after="120" w:line="276" w:lineRule="auto"/>
              <w:rPr>
                <w:rFonts w:asciiTheme="minorHAnsi" w:hAnsiTheme="minorHAnsi" w:cstheme="minorHAnsi"/>
                <w:sz w:val="18"/>
                <w:szCs w:val="18"/>
              </w:rPr>
            </w:pPr>
            <w:r w:rsidRPr="00B7760C">
              <w:rPr>
                <w:rFonts w:asciiTheme="minorHAnsi" w:hAnsiTheme="minorHAnsi" w:cstheme="minorHAnsi"/>
                <w:sz w:val="18"/>
                <w:szCs w:val="18"/>
              </w:rPr>
              <w:t>R.14 Shranjevanje ogljika v tleh in biomasi:</w:t>
            </w:r>
            <w:r w:rsidRPr="00B7760C">
              <w:rPr>
                <w:rFonts w:asciiTheme="minorHAnsi" w:hAnsiTheme="minorHAnsi" w:cstheme="minorHAnsi"/>
                <w:b/>
                <w:bCs/>
                <w:sz w:val="18"/>
                <w:szCs w:val="18"/>
              </w:rPr>
              <w:t xml:space="preserve"> </w:t>
            </w:r>
            <w:r w:rsidRPr="00B7760C">
              <w:rPr>
                <w:rFonts w:asciiTheme="minorHAnsi" w:hAnsiTheme="minorHAnsi" w:cstheme="minorHAnsi"/>
                <w:sz w:val="18"/>
                <w:szCs w:val="18"/>
              </w:rPr>
              <w:t>delež kmetijskih zemljišč s prevzetimi obveznostmi za zmanjšanje emisij, ohranjanje in/ali povečevanje skladiščenja ogljika (trajno travinje,</w:t>
            </w:r>
            <w:r w:rsidRPr="00B7760C">
              <w:rPr>
                <w:rFonts w:asciiTheme="minorHAnsi" w:hAnsiTheme="minorHAnsi" w:cstheme="minorHAnsi"/>
                <w:b/>
                <w:i/>
                <w:sz w:val="18"/>
                <w:szCs w:val="18"/>
              </w:rPr>
              <w:t xml:space="preserve"> trajni nasadi s trajno travno rušo,</w:t>
            </w:r>
            <w:r w:rsidRPr="00B7760C">
              <w:rPr>
                <w:rFonts w:asciiTheme="minorHAnsi" w:hAnsiTheme="minorHAnsi" w:cstheme="minorHAnsi"/>
                <w:sz w:val="18"/>
                <w:szCs w:val="18"/>
              </w:rPr>
              <w:t xml:space="preserve"> kmetijska zemljišča, </w:t>
            </w:r>
            <w:r w:rsidRPr="00B7760C">
              <w:rPr>
                <w:rFonts w:asciiTheme="minorHAnsi" w:hAnsiTheme="minorHAnsi" w:cstheme="minorHAnsi"/>
                <w:b/>
                <w:i/>
                <w:sz w:val="18"/>
                <w:szCs w:val="18"/>
              </w:rPr>
              <w:t>mokrišča,</w:t>
            </w:r>
            <w:r w:rsidRPr="00B7760C">
              <w:rPr>
                <w:rFonts w:asciiTheme="minorHAnsi" w:hAnsiTheme="minorHAnsi" w:cstheme="minorHAnsi"/>
                <w:sz w:val="18"/>
                <w:szCs w:val="18"/>
              </w:rPr>
              <w:t xml:space="preserve"> šotišča, gozd itn.)</w:t>
            </w:r>
          </w:p>
          <w:p w14:paraId="301882DA" w14:textId="77777777" w:rsidR="00182609" w:rsidRPr="00B7760C" w:rsidRDefault="00182609" w:rsidP="009D3E2B">
            <w:pPr>
              <w:widowControl/>
              <w:spacing w:before="120" w:after="120" w:line="276" w:lineRule="auto"/>
              <w:rPr>
                <w:rFonts w:asciiTheme="minorHAnsi" w:hAnsiTheme="minorHAnsi" w:cstheme="minorHAnsi"/>
                <w:sz w:val="18"/>
                <w:szCs w:val="18"/>
              </w:rPr>
            </w:pPr>
            <w:r w:rsidRPr="00B7760C">
              <w:rPr>
                <w:rFonts w:asciiTheme="minorHAnsi" w:hAnsiTheme="minorHAnsi" w:cstheme="minorHAnsi"/>
                <w:sz w:val="18"/>
                <w:szCs w:val="18"/>
              </w:rPr>
              <w:t xml:space="preserve">R.15 </w:t>
            </w:r>
            <w:r w:rsidRPr="00B7760C">
              <w:rPr>
                <w:rFonts w:asciiTheme="minorHAnsi" w:hAnsiTheme="minorHAnsi" w:cstheme="minorHAnsi"/>
                <w:b/>
                <w:i/>
                <w:sz w:val="18"/>
                <w:szCs w:val="18"/>
              </w:rPr>
              <w:t>Obnovljiva</w:t>
            </w:r>
            <w:r w:rsidRPr="00B7760C">
              <w:rPr>
                <w:rFonts w:asciiTheme="minorHAnsi" w:hAnsiTheme="minorHAnsi" w:cstheme="minorHAnsi"/>
                <w:sz w:val="18"/>
                <w:szCs w:val="18"/>
              </w:rPr>
              <w:t xml:space="preserve"> energija iz kmetijstva in gozdarstva: naložbe v zmogljivosti za proizvodnjo energije iz obnovljivih virov, vključno z biološkimi (MW)</w:t>
            </w:r>
          </w:p>
          <w:p w14:paraId="3760A14A" w14:textId="77777777" w:rsidR="00182609" w:rsidRPr="00B7760C" w:rsidRDefault="00182609" w:rsidP="009D3E2B">
            <w:pPr>
              <w:widowControl/>
              <w:spacing w:before="120" w:after="120" w:line="276" w:lineRule="auto"/>
              <w:rPr>
                <w:rFonts w:asciiTheme="minorHAnsi" w:hAnsiTheme="minorHAnsi" w:cstheme="minorHAnsi"/>
                <w:b/>
                <w:sz w:val="18"/>
                <w:szCs w:val="18"/>
              </w:rPr>
            </w:pPr>
            <w:r w:rsidRPr="00B7760C">
              <w:rPr>
                <w:rFonts w:asciiTheme="minorHAnsi" w:hAnsiTheme="minorHAnsi" w:cstheme="minorHAnsi"/>
                <w:sz w:val="18"/>
                <w:szCs w:val="18"/>
              </w:rPr>
              <w:t>R.16 Povečanje energijske učinkovitosti:</w:t>
            </w:r>
            <w:r w:rsidRPr="00B7760C">
              <w:rPr>
                <w:rFonts w:asciiTheme="minorHAnsi" w:hAnsiTheme="minorHAnsi" w:cstheme="minorHAnsi"/>
                <w:b/>
                <w:sz w:val="18"/>
                <w:szCs w:val="18"/>
              </w:rPr>
              <w:t xml:space="preserve"> </w:t>
            </w:r>
            <w:r w:rsidRPr="00B7760C">
              <w:rPr>
                <w:rFonts w:asciiTheme="minorHAnsi" w:hAnsiTheme="minorHAnsi" w:cstheme="minorHAnsi"/>
                <w:sz w:val="18"/>
                <w:szCs w:val="18"/>
              </w:rPr>
              <w:t>prihranki energije v kmetijstvu</w:t>
            </w:r>
          </w:p>
          <w:p w14:paraId="11186149" w14:textId="77777777" w:rsidR="00182609" w:rsidRPr="00B7760C" w:rsidRDefault="00182609" w:rsidP="009D3E2B">
            <w:pPr>
              <w:widowControl/>
              <w:spacing w:before="120" w:after="120" w:line="276" w:lineRule="auto"/>
              <w:rPr>
                <w:rFonts w:asciiTheme="minorHAnsi" w:hAnsiTheme="minorHAnsi" w:cstheme="minorHAnsi"/>
                <w:sz w:val="18"/>
                <w:szCs w:val="18"/>
              </w:rPr>
            </w:pPr>
            <w:r w:rsidRPr="00B7760C">
              <w:rPr>
                <w:rFonts w:asciiTheme="minorHAnsi" w:hAnsiTheme="minorHAnsi" w:cstheme="minorHAnsi"/>
                <w:sz w:val="18"/>
                <w:szCs w:val="18"/>
              </w:rPr>
              <w:t>Pogozdena zemljišča:</w:t>
            </w:r>
            <w:r w:rsidRPr="00B7760C">
              <w:rPr>
                <w:rFonts w:asciiTheme="minorHAnsi" w:hAnsiTheme="minorHAnsi" w:cstheme="minorHAnsi"/>
                <w:b/>
                <w:bCs/>
                <w:sz w:val="18"/>
                <w:szCs w:val="18"/>
              </w:rPr>
              <w:t xml:space="preserve"> </w:t>
            </w:r>
            <w:r w:rsidRPr="00B7760C">
              <w:rPr>
                <w:rFonts w:asciiTheme="minorHAnsi" w:hAnsiTheme="minorHAnsi" w:cstheme="minorHAnsi"/>
                <w:sz w:val="18"/>
                <w:szCs w:val="18"/>
              </w:rPr>
              <w:t>območja s podporo za pogozdovanje,</w:t>
            </w:r>
            <w:r w:rsidRPr="00B7760C">
              <w:rPr>
                <w:rFonts w:asciiTheme="minorHAnsi" w:hAnsiTheme="minorHAnsi" w:cstheme="minorHAnsi"/>
                <w:b/>
                <w:i/>
                <w:sz w:val="18"/>
                <w:szCs w:val="18"/>
              </w:rPr>
              <w:t xml:space="preserve"> obnovo</w:t>
            </w:r>
            <w:r w:rsidRPr="00B7760C">
              <w:rPr>
                <w:rFonts w:asciiTheme="minorHAnsi" w:hAnsiTheme="minorHAnsi" w:cstheme="minorHAnsi"/>
                <w:sz w:val="18"/>
                <w:szCs w:val="18"/>
              </w:rPr>
              <w:t xml:space="preserve"> in ustvarjanje </w:t>
            </w:r>
            <w:r w:rsidRPr="00B7760C">
              <w:rPr>
                <w:rFonts w:asciiTheme="minorHAnsi" w:hAnsiTheme="minorHAnsi" w:cstheme="minorHAnsi"/>
                <w:b/>
                <w:i/>
                <w:sz w:val="18"/>
                <w:szCs w:val="18"/>
              </w:rPr>
              <w:t>trajnega</w:t>
            </w:r>
            <w:r w:rsidRPr="00B7760C">
              <w:rPr>
                <w:rFonts w:asciiTheme="minorHAnsi" w:hAnsiTheme="minorHAnsi" w:cstheme="minorHAnsi"/>
                <w:sz w:val="18"/>
                <w:szCs w:val="18"/>
              </w:rPr>
              <w:t xml:space="preserve"> gozdnega območja, vključno s kmetijsko-gozdarskim sistemom</w:t>
            </w:r>
          </w:p>
        </w:tc>
        <w:tc>
          <w:tcPr>
            <w:tcW w:w="236" w:type="dxa"/>
            <w:tcBorders>
              <w:left w:val="single" w:sz="4" w:space="0" w:color="0070C0"/>
              <w:right w:val="single" w:sz="4" w:space="0" w:color="0070C0"/>
            </w:tcBorders>
          </w:tcPr>
          <w:p w14:paraId="6F58F958" w14:textId="77777777" w:rsidR="00182609" w:rsidRPr="00B7760C" w:rsidRDefault="00182609" w:rsidP="009D3E2B">
            <w:pPr>
              <w:widowControl/>
              <w:spacing w:before="120" w:after="120" w:line="276" w:lineRule="auto"/>
              <w:rPr>
                <w:rFonts w:asciiTheme="minorHAnsi" w:hAnsiTheme="minorHAnsi" w:cstheme="minorHAnsi"/>
                <w:sz w:val="18"/>
                <w:szCs w:val="18"/>
                <w:lang w:eastAsia="fr-BE"/>
              </w:rPr>
            </w:pPr>
          </w:p>
        </w:tc>
        <w:tc>
          <w:tcPr>
            <w:tcW w:w="1648" w:type="dxa"/>
            <w:tcBorders>
              <w:top w:val="single" w:sz="4" w:space="0" w:color="0070C0"/>
              <w:left w:val="single" w:sz="4" w:space="0" w:color="0070C0"/>
              <w:bottom w:val="single" w:sz="4" w:space="0" w:color="0070C0"/>
              <w:right w:val="single" w:sz="4" w:space="0" w:color="0070C0"/>
            </w:tcBorders>
          </w:tcPr>
          <w:p w14:paraId="43629E47" w14:textId="77777777" w:rsidR="00182609" w:rsidRPr="00B7760C" w:rsidRDefault="00182609" w:rsidP="009D3E2B">
            <w:pPr>
              <w:widowControl/>
              <w:spacing w:before="120" w:after="120"/>
              <w:rPr>
                <w:rFonts w:asciiTheme="minorHAnsi" w:hAnsiTheme="minorHAnsi" w:cstheme="minorHAnsi"/>
                <w:b/>
                <w:bCs/>
                <w:color w:val="000000"/>
                <w:sz w:val="18"/>
                <w:szCs w:val="18"/>
              </w:rPr>
            </w:pPr>
            <w:r w:rsidRPr="00B7760C">
              <w:rPr>
                <w:rFonts w:asciiTheme="minorHAnsi" w:hAnsiTheme="minorHAnsi" w:cstheme="minorHAnsi"/>
                <w:b/>
                <w:bCs/>
                <w:color w:val="000000"/>
                <w:sz w:val="18"/>
                <w:szCs w:val="18"/>
              </w:rPr>
              <w:t>Plačila za upravljavske obveznosti (okolje in podnebje, genski viri, dobrobit živali)</w:t>
            </w:r>
          </w:p>
        </w:tc>
        <w:tc>
          <w:tcPr>
            <w:tcW w:w="3210" w:type="dxa"/>
            <w:tcBorders>
              <w:top w:val="single" w:sz="4" w:space="0" w:color="0070C0"/>
              <w:left w:val="single" w:sz="4" w:space="0" w:color="0070C0"/>
              <w:bottom w:val="single" w:sz="4" w:space="0" w:color="0070C0"/>
              <w:right w:val="single" w:sz="4" w:space="0" w:color="0070C0"/>
            </w:tcBorders>
          </w:tcPr>
          <w:p w14:paraId="395EE6A1" w14:textId="77777777" w:rsidR="00182609" w:rsidRPr="00B7760C" w:rsidRDefault="00182609" w:rsidP="009D3E2B">
            <w:pPr>
              <w:widowControl/>
              <w:spacing w:before="120" w:after="120"/>
              <w:rPr>
                <w:rFonts w:asciiTheme="minorHAnsi" w:hAnsiTheme="minorHAnsi" w:cstheme="minorHAnsi"/>
                <w:b/>
                <w:color w:val="000000"/>
                <w:sz w:val="18"/>
                <w:szCs w:val="18"/>
              </w:rPr>
            </w:pPr>
            <w:r w:rsidRPr="00B7760C">
              <w:rPr>
                <w:rFonts w:asciiTheme="minorHAnsi" w:hAnsiTheme="minorHAnsi" w:cstheme="minorHAnsi"/>
                <w:color w:val="000000"/>
                <w:sz w:val="18"/>
                <w:szCs w:val="18"/>
              </w:rPr>
              <w:t xml:space="preserve">O.13 Število hektarov (kmetijskih zemljišč) </w:t>
            </w:r>
            <w:r w:rsidRPr="00B7760C">
              <w:rPr>
                <w:rFonts w:asciiTheme="minorHAnsi" w:hAnsiTheme="minorHAnsi" w:cstheme="minorHAnsi"/>
                <w:b/>
                <w:i/>
                <w:color w:val="000000"/>
                <w:sz w:val="18"/>
                <w:szCs w:val="18"/>
              </w:rPr>
              <w:t>in število drugih enot</w:t>
            </w:r>
            <w:r w:rsidRPr="00B7760C">
              <w:rPr>
                <w:rFonts w:asciiTheme="minorHAnsi" w:hAnsiTheme="minorHAnsi" w:cstheme="minorHAnsi"/>
                <w:color w:val="000000"/>
                <w:sz w:val="18"/>
                <w:szCs w:val="18"/>
              </w:rPr>
              <w:t>, za katere veljajo okoljske/podnebne prevzete obveznosti, ki presegajo obvezne zahteve</w:t>
            </w:r>
            <w:r w:rsidRPr="00B7760C">
              <w:rPr>
                <w:rFonts w:asciiTheme="minorHAnsi" w:hAnsiTheme="minorHAnsi" w:cstheme="minorHAnsi"/>
                <w:b/>
                <w:i/>
                <w:color w:val="000000"/>
                <w:sz w:val="18"/>
                <w:szCs w:val="18"/>
              </w:rPr>
              <w:t>, vključno z ekoshemo</w:t>
            </w:r>
          </w:p>
        </w:tc>
      </w:tr>
      <w:tr w:rsidR="00182609" w:rsidRPr="00B7760C" w14:paraId="229E8539" w14:textId="77777777" w:rsidTr="00A35DEB">
        <w:trPr>
          <w:trHeight w:val="929"/>
        </w:trPr>
        <w:tc>
          <w:tcPr>
            <w:tcW w:w="2277" w:type="dxa"/>
            <w:tcBorders>
              <w:left w:val="single" w:sz="4" w:space="0" w:color="0070C0"/>
              <w:bottom w:val="dashed" w:sz="4" w:space="0" w:color="0070C0"/>
              <w:right w:val="single" w:sz="4" w:space="0" w:color="0070C0"/>
            </w:tcBorders>
          </w:tcPr>
          <w:p w14:paraId="2A426CB3" w14:textId="77777777" w:rsidR="00182609" w:rsidRPr="00B7760C" w:rsidRDefault="00182609" w:rsidP="009D3E2B">
            <w:pPr>
              <w:widowControl/>
              <w:spacing w:before="120" w:after="120" w:line="276" w:lineRule="auto"/>
              <w:rPr>
                <w:rFonts w:asciiTheme="minorHAnsi" w:hAnsiTheme="minorHAnsi" w:cstheme="minorHAnsi"/>
                <w:b/>
                <w:bCs/>
                <w:color w:val="000000"/>
                <w:sz w:val="18"/>
                <w:szCs w:val="18"/>
                <w:lang w:eastAsia="fr-BE"/>
              </w:rPr>
            </w:pPr>
          </w:p>
        </w:tc>
        <w:tc>
          <w:tcPr>
            <w:tcW w:w="3213" w:type="dxa"/>
            <w:tcBorders>
              <w:left w:val="single" w:sz="4" w:space="0" w:color="0070C0"/>
              <w:bottom w:val="dashed" w:sz="4" w:space="0" w:color="0070C0"/>
              <w:right w:val="single" w:sz="4" w:space="0" w:color="0070C0"/>
            </w:tcBorders>
            <w:noWrap/>
          </w:tcPr>
          <w:p w14:paraId="5150C5E0" w14:textId="77777777" w:rsidR="00182609" w:rsidRPr="00B7760C" w:rsidRDefault="00182609" w:rsidP="009D3E2B">
            <w:pPr>
              <w:widowControl/>
              <w:spacing w:before="120" w:after="120" w:line="276" w:lineRule="auto"/>
              <w:rPr>
                <w:rFonts w:asciiTheme="minorHAnsi" w:hAnsiTheme="minorHAnsi" w:cstheme="minorHAnsi"/>
                <w:b/>
                <w:sz w:val="18"/>
                <w:szCs w:val="18"/>
                <w:lang w:eastAsia="fr-BE"/>
              </w:rPr>
            </w:pPr>
          </w:p>
        </w:tc>
        <w:tc>
          <w:tcPr>
            <w:tcW w:w="4549" w:type="dxa"/>
            <w:tcBorders>
              <w:left w:val="single" w:sz="4" w:space="0" w:color="0070C0"/>
              <w:bottom w:val="dashed" w:sz="4" w:space="0" w:color="0070C0"/>
              <w:right w:val="single" w:sz="4" w:space="0" w:color="0070C0"/>
            </w:tcBorders>
          </w:tcPr>
          <w:p w14:paraId="22C3FAB8" w14:textId="77777777" w:rsidR="00182609" w:rsidRPr="00B7760C" w:rsidRDefault="00182609" w:rsidP="009D3E2B">
            <w:pPr>
              <w:widowControl/>
              <w:spacing w:before="120" w:after="120" w:line="276" w:lineRule="auto"/>
              <w:rPr>
                <w:rFonts w:asciiTheme="minorHAnsi" w:hAnsiTheme="minorHAnsi" w:cstheme="minorHAnsi"/>
                <w:bCs/>
                <w:sz w:val="18"/>
                <w:szCs w:val="18"/>
                <w:lang w:eastAsia="fr-BE"/>
              </w:rPr>
            </w:pPr>
          </w:p>
        </w:tc>
        <w:tc>
          <w:tcPr>
            <w:tcW w:w="236" w:type="dxa"/>
            <w:tcBorders>
              <w:left w:val="single" w:sz="4" w:space="0" w:color="0070C0"/>
              <w:right w:val="single" w:sz="4" w:space="0" w:color="0070C0"/>
            </w:tcBorders>
          </w:tcPr>
          <w:p w14:paraId="53761E3D" w14:textId="77777777" w:rsidR="00182609" w:rsidRPr="00B7760C" w:rsidRDefault="00182609" w:rsidP="009D3E2B">
            <w:pPr>
              <w:widowControl/>
              <w:spacing w:before="120" w:after="120" w:line="276" w:lineRule="auto"/>
              <w:rPr>
                <w:rFonts w:asciiTheme="minorHAnsi" w:hAnsiTheme="minorHAnsi" w:cstheme="minorHAnsi"/>
                <w:sz w:val="18"/>
                <w:szCs w:val="18"/>
                <w:lang w:eastAsia="fr-BE"/>
              </w:rPr>
            </w:pPr>
          </w:p>
        </w:tc>
        <w:tc>
          <w:tcPr>
            <w:tcW w:w="1648" w:type="dxa"/>
            <w:tcBorders>
              <w:top w:val="single" w:sz="4" w:space="0" w:color="0070C0"/>
              <w:left w:val="single" w:sz="4" w:space="0" w:color="0070C0"/>
              <w:right w:val="single" w:sz="4" w:space="0" w:color="0070C0"/>
            </w:tcBorders>
          </w:tcPr>
          <w:p w14:paraId="7572E93E" w14:textId="77777777" w:rsidR="00182609" w:rsidRPr="00B7760C" w:rsidRDefault="00182609" w:rsidP="009D3E2B">
            <w:pPr>
              <w:widowControl/>
              <w:spacing w:before="120" w:after="120"/>
              <w:rPr>
                <w:rFonts w:asciiTheme="minorHAnsi" w:hAnsiTheme="minorHAnsi" w:cstheme="minorHAnsi"/>
                <w:b/>
                <w:bCs/>
                <w:color w:val="000000"/>
                <w:sz w:val="18"/>
                <w:szCs w:val="18"/>
                <w:lang w:eastAsia="fr-BE"/>
              </w:rPr>
            </w:pPr>
          </w:p>
        </w:tc>
        <w:tc>
          <w:tcPr>
            <w:tcW w:w="3210" w:type="dxa"/>
            <w:tcBorders>
              <w:top w:val="single" w:sz="4" w:space="0" w:color="0070C0"/>
              <w:left w:val="single" w:sz="4" w:space="0" w:color="0070C0"/>
              <w:right w:val="single" w:sz="4" w:space="0" w:color="0070C0"/>
            </w:tcBorders>
          </w:tcPr>
          <w:p w14:paraId="546ADC9E" w14:textId="77777777" w:rsidR="00182609" w:rsidRPr="00B7760C" w:rsidRDefault="00182609" w:rsidP="009D3E2B">
            <w:pPr>
              <w:widowControl/>
              <w:spacing w:before="120" w:after="120"/>
              <w:rPr>
                <w:rFonts w:asciiTheme="minorHAnsi" w:hAnsiTheme="minorHAnsi" w:cstheme="minorHAnsi"/>
                <w:b/>
                <w:i/>
                <w:color w:val="000000"/>
                <w:sz w:val="18"/>
                <w:szCs w:val="18"/>
              </w:rPr>
            </w:pPr>
            <w:r w:rsidRPr="00B7760C">
              <w:rPr>
                <w:rFonts w:asciiTheme="minorHAnsi" w:hAnsiTheme="minorHAnsi" w:cstheme="minorHAnsi"/>
                <w:b/>
                <w:i/>
                <w:color w:val="000000"/>
                <w:sz w:val="18"/>
                <w:szCs w:val="18"/>
              </w:rPr>
              <w:t>O.13a Število hektarov, za katere veljajo obveznosti za zemljišča z visoko naravno vrednostjo</w:t>
            </w:r>
          </w:p>
        </w:tc>
      </w:tr>
    </w:tbl>
    <w:p w14:paraId="36699DCB" w14:textId="77777777" w:rsidR="00182609" w:rsidRPr="00B7760C" w:rsidRDefault="00182609" w:rsidP="009D3E2B">
      <w:pPr>
        <w:widowControl/>
        <w:spacing w:before="120" w:after="120"/>
        <w:rPr>
          <w:rFonts w:asciiTheme="minorHAnsi" w:eastAsia="Calibri" w:hAnsiTheme="minorHAnsi" w:cstheme="minorHAnsi"/>
          <w:szCs w:val="22"/>
          <w:lang w:eastAsia="en-US"/>
        </w:rPr>
      </w:pPr>
    </w:p>
    <w:tbl>
      <w:tblPr>
        <w:tblStyle w:val="TableGridLight11"/>
        <w:tblW w:w="15194"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84"/>
        <w:gridCol w:w="3226"/>
        <w:gridCol w:w="4567"/>
        <w:gridCol w:w="239"/>
        <w:gridCol w:w="1655"/>
        <w:gridCol w:w="3223"/>
      </w:tblGrid>
      <w:tr w:rsidR="00182609" w:rsidRPr="00B7760C" w14:paraId="2C9DED74" w14:textId="77777777" w:rsidTr="00A35DEB">
        <w:trPr>
          <w:cantSplit/>
          <w:trHeight w:val="419"/>
        </w:trPr>
        <w:tc>
          <w:tcPr>
            <w:tcW w:w="2284" w:type="dxa"/>
            <w:tcBorders>
              <w:top w:val="single" w:sz="4" w:space="0" w:color="0070C0"/>
              <w:left w:val="single" w:sz="4" w:space="0" w:color="0070C0"/>
              <w:bottom w:val="single" w:sz="4" w:space="0" w:color="0070C0"/>
              <w:right w:val="single" w:sz="4" w:space="0" w:color="0070C0"/>
            </w:tcBorders>
            <w:shd w:val="clear" w:color="auto" w:fill="auto"/>
          </w:tcPr>
          <w:p w14:paraId="0CD75688" w14:textId="77777777" w:rsidR="00182609" w:rsidRPr="00B7760C" w:rsidRDefault="00182609" w:rsidP="009D3E2B">
            <w:pPr>
              <w:widowControl/>
              <w:spacing w:before="120" w:after="120" w:line="276" w:lineRule="auto"/>
              <w:ind w:left="64"/>
              <w:rPr>
                <w:rFonts w:asciiTheme="minorHAnsi" w:hAnsiTheme="minorHAnsi" w:cstheme="minorHAnsi"/>
                <w:bCs/>
                <w:sz w:val="18"/>
                <w:szCs w:val="18"/>
              </w:rPr>
            </w:pPr>
            <w:r w:rsidRPr="00B7760C">
              <w:rPr>
                <w:rFonts w:asciiTheme="minorHAnsi" w:hAnsiTheme="minorHAnsi" w:cstheme="minorHAnsi"/>
              </w:rPr>
              <w:br w:type="page"/>
            </w:r>
            <w:r w:rsidRPr="00B7760C">
              <w:rPr>
                <w:rFonts w:asciiTheme="minorHAnsi" w:hAnsiTheme="minorHAnsi" w:cstheme="minorHAnsi"/>
                <w:bCs/>
                <w:sz w:val="18"/>
                <w:szCs w:val="18"/>
              </w:rPr>
              <w:t>Specifični cilji EU</w:t>
            </w:r>
          </w:p>
        </w:tc>
        <w:tc>
          <w:tcPr>
            <w:tcW w:w="3226" w:type="dxa"/>
            <w:tcBorders>
              <w:top w:val="single" w:sz="4" w:space="0" w:color="0070C0"/>
              <w:left w:val="single" w:sz="4" w:space="0" w:color="0070C0"/>
              <w:bottom w:val="single" w:sz="4" w:space="0" w:color="0070C0"/>
              <w:right w:val="single" w:sz="4" w:space="0" w:color="0070C0"/>
            </w:tcBorders>
            <w:shd w:val="clear" w:color="auto" w:fill="auto"/>
          </w:tcPr>
          <w:p w14:paraId="3C1F5475" w14:textId="77777777" w:rsidR="00182609" w:rsidRPr="00B7760C" w:rsidRDefault="00182609" w:rsidP="009D3E2B">
            <w:pPr>
              <w:widowControl/>
              <w:spacing w:before="120" w:after="120" w:line="276" w:lineRule="auto"/>
              <w:ind w:left="64"/>
              <w:rPr>
                <w:rFonts w:asciiTheme="minorHAnsi" w:hAnsiTheme="minorHAnsi" w:cstheme="minorHAnsi"/>
                <w:bCs/>
                <w:sz w:val="18"/>
                <w:szCs w:val="18"/>
              </w:rPr>
            </w:pPr>
            <w:r w:rsidRPr="00B7760C">
              <w:rPr>
                <w:rFonts w:asciiTheme="minorHAnsi" w:hAnsiTheme="minorHAnsi" w:cstheme="minorHAnsi"/>
                <w:bCs/>
                <w:sz w:val="18"/>
                <w:szCs w:val="18"/>
              </w:rPr>
              <w:t>Kazalniki učinka</w:t>
            </w:r>
          </w:p>
        </w:tc>
        <w:tc>
          <w:tcPr>
            <w:tcW w:w="4567" w:type="dxa"/>
            <w:tcBorders>
              <w:top w:val="single" w:sz="4" w:space="0" w:color="0070C0"/>
              <w:left w:val="single" w:sz="4" w:space="0" w:color="0070C0"/>
              <w:bottom w:val="single" w:sz="4" w:space="0" w:color="0070C0"/>
              <w:right w:val="single" w:sz="4" w:space="0" w:color="0070C0"/>
            </w:tcBorders>
            <w:shd w:val="clear" w:color="auto" w:fill="auto"/>
          </w:tcPr>
          <w:p w14:paraId="18F7D70F" w14:textId="77777777" w:rsidR="00182609" w:rsidRPr="00B7760C" w:rsidRDefault="00182609" w:rsidP="009D3E2B">
            <w:pPr>
              <w:widowControl/>
              <w:spacing w:before="120" w:after="120" w:line="276" w:lineRule="auto"/>
              <w:ind w:left="64"/>
              <w:rPr>
                <w:rFonts w:asciiTheme="minorHAnsi" w:hAnsiTheme="minorHAnsi" w:cstheme="minorHAnsi"/>
                <w:bCs/>
                <w:sz w:val="18"/>
                <w:szCs w:val="18"/>
              </w:rPr>
            </w:pPr>
            <w:r w:rsidRPr="00B7760C">
              <w:rPr>
                <w:rFonts w:asciiTheme="minorHAnsi" w:hAnsiTheme="minorHAnsi" w:cstheme="minorHAnsi"/>
                <w:bCs/>
                <w:sz w:val="18"/>
                <w:szCs w:val="18"/>
              </w:rPr>
              <w:t>Kazalniki rezultatov</w:t>
            </w:r>
          </w:p>
          <w:p w14:paraId="77022A05" w14:textId="77777777" w:rsidR="00182609" w:rsidRPr="00B7760C" w:rsidRDefault="00182609" w:rsidP="009D3E2B">
            <w:pPr>
              <w:widowControl/>
              <w:spacing w:before="120" w:after="120" w:line="276" w:lineRule="auto"/>
              <w:ind w:left="64"/>
              <w:rPr>
                <w:rFonts w:asciiTheme="minorHAnsi" w:hAnsiTheme="minorHAnsi" w:cstheme="minorHAnsi"/>
                <w:bCs/>
                <w:sz w:val="18"/>
                <w:szCs w:val="18"/>
              </w:rPr>
            </w:pPr>
            <w:r w:rsidRPr="00B7760C">
              <w:rPr>
                <w:rFonts w:asciiTheme="minorHAnsi" w:hAnsiTheme="minorHAnsi" w:cstheme="minorHAnsi"/>
                <w:bCs/>
                <w:sz w:val="18"/>
                <w:szCs w:val="18"/>
              </w:rPr>
              <w:t>(samo na podlagi intervencij, ki jih podpira SKP)</w:t>
            </w:r>
          </w:p>
        </w:tc>
        <w:tc>
          <w:tcPr>
            <w:tcW w:w="239" w:type="dxa"/>
            <w:tcBorders>
              <w:left w:val="single" w:sz="4" w:space="0" w:color="0070C0"/>
              <w:right w:val="single" w:sz="4" w:space="0" w:color="0070C0"/>
            </w:tcBorders>
            <w:shd w:val="clear" w:color="auto" w:fill="auto"/>
          </w:tcPr>
          <w:p w14:paraId="2912FE46" w14:textId="77777777" w:rsidR="00182609" w:rsidRPr="00B7760C" w:rsidRDefault="00182609" w:rsidP="009D3E2B">
            <w:pPr>
              <w:widowControl/>
              <w:spacing w:before="120" w:after="120" w:line="276" w:lineRule="auto"/>
              <w:ind w:left="64"/>
              <w:rPr>
                <w:rFonts w:asciiTheme="minorHAnsi" w:hAnsiTheme="minorHAnsi" w:cstheme="minorHAnsi"/>
                <w:bCs/>
                <w:sz w:val="18"/>
                <w:szCs w:val="18"/>
                <w:lang w:eastAsia="fr-BE"/>
              </w:rPr>
            </w:pPr>
          </w:p>
        </w:tc>
        <w:tc>
          <w:tcPr>
            <w:tcW w:w="1655" w:type="dxa"/>
            <w:tcBorders>
              <w:top w:val="single" w:sz="4" w:space="0" w:color="0070C0"/>
              <w:left w:val="single" w:sz="4" w:space="0" w:color="0070C0"/>
              <w:bottom w:val="single" w:sz="4" w:space="0" w:color="0070C0"/>
              <w:right w:val="single" w:sz="4" w:space="0" w:color="0070C0"/>
            </w:tcBorders>
            <w:shd w:val="clear" w:color="auto" w:fill="auto"/>
          </w:tcPr>
          <w:p w14:paraId="58B19207" w14:textId="77777777" w:rsidR="00182609" w:rsidRPr="00B7760C" w:rsidRDefault="00182609" w:rsidP="009D3E2B">
            <w:pPr>
              <w:widowControl/>
              <w:spacing w:before="120" w:after="120"/>
              <w:rPr>
                <w:rFonts w:asciiTheme="minorHAnsi" w:hAnsiTheme="minorHAnsi" w:cstheme="minorHAnsi"/>
                <w:bCs/>
                <w:sz w:val="18"/>
                <w:szCs w:val="18"/>
              </w:rPr>
            </w:pPr>
            <w:r w:rsidRPr="00B7760C">
              <w:rPr>
                <w:rFonts w:asciiTheme="minorHAnsi" w:hAnsiTheme="minorHAnsi" w:cstheme="minorHAnsi"/>
                <w:bCs/>
                <w:sz w:val="18"/>
                <w:szCs w:val="18"/>
              </w:rPr>
              <w:t>Široka vrsta intervencije</w:t>
            </w:r>
          </w:p>
        </w:tc>
        <w:tc>
          <w:tcPr>
            <w:tcW w:w="3223" w:type="dxa"/>
            <w:tcBorders>
              <w:top w:val="single" w:sz="4" w:space="0" w:color="0070C0"/>
              <w:left w:val="single" w:sz="4" w:space="0" w:color="0070C0"/>
              <w:bottom w:val="single" w:sz="4" w:space="0" w:color="0070C0"/>
              <w:right w:val="single" w:sz="4" w:space="0" w:color="0070C0"/>
            </w:tcBorders>
            <w:shd w:val="clear" w:color="auto" w:fill="auto"/>
          </w:tcPr>
          <w:p w14:paraId="2F3C0523" w14:textId="77777777" w:rsidR="00182609" w:rsidRPr="00B7760C" w:rsidRDefault="00182609" w:rsidP="009D3E2B">
            <w:pPr>
              <w:widowControl/>
              <w:spacing w:before="120" w:after="120"/>
              <w:rPr>
                <w:rFonts w:asciiTheme="minorHAnsi" w:hAnsiTheme="minorHAnsi" w:cstheme="minorHAnsi"/>
                <w:bCs/>
                <w:sz w:val="18"/>
                <w:szCs w:val="18"/>
              </w:rPr>
            </w:pPr>
            <w:r w:rsidRPr="00B7760C">
              <w:rPr>
                <w:rFonts w:asciiTheme="minorHAnsi" w:hAnsiTheme="minorHAnsi" w:cstheme="minorHAnsi"/>
                <w:bCs/>
                <w:sz w:val="18"/>
                <w:szCs w:val="18"/>
              </w:rPr>
              <w:t>Kazalniki izložkov (na intervencijo)</w:t>
            </w:r>
          </w:p>
        </w:tc>
      </w:tr>
      <w:tr w:rsidR="00182609" w:rsidRPr="00B7760C" w14:paraId="0226480F" w14:textId="77777777" w:rsidTr="00A35DEB">
        <w:trPr>
          <w:cantSplit/>
          <w:trHeight w:val="396"/>
        </w:trPr>
        <w:tc>
          <w:tcPr>
            <w:tcW w:w="2284" w:type="dxa"/>
            <w:vMerge w:val="restart"/>
            <w:tcBorders>
              <w:top w:val="dashed" w:sz="4" w:space="0" w:color="0070C0"/>
              <w:left w:val="single" w:sz="4" w:space="0" w:color="0070C0"/>
              <w:right w:val="single" w:sz="4" w:space="0" w:color="0070C0"/>
            </w:tcBorders>
            <w:noWrap/>
            <w:vAlign w:val="center"/>
            <w:hideMark/>
          </w:tcPr>
          <w:p w14:paraId="41AB3788" w14:textId="77777777" w:rsidR="00182609" w:rsidRPr="00B7760C" w:rsidRDefault="00182609" w:rsidP="009D3E2B">
            <w:pPr>
              <w:widowControl/>
              <w:spacing w:before="120" w:after="120" w:line="276" w:lineRule="auto"/>
              <w:rPr>
                <w:rFonts w:asciiTheme="minorHAnsi" w:hAnsiTheme="minorHAnsi" w:cstheme="minorHAnsi"/>
                <w:bCs/>
                <w:color w:val="000000"/>
                <w:sz w:val="18"/>
                <w:szCs w:val="18"/>
              </w:rPr>
            </w:pPr>
            <w:r w:rsidRPr="00B7760C">
              <w:rPr>
                <w:rFonts w:asciiTheme="minorHAnsi" w:hAnsiTheme="minorHAnsi" w:cstheme="minorHAnsi"/>
                <w:sz w:val="18"/>
                <w:szCs w:val="18"/>
              </w:rPr>
              <w:t xml:space="preserve">spodbujanje trajnostnega razvoja in učinkovitega upravljanja naravnih virov </w:t>
            </w:r>
            <w:r w:rsidRPr="00B7760C">
              <w:rPr>
                <w:rFonts w:asciiTheme="minorHAnsi" w:hAnsiTheme="minorHAnsi" w:cstheme="minorHAnsi"/>
                <w:b/>
                <w:i/>
                <w:sz w:val="18"/>
                <w:szCs w:val="18"/>
              </w:rPr>
              <w:t>ter prispevanje k varstvu in izboljševanju kakovosti vode, tal in zraka, vključno trajnostnim upravljanjem hranil ter manjšo uporabo fitofarmacevtskih sredstev, gnojil in antibiotikov;</w:t>
            </w:r>
          </w:p>
        </w:tc>
        <w:tc>
          <w:tcPr>
            <w:tcW w:w="3226" w:type="dxa"/>
            <w:tcBorders>
              <w:top w:val="dashed" w:sz="4" w:space="0" w:color="0070C0"/>
              <w:left w:val="single" w:sz="4" w:space="0" w:color="0070C0"/>
              <w:right w:val="single" w:sz="4" w:space="0" w:color="0070C0"/>
            </w:tcBorders>
          </w:tcPr>
          <w:p w14:paraId="607E45AE" w14:textId="77777777" w:rsidR="00182609" w:rsidRPr="00B7760C" w:rsidRDefault="00182609" w:rsidP="009D3E2B">
            <w:pPr>
              <w:widowControl/>
              <w:spacing w:before="120" w:after="120" w:line="276" w:lineRule="auto"/>
              <w:rPr>
                <w:rFonts w:asciiTheme="minorHAnsi" w:hAnsiTheme="minorHAnsi" w:cstheme="minorHAnsi"/>
                <w:sz w:val="18"/>
                <w:szCs w:val="18"/>
              </w:rPr>
            </w:pPr>
            <w:r w:rsidRPr="00B7760C">
              <w:rPr>
                <w:rFonts w:asciiTheme="minorHAnsi" w:hAnsiTheme="minorHAnsi" w:cstheme="minorHAnsi"/>
                <w:sz w:val="18"/>
                <w:szCs w:val="18"/>
              </w:rPr>
              <w:t xml:space="preserve">I.13 Zmanjšanje erozije tal </w:t>
            </w:r>
            <w:r w:rsidRPr="00B7760C">
              <w:rPr>
                <w:rFonts w:asciiTheme="minorHAnsi" w:hAnsiTheme="minorHAnsi" w:cstheme="minorHAnsi"/>
                <w:b/>
                <w:i/>
                <w:sz w:val="18"/>
                <w:szCs w:val="18"/>
              </w:rPr>
              <w:t>in povečanje odpornosti na skrajne vremenske razmere:</w:t>
            </w:r>
            <w:r w:rsidRPr="00B7760C">
              <w:rPr>
                <w:rFonts w:asciiTheme="minorHAnsi" w:hAnsiTheme="minorHAnsi" w:cstheme="minorHAnsi"/>
                <w:sz w:val="18"/>
                <w:szCs w:val="18"/>
              </w:rPr>
              <w:t xml:space="preserve"> odstotek zemljišč z zmerno in močno erozijo tal na kmetijskih zemljiščih</w:t>
            </w:r>
          </w:p>
        </w:tc>
        <w:tc>
          <w:tcPr>
            <w:tcW w:w="4567" w:type="dxa"/>
            <w:tcBorders>
              <w:top w:val="dashed" w:sz="4" w:space="0" w:color="0070C0"/>
              <w:left w:val="single" w:sz="4" w:space="0" w:color="0070C0"/>
              <w:right w:val="single" w:sz="4" w:space="0" w:color="0070C0"/>
            </w:tcBorders>
          </w:tcPr>
          <w:p w14:paraId="674405EA" w14:textId="77777777" w:rsidR="00182609" w:rsidRPr="00B7760C" w:rsidRDefault="00182609" w:rsidP="009D3E2B">
            <w:pPr>
              <w:widowControl/>
              <w:spacing w:before="120" w:after="120" w:line="276" w:lineRule="auto"/>
              <w:rPr>
                <w:rFonts w:asciiTheme="minorHAnsi" w:hAnsiTheme="minorHAnsi" w:cstheme="minorHAnsi"/>
                <w:sz w:val="18"/>
                <w:szCs w:val="18"/>
              </w:rPr>
            </w:pPr>
            <w:r w:rsidRPr="00B7760C">
              <w:rPr>
                <w:rFonts w:asciiTheme="minorHAnsi" w:hAnsiTheme="minorHAnsi" w:cstheme="minorHAnsi"/>
                <w:sz w:val="18"/>
                <w:szCs w:val="18"/>
              </w:rPr>
              <w:t xml:space="preserve">R.18 </w:t>
            </w:r>
            <w:r w:rsidRPr="00B7760C">
              <w:rPr>
                <w:rFonts w:asciiTheme="minorHAnsi" w:hAnsiTheme="minorHAnsi" w:cstheme="minorHAnsi"/>
                <w:bCs/>
                <w:sz w:val="18"/>
                <w:szCs w:val="18"/>
              </w:rPr>
              <w:t xml:space="preserve">Izboljšanje </w:t>
            </w:r>
            <w:r w:rsidRPr="00B7760C">
              <w:rPr>
                <w:rFonts w:asciiTheme="minorHAnsi" w:hAnsiTheme="minorHAnsi" w:cstheme="minorHAnsi"/>
                <w:b/>
                <w:bCs/>
                <w:i/>
                <w:sz w:val="18"/>
                <w:szCs w:val="18"/>
              </w:rPr>
              <w:t>in zaščita</w:t>
            </w:r>
            <w:r w:rsidRPr="00B7760C">
              <w:rPr>
                <w:rFonts w:asciiTheme="minorHAnsi" w:hAnsiTheme="minorHAnsi" w:cstheme="minorHAnsi"/>
                <w:b/>
                <w:bCs/>
                <w:sz w:val="18"/>
                <w:szCs w:val="18"/>
              </w:rPr>
              <w:t xml:space="preserve"> </w:t>
            </w:r>
            <w:r w:rsidRPr="00B7760C">
              <w:rPr>
                <w:rFonts w:asciiTheme="minorHAnsi" w:hAnsiTheme="minorHAnsi" w:cstheme="minorHAnsi"/>
                <w:bCs/>
                <w:sz w:val="18"/>
                <w:szCs w:val="18"/>
              </w:rPr>
              <w:t>tal</w:t>
            </w:r>
            <w:r w:rsidRPr="00B7760C">
              <w:rPr>
                <w:rFonts w:asciiTheme="minorHAnsi" w:hAnsiTheme="minorHAnsi" w:cstheme="minorHAnsi"/>
                <w:b/>
                <w:bCs/>
                <w:i/>
                <w:sz w:val="18"/>
                <w:szCs w:val="18"/>
              </w:rPr>
              <w:t xml:space="preserve"> za povečanje odpornosti</w:t>
            </w:r>
            <w:r w:rsidRPr="00B7760C">
              <w:rPr>
                <w:rFonts w:asciiTheme="minorHAnsi" w:hAnsiTheme="minorHAnsi" w:cstheme="minorHAnsi"/>
                <w:bCs/>
                <w:sz w:val="18"/>
                <w:szCs w:val="18"/>
              </w:rPr>
              <w:t>:</w:t>
            </w:r>
            <w:r w:rsidRPr="00B7760C">
              <w:rPr>
                <w:rFonts w:asciiTheme="minorHAnsi" w:hAnsiTheme="minorHAnsi" w:cstheme="minorHAnsi"/>
                <w:b/>
                <w:bCs/>
                <w:sz w:val="18"/>
                <w:szCs w:val="18"/>
              </w:rPr>
              <w:t xml:space="preserve"> </w:t>
            </w:r>
            <w:r w:rsidRPr="00B7760C">
              <w:rPr>
                <w:rFonts w:asciiTheme="minorHAnsi" w:hAnsiTheme="minorHAnsi" w:cstheme="minorHAnsi"/>
                <w:sz w:val="18"/>
                <w:szCs w:val="18"/>
              </w:rPr>
              <w:t>delež kmetijskih zemljišč, za katera veljajo upravljavske obveznosti, ki so koristne za upravljanje tal</w:t>
            </w:r>
            <w:r w:rsidRPr="00B7760C">
              <w:rPr>
                <w:rFonts w:asciiTheme="minorHAnsi" w:hAnsiTheme="minorHAnsi" w:cstheme="minorHAnsi"/>
                <w:b/>
                <w:i/>
                <w:sz w:val="18"/>
                <w:szCs w:val="18"/>
              </w:rPr>
              <w:t>, da bi izboljšali kakovost tal in številčnost živih organizmov v njih</w:t>
            </w:r>
          </w:p>
        </w:tc>
        <w:tc>
          <w:tcPr>
            <w:tcW w:w="239" w:type="dxa"/>
            <w:tcBorders>
              <w:left w:val="single" w:sz="4" w:space="0" w:color="0070C0"/>
              <w:right w:val="single" w:sz="4" w:space="0" w:color="0070C0"/>
            </w:tcBorders>
          </w:tcPr>
          <w:p w14:paraId="37A3DCD1" w14:textId="77777777" w:rsidR="00182609" w:rsidRPr="00B7760C" w:rsidRDefault="00182609" w:rsidP="009D3E2B">
            <w:pPr>
              <w:widowControl/>
              <w:spacing w:before="120" w:after="120" w:line="276" w:lineRule="auto"/>
              <w:rPr>
                <w:rFonts w:asciiTheme="minorHAnsi" w:hAnsiTheme="minorHAnsi" w:cstheme="minorHAnsi"/>
                <w:bCs/>
                <w:sz w:val="18"/>
                <w:szCs w:val="18"/>
                <w:lang w:eastAsia="fr-BE"/>
              </w:rPr>
            </w:pPr>
          </w:p>
        </w:tc>
        <w:tc>
          <w:tcPr>
            <w:tcW w:w="1655" w:type="dxa"/>
            <w:tcBorders>
              <w:left w:val="single" w:sz="4" w:space="0" w:color="0070C0"/>
              <w:right w:val="single" w:sz="4" w:space="0" w:color="0070C0"/>
            </w:tcBorders>
          </w:tcPr>
          <w:p w14:paraId="245B0C9A" w14:textId="77777777" w:rsidR="00182609" w:rsidRPr="00B7760C" w:rsidRDefault="00182609" w:rsidP="009D3E2B">
            <w:pPr>
              <w:widowControl/>
              <w:spacing w:before="120" w:after="120"/>
              <w:rPr>
                <w:rFonts w:asciiTheme="minorHAnsi" w:hAnsiTheme="minorHAnsi" w:cstheme="minorHAnsi"/>
                <w:b/>
                <w:bCs/>
                <w:color w:val="000000"/>
                <w:sz w:val="18"/>
                <w:szCs w:val="18"/>
                <w:lang w:eastAsia="fr-BE"/>
              </w:rPr>
            </w:pPr>
          </w:p>
        </w:tc>
        <w:tc>
          <w:tcPr>
            <w:tcW w:w="3223" w:type="dxa"/>
            <w:tcBorders>
              <w:left w:val="single" w:sz="4" w:space="0" w:color="0070C0"/>
              <w:right w:val="single" w:sz="4" w:space="0" w:color="0070C0"/>
            </w:tcBorders>
          </w:tcPr>
          <w:p w14:paraId="53FF3F25" w14:textId="77777777" w:rsidR="00182609" w:rsidRPr="00B7760C" w:rsidRDefault="00182609" w:rsidP="009D3E2B">
            <w:pPr>
              <w:widowControl/>
              <w:spacing w:before="120" w:after="120"/>
              <w:rPr>
                <w:rFonts w:asciiTheme="minorHAnsi" w:hAnsiTheme="minorHAnsi" w:cstheme="minorHAnsi"/>
                <w:b/>
                <w:color w:val="000000"/>
                <w:sz w:val="18"/>
                <w:szCs w:val="18"/>
              </w:rPr>
            </w:pPr>
            <w:r w:rsidRPr="00B7760C">
              <w:rPr>
                <w:rFonts w:asciiTheme="minorHAnsi" w:hAnsiTheme="minorHAnsi" w:cstheme="minorHAnsi"/>
                <w:color w:val="000000"/>
                <w:sz w:val="18"/>
                <w:szCs w:val="18"/>
              </w:rPr>
              <w:t>O.14 Število hektarov (gozdnih zemljišč), za katere veljajo okoljske/podnebne prevzete obveznosti, ki presegajo obvezne zahteve</w:t>
            </w:r>
          </w:p>
        </w:tc>
      </w:tr>
      <w:tr w:rsidR="00182609" w:rsidRPr="00B7760C" w14:paraId="151592D4" w14:textId="77777777" w:rsidTr="00A35DEB">
        <w:trPr>
          <w:cantSplit/>
          <w:trHeight w:val="396"/>
        </w:trPr>
        <w:tc>
          <w:tcPr>
            <w:tcW w:w="2284" w:type="dxa"/>
            <w:vMerge/>
            <w:tcBorders>
              <w:top w:val="dashed" w:sz="4" w:space="0" w:color="0070C0"/>
              <w:left w:val="single" w:sz="4" w:space="0" w:color="0070C0"/>
              <w:right w:val="single" w:sz="4" w:space="0" w:color="0070C0"/>
            </w:tcBorders>
            <w:noWrap/>
            <w:vAlign w:val="center"/>
          </w:tcPr>
          <w:p w14:paraId="11A72438" w14:textId="77777777" w:rsidR="00182609" w:rsidRPr="00B7760C" w:rsidRDefault="00182609" w:rsidP="009D3E2B">
            <w:pPr>
              <w:widowControl/>
              <w:spacing w:before="120" w:after="120" w:line="276" w:lineRule="auto"/>
              <w:rPr>
                <w:rFonts w:asciiTheme="minorHAnsi" w:hAnsiTheme="minorHAnsi" w:cstheme="minorHAnsi"/>
                <w:bCs/>
                <w:color w:val="000000"/>
                <w:sz w:val="18"/>
                <w:szCs w:val="18"/>
                <w:lang w:eastAsia="fr-BE"/>
              </w:rPr>
            </w:pPr>
          </w:p>
        </w:tc>
        <w:tc>
          <w:tcPr>
            <w:tcW w:w="3226" w:type="dxa"/>
            <w:tcBorders>
              <w:top w:val="dashed" w:sz="4" w:space="0" w:color="0070C0"/>
              <w:left w:val="single" w:sz="4" w:space="0" w:color="0070C0"/>
              <w:right w:val="single" w:sz="4" w:space="0" w:color="0070C0"/>
            </w:tcBorders>
          </w:tcPr>
          <w:p w14:paraId="542537BC" w14:textId="77777777" w:rsidR="00182609" w:rsidRPr="00B7760C" w:rsidRDefault="00182609" w:rsidP="009D3E2B">
            <w:pPr>
              <w:widowControl/>
              <w:spacing w:before="120" w:after="120" w:line="276" w:lineRule="auto"/>
              <w:rPr>
                <w:rFonts w:asciiTheme="minorHAnsi" w:hAnsiTheme="minorHAnsi" w:cstheme="minorHAnsi"/>
                <w:b/>
                <w:sz w:val="18"/>
                <w:szCs w:val="18"/>
                <w:lang w:eastAsia="fr-BE"/>
              </w:rPr>
            </w:pPr>
          </w:p>
        </w:tc>
        <w:tc>
          <w:tcPr>
            <w:tcW w:w="4567" w:type="dxa"/>
            <w:tcBorders>
              <w:top w:val="dashed" w:sz="4" w:space="0" w:color="0070C0"/>
              <w:left w:val="single" w:sz="4" w:space="0" w:color="0070C0"/>
              <w:right w:val="single" w:sz="4" w:space="0" w:color="0070C0"/>
            </w:tcBorders>
          </w:tcPr>
          <w:p w14:paraId="32D80B67" w14:textId="77777777" w:rsidR="00182609" w:rsidRPr="00B7760C" w:rsidRDefault="00182609" w:rsidP="009D3E2B">
            <w:pPr>
              <w:widowControl/>
              <w:spacing w:before="120" w:after="120" w:line="276" w:lineRule="auto"/>
              <w:rPr>
                <w:rFonts w:asciiTheme="minorHAnsi" w:hAnsiTheme="minorHAnsi" w:cstheme="minorHAnsi"/>
                <w:sz w:val="18"/>
                <w:szCs w:val="18"/>
                <w:lang w:eastAsia="fr-BE"/>
              </w:rPr>
            </w:pPr>
          </w:p>
        </w:tc>
        <w:tc>
          <w:tcPr>
            <w:tcW w:w="239" w:type="dxa"/>
            <w:tcBorders>
              <w:left w:val="single" w:sz="4" w:space="0" w:color="0070C0"/>
              <w:right w:val="single" w:sz="4" w:space="0" w:color="0070C0"/>
            </w:tcBorders>
          </w:tcPr>
          <w:p w14:paraId="253A3BAC" w14:textId="77777777" w:rsidR="00182609" w:rsidRPr="00B7760C" w:rsidRDefault="00182609" w:rsidP="009D3E2B">
            <w:pPr>
              <w:widowControl/>
              <w:spacing w:before="120" w:after="120" w:line="276" w:lineRule="auto"/>
              <w:rPr>
                <w:rFonts w:asciiTheme="minorHAnsi" w:hAnsiTheme="minorHAnsi" w:cstheme="minorHAnsi"/>
                <w:bCs/>
                <w:sz w:val="18"/>
                <w:szCs w:val="18"/>
                <w:lang w:eastAsia="fr-BE"/>
              </w:rPr>
            </w:pPr>
          </w:p>
        </w:tc>
        <w:tc>
          <w:tcPr>
            <w:tcW w:w="1655" w:type="dxa"/>
            <w:tcBorders>
              <w:left w:val="single" w:sz="4" w:space="0" w:color="0070C0"/>
              <w:right w:val="single" w:sz="4" w:space="0" w:color="0070C0"/>
            </w:tcBorders>
          </w:tcPr>
          <w:p w14:paraId="460FF360" w14:textId="77777777" w:rsidR="00182609" w:rsidRPr="00B7760C" w:rsidRDefault="00182609" w:rsidP="009D3E2B">
            <w:pPr>
              <w:widowControl/>
              <w:spacing w:before="120" w:after="120"/>
              <w:rPr>
                <w:rFonts w:asciiTheme="minorHAnsi" w:hAnsiTheme="minorHAnsi" w:cstheme="minorHAnsi"/>
                <w:b/>
                <w:bCs/>
                <w:color w:val="000000"/>
                <w:sz w:val="18"/>
                <w:szCs w:val="18"/>
                <w:lang w:eastAsia="fr-BE"/>
              </w:rPr>
            </w:pPr>
          </w:p>
        </w:tc>
        <w:tc>
          <w:tcPr>
            <w:tcW w:w="3223" w:type="dxa"/>
            <w:tcBorders>
              <w:left w:val="single" w:sz="4" w:space="0" w:color="0070C0"/>
              <w:right w:val="single" w:sz="4" w:space="0" w:color="0070C0"/>
            </w:tcBorders>
          </w:tcPr>
          <w:p w14:paraId="6CF8850F" w14:textId="77777777" w:rsidR="00182609" w:rsidRPr="00B7760C" w:rsidRDefault="00182609" w:rsidP="009D3E2B">
            <w:pPr>
              <w:widowControl/>
              <w:spacing w:before="120" w:after="120"/>
              <w:rPr>
                <w:rFonts w:asciiTheme="minorHAnsi" w:hAnsiTheme="minorHAnsi" w:cstheme="minorHAnsi"/>
                <w:b/>
                <w:i/>
                <w:color w:val="000000"/>
                <w:sz w:val="18"/>
                <w:szCs w:val="18"/>
              </w:rPr>
            </w:pPr>
            <w:r w:rsidRPr="00B7760C">
              <w:rPr>
                <w:rFonts w:asciiTheme="minorHAnsi" w:hAnsiTheme="minorHAnsi" w:cstheme="minorHAnsi"/>
                <w:b/>
                <w:i/>
                <w:color w:val="000000"/>
                <w:sz w:val="18"/>
                <w:szCs w:val="18"/>
              </w:rPr>
              <w:t>O.14a Število hektarov, za katere veljajo obveznosti podpiranja integriranega varstva rastlin pred škodljivci</w:t>
            </w:r>
          </w:p>
        </w:tc>
      </w:tr>
      <w:tr w:rsidR="00182609" w:rsidRPr="00B7760C" w14:paraId="7B23D76E" w14:textId="77777777" w:rsidTr="00A35DEB">
        <w:trPr>
          <w:cantSplit/>
          <w:trHeight w:val="396"/>
        </w:trPr>
        <w:tc>
          <w:tcPr>
            <w:tcW w:w="2284" w:type="dxa"/>
            <w:vMerge/>
            <w:tcBorders>
              <w:top w:val="dashed" w:sz="4" w:space="0" w:color="0070C0"/>
              <w:left w:val="single" w:sz="4" w:space="0" w:color="0070C0"/>
              <w:right w:val="single" w:sz="4" w:space="0" w:color="0070C0"/>
            </w:tcBorders>
            <w:noWrap/>
            <w:vAlign w:val="center"/>
          </w:tcPr>
          <w:p w14:paraId="77AE8496" w14:textId="77777777" w:rsidR="00182609" w:rsidRPr="00B7760C" w:rsidRDefault="00182609" w:rsidP="009D3E2B">
            <w:pPr>
              <w:widowControl/>
              <w:spacing w:before="120" w:after="120" w:line="276" w:lineRule="auto"/>
              <w:rPr>
                <w:rFonts w:asciiTheme="minorHAnsi" w:hAnsiTheme="minorHAnsi" w:cstheme="minorHAnsi"/>
                <w:bCs/>
                <w:color w:val="000000"/>
                <w:sz w:val="18"/>
                <w:szCs w:val="18"/>
                <w:lang w:eastAsia="fr-BE"/>
              </w:rPr>
            </w:pPr>
          </w:p>
        </w:tc>
        <w:tc>
          <w:tcPr>
            <w:tcW w:w="3226" w:type="dxa"/>
            <w:tcBorders>
              <w:top w:val="dashed" w:sz="4" w:space="0" w:color="0070C0"/>
              <w:left w:val="single" w:sz="4" w:space="0" w:color="0070C0"/>
              <w:right w:val="single" w:sz="4" w:space="0" w:color="0070C0"/>
            </w:tcBorders>
          </w:tcPr>
          <w:p w14:paraId="7D2169D2" w14:textId="77777777" w:rsidR="00182609" w:rsidRPr="00B7760C" w:rsidRDefault="00182609" w:rsidP="009D3E2B">
            <w:pPr>
              <w:widowControl/>
              <w:spacing w:before="120" w:after="120" w:line="276" w:lineRule="auto"/>
              <w:rPr>
                <w:rFonts w:asciiTheme="minorHAnsi" w:hAnsiTheme="minorHAnsi" w:cstheme="minorHAnsi"/>
                <w:b/>
                <w:sz w:val="18"/>
                <w:szCs w:val="18"/>
              </w:rPr>
            </w:pPr>
            <w:r w:rsidRPr="00B7760C">
              <w:rPr>
                <w:rFonts w:asciiTheme="minorHAnsi" w:hAnsiTheme="minorHAnsi" w:cstheme="minorHAnsi"/>
                <w:b/>
                <w:i/>
                <w:sz w:val="18"/>
                <w:szCs w:val="18"/>
              </w:rPr>
              <w:t>I.13a Izgradnja površinskega sloja ter povečanje zmogljivosti zadrževanja vode in hranil: delež ustrezne organske snovi v površinskem sloju</w:t>
            </w:r>
          </w:p>
        </w:tc>
        <w:tc>
          <w:tcPr>
            <w:tcW w:w="4567" w:type="dxa"/>
            <w:tcBorders>
              <w:top w:val="dashed" w:sz="4" w:space="0" w:color="0070C0"/>
              <w:left w:val="single" w:sz="4" w:space="0" w:color="0070C0"/>
              <w:right w:val="single" w:sz="4" w:space="0" w:color="0070C0"/>
            </w:tcBorders>
          </w:tcPr>
          <w:p w14:paraId="05E59CE5" w14:textId="77777777" w:rsidR="00182609" w:rsidRPr="00B7760C" w:rsidRDefault="00182609" w:rsidP="009D3E2B">
            <w:pPr>
              <w:rPr>
                <w:rFonts w:asciiTheme="minorHAnsi" w:eastAsia="Times New Roman" w:hAnsiTheme="minorHAnsi" w:cstheme="minorHAnsi"/>
                <w:b/>
                <w:i/>
                <w:sz w:val="18"/>
                <w:szCs w:val="18"/>
                <w:vertAlign w:val="superscript"/>
              </w:rPr>
            </w:pPr>
            <w:r w:rsidRPr="00B7760C">
              <w:rPr>
                <w:rFonts w:asciiTheme="minorHAnsi" w:hAnsiTheme="minorHAnsi" w:cstheme="minorHAnsi"/>
                <w:b/>
                <w:i/>
                <w:sz w:val="18"/>
                <w:szCs w:val="18"/>
              </w:rPr>
              <w:t>R.18a Razvoj ekološkega kmetijstva: večji delež kmetijskih zemljišč in povečanje števila kmetij, ki prejemajo plačila za (a) prehod na prakso ekološkega kmetovanja; ali (b) vzdržujejo prakso ekološkega kmetijstva</w:t>
            </w:r>
            <w:r w:rsidRPr="00B7760C">
              <w:rPr>
                <w:rFonts w:asciiTheme="minorHAnsi" w:hAnsiTheme="minorHAnsi" w:cstheme="minorHAnsi"/>
                <w:b/>
                <w:i/>
                <w:sz w:val="18"/>
                <w:szCs w:val="18"/>
                <w:vertAlign w:val="superscript"/>
              </w:rPr>
              <w:t>*a</w:t>
            </w:r>
          </w:p>
          <w:p w14:paraId="54C0BD8E" w14:textId="77777777" w:rsidR="00182609" w:rsidRPr="00B7760C" w:rsidRDefault="00182609" w:rsidP="009D3E2B">
            <w:pPr>
              <w:rPr>
                <w:rFonts w:asciiTheme="minorHAnsi" w:eastAsia="Times New Roman" w:hAnsiTheme="minorHAnsi" w:cstheme="minorHAnsi"/>
                <w:b/>
                <w:i/>
                <w:sz w:val="18"/>
                <w:szCs w:val="18"/>
              </w:rPr>
            </w:pPr>
            <w:r w:rsidRPr="00B7760C">
              <w:rPr>
                <w:rFonts w:asciiTheme="minorHAnsi" w:hAnsiTheme="minorHAnsi" w:cstheme="minorHAnsi"/>
                <w:b/>
                <w:i/>
                <w:sz w:val="18"/>
                <w:szCs w:val="18"/>
              </w:rPr>
              <w:t>––––––––––––––––––––––––––</w:t>
            </w:r>
          </w:p>
          <w:p w14:paraId="0134CB8E" w14:textId="77777777" w:rsidR="00182609" w:rsidRPr="00B7760C" w:rsidRDefault="00182609" w:rsidP="009D3E2B">
            <w:pPr>
              <w:rPr>
                <w:rFonts w:asciiTheme="minorHAnsi" w:eastAsiaTheme="minorHAnsi" w:hAnsiTheme="minorHAnsi" w:cstheme="minorHAnsi"/>
                <w:b/>
                <w:i/>
                <w:sz w:val="18"/>
                <w:szCs w:val="18"/>
              </w:rPr>
            </w:pPr>
            <w:r w:rsidRPr="00B7760C">
              <w:rPr>
                <w:rFonts w:asciiTheme="minorHAnsi" w:hAnsiTheme="minorHAnsi" w:cstheme="minorHAnsi"/>
                <w:b/>
                <w:i/>
                <w:sz w:val="18"/>
                <w:szCs w:val="18"/>
                <w:vertAlign w:val="superscript"/>
              </w:rPr>
              <w:t>*a</w:t>
            </w:r>
            <w:r w:rsidRPr="00B7760C">
              <w:rPr>
                <w:rFonts w:asciiTheme="minorHAnsi" w:hAnsiTheme="minorHAnsi" w:cstheme="minorHAnsi"/>
                <w:b/>
                <w:i/>
                <w:sz w:val="18"/>
                <w:szCs w:val="18"/>
              </w:rPr>
              <w:t xml:space="preserve"> Za točki (a) in (b) bosta posredovana ločena niza podatkov</w:t>
            </w:r>
          </w:p>
        </w:tc>
        <w:tc>
          <w:tcPr>
            <w:tcW w:w="239" w:type="dxa"/>
            <w:tcBorders>
              <w:left w:val="single" w:sz="4" w:space="0" w:color="0070C0"/>
              <w:right w:val="single" w:sz="4" w:space="0" w:color="0070C0"/>
            </w:tcBorders>
          </w:tcPr>
          <w:p w14:paraId="6171A754" w14:textId="77777777" w:rsidR="00182609" w:rsidRPr="00B7760C" w:rsidRDefault="00182609" w:rsidP="009D3E2B">
            <w:pPr>
              <w:widowControl/>
              <w:spacing w:before="120" w:after="120" w:line="276" w:lineRule="auto"/>
              <w:rPr>
                <w:rFonts w:asciiTheme="minorHAnsi" w:hAnsiTheme="minorHAnsi" w:cstheme="minorHAnsi"/>
                <w:bCs/>
                <w:sz w:val="18"/>
                <w:szCs w:val="18"/>
                <w:lang w:eastAsia="fr-BE"/>
              </w:rPr>
            </w:pPr>
          </w:p>
        </w:tc>
        <w:tc>
          <w:tcPr>
            <w:tcW w:w="1655" w:type="dxa"/>
            <w:tcBorders>
              <w:left w:val="single" w:sz="4" w:space="0" w:color="0070C0"/>
              <w:right w:val="single" w:sz="4" w:space="0" w:color="0070C0"/>
            </w:tcBorders>
          </w:tcPr>
          <w:p w14:paraId="602D29D1" w14:textId="77777777" w:rsidR="00182609" w:rsidRPr="00B7760C" w:rsidRDefault="00182609" w:rsidP="009D3E2B">
            <w:pPr>
              <w:widowControl/>
              <w:spacing w:before="120" w:after="120"/>
              <w:rPr>
                <w:rFonts w:asciiTheme="minorHAnsi" w:hAnsiTheme="minorHAnsi" w:cstheme="minorHAnsi"/>
                <w:b/>
                <w:bCs/>
                <w:color w:val="000000"/>
                <w:sz w:val="18"/>
                <w:szCs w:val="18"/>
                <w:lang w:eastAsia="fr-BE"/>
              </w:rPr>
            </w:pPr>
          </w:p>
        </w:tc>
        <w:tc>
          <w:tcPr>
            <w:tcW w:w="3223" w:type="dxa"/>
            <w:tcBorders>
              <w:left w:val="single" w:sz="4" w:space="0" w:color="0070C0"/>
              <w:right w:val="single" w:sz="4" w:space="0" w:color="0070C0"/>
            </w:tcBorders>
          </w:tcPr>
          <w:p w14:paraId="3FAA163C" w14:textId="77777777" w:rsidR="00182609" w:rsidRPr="00B7760C" w:rsidRDefault="00182609" w:rsidP="009D3E2B">
            <w:pPr>
              <w:widowControl/>
              <w:spacing w:before="120" w:after="120"/>
              <w:rPr>
                <w:rFonts w:asciiTheme="minorHAnsi" w:hAnsiTheme="minorHAnsi" w:cstheme="minorHAnsi"/>
                <w:b/>
                <w:color w:val="000000"/>
                <w:sz w:val="18"/>
                <w:szCs w:val="18"/>
                <w:lang w:eastAsia="fr-BE"/>
              </w:rPr>
            </w:pPr>
          </w:p>
        </w:tc>
      </w:tr>
      <w:tr w:rsidR="00182609" w:rsidRPr="00B7760C" w14:paraId="0992BCBF" w14:textId="77777777" w:rsidTr="00A35DEB">
        <w:trPr>
          <w:cantSplit/>
          <w:trHeight w:val="396"/>
        </w:trPr>
        <w:tc>
          <w:tcPr>
            <w:tcW w:w="2284" w:type="dxa"/>
            <w:vMerge/>
            <w:tcBorders>
              <w:top w:val="dashed" w:sz="4" w:space="0" w:color="0070C0"/>
              <w:left w:val="single" w:sz="4" w:space="0" w:color="0070C0"/>
              <w:right w:val="single" w:sz="4" w:space="0" w:color="0070C0"/>
            </w:tcBorders>
            <w:noWrap/>
            <w:vAlign w:val="center"/>
          </w:tcPr>
          <w:p w14:paraId="290C9CC9" w14:textId="77777777" w:rsidR="00182609" w:rsidRPr="00B7760C" w:rsidRDefault="00182609" w:rsidP="009D3E2B">
            <w:pPr>
              <w:widowControl/>
              <w:spacing w:before="120" w:after="120" w:line="276" w:lineRule="auto"/>
              <w:rPr>
                <w:rFonts w:asciiTheme="minorHAnsi" w:hAnsiTheme="minorHAnsi" w:cstheme="minorHAnsi"/>
                <w:bCs/>
                <w:color w:val="000000"/>
                <w:sz w:val="18"/>
                <w:szCs w:val="18"/>
                <w:lang w:eastAsia="fr-BE"/>
              </w:rPr>
            </w:pPr>
          </w:p>
        </w:tc>
        <w:tc>
          <w:tcPr>
            <w:tcW w:w="3226" w:type="dxa"/>
            <w:tcBorders>
              <w:top w:val="dashed" w:sz="4" w:space="0" w:color="0070C0"/>
              <w:left w:val="single" w:sz="4" w:space="0" w:color="0070C0"/>
              <w:right w:val="single" w:sz="4" w:space="0" w:color="0070C0"/>
            </w:tcBorders>
          </w:tcPr>
          <w:p w14:paraId="63E78E61" w14:textId="77777777" w:rsidR="00182609" w:rsidRPr="00B7760C" w:rsidRDefault="00182609" w:rsidP="009D3E2B">
            <w:pPr>
              <w:widowControl/>
              <w:spacing w:before="120" w:after="120" w:line="276" w:lineRule="auto"/>
              <w:rPr>
                <w:rFonts w:asciiTheme="minorHAnsi" w:hAnsiTheme="minorHAnsi" w:cstheme="minorHAnsi"/>
                <w:b/>
                <w:i/>
                <w:sz w:val="18"/>
                <w:szCs w:val="18"/>
              </w:rPr>
            </w:pPr>
            <w:r w:rsidRPr="00B7760C">
              <w:rPr>
                <w:rFonts w:asciiTheme="minorHAnsi" w:hAnsiTheme="minorHAnsi" w:cstheme="minorHAnsi"/>
                <w:sz w:val="18"/>
                <w:szCs w:val="18"/>
              </w:rPr>
              <w:t>I.14 Izboljšanje kakovosti zraka: zmanjšanje emisij amoniaka iz kmetijstva</w:t>
            </w:r>
          </w:p>
        </w:tc>
        <w:tc>
          <w:tcPr>
            <w:tcW w:w="4567" w:type="dxa"/>
            <w:tcBorders>
              <w:top w:val="dashed" w:sz="4" w:space="0" w:color="0070C0"/>
              <w:left w:val="single" w:sz="4" w:space="0" w:color="0070C0"/>
              <w:right w:val="single" w:sz="4" w:space="0" w:color="0070C0"/>
            </w:tcBorders>
          </w:tcPr>
          <w:p w14:paraId="454E0464" w14:textId="5DA9186A" w:rsidR="00182609" w:rsidRPr="00B7760C" w:rsidRDefault="00182609" w:rsidP="009D3E2B">
            <w:pPr>
              <w:widowControl/>
              <w:spacing w:before="120" w:after="120" w:line="276" w:lineRule="auto"/>
              <w:rPr>
                <w:rFonts w:asciiTheme="minorHAnsi" w:hAnsiTheme="minorHAnsi" w:cstheme="minorHAnsi"/>
                <w:b/>
                <w:sz w:val="18"/>
                <w:szCs w:val="18"/>
              </w:rPr>
            </w:pPr>
            <w:r w:rsidRPr="00B7760C">
              <w:rPr>
                <w:rFonts w:asciiTheme="minorHAnsi" w:hAnsiTheme="minorHAnsi" w:cstheme="minorHAnsi"/>
                <w:bCs/>
                <w:sz w:val="18"/>
                <w:szCs w:val="18"/>
              </w:rPr>
              <w:t>R.19</w:t>
            </w:r>
            <w:r w:rsidRPr="00B7760C">
              <w:rPr>
                <w:rFonts w:asciiTheme="minorHAnsi" w:hAnsiTheme="minorHAnsi" w:cstheme="minorHAnsi"/>
                <w:sz w:val="18"/>
                <w:szCs w:val="18"/>
              </w:rPr>
              <w:t xml:space="preserve"> Izboljšanje kakovosti zraka:</w:t>
            </w:r>
            <w:r w:rsidR="009D3E2B" w:rsidRPr="00B7760C">
              <w:rPr>
                <w:rFonts w:asciiTheme="minorHAnsi" w:hAnsiTheme="minorHAnsi" w:cstheme="minorHAnsi"/>
                <w:sz w:val="18"/>
                <w:szCs w:val="18"/>
              </w:rPr>
              <w:t xml:space="preserve"> </w:t>
            </w:r>
            <w:r w:rsidRPr="00B7760C">
              <w:rPr>
                <w:rFonts w:asciiTheme="minorHAnsi" w:hAnsiTheme="minorHAnsi" w:cstheme="minorHAnsi"/>
                <w:sz w:val="18"/>
                <w:szCs w:val="18"/>
              </w:rPr>
              <w:t>delež kmetijskih zemljišč s prevzetimi obveznostmi za zmanjšanje emisij amoniaka</w:t>
            </w:r>
            <w:r w:rsidRPr="00B7760C">
              <w:rPr>
                <w:rFonts w:asciiTheme="minorHAnsi" w:hAnsiTheme="minorHAnsi" w:cstheme="minorHAnsi"/>
                <w:b/>
                <w:i/>
                <w:sz w:val="18"/>
                <w:szCs w:val="18"/>
              </w:rPr>
              <w:t xml:space="preserve"> v skladu z zakonodajo Unije iz PRILOGE XI</w:t>
            </w:r>
          </w:p>
        </w:tc>
        <w:tc>
          <w:tcPr>
            <w:tcW w:w="239" w:type="dxa"/>
            <w:tcBorders>
              <w:left w:val="single" w:sz="4" w:space="0" w:color="0070C0"/>
              <w:right w:val="single" w:sz="4" w:space="0" w:color="0070C0"/>
            </w:tcBorders>
          </w:tcPr>
          <w:p w14:paraId="5D0B5268" w14:textId="77777777" w:rsidR="00182609" w:rsidRPr="00B7760C" w:rsidRDefault="00182609" w:rsidP="009D3E2B">
            <w:pPr>
              <w:widowControl/>
              <w:spacing w:before="120" w:after="120" w:line="276" w:lineRule="auto"/>
              <w:rPr>
                <w:rFonts w:asciiTheme="minorHAnsi" w:hAnsiTheme="minorHAnsi" w:cstheme="minorHAnsi"/>
                <w:bCs/>
                <w:sz w:val="18"/>
                <w:szCs w:val="18"/>
                <w:lang w:eastAsia="fr-BE"/>
              </w:rPr>
            </w:pPr>
          </w:p>
        </w:tc>
        <w:tc>
          <w:tcPr>
            <w:tcW w:w="1655" w:type="dxa"/>
            <w:tcBorders>
              <w:left w:val="single" w:sz="4" w:space="0" w:color="0070C0"/>
              <w:right w:val="single" w:sz="4" w:space="0" w:color="0070C0"/>
            </w:tcBorders>
          </w:tcPr>
          <w:p w14:paraId="16655712" w14:textId="77777777" w:rsidR="00182609" w:rsidRPr="00B7760C" w:rsidRDefault="00182609" w:rsidP="009D3E2B">
            <w:pPr>
              <w:widowControl/>
              <w:spacing w:before="120" w:after="120"/>
              <w:rPr>
                <w:rFonts w:asciiTheme="minorHAnsi" w:hAnsiTheme="minorHAnsi" w:cstheme="minorHAnsi"/>
                <w:b/>
                <w:bCs/>
                <w:color w:val="000000"/>
                <w:sz w:val="18"/>
                <w:szCs w:val="18"/>
                <w:lang w:eastAsia="fr-BE"/>
              </w:rPr>
            </w:pPr>
          </w:p>
        </w:tc>
        <w:tc>
          <w:tcPr>
            <w:tcW w:w="3223" w:type="dxa"/>
            <w:tcBorders>
              <w:left w:val="single" w:sz="4" w:space="0" w:color="0070C0"/>
              <w:right w:val="single" w:sz="4" w:space="0" w:color="0070C0"/>
            </w:tcBorders>
          </w:tcPr>
          <w:p w14:paraId="48CA079C" w14:textId="77777777" w:rsidR="00182609" w:rsidRPr="00B7760C" w:rsidRDefault="00182609" w:rsidP="009D3E2B">
            <w:pPr>
              <w:widowControl/>
              <w:spacing w:before="120" w:after="120"/>
              <w:rPr>
                <w:rFonts w:asciiTheme="minorHAnsi" w:hAnsiTheme="minorHAnsi" w:cstheme="minorHAnsi"/>
                <w:b/>
                <w:color w:val="000000"/>
                <w:sz w:val="18"/>
                <w:szCs w:val="18"/>
                <w:lang w:eastAsia="fr-BE"/>
              </w:rPr>
            </w:pPr>
          </w:p>
        </w:tc>
      </w:tr>
      <w:tr w:rsidR="00182609" w:rsidRPr="00B7760C" w14:paraId="5C43C626" w14:textId="77777777" w:rsidTr="00A35DEB">
        <w:trPr>
          <w:cantSplit/>
          <w:trHeight w:val="475"/>
        </w:trPr>
        <w:tc>
          <w:tcPr>
            <w:tcW w:w="2284" w:type="dxa"/>
            <w:vMerge/>
            <w:tcBorders>
              <w:left w:val="single" w:sz="4" w:space="0" w:color="0070C0"/>
              <w:right w:val="single" w:sz="4" w:space="0" w:color="0070C0"/>
            </w:tcBorders>
          </w:tcPr>
          <w:p w14:paraId="5D5FB364" w14:textId="77777777" w:rsidR="00182609" w:rsidRPr="00B7760C" w:rsidRDefault="00182609" w:rsidP="009D3E2B">
            <w:pPr>
              <w:widowControl/>
              <w:spacing w:before="120" w:after="120" w:line="276" w:lineRule="auto"/>
              <w:rPr>
                <w:rFonts w:asciiTheme="minorHAnsi" w:hAnsiTheme="minorHAnsi" w:cstheme="minorHAnsi"/>
                <w:b/>
                <w:bCs/>
                <w:color w:val="000000"/>
                <w:sz w:val="18"/>
                <w:szCs w:val="18"/>
                <w:lang w:eastAsia="fr-BE"/>
              </w:rPr>
            </w:pPr>
          </w:p>
        </w:tc>
        <w:tc>
          <w:tcPr>
            <w:tcW w:w="3226" w:type="dxa"/>
            <w:tcBorders>
              <w:left w:val="single" w:sz="4" w:space="0" w:color="0070C0"/>
              <w:right w:val="single" w:sz="4" w:space="0" w:color="0070C0"/>
            </w:tcBorders>
          </w:tcPr>
          <w:p w14:paraId="3B71F286" w14:textId="77777777" w:rsidR="00182609" w:rsidRPr="00B7760C" w:rsidRDefault="00182609" w:rsidP="009D3E2B">
            <w:pPr>
              <w:widowControl/>
              <w:spacing w:before="120" w:after="120" w:line="276" w:lineRule="auto"/>
              <w:rPr>
                <w:rFonts w:asciiTheme="minorHAnsi" w:hAnsiTheme="minorHAnsi" w:cstheme="minorHAnsi"/>
                <w:sz w:val="18"/>
                <w:szCs w:val="18"/>
              </w:rPr>
            </w:pPr>
            <w:r w:rsidRPr="00B7760C">
              <w:rPr>
                <w:rFonts w:asciiTheme="minorHAnsi" w:hAnsiTheme="minorHAnsi" w:cstheme="minorHAnsi"/>
                <w:sz w:val="18"/>
                <w:szCs w:val="18"/>
              </w:rPr>
              <w:t>I.15 Izboljšanje kakovosti zraka: bruto bilanca hranil na kmetijskih zemljiščih</w:t>
            </w:r>
          </w:p>
        </w:tc>
        <w:tc>
          <w:tcPr>
            <w:tcW w:w="4567" w:type="dxa"/>
            <w:tcBorders>
              <w:left w:val="single" w:sz="4" w:space="0" w:color="0070C0"/>
              <w:right w:val="single" w:sz="4" w:space="0" w:color="0070C0"/>
            </w:tcBorders>
          </w:tcPr>
          <w:p w14:paraId="1D71C770" w14:textId="77777777" w:rsidR="00182609" w:rsidRPr="00B7760C" w:rsidRDefault="00182609" w:rsidP="009D3E2B">
            <w:pPr>
              <w:rPr>
                <w:rFonts w:asciiTheme="minorHAnsi" w:hAnsiTheme="minorHAnsi" w:cstheme="minorHAnsi"/>
                <w:sz w:val="18"/>
                <w:szCs w:val="18"/>
              </w:rPr>
            </w:pPr>
            <w:r w:rsidRPr="00B7760C">
              <w:rPr>
                <w:rFonts w:asciiTheme="minorHAnsi" w:hAnsiTheme="minorHAnsi" w:cstheme="minorHAnsi"/>
                <w:sz w:val="18"/>
                <w:szCs w:val="18"/>
              </w:rPr>
              <w:t>R.20 Izboljšanje kakovosti zraka:</w:t>
            </w:r>
            <w:r w:rsidRPr="00B7760C">
              <w:rPr>
                <w:rFonts w:asciiTheme="minorHAnsi" w:hAnsiTheme="minorHAnsi" w:cstheme="minorHAnsi"/>
                <w:bCs/>
                <w:sz w:val="18"/>
                <w:szCs w:val="18"/>
              </w:rPr>
              <w:t xml:space="preserve"> </w:t>
            </w:r>
            <w:r w:rsidRPr="00B7760C">
              <w:rPr>
                <w:rFonts w:asciiTheme="minorHAnsi" w:hAnsiTheme="minorHAnsi" w:cstheme="minorHAnsi"/>
                <w:sz w:val="18"/>
                <w:szCs w:val="18"/>
              </w:rPr>
              <w:t>delež kmetijskih zemljišč, za katera veljajo upravljavske obveznosti za kakovost vode</w:t>
            </w:r>
            <w:r w:rsidRPr="00B7760C">
              <w:rPr>
                <w:rFonts w:asciiTheme="minorHAnsi" w:hAnsiTheme="minorHAnsi" w:cstheme="minorHAnsi"/>
                <w:b/>
                <w:i/>
                <w:sz w:val="18"/>
                <w:szCs w:val="18"/>
              </w:rPr>
              <w:t>, da bi izboljšali stanje vodnih teles.</w:t>
            </w:r>
          </w:p>
        </w:tc>
        <w:tc>
          <w:tcPr>
            <w:tcW w:w="239" w:type="dxa"/>
            <w:tcBorders>
              <w:left w:val="single" w:sz="4" w:space="0" w:color="0070C0"/>
              <w:right w:val="single" w:sz="4" w:space="0" w:color="0070C0"/>
            </w:tcBorders>
          </w:tcPr>
          <w:p w14:paraId="30FCD57A" w14:textId="77777777" w:rsidR="00182609" w:rsidRPr="00B7760C" w:rsidRDefault="00182609" w:rsidP="009D3E2B">
            <w:pPr>
              <w:widowControl/>
              <w:spacing w:before="120" w:after="120" w:line="276" w:lineRule="auto"/>
              <w:rPr>
                <w:rFonts w:asciiTheme="minorHAnsi" w:hAnsiTheme="minorHAnsi" w:cstheme="minorHAnsi"/>
                <w:sz w:val="18"/>
                <w:szCs w:val="18"/>
                <w:lang w:eastAsia="fr-BE"/>
              </w:rPr>
            </w:pPr>
          </w:p>
        </w:tc>
        <w:tc>
          <w:tcPr>
            <w:tcW w:w="1655" w:type="dxa"/>
            <w:tcBorders>
              <w:left w:val="single" w:sz="4" w:space="0" w:color="0070C0"/>
              <w:right w:val="single" w:sz="4" w:space="0" w:color="0070C0"/>
            </w:tcBorders>
          </w:tcPr>
          <w:p w14:paraId="6E966F3A" w14:textId="77777777" w:rsidR="00182609" w:rsidRPr="00B7760C" w:rsidRDefault="00182609" w:rsidP="009D3E2B">
            <w:pPr>
              <w:widowControl/>
              <w:spacing w:before="120" w:after="120"/>
              <w:rPr>
                <w:rFonts w:asciiTheme="minorHAnsi" w:hAnsiTheme="minorHAnsi" w:cstheme="minorHAnsi"/>
                <w:b/>
                <w:bCs/>
                <w:color w:val="000000"/>
                <w:sz w:val="18"/>
                <w:szCs w:val="18"/>
                <w:lang w:eastAsia="fr-BE"/>
              </w:rPr>
            </w:pPr>
          </w:p>
        </w:tc>
        <w:tc>
          <w:tcPr>
            <w:tcW w:w="3223" w:type="dxa"/>
            <w:tcBorders>
              <w:left w:val="single" w:sz="4" w:space="0" w:color="0070C0"/>
              <w:right w:val="single" w:sz="4" w:space="0" w:color="0070C0"/>
            </w:tcBorders>
          </w:tcPr>
          <w:p w14:paraId="1C35EFF8" w14:textId="77777777" w:rsidR="00182609" w:rsidRPr="00B7760C" w:rsidRDefault="00182609" w:rsidP="009D3E2B">
            <w:pPr>
              <w:widowControl/>
              <w:spacing w:before="120" w:after="120"/>
              <w:rPr>
                <w:rFonts w:asciiTheme="minorHAnsi" w:hAnsiTheme="minorHAnsi" w:cstheme="minorHAnsi"/>
                <w:b/>
                <w:color w:val="000000"/>
                <w:sz w:val="18"/>
                <w:szCs w:val="18"/>
              </w:rPr>
            </w:pPr>
            <w:r w:rsidRPr="00B7760C">
              <w:rPr>
                <w:rFonts w:asciiTheme="minorHAnsi" w:hAnsiTheme="minorHAnsi" w:cstheme="minorHAnsi"/>
                <w:color w:val="000000"/>
                <w:sz w:val="18"/>
                <w:szCs w:val="18"/>
              </w:rPr>
              <w:t>O.15 Število hektarov s podporo za ekološko kmetovanje</w:t>
            </w:r>
          </w:p>
        </w:tc>
      </w:tr>
      <w:tr w:rsidR="00182609" w:rsidRPr="00B7760C" w14:paraId="6B9D413C" w14:textId="77777777" w:rsidTr="00A35DEB">
        <w:trPr>
          <w:cantSplit/>
          <w:trHeight w:val="689"/>
        </w:trPr>
        <w:tc>
          <w:tcPr>
            <w:tcW w:w="2284" w:type="dxa"/>
            <w:vMerge/>
            <w:tcBorders>
              <w:left w:val="single" w:sz="4" w:space="0" w:color="0070C0"/>
              <w:right w:val="single" w:sz="4" w:space="0" w:color="0070C0"/>
            </w:tcBorders>
          </w:tcPr>
          <w:p w14:paraId="2F157D77" w14:textId="77777777" w:rsidR="00182609" w:rsidRPr="00B7760C" w:rsidRDefault="00182609" w:rsidP="009D3E2B">
            <w:pPr>
              <w:widowControl/>
              <w:spacing w:before="120" w:after="120" w:line="276" w:lineRule="auto"/>
              <w:rPr>
                <w:rFonts w:asciiTheme="minorHAnsi" w:hAnsiTheme="minorHAnsi" w:cstheme="minorHAnsi"/>
                <w:b/>
                <w:bCs/>
                <w:color w:val="000000"/>
                <w:sz w:val="18"/>
                <w:szCs w:val="18"/>
                <w:lang w:eastAsia="fr-BE"/>
              </w:rPr>
            </w:pPr>
          </w:p>
        </w:tc>
        <w:tc>
          <w:tcPr>
            <w:tcW w:w="3226" w:type="dxa"/>
            <w:tcBorders>
              <w:left w:val="single" w:sz="4" w:space="0" w:color="0070C0"/>
              <w:right w:val="single" w:sz="4" w:space="0" w:color="0070C0"/>
            </w:tcBorders>
          </w:tcPr>
          <w:p w14:paraId="667B1A04" w14:textId="77777777" w:rsidR="00182609" w:rsidRPr="00B7760C" w:rsidRDefault="00182609" w:rsidP="009D3E2B">
            <w:pPr>
              <w:widowControl/>
              <w:spacing w:before="120" w:after="120" w:line="276" w:lineRule="auto"/>
              <w:rPr>
                <w:rFonts w:asciiTheme="minorHAnsi" w:hAnsiTheme="minorHAnsi" w:cstheme="minorHAnsi"/>
                <w:sz w:val="18"/>
                <w:szCs w:val="18"/>
                <w:lang w:eastAsia="fr-BE"/>
              </w:rPr>
            </w:pPr>
          </w:p>
        </w:tc>
        <w:tc>
          <w:tcPr>
            <w:tcW w:w="4567" w:type="dxa"/>
            <w:tcBorders>
              <w:left w:val="single" w:sz="4" w:space="0" w:color="0070C0"/>
              <w:right w:val="single" w:sz="4" w:space="0" w:color="0070C0"/>
            </w:tcBorders>
          </w:tcPr>
          <w:p w14:paraId="1BA1F8DA" w14:textId="77777777" w:rsidR="00182609" w:rsidRPr="00B7760C" w:rsidRDefault="00182609" w:rsidP="009D3E2B">
            <w:pPr>
              <w:widowControl/>
              <w:spacing w:before="120" w:after="120" w:line="276" w:lineRule="auto"/>
              <w:rPr>
                <w:rFonts w:asciiTheme="minorHAnsi" w:hAnsiTheme="minorHAnsi" w:cstheme="minorHAnsi"/>
                <w:b/>
                <w:sz w:val="18"/>
                <w:szCs w:val="18"/>
              </w:rPr>
            </w:pPr>
            <w:r w:rsidRPr="00B7760C">
              <w:rPr>
                <w:rFonts w:asciiTheme="minorHAnsi" w:hAnsiTheme="minorHAnsi" w:cstheme="minorHAnsi"/>
                <w:sz w:val="18"/>
                <w:szCs w:val="18"/>
              </w:rPr>
              <w:t>R.21 Trajnostno upravljanje hranil:</w:t>
            </w:r>
            <w:r w:rsidRPr="00B7760C">
              <w:rPr>
                <w:rFonts w:asciiTheme="minorHAnsi" w:hAnsiTheme="minorHAnsi" w:cstheme="minorHAnsi"/>
                <w:b/>
                <w:bCs/>
                <w:sz w:val="18"/>
                <w:szCs w:val="18"/>
              </w:rPr>
              <w:t xml:space="preserve"> </w:t>
            </w:r>
            <w:r w:rsidRPr="00B7760C">
              <w:rPr>
                <w:rFonts w:asciiTheme="minorHAnsi" w:hAnsiTheme="minorHAnsi" w:cstheme="minorHAnsi"/>
                <w:sz w:val="18"/>
                <w:szCs w:val="18"/>
              </w:rPr>
              <w:t>delež kmetijskih zemljišč s prevzetimi obveznostmi za boljše upravljanje hranil</w:t>
            </w:r>
          </w:p>
        </w:tc>
        <w:tc>
          <w:tcPr>
            <w:tcW w:w="239" w:type="dxa"/>
            <w:tcBorders>
              <w:left w:val="single" w:sz="4" w:space="0" w:color="0070C0"/>
              <w:right w:val="single" w:sz="4" w:space="0" w:color="0070C0"/>
            </w:tcBorders>
          </w:tcPr>
          <w:p w14:paraId="2FD47E2A" w14:textId="77777777" w:rsidR="00182609" w:rsidRPr="00B7760C" w:rsidRDefault="00182609" w:rsidP="009D3E2B">
            <w:pPr>
              <w:widowControl/>
              <w:spacing w:before="120" w:after="120" w:line="276" w:lineRule="auto"/>
              <w:rPr>
                <w:rFonts w:asciiTheme="minorHAnsi" w:hAnsiTheme="minorHAnsi" w:cstheme="minorHAnsi"/>
                <w:sz w:val="18"/>
                <w:szCs w:val="18"/>
                <w:lang w:eastAsia="fr-BE"/>
              </w:rPr>
            </w:pPr>
          </w:p>
        </w:tc>
        <w:tc>
          <w:tcPr>
            <w:tcW w:w="1655" w:type="dxa"/>
            <w:tcBorders>
              <w:left w:val="single" w:sz="4" w:space="0" w:color="0070C0"/>
              <w:right w:val="single" w:sz="4" w:space="0" w:color="0070C0"/>
            </w:tcBorders>
          </w:tcPr>
          <w:p w14:paraId="05F8E93A" w14:textId="77777777" w:rsidR="00182609" w:rsidRPr="00B7760C" w:rsidRDefault="00182609" w:rsidP="009D3E2B">
            <w:pPr>
              <w:widowControl/>
              <w:spacing w:before="120" w:after="120"/>
              <w:rPr>
                <w:rFonts w:asciiTheme="minorHAnsi" w:hAnsiTheme="minorHAnsi" w:cstheme="minorHAnsi"/>
                <w:b/>
                <w:bCs/>
                <w:color w:val="000000"/>
                <w:sz w:val="18"/>
                <w:szCs w:val="18"/>
                <w:lang w:eastAsia="fr-BE"/>
              </w:rPr>
            </w:pPr>
          </w:p>
        </w:tc>
        <w:tc>
          <w:tcPr>
            <w:tcW w:w="3223" w:type="dxa"/>
            <w:tcBorders>
              <w:left w:val="single" w:sz="4" w:space="0" w:color="0070C0"/>
              <w:right w:val="single" w:sz="4" w:space="0" w:color="0070C0"/>
            </w:tcBorders>
          </w:tcPr>
          <w:p w14:paraId="391812FD" w14:textId="77777777" w:rsidR="00182609" w:rsidRPr="00B7760C" w:rsidRDefault="00182609" w:rsidP="009D3E2B">
            <w:pPr>
              <w:widowControl/>
              <w:spacing w:before="120" w:after="120"/>
              <w:rPr>
                <w:rFonts w:asciiTheme="minorHAnsi" w:hAnsiTheme="minorHAnsi" w:cstheme="minorHAnsi"/>
                <w:b/>
                <w:color w:val="000000"/>
                <w:sz w:val="18"/>
                <w:szCs w:val="18"/>
              </w:rPr>
            </w:pPr>
            <w:r w:rsidRPr="00B7760C">
              <w:rPr>
                <w:rFonts w:asciiTheme="minorHAnsi" w:hAnsiTheme="minorHAnsi" w:cstheme="minorHAnsi"/>
                <w:color w:val="000000"/>
                <w:sz w:val="18"/>
                <w:szCs w:val="18"/>
              </w:rPr>
              <w:t>O.16 Število glav velike živine s podporo za dobrobit živali, zdravje ali okrepljene ukrepe za biološko zaščito</w:t>
            </w:r>
          </w:p>
        </w:tc>
      </w:tr>
      <w:tr w:rsidR="00182609" w:rsidRPr="00B7760C" w14:paraId="2A0242E8" w14:textId="77777777" w:rsidTr="00A35DEB">
        <w:trPr>
          <w:cantSplit/>
          <w:trHeight w:val="771"/>
        </w:trPr>
        <w:tc>
          <w:tcPr>
            <w:tcW w:w="2284" w:type="dxa"/>
            <w:tcBorders>
              <w:left w:val="single" w:sz="4" w:space="0" w:color="0070C0"/>
              <w:right w:val="single" w:sz="4" w:space="0" w:color="0070C0"/>
            </w:tcBorders>
            <w:hideMark/>
          </w:tcPr>
          <w:p w14:paraId="0ADC8606" w14:textId="77777777" w:rsidR="00182609" w:rsidRPr="00B7760C" w:rsidRDefault="00182609" w:rsidP="009D3E2B">
            <w:pPr>
              <w:widowControl/>
              <w:spacing w:before="120" w:after="120" w:line="276" w:lineRule="auto"/>
              <w:rPr>
                <w:rFonts w:asciiTheme="minorHAnsi" w:hAnsiTheme="minorHAnsi" w:cstheme="minorHAnsi"/>
                <w:b/>
                <w:bCs/>
                <w:color w:val="000000"/>
                <w:sz w:val="18"/>
                <w:szCs w:val="18"/>
                <w:lang w:eastAsia="fr-BE"/>
              </w:rPr>
            </w:pPr>
          </w:p>
        </w:tc>
        <w:tc>
          <w:tcPr>
            <w:tcW w:w="3226" w:type="dxa"/>
            <w:tcBorders>
              <w:left w:val="single" w:sz="4" w:space="0" w:color="0070C0"/>
              <w:right w:val="single" w:sz="4" w:space="0" w:color="0070C0"/>
            </w:tcBorders>
          </w:tcPr>
          <w:p w14:paraId="490E44F5" w14:textId="77777777" w:rsidR="00182609" w:rsidRPr="00B7760C" w:rsidRDefault="00182609" w:rsidP="009D3E2B">
            <w:pPr>
              <w:widowControl/>
              <w:spacing w:before="120" w:after="120" w:line="276" w:lineRule="auto"/>
              <w:rPr>
                <w:rFonts w:asciiTheme="minorHAnsi" w:hAnsiTheme="minorHAnsi" w:cstheme="minorHAnsi"/>
                <w:sz w:val="18"/>
                <w:szCs w:val="18"/>
              </w:rPr>
            </w:pPr>
            <w:r w:rsidRPr="00B7760C">
              <w:rPr>
                <w:rFonts w:asciiTheme="minorHAnsi" w:hAnsiTheme="minorHAnsi" w:cstheme="minorHAnsi"/>
                <w:sz w:val="18"/>
                <w:szCs w:val="18"/>
              </w:rPr>
              <w:t>1.16 Zmanjšanje uhajanja hranil:</w:t>
            </w:r>
            <w:r w:rsidRPr="00B7760C">
              <w:rPr>
                <w:rFonts w:asciiTheme="minorHAnsi" w:hAnsiTheme="minorHAnsi" w:cstheme="minorHAnsi"/>
                <w:bCs/>
                <w:sz w:val="18"/>
                <w:szCs w:val="18"/>
              </w:rPr>
              <w:t xml:space="preserve"> </w:t>
            </w:r>
            <w:r w:rsidRPr="00B7760C">
              <w:rPr>
                <w:rFonts w:asciiTheme="minorHAnsi" w:hAnsiTheme="minorHAnsi" w:cstheme="minorHAnsi"/>
                <w:sz w:val="18"/>
                <w:szCs w:val="18"/>
              </w:rPr>
              <w:t>nitrati v podtalnici – odstotek postaj podzemne vode s koncentracijo nitratov nad 50 mg/l v skladu z direktivo o nitratih</w:t>
            </w:r>
          </w:p>
        </w:tc>
        <w:tc>
          <w:tcPr>
            <w:tcW w:w="4567" w:type="dxa"/>
            <w:tcBorders>
              <w:left w:val="single" w:sz="4" w:space="0" w:color="0070C0"/>
              <w:right w:val="single" w:sz="4" w:space="0" w:color="0070C0"/>
            </w:tcBorders>
          </w:tcPr>
          <w:p w14:paraId="43784E5C" w14:textId="77777777" w:rsidR="00182609" w:rsidRPr="00B7760C" w:rsidRDefault="00182609" w:rsidP="009D3E2B">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R.22 Trajnostna raba pesticidov:</w:t>
            </w:r>
            <w:r w:rsidRPr="00B7760C">
              <w:rPr>
                <w:rFonts w:asciiTheme="minorHAnsi" w:hAnsiTheme="minorHAnsi" w:cstheme="minorHAnsi"/>
                <w:bCs/>
                <w:sz w:val="18"/>
                <w:szCs w:val="18"/>
              </w:rPr>
              <w:t xml:space="preserve"> </w:t>
            </w:r>
            <w:r w:rsidRPr="00B7760C">
              <w:rPr>
                <w:rFonts w:asciiTheme="minorHAnsi" w:hAnsiTheme="minorHAnsi" w:cstheme="minorHAnsi"/>
                <w:sz w:val="18"/>
                <w:szCs w:val="18"/>
              </w:rPr>
              <w:t>delež namakanih kmetijskih zemljišč s prevzetimi obveznostmi za izboljšanje vodnega ravnovesja</w:t>
            </w:r>
            <w:r w:rsidRPr="00B7760C">
              <w:rPr>
                <w:rFonts w:asciiTheme="minorHAnsi" w:hAnsiTheme="minorHAnsi" w:cstheme="minorHAnsi"/>
                <w:b/>
                <w:i/>
                <w:sz w:val="18"/>
                <w:szCs w:val="18"/>
              </w:rPr>
              <w:t>, vključno z ukrepi za zmanjšanje erozije tal, merjenje porabe vode ter za povečanje zmogljivosti tal, da zadržujejo vodo, v skladu z Direktivo 2000/60/ES</w:t>
            </w:r>
          </w:p>
        </w:tc>
        <w:tc>
          <w:tcPr>
            <w:tcW w:w="239" w:type="dxa"/>
            <w:tcBorders>
              <w:left w:val="single" w:sz="4" w:space="0" w:color="0070C0"/>
              <w:right w:val="single" w:sz="4" w:space="0" w:color="0070C0"/>
            </w:tcBorders>
          </w:tcPr>
          <w:p w14:paraId="7962F3B7" w14:textId="77777777" w:rsidR="00182609" w:rsidRPr="00B7760C" w:rsidRDefault="00182609" w:rsidP="009D3E2B">
            <w:pPr>
              <w:widowControl/>
              <w:spacing w:before="120" w:after="120" w:line="276" w:lineRule="auto"/>
              <w:rPr>
                <w:rFonts w:asciiTheme="minorHAnsi" w:hAnsiTheme="minorHAnsi" w:cstheme="minorHAnsi"/>
                <w:sz w:val="18"/>
                <w:szCs w:val="18"/>
                <w:lang w:eastAsia="fr-BE"/>
              </w:rPr>
            </w:pPr>
          </w:p>
        </w:tc>
        <w:tc>
          <w:tcPr>
            <w:tcW w:w="1655" w:type="dxa"/>
            <w:tcBorders>
              <w:left w:val="single" w:sz="4" w:space="0" w:color="0070C0"/>
              <w:bottom w:val="single" w:sz="4" w:space="0" w:color="0070C0"/>
              <w:right w:val="single" w:sz="4" w:space="0" w:color="0070C0"/>
            </w:tcBorders>
          </w:tcPr>
          <w:p w14:paraId="642C9A94" w14:textId="77777777" w:rsidR="00182609" w:rsidRPr="00B7760C" w:rsidRDefault="00182609" w:rsidP="009D3E2B">
            <w:pPr>
              <w:widowControl/>
              <w:spacing w:before="120" w:after="120"/>
              <w:rPr>
                <w:rFonts w:asciiTheme="minorHAnsi" w:hAnsiTheme="minorHAnsi" w:cstheme="minorHAnsi"/>
                <w:b/>
                <w:bCs/>
                <w:color w:val="000000"/>
                <w:sz w:val="18"/>
                <w:szCs w:val="18"/>
                <w:lang w:eastAsia="fr-BE"/>
              </w:rPr>
            </w:pPr>
          </w:p>
        </w:tc>
        <w:tc>
          <w:tcPr>
            <w:tcW w:w="3223" w:type="dxa"/>
            <w:tcBorders>
              <w:left w:val="single" w:sz="4" w:space="0" w:color="0070C0"/>
              <w:bottom w:val="single" w:sz="4" w:space="0" w:color="0070C0"/>
              <w:right w:val="single" w:sz="4" w:space="0" w:color="0070C0"/>
            </w:tcBorders>
          </w:tcPr>
          <w:p w14:paraId="1E331D93" w14:textId="77777777" w:rsidR="00182609" w:rsidRPr="00B7760C" w:rsidRDefault="00182609" w:rsidP="009D3E2B">
            <w:pPr>
              <w:widowControl/>
              <w:spacing w:before="120" w:after="120"/>
              <w:rPr>
                <w:rFonts w:asciiTheme="minorHAnsi" w:hAnsiTheme="minorHAnsi" w:cstheme="minorHAnsi"/>
                <w:b/>
                <w:color w:val="000000"/>
                <w:sz w:val="18"/>
                <w:szCs w:val="18"/>
              </w:rPr>
            </w:pPr>
            <w:r w:rsidRPr="00B7760C">
              <w:rPr>
                <w:rFonts w:asciiTheme="minorHAnsi" w:hAnsiTheme="minorHAnsi" w:cstheme="minorHAnsi"/>
                <w:sz w:val="18"/>
                <w:szCs w:val="18"/>
              </w:rPr>
              <w:t xml:space="preserve">O.17 Število projektov </w:t>
            </w:r>
            <w:r w:rsidRPr="00B7760C">
              <w:rPr>
                <w:rFonts w:asciiTheme="minorHAnsi" w:hAnsiTheme="minorHAnsi" w:cstheme="minorHAnsi"/>
                <w:b/>
                <w:i/>
                <w:sz w:val="18"/>
                <w:szCs w:val="18"/>
              </w:rPr>
              <w:t>in kmetov</w:t>
            </w:r>
            <w:r w:rsidRPr="00B7760C">
              <w:rPr>
                <w:rFonts w:asciiTheme="minorHAnsi" w:hAnsiTheme="minorHAnsi" w:cstheme="minorHAnsi"/>
                <w:sz w:val="18"/>
                <w:szCs w:val="18"/>
              </w:rPr>
              <w:t xml:space="preserve">, ki podpirajo genske vire </w:t>
            </w:r>
            <w:r w:rsidRPr="00B7760C">
              <w:rPr>
                <w:rFonts w:asciiTheme="minorHAnsi" w:hAnsiTheme="minorHAnsi" w:cstheme="minorHAnsi"/>
                <w:b/>
                <w:i/>
                <w:sz w:val="18"/>
                <w:szCs w:val="18"/>
              </w:rPr>
              <w:t>in gensko raznovrstnost, vključno s porazdelitvijo po sektorjih</w:t>
            </w:r>
          </w:p>
        </w:tc>
      </w:tr>
      <w:tr w:rsidR="00182609" w:rsidRPr="00B7760C" w14:paraId="2C12B612" w14:textId="77777777" w:rsidTr="00A35DEB">
        <w:trPr>
          <w:cantSplit/>
          <w:trHeight w:val="721"/>
        </w:trPr>
        <w:tc>
          <w:tcPr>
            <w:tcW w:w="2284" w:type="dxa"/>
            <w:tcBorders>
              <w:left w:val="single" w:sz="4" w:space="0" w:color="0070C0"/>
              <w:right w:val="single" w:sz="4" w:space="0" w:color="0070C0"/>
            </w:tcBorders>
          </w:tcPr>
          <w:p w14:paraId="33CD8218" w14:textId="77777777" w:rsidR="00182609" w:rsidRPr="00B7760C" w:rsidRDefault="00182609" w:rsidP="009D3E2B">
            <w:pPr>
              <w:widowControl/>
              <w:spacing w:before="120" w:after="120" w:line="276" w:lineRule="auto"/>
              <w:rPr>
                <w:rFonts w:asciiTheme="minorHAnsi" w:hAnsiTheme="minorHAnsi" w:cstheme="minorHAnsi"/>
                <w:b/>
                <w:bCs/>
                <w:color w:val="000000"/>
                <w:sz w:val="18"/>
                <w:szCs w:val="18"/>
                <w:lang w:eastAsia="fr-BE"/>
              </w:rPr>
            </w:pPr>
          </w:p>
        </w:tc>
        <w:tc>
          <w:tcPr>
            <w:tcW w:w="3226" w:type="dxa"/>
            <w:tcBorders>
              <w:left w:val="single" w:sz="4" w:space="0" w:color="0070C0"/>
              <w:right w:val="single" w:sz="4" w:space="0" w:color="0070C0"/>
            </w:tcBorders>
          </w:tcPr>
          <w:p w14:paraId="6E0494F4" w14:textId="77777777" w:rsidR="00182609" w:rsidRPr="00B7760C" w:rsidRDefault="00182609" w:rsidP="009D3E2B">
            <w:pPr>
              <w:widowControl/>
              <w:spacing w:before="120" w:after="120" w:line="276" w:lineRule="auto"/>
              <w:rPr>
                <w:rFonts w:asciiTheme="minorHAnsi" w:hAnsiTheme="minorHAnsi" w:cstheme="minorHAnsi"/>
                <w:sz w:val="18"/>
                <w:szCs w:val="18"/>
              </w:rPr>
            </w:pPr>
            <w:r w:rsidRPr="00B7760C">
              <w:rPr>
                <w:rFonts w:asciiTheme="minorHAnsi" w:hAnsiTheme="minorHAnsi" w:cstheme="minorHAnsi"/>
                <w:sz w:val="18"/>
                <w:szCs w:val="18"/>
              </w:rPr>
              <w:t>I.17 Zmanjšanje obremenitve vodnih virov:</w:t>
            </w:r>
            <w:r w:rsidRPr="00B7760C">
              <w:rPr>
                <w:rFonts w:asciiTheme="minorHAnsi" w:hAnsiTheme="minorHAnsi" w:cstheme="minorHAnsi"/>
                <w:bCs/>
                <w:sz w:val="18"/>
                <w:szCs w:val="18"/>
              </w:rPr>
              <w:t xml:space="preserve"> </w:t>
            </w:r>
            <w:r w:rsidRPr="00B7760C">
              <w:rPr>
                <w:rFonts w:asciiTheme="minorHAnsi" w:hAnsiTheme="minorHAnsi" w:cstheme="minorHAnsi"/>
                <w:sz w:val="18"/>
                <w:szCs w:val="18"/>
              </w:rPr>
              <w:t>indeks porabe vode plus (Water Exploitation Index Plus – WEI+)</w:t>
            </w:r>
          </w:p>
        </w:tc>
        <w:tc>
          <w:tcPr>
            <w:tcW w:w="4567" w:type="dxa"/>
            <w:tcBorders>
              <w:left w:val="single" w:sz="4" w:space="0" w:color="0070C0"/>
              <w:right w:val="single" w:sz="4" w:space="0" w:color="0070C0"/>
            </w:tcBorders>
          </w:tcPr>
          <w:p w14:paraId="40D3445C" w14:textId="056378AA" w:rsidR="00182609" w:rsidRPr="00B7760C" w:rsidRDefault="00182609" w:rsidP="009D3E2B">
            <w:pPr>
              <w:rPr>
                <w:rFonts w:asciiTheme="minorHAnsi" w:hAnsiTheme="minorHAnsi" w:cstheme="minorHAnsi"/>
                <w:b/>
                <w:bCs/>
                <w:i/>
                <w:iCs/>
                <w:sz w:val="18"/>
                <w:szCs w:val="18"/>
              </w:rPr>
            </w:pPr>
            <w:r w:rsidRPr="00B7760C">
              <w:rPr>
                <w:rFonts w:asciiTheme="minorHAnsi" w:hAnsiTheme="minorHAnsi" w:cstheme="minorHAnsi"/>
                <w:sz w:val="18"/>
                <w:szCs w:val="18"/>
              </w:rPr>
              <w:t>R.23</w:t>
            </w:r>
            <w:r w:rsidR="009D3E2B" w:rsidRPr="00B7760C">
              <w:rPr>
                <w:rFonts w:asciiTheme="minorHAnsi" w:hAnsiTheme="minorHAnsi" w:cstheme="minorHAnsi"/>
                <w:sz w:val="18"/>
                <w:szCs w:val="18"/>
              </w:rPr>
              <w:t xml:space="preserve"> </w:t>
            </w:r>
            <w:r w:rsidRPr="00B7760C">
              <w:rPr>
                <w:rFonts w:asciiTheme="minorHAnsi" w:hAnsiTheme="minorHAnsi" w:cstheme="minorHAnsi"/>
                <w:sz w:val="18"/>
                <w:szCs w:val="18"/>
              </w:rPr>
              <w:t xml:space="preserve">Okoljska/podnebna uspešnost zaradi naložb: delež kmetov s podporo pri </w:t>
            </w:r>
            <w:r w:rsidRPr="00B7760C">
              <w:rPr>
                <w:rFonts w:asciiTheme="minorHAnsi" w:hAnsiTheme="minorHAnsi" w:cstheme="minorHAnsi"/>
                <w:b/>
                <w:i/>
                <w:sz w:val="18"/>
                <w:szCs w:val="18"/>
              </w:rPr>
              <w:t>proizvodnih in neproizvodnih</w:t>
            </w:r>
            <w:r w:rsidRPr="00B7760C">
              <w:rPr>
                <w:rFonts w:asciiTheme="minorHAnsi" w:hAnsiTheme="minorHAnsi" w:cstheme="minorHAnsi"/>
                <w:sz w:val="18"/>
                <w:szCs w:val="18"/>
              </w:rPr>
              <w:t xml:space="preserve"> naložbah, vezanih na skrb za okolje ali podnebje</w:t>
            </w:r>
          </w:p>
        </w:tc>
        <w:tc>
          <w:tcPr>
            <w:tcW w:w="239" w:type="dxa"/>
            <w:tcBorders>
              <w:left w:val="single" w:sz="4" w:space="0" w:color="0070C0"/>
              <w:right w:val="single" w:sz="4" w:space="0" w:color="0070C0"/>
            </w:tcBorders>
          </w:tcPr>
          <w:p w14:paraId="03F250AC" w14:textId="77777777" w:rsidR="00182609" w:rsidRPr="00B7760C" w:rsidRDefault="00182609" w:rsidP="009D3E2B">
            <w:pPr>
              <w:widowControl/>
              <w:spacing w:before="120" w:after="120" w:line="276" w:lineRule="auto"/>
              <w:rPr>
                <w:rFonts w:asciiTheme="minorHAnsi" w:hAnsiTheme="minorHAnsi" w:cstheme="minorHAnsi"/>
                <w:sz w:val="18"/>
                <w:szCs w:val="18"/>
                <w:lang w:eastAsia="fr-BE"/>
              </w:rPr>
            </w:pPr>
          </w:p>
        </w:tc>
        <w:tc>
          <w:tcPr>
            <w:tcW w:w="1655" w:type="dxa"/>
            <w:tcBorders>
              <w:top w:val="single" w:sz="4" w:space="0" w:color="0070C0"/>
              <w:left w:val="single" w:sz="4" w:space="0" w:color="0070C0"/>
              <w:right w:val="single" w:sz="4" w:space="0" w:color="0070C0"/>
            </w:tcBorders>
          </w:tcPr>
          <w:p w14:paraId="020D8265" w14:textId="77777777" w:rsidR="00182609" w:rsidRPr="00B7760C" w:rsidRDefault="00182609" w:rsidP="009D3E2B">
            <w:pPr>
              <w:widowControl/>
              <w:spacing w:before="120" w:after="120"/>
              <w:rPr>
                <w:rFonts w:asciiTheme="minorHAnsi" w:hAnsiTheme="minorHAnsi" w:cstheme="minorHAnsi"/>
                <w:b/>
                <w:bCs/>
                <w:color w:val="000000"/>
                <w:sz w:val="18"/>
                <w:szCs w:val="18"/>
              </w:rPr>
            </w:pPr>
            <w:r w:rsidRPr="00B7760C">
              <w:rPr>
                <w:rFonts w:asciiTheme="minorHAnsi" w:hAnsiTheme="minorHAnsi" w:cstheme="minorHAnsi"/>
                <w:b/>
                <w:bCs/>
                <w:color w:val="000000"/>
                <w:sz w:val="18"/>
                <w:szCs w:val="18"/>
              </w:rPr>
              <w:t>Naložbe</w:t>
            </w:r>
          </w:p>
        </w:tc>
        <w:tc>
          <w:tcPr>
            <w:tcW w:w="3223" w:type="dxa"/>
            <w:tcBorders>
              <w:top w:val="single" w:sz="4" w:space="0" w:color="0070C0"/>
              <w:left w:val="single" w:sz="4" w:space="0" w:color="0070C0"/>
              <w:right w:val="single" w:sz="4" w:space="0" w:color="0070C0"/>
            </w:tcBorders>
          </w:tcPr>
          <w:p w14:paraId="5B502119" w14:textId="77777777" w:rsidR="00182609" w:rsidRPr="00B7760C" w:rsidRDefault="00182609" w:rsidP="009D3E2B">
            <w:pPr>
              <w:widowControl/>
              <w:spacing w:before="120" w:after="120"/>
              <w:rPr>
                <w:rFonts w:asciiTheme="minorHAnsi" w:hAnsiTheme="minorHAnsi" w:cstheme="minorHAnsi"/>
                <w:b/>
                <w:color w:val="000000"/>
                <w:sz w:val="18"/>
                <w:szCs w:val="18"/>
              </w:rPr>
            </w:pPr>
            <w:r w:rsidRPr="00B7760C">
              <w:rPr>
                <w:rFonts w:asciiTheme="minorHAnsi" w:hAnsiTheme="minorHAnsi" w:cstheme="minorHAnsi"/>
                <w:sz w:val="18"/>
                <w:szCs w:val="18"/>
              </w:rPr>
              <w:t>O.18 Število produktivnih naložb na kmetiji, ki prejemajo podporo</w:t>
            </w:r>
          </w:p>
        </w:tc>
      </w:tr>
      <w:tr w:rsidR="00182609" w:rsidRPr="00B7760C" w14:paraId="7FAF8532" w14:textId="77777777" w:rsidTr="00A35DEB">
        <w:trPr>
          <w:cantSplit/>
          <w:trHeight w:val="835"/>
        </w:trPr>
        <w:tc>
          <w:tcPr>
            <w:tcW w:w="2284" w:type="dxa"/>
            <w:tcBorders>
              <w:left w:val="single" w:sz="4" w:space="0" w:color="0070C0"/>
              <w:right w:val="single" w:sz="4" w:space="0" w:color="0070C0"/>
            </w:tcBorders>
          </w:tcPr>
          <w:p w14:paraId="64DF8FED" w14:textId="77777777" w:rsidR="00182609" w:rsidRPr="00B7760C" w:rsidRDefault="00182609" w:rsidP="009D3E2B">
            <w:pPr>
              <w:widowControl/>
              <w:spacing w:before="120" w:after="120" w:line="276" w:lineRule="auto"/>
              <w:rPr>
                <w:rFonts w:asciiTheme="minorHAnsi" w:hAnsiTheme="minorHAnsi" w:cstheme="minorHAnsi"/>
                <w:b/>
                <w:bCs/>
                <w:color w:val="000000"/>
                <w:sz w:val="18"/>
                <w:szCs w:val="18"/>
                <w:lang w:eastAsia="fr-BE"/>
              </w:rPr>
            </w:pPr>
          </w:p>
        </w:tc>
        <w:tc>
          <w:tcPr>
            <w:tcW w:w="3226" w:type="dxa"/>
            <w:tcBorders>
              <w:left w:val="single" w:sz="4" w:space="0" w:color="0070C0"/>
              <w:right w:val="single" w:sz="4" w:space="0" w:color="0070C0"/>
            </w:tcBorders>
          </w:tcPr>
          <w:p w14:paraId="6FA16A8F" w14:textId="77777777" w:rsidR="00182609" w:rsidRPr="00B7760C" w:rsidRDefault="00182609" w:rsidP="009D3E2B">
            <w:pPr>
              <w:widowControl/>
              <w:spacing w:before="120" w:after="120" w:line="276" w:lineRule="auto"/>
              <w:rPr>
                <w:rFonts w:asciiTheme="minorHAnsi" w:hAnsiTheme="minorHAnsi" w:cstheme="minorHAnsi"/>
                <w:b/>
                <w:i/>
                <w:sz w:val="18"/>
                <w:szCs w:val="18"/>
              </w:rPr>
            </w:pPr>
            <w:r w:rsidRPr="00B7760C">
              <w:rPr>
                <w:rFonts w:asciiTheme="minorHAnsi" w:hAnsiTheme="minorHAnsi" w:cstheme="minorHAnsi"/>
                <w:b/>
                <w:i/>
                <w:sz w:val="18"/>
                <w:szCs w:val="18"/>
              </w:rPr>
              <w:t>17a Zmanjšanje uhajanja pesticidov v podtalnico in površinske vode: delež teles podtalnice, katerih stanje je slabo, in delež teles površinske vode, v katerih so preseženi okoljski standardi kakovosti iz Direktive 2008/105/ES Evropskega parlamenta in Sveta</w:t>
            </w:r>
            <w:r w:rsidRPr="00B7760C">
              <w:rPr>
                <w:rFonts w:asciiTheme="minorHAnsi" w:hAnsiTheme="minorHAnsi" w:cstheme="minorHAnsi"/>
                <w:b/>
                <w:i/>
                <w:sz w:val="18"/>
                <w:szCs w:val="18"/>
                <w:vertAlign w:val="superscript"/>
              </w:rPr>
              <w:t>1a</w:t>
            </w:r>
            <w:r w:rsidRPr="00B7760C">
              <w:rPr>
                <w:rFonts w:asciiTheme="minorHAnsi" w:hAnsiTheme="minorHAnsi" w:cstheme="minorHAnsi"/>
                <w:b/>
                <w:i/>
                <w:sz w:val="18"/>
                <w:szCs w:val="18"/>
              </w:rPr>
              <w:t xml:space="preserve"> ali standardi držav članic za pesticide, ki se uporabljajo v kmetijstvu in so prednostne snovi</w:t>
            </w:r>
          </w:p>
          <w:p w14:paraId="1E81ECA2" w14:textId="77777777" w:rsidR="00182609" w:rsidRPr="00B7760C" w:rsidRDefault="00182609" w:rsidP="009D3E2B">
            <w:pPr>
              <w:widowControl/>
              <w:spacing w:before="120" w:after="120" w:line="276" w:lineRule="auto"/>
              <w:rPr>
                <w:rFonts w:asciiTheme="minorHAnsi" w:hAnsiTheme="minorHAnsi" w:cstheme="minorHAnsi"/>
                <w:b/>
                <w:i/>
                <w:sz w:val="18"/>
                <w:szCs w:val="18"/>
              </w:rPr>
            </w:pPr>
            <w:r w:rsidRPr="00B7760C">
              <w:rPr>
                <w:rFonts w:asciiTheme="minorHAnsi" w:hAnsiTheme="minorHAnsi" w:cstheme="minorHAnsi"/>
                <w:b/>
                <w:i/>
                <w:sz w:val="18"/>
                <w:szCs w:val="18"/>
              </w:rPr>
              <w:t>–––––––––––––––––––––</w:t>
            </w:r>
          </w:p>
          <w:p w14:paraId="795FBFEA" w14:textId="77777777" w:rsidR="00182609" w:rsidRPr="00B7760C" w:rsidRDefault="00182609" w:rsidP="009D3E2B">
            <w:pPr>
              <w:widowControl/>
              <w:spacing w:before="120" w:after="120" w:line="276" w:lineRule="auto"/>
              <w:rPr>
                <w:rFonts w:asciiTheme="minorHAnsi" w:hAnsiTheme="minorHAnsi" w:cstheme="minorHAnsi"/>
                <w:b/>
                <w:i/>
                <w:sz w:val="18"/>
                <w:szCs w:val="18"/>
              </w:rPr>
            </w:pPr>
            <w:r w:rsidRPr="00B7760C">
              <w:rPr>
                <w:rFonts w:asciiTheme="minorHAnsi" w:hAnsiTheme="minorHAnsi" w:cstheme="minorHAnsi"/>
                <w:b/>
                <w:i/>
                <w:sz w:val="18"/>
                <w:szCs w:val="18"/>
                <w:vertAlign w:val="superscript"/>
              </w:rPr>
              <w:t>1a</w:t>
            </w:r>
            <w:r w:rsidRPr="00B7760C">
              <w:rPr>
                <w:rFonts w:asciiTheme="minorHAnsi" w:hAnsiTheme="minorHAnsi" w:cstheme="minorHAnsi"/>
                <w:b/>
                <w:i/>
                <w:sz w:val="18"/>
                <w:szCs w:val="18"/>
              </w:rPr>
              <w:t xml:space="preserve"> Direktiva 2008/105/ES Evropskega parlamenta in Sveta z dne 16. decembra 2008 o okoljskih standardih kakovosti na področju vodne politike, spremembi in poznejši razveljavitvi direktiv Sveta 82/176/EGS, 83/513/EGS, 84/156/EGS, 84/491/EGS, 86/280/EGS ter spremembi Direktive 2000/60/ES Evropskega parlamenta in Sveta (UL L 348, 24.12.2008, str. 84).</w:t>
            </w:r>
          </w:p>
        </w:tc>
        <w:tc>
          <w:tcPr>
            <w:tcW w:w="4567" w:type="dxa"/>
            <w:tcBorders>
              <w:left w:val="single" w:sz="4" w:space="0" w:color="0070C0"/>
              <w:right w:val="single" w:sz="4" w:space="0" w:color="0070C0"/>
            </w:tcBorders>
          </w:tcPr>
          <w:p w14:paraId="695275A2" w14:textId="77777777" w:rsidR="00182609" w:rsidRPr="00B7760C" w:rsidRDefault="00182609" w:rsidP="009D3E2B">
            <w:pPr>
              <w:widowControl/>
              <w:spacing w:before="120" w:after="120"/>
              <w:rPr>
                <w:rFonts w:asciiTheme="minorHAnsi" w:hAnsiTheme="minorHAnsi" w:cstheme="minorHAnsi"/>
                <w:b/>
                <w:sz w:val="18"/>
                <w:szCs w:val="18"/>
                <w:lang w:eastAsia="fr-BE"/>
              </w:rPr>
            </w:pPr>
          </w:p>
        </w:tc>
        <w:tc>
          <w:tcPr>
            <w:tcW w:w="239" w:type="dxa"/>
            <w:tcBorders>
              <w:left w:val="single" w:sz="4" w:space="0" w:color="0070C0"/>
              <w:right w:val="single" w:sz="4" w:space="0" w:color="0070C0"/>
            </w:tcBorders>
          </w:tcPr>
          <w:p w14:paraId="1B77AAFC" w14:textId="77777777" w:rsidR="00182609" w:rsidRPr="00B7760C" w:rsidRDefault="00182609" w:rsidP="009D3E2B">
            <w:pPr>
              <w:widowControl/>
              <w:spacing w:before="120" w:after="120" w:line="276" w:lineRule="auto"/>
              <w:rPr>
                <w:rFonts w:asciiTheme="minorHAnsi" w:hAnsiTheme="minorHAnsi" w:cstheme="minorHAnsi"/>
                <w:sz w:val="18"/>
                <w:szCs w:val="18"/>
                <w:lang w:eastAsia="fr-BE"/>
              </w:rPr>
            </w:pPr>
          </w:p>
        </w:tc>
        <w:tc>
          <w:tcPr>
            <w:tcW w:w="1655" w:type="dxa"/>
            <w:tcBorders>
              <w:top w:val="single" w:sz="4" w:space="0" w:color="0070C0"/>
              <w:left w:val="single" w:sz="4" w:space="0" w:color="0070C0"/>
              <w:right w:val="single" w:sz="4" w:space="0" w:color="0070C0"/>
            </w:tcBorders>
          </w:tcPr>
          <w:p w14:paraId="58E744EF" w14:textId="77777777" w:rsidR="00182609" w:rsidRPr="00B7760C" w:rsidRDefault="00182609" w:rsidP="009D3E2B">
            <w:pPr>
              <w:widowControl/>
              <w:spacing w:before="120" w:after="120"/>
              <w:rPr>
                <w:rFonts w:asciiTheme="minorHAnsi" w:hAnsiTheme="minorHAnsi" w:cstheme="minorHAnsi"/>
                <w:b/>
                <w:bCs/>
                <w:color w:val="000000"/>
                <w:sz w:val="18"/>
                <w:szCs w:val="18"/>
                <w:lang w:eastAsia="fr-BE"/>
              </w:rPr>
            </w:pPr>
          </w:p>
        </w:tc>
        <w:tc>
          <w:tcPr>
            <w:tcW w:w="3223" w:type="dxa"/>
            <w:tcBorders>
              <w:top w:val="single" w:sz="4" w:space="0" w:color="0070C0"/>
              <w:left w:val="single" w:sz="4" w:space="0" w:color="0070C0"/>
              <w:right w:val="single" w:sz="4" w:space="0" w:color="0070C0"/>
            </w:tcBorders>
          </w:tcPr>
          <w:p w14:paraId="3B4C784A" w14:textId="77777777" w:rsidR="00182609" w:rsidRPr="00B7760C" w:rsidRDefault="00182609" w:rsidP="009D3E2B">
            <w:pPr>
              <w:widowControl/>
              <w:spacing w:before="120" w:after="120"/>
              <w:rPr>
                <w:rFonts w:asciiTheme="minorHAnsi" w:hAnsiTheme="minorHAnsi" w:cstheme="minorHAnsi"/>
                <w:b/>
                <w:sz w:val="18"/>
                <w:szCs w:val="18"/>
              </w:rPr>
            </w:pPr>
            <w:r w:rsidRPr="00B7760C">
              <w:rPr>
                <w:rFonts w:asciiTheme="minorHAnsi" w:hAnsiTheme="minorHAnsi" w:cstheme="minorHAnsi"/>
                <w:sz w:val="18"/>
                <w:szCs w:val="18"/>
              </w:rPr>
              <w:t>O.19 Delež lokalne infrastrukture, ki prejema podporo</w:t>
            </w:r>
          </w:p>
        </w:tc>
      </w:tr>
      <w:tr w:rsidR="00182609" w:rsidRPr="00B7760C" w14:paraId="49DCA494" w14:textId="77777777" w:rsidTr="00A35DEB">
        <w:trPr>
          <w:cantSplit/>
          <w:trHeight w:val="517"/>
        </w:trPr>
        <w:tc>
          <w:tcPr>
            <w:tcW w:w="2284" w:type="dxa"/>
            <w:tcBorders>
              <w:left w:val="single" w:sz="4" w:space="0" w:color="0070C0"/>
              <w:right w:val="single" w:sz="4" w:space="0" w:color="0070C0"/>
            </w:tcBorders>
            <w:hideMark/>
          </w:tcPr>
          <w:p w14:paraId="0B95D8F6" w14:textId="77777777" w:rsidR="00182609" w:rsidRPr="00B7760C" w:rsidRDefault="00182609" w:rsidP="009D3E2B">
            <w:pPr>
              <w:widowControl/>
              <w:spacing w:before="120" w:after="120" w:line="276" w:lineRule="auto"/>
              <w:rPr>
                <w:rFonts w:asciiTheme="minorHAnsi" w:hAnsiTheme="minorHAnsi" w:cstheme="minorHAnsi"/>
                <w:b/>
                <w:bCs/>
                <w:color w:val="000000"/>
                <w:sz w:val="18"/>
                <w:szCs w:val="18"/>
                <w:lang w:eastAsia="fr-BE"/>
              </w:rPr>
            </w:pPr>
          </w:p>
        </w:tc>
        <w:tc>
          <w:tcPr>
            <w:tcW w:w="3226" w:type="dxa"/>
            <w:tcBorders>
              <w:left w:val="single" w:sz="4" w:space="0" w:color="0070C0"/>
              <w:right w:val="single" w:sz="4" w:space="0" w:color="0070C0"/>
            </w:tcBorders>
          </w:tcPr>
          <w:p w14:paraId="0EB10A58" w14:textId="77777777" w:rsidR="00182609" w:rsidRPr="00B7760C" w:rsidRDefault="00182609" w:rsidP="009D3E2B">
            <w:pPr>
              <w:widowControl/>
              <w:spacing w:before="120" w:after="120" w:line="276" w:lineRule="auto"/>
              <w:rPr>
                <w:rFonts w:asciiTheme="minorHAnsi" w:hAnsiTheme="minorHAnsi" w:cstheme="minorHAnsi"/>
                <w:sz w:val="18"/>
                <w:szCs w:val="18"/>
                <w:lang w:eastAsia="fr-BE"/>
              </w:rPr>
            </w:pPr>
          </w:p>
        </w:tc>
        <w:tc>
          <w:tcPr>
            <w:tcW w:w="4567" w:type="dxa"/>
            <w:tcBorders>
              <w:left w:val="single" w:sz="4" w:space="0" w:color="0070C0"/>
              <w:right w:val="single" w:sz="4" w:space="0" w:color="0070C0"/>
            </w:tcBorders>
          </w:tcPr>
          <w:p w14:paraId="38E6958E" w14:textId="77777777" w:rsidR="00182609" w:rsidRPr="00B7760C" w:rsidRDefault="00182609" w:rsidP="009D3E2B">
            <w:pPr>
              <w:widowControl/>
              <w:spacing w:before="120" w:after="120"/>
              <w:rPr>
                <w:rFonts w:asciiTheme="minorHAnsi" w:hAnsiTheme="minorHAnsi" w:cstheme="minorHAnsi"/>
                <w:sz w:val="18"/>
                <w:szCs w:val="18"/>
                <w:lang w:eastAsia="fr-BE"/>
              </w:rPr>
            </w:pPr>
          </w:p>
        </w:tc>
        <w:tc>
          <w:tcPr>
            <w:tcW w:w="239" w:type="dxa"/>
            <w:tcBorders>
              <w:left w:val="single" w:sz="4" w:space="0" w:color="0070C0"/>
              <w:right w:val="single" w:sz="4" w:space="0" w:color="0070C0"/>
            </w:tcBorders>
          </w:tcPr>
          <w:p w14:paraId="01043C49" w14:textId="77777777" w:rsidR="00182609" w:rsidRPr="00B7760C" w:rsidRDefault="00182609" w:rsidP="009D3E2B">
            <w:pPr>
              <w:widowControl/>
              <w:spacing w:before="120" w:after="120"/>
              <w:rPr>
                <w:rFonts w:asciiTheme="minorHAnsi" w:hAnsiTheme="minorHAnsi" w:cstheme="minorHAnsi"/>
                <w:sz w:val="18"/>
                <w:szCs w:val="18"/>
                <w:lang w:eastAsia="fr-BE"/>
              </w:rPr>
            </w:pPr>
          </w:p>
        </w:tc>
        <w:tc>
          <w:tcPr>
            <w:tcW w:w="1655" w:type="dxa"/>
            <w:tcBorders>
              <w:left w:val="single" w:sz="4" w:space="0" w:color="0070C0"/>
              <w:right w:val="single" w:sz="4" w:space="0" w:color="0070C0"/>
            </w:tcBorders>
          </w:tcPr>
          <w:p w14:paraId="1A896BE0" w14:textId="77777777" w:rsidR="00182609" w:rsidRPr="00B7760C" w:rsidRDefault="00182609" w:rsidP="009D3E2B">
            <w:pPr>
              <w:widowControl/>
              <w:spacing w:before="120" w:after="120"/>
              <w:rPr>
                <w:rFonts w:asciiTheme="minorHAnsi" w:hAnsiTheme="minorHAnsi" w:cstheme="minorHAnsi"/>
                <w:b/>
                <w:bCs/>
                <w:color w:val="000000"/>
                <w:sz w:val="18"/>
                <w:szCs w:val="18"/>
                <w:lang w:eastAsia="fr-BE"/>
              </w:rPr>
            </w:pPr>
          </w:p>
        </w:tc>
        <w:tc>
          <w:tcPr>
            <w:tcW w:w="3223" w:type="dxa"/>
            <w:tcBorders>
              <w:left w:val="single" w:sz="4" w:space="0" w:color="0070C0"/>
              <w:right w:val="single" w:sz="4" w:space="0" w:color="0070C0"/>
            </w:tcBorders>
          </w:tcPr>
          <w:p w14:paraId="24FC426D" w14:textId="77777777" w:rsidR="00182609" w:rsidRPr="00B7760C" w:rsidRDefault="00182609" w:rsidP="009D3E2B">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O.20 Število neproduktivnih naložb, ki prejemajo podporo</w:t>
            </w:r>
          </w:p>
          <w:p w14:paraId="7C8D0A9A" w14:textId="77777777" w:rsidR="00182609" w:rsidRPr="00B7760C" w:rsidRDefault="00182609" w:rsidP="009D3E2B">
            <w:pPr>
              <w:widowControl/>
              <w:spacing w:before="120" w:after="120"/>
              <w:rPr>
                <w:rFonts w:asciiTheme="minorHAnsi" w:hAnsiTheme="minorHAnsi" w:cstheme="minorHAnsi"/>
                <w:b/>
                <w:sz w:val="18"/>
                <w:szCs w:val="18"/>
              </w:rPr>
            </w:pPr>
            <w:r w:rsidRPr="00B7760C">
              <w:rPr>
                <w:rFonts w:asciiTheme="minorHAnsi" w:hAnsiTheme="minorHAnsi" w:cstheme="minorHAnsi"/>
                <w:sz w:val="18"/>
                <w:szCs w:val="18"/>
              </w:rPr>
              <w:t>O.21 Število produktivnih naložb zunaj kmetije, ki prejemajo podporo</w:t>
            </w:r>
          </w:p>
        </w:tc>
      </w:tr>
      <w:tr w:rsidR="00182609" w:rsidRPr="00B7760C" w14:paraId="65041249" w14:textId="77777777" w:rsidTr="00A35DEB">
        <w:trPr>
          <w:cantSplit/>
          <w:trHeight w:val="695"/>
        </w:trPr>
        <w:tc>
          <w:tcPr>
            <w:tcW w:w="2284" w:type="dxa"/>
            <w:tcBorders>
              <w:left w:val="single" w:sz="4" w:space="0" w:color="0070C0"/>
              <w:right w:val="single" w:sz="4" w:space="0" w:color="0070C0"/>
            </w:tcBorders>
          </w:tcPr>
          <w:p w14:paraId="30A28FEB" w14:textId="77777777" w:rsidR="00182609" w:rsidRPr="00B7760C" w:rsidRDefault="00182609" w:rsidP="009D3E2B">
            <w:pPr>
              <w:widowControl/>
              <w:spacing w:before="120" w:after="120" w:line="276" w:lineRule="auto"/>
              <w:rPr>
                <w:rFonts w:asciiTheme="minorHAnsi" w:hAnsiTheme="minorHAnsi" w:cstheme="minorHAnsi"/>
                <w:b/>
                <w:bCs/>
                <w:color w:val="000000"/>
                <w:sz w:val="18"/>
                <w:szCs w:val="18"/>
                <w:lang w:eastAsia="fr-BE"/>
              </w:rPr>
            </w:pPr>
          </w:p>
        </w:tc>
        <w:tc>
          <w:tcPr>
            <w:tcW w:w="3226" w:type="dxa"/>
            <w:tcBorders>
              <w:left w:val="single" w:sz="4" w:space="0" w:color="0070C0"/>
              <w:right w:val="single" w:sz="4" w:space="0" w:color="0070C0"/>
            </w:tcBorders>
          </w:tcPr>
          <w:p w14:paraId="6777EF27" w14:textId="77777777" w:rsidR="00182609" w:rsidRPr="00B7760C" w:rsidRDefault="00182609" w:rsidP="009D3E2B">
            <w:pPr>
              <w:widowControl/>
              <w:spacing w:before="120" w:after="120" w:line="276" w:lineRule="auto"/>
              <w:rPr>
                <w:rFonts w:asciiTheme="minorHAnsi" w:hAnsiTheme="minorHAnsi" w:cstheme="minorHAnsi"/>
                <w:b/>
                <w:sz w:val="18"/>
                <w:szCs w:val="18"/>
                <w:lang w:eastAsia="fr-BE"/>
              </w:rPr>
            </w:pPr>
          </w:p>
        </w:tc>
        <w:tc>
          <w:tcPr>
            <w:tcW w:w="4567" w:type="dxa"/>
            <w:tcBorders>
              <w:left w:val="single" w:sz="4" w:space="0" w:color="0070C0"/>
              <w:right w:val="single" w:sz="4" w:space="0" w:color="0070C0"/>
            </w:tcBorders>
          </w:tcPr>
          <w:p w14:paraId="7F1EA1A0" w14:textId="77777777" w:rsidR="00182609" w:rsidRPr="00B7760C" w:rsidRDefault="00182609" w:rsidP="009D3E2B">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 xml:space="preserve">R.24 Okoljska/podnebna uspešnost zaradi znanja </w:t>
            </w:r>
            <w:r w:rsidRPr="00B7760C">
              <w:rPr>
                <w:rFonts w:asciiTheme="minorHAnsi" w:hAnsiTheme="minorHAnsi" w:cstheme="minorHAnsi"/>
                <w:b/>
                <w:i/>
                <w:sz w:val="18"/>
                <w:szCs w:val="18"/>
              </w:rPr>
              <w:t>in svetovanja o naravnem zatiranju škodljivcev:</w:t>
            </w:r>
            <w:r w:rsidRPr="00B7760C">
              <w:rPr>
                <w:rFonts w:asciiTheme="minorHAnsi" w:hAnsiTheme="minorHAnsi" w:cstheme="minorHAnsi"/>
                <w:b/>
                <w:bCs/>
                <w:sz w:val="18"/>
                <w:szCs w:val="18"/>
              </w:rPr>
              <w:t xml:space="preserve"> </w:t>
            </w:r>
            <w:r w:rsidRPr="00B7760C">
              <w:rPr>
                <w:rFonts w:asciiTheme="minorHAnsi" w:hAnsiTheme="minorHAnsi" w:cstheme="minorHAnsi"/>
                <w:sz w:val="18"/>
                <w:szCs w:val="18"/>
              </w:rPr>
              <w:t>delež kmetov, ki prejemajo podporo za svetovanje/usposabljanje o okoljski/podnebni uspešnosti</w:t>
            </w:r>
            <w:r w:rsidRPr="00B7760C">
              <w:rPr>
                <w:rFonts w:asciiTheme="minorHAnsi" w:hAnsiTheme="minorHAnsi" w:cstheme="minorHAnsi"/>
                <w:b/>
                <w:i/>
                <w:sz w:val="18"/>
                <w:szCs w:val="18"/>
              </w:rPr>
              <w:t>,</w:t>
            </w:r>
            <w:r w:rsidRPr="00B7760C">
              <w:rPr>
                <w:rFonts w:asciiTheme="minorHAnsi" w:hAnsiTheme="minorHAnsi" w:cstheme="minorHAnsi"/>
                <w:sz w:val="18"/>
                <w:szCs w:val="18"/>
              </w:rPr>
              <w:t xml:space="preserve"> </w:t>
            </w:r>
            <w:r w:rsidRPr="00B7760C">
              <w:rPr>
                <w:rFonts w:asciiTheme="minorHAnsi" w:hAnsiTheme="minorHAnsi" w:cstheme="minorHAnsi"/>
                <w:b/>
                <w:i/>
                <w:sz w:val="18"/>
                <w:szCs w:val="18"/>
              </w:rPr>
              <w:t>vključno z neodvisnim svetovanjem certificiranih strokovnjakov in usposabljanju o integriranem varstvu rastlin pred škodljivimi organizmi, nizkovhodnih sistemih in tehnikah, ki nadomeščajo kemične vložke</w:t>
            </w:r>
          </w:p>
        </w:tc>
        <w:tc>
          <w:tcPr>
            <w:tcW w:w="239" w:type="dxa"/>
            <w:tcBorders>
              <w:left w:val="single" w:sz="4" w:space="0" w:color="0070C0"/>
              <w:right w:val="single" w:sz="4" w:space="0" w:color="0070C0"/>
            </w:tcBorders>
          </w:tcPr>
          <w:p w14:paraId="552B7DFF" w14:textId="77777777" w:rsidR="00182609" w:rsidRPr="00B7760C" w:rsidRDefault="00182609" w:rsidP="009D3E2B">
            <w:pPr>
              <w:widowControl/>
              <w:spacing w:before="120" w:after="120"/>
              <w:rPr>
                <w:rFonts w:asciiTheme="minorHAnsi" w:hAnsiTheme="minorHAnsi" w:cstheme="minorHAnsi"/>
                <w:sz w:val="18"/>
                <w:szCs w:val="18"/>
                <w:lang w:eastAsia="fr-BE"/>
              </w:rPr>
            </w:pPr>
          </w:p>
        </w:tc>
        <w:tc>
          <w:tcPr>
            <w:tcW w:w="1655" w:type="dxa"/>
            <w:tcBorders>
              <w:left w:val="single" w:sz="4" w:space="0" w:color="0070C0"/>
              <w:right w:val="single" w:sz="4" w:space="0" w:color="0070C0"/>
            </w:tcBorders>
          </w:tcPr>
          <w:p w14:paraId="008D77AF" w14:textId="77777777" w:rsidR="00182609" w:rsidRPr="00B7760C" w:rsidRDefault="00182609" w:rsidP="009D3E2B">
            <w:pPr>
              <w:widowControl/>
              <w:spacing w:before="120" w:after="120"/>
              <w:rPr>
                <w:rFonts w:asciiTheme="minorHAnsi" w:hAnsiTheme="minorHAnsi" w:cstheme="minorHAnsi"/>
                <w:b/>
                <w:bCs/>
                <w:color w:val="000000"/>
                <w:sz w:val="18"/>
                <w:szCs w:val="18"/>
                <w:lang w:eastAsia="fr-BE"/>
              </w:rPr>
            </w:pPr>
          </w:p>
        </w:tc>
        <w:tc>
          <w:tcPr>
            <w:tcW w:w="3223" w:type="dxa"/>
            <w:tcBorders>
              <w:left w:val="single" w:sz="4" w:space="0" w:color="0070C0"/>
              <w:right w:val="single" w:sz="4" w:space="0" w:color="0070C0"/>
            </w:tcBorders>
          </w:tcPr>
          <w:p w14:paraId="4E351218" w14:textId="77777777" w:rsidR="00182609" w:rsidRPr="00B7760C" w:rsidRDefault="00182609" w:rsidP="009D3E2B">
            <w:pPr>
              <w:widowControl/>
              <w:spacing w:before="120" w:after="120"/>
              <w:rPr>
                <w:rFonts w:asciiTheme="minorHAnsi" w:hAnsiTheme="minorHAnsi" w:cstheme="minorHAnsi"/>
                <w:b/>
                <w:sz w:val="18"/>
                <w:szCs w:val="18"/>
                <w:lang w:eastAsia="fr-BE"/>
              </w:rPr>
            </w:pPr>
          </w:p>
        </w:tc>
      </w:tr>
      <w:tr w:rsidR="00182609" w:rsidRPr="00B7760C" w14:paraId="006C7520" w14:textId="77777777" w:rsidTr="00A35DEB">
        <w:trPr>
          <w:cantSplit/>
          <w:trHeight w:val="695"/>
        </w:trPr>
        <w:tc>
          <w:tcPr>
            <w:tcW w:w="2284" w:type="dxa"/>
            <w:tcBorders>
              <w:left w:val="single" w:sz="4" w:space="0" w:color="0070C0"/>
              <w:right w:val="single" w:sz="4" w:space="0" w:color="0070C0"/>
            </w:tcBorders>
          </w:tcPr>
          <w:p w14:paraId="683E7194" w14:textId="77777777" w:rsidR="00182609" w:rsidRPr="00B7760C" w:rsidRDefault="00182609" w:rsidP="009D3E2B">
            <w:pPr>
              <w:widowControl/>
              <w:spacing w:before="120" w:after="120" w:line="276" w:lineRule="auto"/>
              <w:rPr>
                <w:rFonts w:asciiTheme="minorHAnsi" w:hAnsiTheme="minorHAnsi" w:cstheme="minorHAnsi"/>
                <w:b/>
                <w:bCs/>
                <w:color w:val="000000"/>
                <w:sz w:val="18"/>
                <w:szCs w:val="18"/>
                <w:lang w:eastAsia="fr-BE"/>
              </w:rPr>
            </w:pPr>
          </w:p>
        </w:tc>
        <w:tc>
          <w:tcPr>
            <w:tcW w:w="3226" w:type="dxa"/>
            <w:tcBorders>
              <w:left w:val="single" w:sz="4" w:space="0" w:color="0070C0"/>
              <w:right w:val="single" w:sz="4" w:space="0" w:color="0070C0"/>
            </w:tcBorders>
          </w:tcPr>
          <w:p w14:paraId="3E982CA8" w14:textId="77777777" w:rsidR="00182609" w:rsidRPr="00B7760C" w:rsidRDefault="00182609" w:rsidP="009D3E2B">
            <w:pPr>
              <w:widowControl/>
              <w:spacing w:before="120" w:after="120" w:line="276" w:lineRule="auto"/>
              <w:rPr>
                <w:rFonts w:asciiTheme="minorHAnsi" w:hAnsiTheme="minorHAnsi" w:cstheme="minorHAnsi"/>
                <w:b/>
                <w:sz w:val="18"/>
                <w:szCs w:val="18"/>
                <w:lang w:eastAsia="fr-BE"/>
              </w:rPr>
            </w:pPr>
          </w:p>
        </w:tc>
        <w:tc>
          <w:tcPr>
            <w:tcW w:w="4567" w:type="dxa"/>
            <w:tcBorders>
              <w:left w:val="single" w:sz="4" w:space="0" w:color="0070C0"/>
              <w:right w:val="single" w:sz="4" w:space="0" w:color="0070C0"/>
            </w:tcBorders>
          </w:tcPr>
          <w:p w14:paraId="6EF60677" w14:textId="77777777" w:rsidR="00182609" w:rsidRPr="00B7760C" w:rsidRDefault="00182609" w:rsidP="009D3E2B">
            <w:pPr>
              <w:widowControl/>
              <w:spacing w:before="120" w:after="120"/>
              <w:rPr>
                <w:rFonts w:asciiTheme="minorHAnsi" w:hAnsiTheme="minorHAnsi" w:cstheme="minorHAnsi"/>
                <w:b/>
                <w:i/>
                <w:sz w:val="18"/>
                <w:szCs w:val="18"/>
              </w:rPr>
            </w:pPr>
            <w:r w:rsidRPr="00B7760C">
              <w:rPr>
                <w:rFonts w:asciiTheme="minorHAnsi" w:hAnsiTheme="minorHAnsi" w:cstheme="minorHAnsi"/>
                <w:b/>
                <w:i/>
                <w:sz w:val="18"/>
                <w:szCs w:val="18"/>
              </w:rPr>
              <w:t>R.24a Zmanjšanje uhajanja pesticidov: delež kmetijskih zemljišč, ki jih zadevajo posebni ukrepi, ki prejemajo podporo za zmanjšanje uhajanja pesticidov v podtalnico ali površinske vode</w:t>
            </w:r>
          </w:p>
        </w:tc>
        <w:tc>
          <w:tcPr>
            <w:tcW w:w="239" w:type="dxa"/>
            <w:tcBorders>
              <w:left w:val="single" w:sz="4" w:space="0" w:color="0070C0"/>
              <w:right w:val="single" w:sz="4" w:space="0" w:color="0070C0"/>
            </w:tcBorders>
          </w:tcPr>
          <w:p w14:paraId="6F62F079" w14:textId="77777777" w:rsidR="00182609" w:rsidRPr="00B7760C" w:rsidRDefault="00182609" w:rsidP="009D3E2B">
            <w:pPr>
              <w:widowControl/>
              <w:spacing w:before="120" w:after="120"/>
              <w:rPr>
                <w:rFonts w:asciiTheme="minorHAnsi" w:hAnsiTheme="minorHAnsi" w:cstheme="minorHAnsi"/>
                <w:sz w:val="18"/>
                <w:szCs w:val="18"/>
                <w:lang w:eastAsia="fr-BE"/>
              </w:rPr>
            </w:pPr>
          </w:p>
        </w:tc>
        <w:tc>
          <w:tcPr>
            <w:tcW w:w="1655" w:type="dxa"/>
            <w:tcBorders>
              <w:left w:val="single" w:sz="4" w:space="0" w:color="0070C0"/>
              <w:right w:val="single" w:sz="4" w:space="0" w:color="0070C0"/>
            </w:tcBorders>
          </w:tcPr>
          <w:p w14:paraId="41B04BDE" w14:textId="77777777" w:rsidR="00182609" w:rsidRPr="00B7760C" w:rsidRDefault="00182609" w:rsidP="009D3E2B">
            <w:pPr>
              <w:widowControl/>
              <w:spacing w:before="120" w:after="120"/>
              <w:rPr>
                <w:rFonts w:asciiTheme="minorHAnsi" w:hAnsiTheme="minorHAnsi" w:cstheme="minorHAnsi"/>
                <w:b/>
                <w:bCs/>
                <w:color w:val="000000"/>
                <w:sz w:val="18"/>
                <w:szCs w:val="18"/>
                <w:lang w:eastAsia="fr-BE"/>
              </w:rPr>
            </w:pPr>
          </w:p>
        </w:tc>
        <w:tc>
          <w:tcPr>
            <w:tcW w:w="3223" w:type="dxa"/>
            <w:tcBorders>
              <w:left w:val="single" w:sz="4" w:space="0" w:color="0070C0"/>
              <w:right w:val="single" w:sz="4" w:space="0" w:color="0070C0"/>
            </w:tcBorders>
          </w:tcPr>
          <w:p w14:paraId="235B4B82" w14:textId="77777777" w:rsidR="00182609" w:rsidRPr="00B7760C" w:rsidRDefault="00182609" w:rsidP="009D3E2B">
            <w:pPr>
              <w:widowControl/>
              <w:spacing w:before="120" w:after="120"/>
              <w:rPr>
                <w:rFonts w:asciiTheme="minorHAnsi" w:hAnsiTheme="minorHAnsi" w:cstheme="minorHAnsi"/>
                <w:b/>
                <w:sz w:val="18"/>
                <w:szCs w:val="18"/>
                <w:lang w:eastAsia="fr-BE"/>
              </w:rPr>
            </w:pPr>
          </w:p>
        </w:tc>
      </w:tr>
      <w:tr w:rsidR="00182609" w:rsidRPr="00B7760C" w14:paraId="03E05005" w14:textId="77777777" w:rsidTr="00A35DEB">
        <w:trPr>
          <w:cantSplit/>
          <w:trHeight w:val="695"/>
        </w:trPr>
        <w:tc>
          <w:tcPr>
            <w:tcW w:w="2284" w:type="dxa"/>
            <w:tcBorders>
              <w:left w:val="single" w:sz="4" w:space="0" w:color="0070C0"/>
              <w:right w:val="single" w:sz="4" w:space="0" w:color="0070C0"/>
            </w:tcBorders>
          </w:tcPr>
          <w:p w14:paraId="5BD5F742" w14:textId="77777777" w:rsidR="00182609" w:rsidRPr="00B7760C" w:rsidRDefault="00182609" w:rsidP="009D3E2B">
            <w:pPr>
              <w:widowControl/>
              <w:spacing w:before="120" w:after="120" w:line="276" w:lineRule="auto"/>
              <w:rPr>
                <w:rFonts w:asciiTheme="minorHAnsi" w:hAnsiTheme="minorHAnsi" w:cstheme="minorHAnsi"/>
                <w:b/>
                <w:bCs/>
                <w:color w:val="000000"/>
                <w:sz w:val="18"/>
                <w:szCs w:val="18"/>
                <w:lang w:eastAsia="fr-BE"/>
              </w:rPr>
            </w:pPr>
          </w:p>
        </w:tc>
        <w:tc>
          <w:tcPr>
            <w:tcW w:w="3226" w:type="dxa"/>
            <w:tcBorders>
              <w:left w:val="single" w:sz="4" w:space="0" w:color="0070C0"/>
              <w:right w:val="single" w:sz="4" w:space="0" w:color="0070C0"/>
            </w:tcBorders>
          </w:tcPr>
          <w:p w14:paraId="3A7B8661" w14:textId="77777777" w:rsidR="00182609" w:rsidRPr="00B7760C" w:rsidRDefault="00182609" w:rsidP="009D3E2B">
            <w:pPr>
              <w:widowControl/>
              <w:spacing w:before="120" w:after="120" w:line="276" w:lineRule="auto"/>
              <w:rPr>
                <w:rFonts w:asciiTheme="minorHAnsi" w:hAnsiTheme="minorHAnsi" w:cstheme="minorHAnsi"/>
                <w:b/>
                <w:sz w:val="18"/>
                <w:szCs w:val="18"/>
                <w:lang w:eastAsia="fr-BE"/>
              </w:rPr>
            </w:pPr>
          </w:p>
        </w:tc>
        <w:tc>
          <w:tcPr>
            <w:tcW w:w="4567" w:type="dxa"/>
            <w:tcBorders>
              <w:left w:val="single" w:sz="4" w:space="0" w:color="0070C0"/>
              <w:right w:val="single" w:sz="4" w:space="0" w:color="0070C0"/>
            </w:tcBorders>
          </w:tcPr>
          <w:p w14:paraId="2FDF0FA8" w14:textId="77777777" w:rsidR="00182609" w:rsidRPr="00B7760C" w:rsidRDefault="00182609" w:rsidP="009D3E2B">
            <w:pPr>
              <w:widowControl/>
              <w:spacing w:before="120" w:after="120"/>
              <w:rPr>
                <w:rFonts w:asciiTheme="minorHAnsi" w:hAnsiTheme="minorHAnsi" w:cstheme="minorHAnsi"/>
                <w:b/>
                <w:i/>
                <w:sz w:val="18"/>
                <w:szCs w:val="18"/>
              </w:rPr>
            </w:pPr>
            <w:r w:rsidRPr="00B7760C">
              <w:rPr>
                <w:rFonts w:asciiTheme="minorHAnsi" w:hAnsiTheme="minorHAnsi" w:cstheme="minorHAnsi"/>
                <w:b/>
                <w:i/>
                <w:sz w:val="18"/>
                <w:szCs w:val="18"/>
              </w:rPr>
              <w:t>R.24b Varstvo tal s kolobarjenjem: delež ornih zemljišč s prevzetimi obveznostmi za podporo kolobarjenju, vključno z obveznostmi za stročnice</w:t>
            </w:r>
          </w:p>
        </w:tc>
        <w:tc>
          <w:tcPr>
            <w:tcW w:w="239" w:type="dxa"/>
            <w:tcBorders>
              <w:left w:val="single" w:sz="4" w:space="0" w:color="0070C0"/>
              <w:right w:val="single" w:sz="4" w:space="0" w:color="0070C0"/>
            </w:tcBorders>
          </w:tcPr>
          <w:p w14:paraId="1B686066" w14:textId="77777777" w:rsidR="00182609" w:rsidRPr="00B7760C" w:rsidRDefault="00182609" w:rsidP="009D3E2B">
            <w:pPr>
              <w:widowControl/>
              <w:spacing w:before="120" w:after="120"/>
              <w:rPr>
                <w:rFonts w:asciiTheme="minorHAnsi" w:hAnsiTheme="minorHAnsi" w:cstheme="minorHAnsi"/>
                <w:sz w:val="18"/>
                <w:szCs w:val="18"/>
                <w:lang w:eastAsia="fr-BE"/>
              </w:rPr>
            </w:pPr>
          </w:p>
        </w:tc>
        <w:tc>
          <w:tcPr>
            <w:tcW w:w="1655" w:type="dxa"/>
            <w:tcBorders>
              <w:left w:val="single" w:sz="4" w:space="0" w:color="0070C0"/>
              <w:right w:val="single" w:sz="4" w:space="0" w:color="0070C0"/>
            </w:tcBorders>
          </w:tcPr>
          <w:p w14:paraId="0E46DDA8" w14:textId="77777777" w:rsidR="00182609" w:rsidRPr="00B7760C" w:rsidRDefault="00182609" w:rsidP="009D3E2B">
            <w:pPr>
              <w:widowControl/>
              <w:spacing w:before="120" w:after="120"/>
              <w:rPr>
                <w:rFonts w:asciiTheme="minorHAnsi" w:hAnsiTheme="minorHAnsi" w:cstheme="minorHAnsi"/>
                <w:b/>
                <w:bCs/>
                <w:color w:val="000000"/>
                <w:sz w:val="18"/>
                <w:szCs w:val="18"/>
                <w:lang w:eastAsia="fr-BE"/>
              </w:rPr>
            </w:pPr>
          </w:p>
        </w:tc>
        <w:tc>
          <w:tcPr>
            <w:tcW w:w="3223" w:type="dxa"/>
            <w:tcBorders>
              <w:left w:val="single" w:sz="4" w:space="0" w:color="0070C0"/>
              <w:right w:val="single" w:sz="4" w:space="0" w:color="0070C0"/>
            </w:tcBorders>
          </w:tcPr>
          <w:p w14:paraId="4FB23D23" w14:textId="77777777" w:rsidR="00182609" w:rsidRPr="00B7760C" w:rsidRDefault="00182609" w:rsidP="009D3E2B">
            <w:pPr>
              <w:widowControl/>
              <w:spacing w:before="120" w:after="120"/>
              <w:rPr>
                <w:rFonts w:asciiTheme="minorHAnsi" w:hAnsiTheme="minorHAnsi" w:cstheme="minorHAnsi"/>
                <w:b/>
                <w:sz w:val="18"/>
                <w:szCs w:val="18"/>
                <w:lang w:eastAsia="fr-BE"/>
              </w:rPr>
            </w:pPr>
          </w:p>
        </w:tc>
      </w:tr>
    </w:tbl>
    <w:p w14:paraId="4F6A7D4C" w14:textId="77777777" w:rsidR="00182609" w:rsidRPr="00B7760C" w:rsidRDefault="00182609" w:rsidP="00182609">
      <w:pPr>
        <w:widowControl/>
        <w:spacing w:before="120" w:after="120"/>
        <w:jc w:val="both"/>
        <w:rPr>
          <w:rFonts w:eastAsia="Calibri"/>
          <w:szCs w:val="22"/>
        </w:rPr>
      </w:pPr>
      <w:r w:rsidRPr="00B7760C">
        <w:br w:type="page"/>
      </w:r>
    </w:p>
    <w:tbl>
      <w:tblPr>
        <w:tblStyle w:val="TableGridLight11"/>
        <w:tblW w:w="15358"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1"/>
        <w:gridCol w:w="3262"/>
        <w:gridCol w:w="4617"/>
        <w:gridCol w:w="236"/>
        <w:gridCol w:w="1673"/>
        <w:gridCol w:w="3259"/>
      </w:tblGrid>
      <w:tr w:rsidR="00182609" w:rsidRPr="00B7760C" w14:paraId="5BD9CEC4" w14:textId="77777777" w:rsidTr="00A35DEB">
        <w:trPr>
          <w:cantSplit/>
          <w:trHeight w:val="404"/>
          <w:tblHeader/>
        </w:trPr>
        <w:tc>
          <w:tcPr>
            <w:tcW w:w="2311" w:type="dxa"/>
            <w:tcBorders>
              <w:top w:val="single" w:sz="4" w:space="0" w:color="0070C0"/>
              <w:left w:val="single" w:sz="4" w:space="0" w:color="0070C0"/>
              <w:bottom w:val="single" w:sz="4" w:space="0" w:color="0070C0"/>
              <w:right w:val="single" w:sz="4" w:space="0" w:color="0070C0"/>
            </w:tcBorders>
            <w:shd w:val="clear" w:color="auto" w:fill="auto"/>
            <w:noWrap/>
          </w:tcPr>
          <w:p w14:paraId="4355B044" w14:textId="77777777" w:rsidR="00182609" w:rsidRPr="00B7760C" w:rsidRDefault="00182609" w:rsidP="00A35DEB">
            <w:pPr>
              <w:widowControl/>
              <w:spacing w:before="120" w:after="120" w:line="276" w:lineRule="auto"/>
              <w:ind w:left="64"/>
              <w:jc w:val="center"/>
              <w:rPr>
                <w:rFonts w:asciiTheme="minorHAnsi" w:hAnsiTheme="minorHAnsi" w:cstheme="minorHAnsi"/>
                <w:bCs/>
                <w:sz w:val="18"/>
                <w:szCs w:val="18"/>
              </w:rPr>
            </w:pPr>
            <w:r w:rsidRPr="00B7760C">
              <w:rPr>
                <w:rFonts w:asciiTheme="minorHAnsi" w:hAnsiTheme="minorHAnsi" w:cstheme="minorHAnsi"/>
              </w:rPr>
              <w:br w:type="page"/>
            </w:r>
            <w:r w:rsidRPr="00B7760C">
              <w:rPr>
                <w:rFonts w:asciiTheme="minorHAnsi" w:hAnsiTheme="minorHAnsi" w:cstheme="minorHAnsi"/>
                <w:bCs/>
                <w:sz w:val="18"/>
                <w:szCs w:val="18"/>
              </w:rPr>
              <w:t>Specifični cilji EU</w:t>
            </w:r>
          </w:p>
        </w:tc>
        <w:tc>
          <w:tcPr>
            <w:tcW w:w="3262" w:type="dxa"/>
            <w:tcBorders>
              <w:top w:val="single" w:sz="4" w:space="0" w:color="0070C0"/>
              <w:left w:val="single" w:sz="4" w:space="0" w:color="0070C0"/>
              <w:bottom w:val="single" w:sz="4" w:space="0" w:color="0070C0"/>
              <w:right w:val="single" w:sz="4" w:space="0" w:color="0070C0"/>
            </w:tcBorders>
            <w:shd w:val="clear" w:color="auto" w:fill="auto"/>
            <w:noWrap/>
          </w:tcPr>
          <w:p w14:paraId="4957EA82" w14:textId="77777777" w:rsidR="00182609" w:rsidRPr="00B7760C" w:rsidRDefault="00182609" w:rsidP="00A35DEB">
            <w:pPr>
              <w:widowControl/>
              <w:spacing w:before="120" w:after="120" w:line="276" w:lineRule="auto"/>
              <w:ind w:left="64"/>
              <w:jc w:val="center"/>
              <w:rPr>
                <w:rFonts w:asciiTheme="minorHAnsi" w:hAnsiTheme="minorHAnsi" w:cstheme="minorHAnsi"/>
                <w:bCs/>
                <w:sz w:val="18"/>
                <w:szCs w:val="18"/>
              </w:rPr>
            </w:pPr>
            <w:r w:rsidRPr="00B7760C">
              <w:rPr>
                <w:rFonts w:asciiTheme="minorHAnsi" w:hAnsiTheme="minorHAnsi" w:cstheme="minorHAnsi"/>
                <w:bCs/>
                <w:sz w:val="18"/>
                <w:szCs w:val="18"/>
              </w:rPr>
              <w:t>Kazalniki učinka</w:t>
            </w:r>
          </w:p>
        </w:tc>
        <w:tc>
          <w:tcPr>
            <w:tcW w:w="4617" w:type="dxa"/>
            <w:tcBorders>
              <w:top w:val="single" w:sz="4" w:space="0" w:color="0070C0"/>
              <w:left w:val="single" w:sz="4" w:space="0" w:color="0070C0"/>
              <w:bottom w:val="single" w:sz="4" w:space="0" w:color="0070C0"/>
              <w:right w:val="single" w:sz="4" w:space="0" w:color="0070C0"/>
            </w:tcBorders>
            <w:shd w:val="clear" w:color="auto" w:fill="auto"/>
          </w:tcPr>
          <w:p w14:paraId="4CCC53D8" w14:textId="77777777" w:rsidR="00182609" w:rsidRPr="00B7760C" w:rsidRDefault="00182609" w:rsidP="00A35DEB">
            <w:pPr>
              <w:widowControl/>
              <w:spacing w:before="120" w:after="120" w:line="276" w:lineRule="auto"/>
              <w:ind w:left="64"/>
              <w:jc w:val="center"/>
              <w:rPr>
                <w:rFonts w:asciiTheme="minorHAnsi" w:hAnsiTheme="minorHAnsi" w:cstheme="minorHAnsi"/>
                <w:bCs/>
                <w:sz w:val="18"/>
                <w:szCs w:val="18"/>
              </w:rPr>
            </w:pPr>
            <w:r w:rsidRPr="00B7760C">
              <w:rPr>
                <w:rFonts w:asciiTheme="minorHAnsi" w:hAnsiTheme="minorHAnsi" w:cstheme="minorHAnsi"/>
                <w:bCs/>
                <w:sz w:val="18"/>
                <w:szCs w:val="18"/>
              </w:rPr>
              <w:t>Kazalniki rezultatov</w:t>
            </w:r>
          </w:p>
          <w:p w14:paraId="55B95E68" w14:textId="77777777" w:rsidR="00182609" w:rsidRPr="00B7760C" w:rsidRDefault="00182609" w:rsidP="00A35DEB">
            <w:pPr>
              <w:widowControl/>
              <w:spacing w:before="120" w:after="120" w:line="276" w:lineRule="auto"/>
              <w:ind w:left="64"/>
              <w:jc w:val="center"/>
              <w:rPr>
                <w:rFonts w:asciiTheme="minorHAnsi" w:hAnsiTheme="minorHAnsi" w:cstheme="minorHAnsi"/>
                <w:bCs/>
                <w:sz w:val="18"/>
                <w:szCs w:val="18"/>
              </w:rPr>
            </w:pPr>
            <w:r w:rsidRPr="00B7760C">
              <w:rPr>
                <w:rFonts w:asciiTheme="minorHAnsi" w:hAnsiTheme="minorHAnsi" w:cstheme="minorHAnsi"/>
                <w:bCs/>
                <w:sz w:val="18"/>
                <w:szCs w:val="18"/>
              </w:rPr>
              <w:t>(samo na podlagi intervencij, ki jih podpira SKP)</w:t>
            </w:r>
          </w:p>
        </w:tc>
        <w:tc>
          <w:tcPr>
            <w:tcW w:w="236" w:type="dxa"/>
            <w:tcBorders>
              <w:left w:val="single" w:sz="4" w:space="0" w:color="0070C0"/>
              <w:right w:val="single" w:sz="4" w:space="0" w:color="0070C0"/>
            </w:tcBorders>
            <w:shd w:val="clear" w:color="auto" w:fill="auto"/>
          </w:tcPr>
          <w:p w14:paraId="4367ACEC" w14:textId="77777777" w:rsidR="00182609" w:rsidRPr="00B7760C" w:rsidRDefault="00182609" w:rsidP="00A35DEB">
            <w:pPr>
              <w:widowControl/>
              <w:spacing w:before="120" w:after="120" w:line="276" w:lineRule="auto"/>
              <w:ind w:left="64"/>
              <w:jc w:val="center"/>
              <w:rPr>
                <w:rFonts w:asciiTheme="minorHAnsi" w:hAnsiTheme="minorHAnsi" w:cstheme="minorHAnsi"/>
                <w:bCs/>
                <w:sz w:val="18"/>
                <w:szCs w:val="18"/>
                <w:lang w:eastAsia="fr-BE"/>
              </w:rPr>
            </w:pPr>
          </w:p>
        </w:tc>
        <w:tc>
          <w:tcPr>
            <w:tcW w:w="1673" w:type="dxa"/>
            <w:tcBorders>
              <w:top w:val="single" w:sz="4" w:space="0" w:color="0070C0"/>
              <w:left w:val="single" w:sz="4" w:space="0" w:color="0070C0"/>
              <w:bottom w:val="single" w:sz="4" w:space="0" w:color="0070C0"/>
              <w:right w:val="single" w:sz="4" w:space="0" w:color="0070C0"/>
            </w:tcBorders>
            <w:shd w:val="clear" w:color="auto" w:fill="auto"/>
          </w:tcPr>
          <w:p w14:paraId="7B61BE36" w14:textId="77777777" w:rsidR="00182609" w:rsidRPr="00B7760C" w:rsidRDefault="00182609" w:rsidP="00A35DEB">
            <w:pPr>
              <w:widowControl/>
              <w:spacing w:before="120" w:after="120"/>
              <w:jc w:val="center"/>
              <w:rPr>
                <w:rFonts w:asciiTheme="minorHAnsi" w:hAnsiTheme="minorHAnsi" w:cstheme="minorHAnsi"/>
                <w:bCs/>
                <w:sz w:val="18"/>
                <w:szCs w:val="18"/>
              </w:rPr>
            </w:pPr>
            <w:r w:rsidRPr="00B7760C">
              <w:rPr>
                <w:rFonts w:asciiTheme="minorHAnsi" w:hAnsiTheme="minorHAnsi" w:cstheme="minorHAnsi"/>
                <w:bCs/>
                <w:sz w:val="18"/>
                <w:szCs w:val="18"/>
              </w:rPr>
              <w:t>Široka vrsta intervencije</w:t>
            </w:r>
          </w:p>
        </w:tc>
        <w:tc>
          <w:tcPr>
            <w:tcW w:w="3259" w:type="dxa"/>
            <w:tcBorders>
              <w:top w:val="single" w:sz="4" w:space="0" w:color="0070C0"/>
              <w:left w:val="single" w:sz="4" w:space="0" w:color="0070C0"/>
              <w:bottom w:val="single" w:sz="4" w:space="0" w:color="0070C0"/>
              <w:right w:val="single" w:sz="4" w:space="0" w:color="0070C0"/>
            </w:tcBorders>
            <w:shd w:val="clear" w:color="auto" w:fill="auto"/>
          </w:tcPr>
          <w:p w14:paraId="6FCB0DB5" w14:textId="77777777" w:rsidR="00182609" w:rsidRPr="00B7760C" w:rsidRDefault="00182609" w:rsidP="00A35DEB">
            <w:pPr>
              <w:widowControl/>
              <w:spacing w:before="120" w:after="120"/>
              <w:jc w:val="center"/>
              <w:rPr>
                <w:rFonts w:asciiTheme="minorHAnsi" w:hAnsiTheme="minorHAnsi" w:cstheme="minorHAnsi"/>
                <w:bCs/>
                <w:sz w:val="18"/>
                <w:szCs w:val="18"/>
              </w:rPr>
            </w:pPr>
            <w:r w:rsidRPr="00B7760C">
              <w:rPr>
                <w:rFonts w:asciiTheme="minorHAnsi" w:hAnsiTheme="minorHAnsi" w:cstheme="minorHAnsi"/>
                <w:bCs/>
                <w:sz w:val="18"/>
                <w:szCs w:val="18"/>
              </w:rPr>
              <w:t>Kazalniki izložkov (na intervencijo)</w:t>
            </w:r>
          </w:p>
        </w:tc>
      </w:tr>
      <w:tr w:rsidR="00182609" w:rsidRPr="00B7760C" w14:paraId="0330E165" w14:textId="77777777" w:rsidTr="00A35DEB">
        <w:trPr>
          <w:cantSplit/>
          <w:trHeight w:val="717"/>
        </w:trPr>
        <w:tc>
          <w:tcPr>
            <w:tcW w:w="2311" w:type="dxa"/>
            <w:vMerge w:val="restart"/>
            <w:tcBorders>
              <w:top w:val="single" w:sz="4" w:space="0" w:color="0070C0"/>
              <w:left w:val="single" w:sz="4" w:space="0" w:color="0070C0"/>
              <w:right w:val="single" w:sz="4" w:space="0" w:color="0070C0"/>
            </w:tcBorders>
            <w:vAlign w:val="center"/>
            <w:hideMark/>
          </w:tcPr>
          <w:p w14:paraId="4DDE1257" w14:textId="77777777" w:rsidR="00182609" w:rsidRPr="00B7760C" w:rsidRDefault="00182609" w:rsidP="00AB1DA6">
            <w:pPr>
              <w:widowControl/>
              <w:spacing w:before="120" w:after="120" w:line="276" w:lineRule="auto"/>
              <w:rPr>
                <w:rFonts w:asciiTheme="minorHAnsi" w:hAnsiTheme="minorHAnsi" w:cstheme="minorHAnsi"/>
                <w:bCs/>
                <w:color w:val="000000"/>
                <w:sz w:val="20"/>
              </w:rPr>
            </w:pPr>
            <w:r w:rsidRPr="00B7760C">
              <w:rPr>
                <w:rFonts w:asciiTheme="minorHAnsi" w:hAnsiTheme="minorHAnsi" w:cstheme="minorHAnsi"/>
                <w:sz w:val="20"/>
              </w:rPr>
              <w:t xml:space="preserve">krepitev ekosistemskih storitev </w:t>
            </w:r>
            <w:r w:rsidRPr="00B7760C">
              <w:rPr>
                <w:rFonts w:asciiTheme="minorHAnsi" w:hAnsiTheme="minorHAnsi" w:cstheme="minorHAnsi"/>
                <w:b/>
                <w:i/>
                <w:sz w:val="20"/>
              </w:rPr>
              <w:t>in prispevanje k zaustavitvi in obratu trenda upadanja biotske raznovrstnosti, tudi z varovanjem koristnih živali, rastlin in opraševalskih vrst s podpiranjem kmetijske raznolikosti, ohranjanja narave in gozdarsko-kmetijske dejavnosti ter prispevanje k večji naravni odpornosti, obnovi in ohranjanju tal, vodnih teles,</w:t>
            </w:r>
            <w:r w:rsidRPr="00B7760C">
              <w:rPr>
                <w:rFonts w:asciiTheme="minorHAnsi" w:hAnsiTheme="minorHAnsi" w:cstheme="minorHAnsi"/>
                <w:sz w:val="20"/>
              </w:rPr>
              <w:t xml:space="preserve"> habitatov in krajine </w:t>
            </w:r>
            <w:r w:rsidRPr="00B7760C">
              <w:rPr>
                <w:rFonts w:asciiTheme="minorHAnsi" w:hAnsiTheme="minorHAnsi" w:cstheme="minorHAnsi"/>
                <w:b/>
                <w:i/>
                <w:sz w:val="20"/>
              </w:rPr>
              <w:t>ter podpiranjem kmetijskih sistemov z visoko naravno vrednostjo;</w:t>
            </w:r>
          </w:p>
        </w:tc>
        <w:tc>
          <w:tcPr>
            <w:tcW w:w="3262" w:type="dxa"/>
            <w:tcBorders>
              <w:top w:val="single" w:sz="4" w:space="0" w:color="0070C0"/>
              <w:left w:val="single" w:sz="4" w:space="0" w:color="0070C0"/>
              <w:right w:val="single" w:sz="4" w:space="0" w:color="0070C0"/>
            </w:tcBorders>
            <w:hideMark/>
          </w:tcPr>
          <w:p w14:paraId="5B7264FA" w14:textId="77777777" w:rsidR="00182609" w:rsidRPr="00B7760C" w:rsidRDefault="00182609" w:rsidP="00AB1DA6">
            <w:pPr>
              <w:widowControl/>
              <w:spacing w:before="120" w:after="120" w:line="276" w:lineRule="auto"/>
              <w:rPr>
                <w:rFonts w:asciiTheme="minorHAnsi" w:hAnsiTheme="minorHAnsi" w:cstheme="minorHAnsi"/>
                <w:sz w:val="18"/>
                <w:szCs w:val="18"/>
              </w:rPr>
            </w:pPr>
            <w:r w:rsidRPr="00B7760C">
              <w:rPr>
                <w:rFonts w:asciiTheme="minorHAnsi" w:hAnsiTheme="minorHAnsi" w:cstheme="minorHAnsi"/>
                <w:sz w:val="18"/>
                <w:szCs w:val="18"/>
              </w:rPr>
              <w:t>I.18 Povečanje populacije ptic kmetijske krajine:</w:t>
            </w:r>
            <w:r w:rsidRPr="00B7760C">
              <w:rPr>
                <w:rFonts w:asciiTheme="minorHAnsi" w:hAnsiTheme="minorHAnsi" w:cstheme="minorHAnsi"/>
                <w:bCs/>
                <w:sz w:val="18"/>
                <w:szCs w:val="18"/>
              </w:rPr>
              <w:t xml:space="preserve"> </w:t>
            </w:r>
            <w:r w:rsidRPr="00B7760C">
              <w:rPr>
                <w:rFonts w:asciiTheme="minorHAnsi" w:hAnsiTheme="minorHAnsi" w:cstheme="minorHAnsi"/>
                <w:sz w:val="18"/>
                <w:szCs w:val="18"/>
              </w:rPr>
              <w:t>indeks ptic kmetijske krajine</w:t>
            </w:r>
          </w:p>
        </w:tc>
        <w:tc>
          <w:tcPr>
            <w:tcW w:w="4617" w:type="dxa"/>
            <w:vMerge w:val="restart"/>
            <w:tcBorders>
              <w:top w:val="single" w:sz="4" w:space="0" w:color="0070C0"/>
              <w:left w:val="single" w:sz="4" w:space="0" w:color="0070C0"/>
              <w:right w:val="single" w:sz="4" w:space="0" w:color="0070C0"/>
            </w:tcBorders>
          </w:tcPr>
          <w:p w14:paraId="4E98AEB3" w14:textId="77777777" w:rsidR="00182609" w:rsidRPr="00B7760C" w:rsidRDefault="00182609" w:rsidP="00AB1DA6">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R.25 Podpiranje trajnostnega gospodarjenja z gozdovi: delež gozdnih zemljišč, za katera veljajo upravljavske obveznosti za podpiranje varstva gozdov in gospodarjenja z njimi</w:t>
            </w:r>
          </w:p>
        </w:tc>
        <w:tc>
          <w:tcPr>
            <w:tcW w:w="236" w:type="dxa"/>
            <w:tcBorders>
              <w:left w:val="single" w:sz="4" w:space="0" w:color="0070C0"/>
              <w:right w:val="single" w:sz="4" w:space="0" w:color="0070C0"/>
            </w:tcBorders>
          </w:tcPr>
          <w:p w14:paraId="5272E7BC" w14:textId="77777777" w:rsidR="00182609" w:rsidRPr="00B7760C" w:rsidRDefault="00182609" w:rsidP="00AB1DA6">
            <w:pPr>
              <w:widowControl/>
              <w:spacing w:before="120" w:after="120" w:line="276" w:lineRule="auto"/>
              <w:rPr>
                <w:rFonts w:asciiTheme="minorHAnsi" w:hAnsiTheme="minorHAnsi" w:cstheme="minorHAnsi"/>
                <w:sz w:val="18"/>
                <w:szCs w:val="18"/>
                <w:lang w:eastAsia="fr-BE"/>
              </w:rPr>
            </w:pPr>
          </w:p>
        </w:tc>
        <w:tc>
          <w:tcPr>
            <w:tcW w:w="1673" w:type="dxa"/>
            <w:vMerge w:val="restart"/>
            <w:tcBorders>
              <w:top w:val="single" w:sz="4" w:space="0" w:color="0070C0"/>
              <w:left w:val="single" w:sz="4" w:space="0" w:color="0070C0"/>
              <w:right w:val="single" w:sz="4" w:space="0" w:color="0070C0"/>
            </w:tcBorders>
          </w:tcPr>
          <w:p w14:paraId="1D3107EB" w14:textId="77777777" w:rsidR="00182609" w:rsidRPr="00B7760C" w:rsidRDefault="00182609" w:rsidP="00AB1DA6">
            <w:pPr>
              <w:widowControl/>
              <w:spacing w:before="120" w:after="120"/>
              <w:rPr>
                <w:rFonts w:asciiTheme="minorHAnsi" w:hAnsiTheme="minorHAnsi" w:cstheme="minorHAnsi"/>
                <w:b/>
                <w:bCs/>
                <w:color w:val="000000"/>
                <w:sz w:val="18"/>
                <w:szCs w:val="18"/>
              </w:rPr>
            </w:pPr>
            <w:r w:rsidRPr="00B7760C">
              <w:rPr>
                <w:rFonts w:asciiTheme="minorHAnsi" w:hAnsiTheme="minorHAnsi" w:cstheme="minorHAnsi"/>
                <w:b/>
                <w:bCs/>
                <w:color w:val="000000"/>
                <w:sz w:val="18"/>
                <w:szCs w:val="18"/>
              </w:rPr>
              <w:t>Nepovratna sredstva za vzpostavitev kmetijskih gospodarstev</w:t>
            </w:r>
          </w:p>
        </w:tc>
        <w:tc>
          <w:tcPr>
            <w:tcW w:w="3259" w:type="dxa"/>
            <w:vMerge w:val="restart"/>
            <w:tcBorders>
              <w:top w:val="single" w:sz="4" w:space="0" w:color="0070C0"/>
              <w:left w:val="single" w:sz="4" w:space="0" w:color="0070C0"/>
              <w:right w:val="single" w:sz="4" w:space="0" w:color="0070C0"/>
            </w:tcBorders>
          </w:tcPr>
          <w:p w14:paraId="7D097611" w14:textId="77777777" w:rsidR="00182609" w:rsidRPr="00B7760C" w:rsidRDefault="00182609" w:rsidP="00AB1DA6">
            <w:pPr>
              <w:widowControl/>
              <w:spacing w:before="120" w:after="120"/>
              <w:rPr>
                <w:rFonts w:asciiTheme="minorHAnsi" w:hAnsiTheme="minorHAnsi" w:cstheme="minorHAnsi"/>
                <w:b/>
                <w:sz w:val="18"/>
                <w:szCs w:val="18"/>
              </w:rPr>
            </w:pPr>
            <w:r w:rsidRPr="00B7760C">
              <w:rPr>
                <w:rFonts w:asciiTheme="minorHAnsi" w:hAnsiTheme="minorHAnsi" w:cstheme="minorHAnsi"/>
                <w:sz w:val="18"/>
                <w:szCs w:val="18"/>
              </w:rPr>
              <w:t xml:space="preserve">O.22 Število </w:t>
            </w:r>
            <w:r w:rsidRPr="00B7760C">
              <w:rPr>
                <w:rFonts w:asciiTheme="minorHAnsi" w:hAnsiTheme="minorHAnsi" w:cstheme="minorHAnsi"/>
                <w:b/>
                <w:i/>
                <w:sz w:val="18"/>
                <w:szCs w:val="18"/>
              </w:rPr>
              <w:t>mladih</w:t>
            </w:r>
            <w:r w:rsidRPr="00B7760C">
              <w:rPr>
                <w:rFonts w:asciiTheme="minorHAnsi" w:hAnsiTheme="minorHAnsi" w:cstheme="minorHAnsi"/>
                <w:sz w:val="18"/>
                <w:szCs w:val="18"/>
              </w:rPr>
              <w:t xml:space="preserve"> kmetov, ki prejemajo nepovratna sredstva za vzpostavitev kmetijskih gospodarstev</w:t>
            </w:r>
          </w:p>
          <w:p w14:paraId="6F03771D" w14:textId="77777777" w:rsidR="00182609" w:rsidRPr="00B7760C" w:rsidRDefault="00182609" w:rsidP="00AB1DA6">
            <w:pPr>
              <w:widowControl/>
              <w:spacing w:before="120" w:after="120"/>
              <w:rPr>
                <w:rFonts w:asciiTheme="minorHAnsi" w:hAnsiTheme="minorHAnsi" w:cstheme="minorHAnsi"/>
                <w:sz w:val="18"/>
                <w:szCs w:val="18"/>
              </w:rPr>
            </w:pPr>
            <w:r w:rsidRPr="00B7760C">
              <w:rPr>
                <w:rFonts w:asciiTheme="minorHAnsi" w:hAnsiTheme="minorHAnsi" w:cstheme="minorHAnsi"/>
                <w:b/>
                <w:i/>
                <w:sz w:val="18"/>
                <w:szCs w:val="18"/>
              </w:rPr>
              <w:t>O.22a Število novih kmetov, ki prejemajo nepovratna sredstva za vzpostavitev kmetijskih gospodarstev</w:t>
            </w:r>
          </w:p>
          <w:p w14:paraId="72FD86FF" w14:textId="77777777" w:rsidR="00182609" w:rsidRPr="00B7760C" w:rsidRDefault="00182609" w:rsidP="00AB1DA6">
            <w:pPr>
              <w:spacing w:before="120" w:after="120"/>
              <w:rPr>
                <w:rFonts w:asciiTheme="minorHAnsi" w:hAnsiTheme="minorHAnsi" w:cstheme="minorHAnsi"/>
                <w:b/>
                <w:sz w:val="18"/>
                <w:szCs w:val="18"/>
              </w:rPr>
            </w:pPr>
            <w:r w:rsidRPr="00B7760C">
              <w:rPr>
                <w:rFonts w:asciiTheme="minorHAnsi" w:hAnsiTheme="minorHAnsi" w:cstheme="minorHAnsi"/>
                <w:sz w:val="18"/>
                <w:szCs w:val="18"/>
              </w:rPr>
              <w:t>O.23 Število podeželskih podjetnikov, ki prejemajo nepovratna sredstva za vzpostavitev</w:t>
            </w:r>
          </w:p>
        </w:tc>
      </w:tr>
      <w:tr w:rsidR="00182609" w:rsidRPr="00B7760C" w14:paraId="6ED0FEEC" w14:textId="77777777" w:rsidTr="00A35DEB">
        <w:trPr>
          <w:cantSplit/>
          <w:trHeight w:val="717"/>
        </w:trPr>
        <w:tc>
          <w:tcPr>
            <w:tcW w:w="2311" w:type="dxa"/>
            <w:vMerge/>
            <w:tcBorders>
              <w:top w:val="single" w:sz="4" w:space="0" w:color="0070C0"/>
              <w:left w:val="single" w:sz="4" w:space="0" w:color="0070C0"/>
              <w:right w:val="single" w:sz="4" w:space="0" w:color="0070C0"/>
            </w:tcBorders>
            <w:vAlign w:val="center"/>
          </w:tcPr>
          <w:p w14:paraId="0543A3CE" w14:textId="77777777" w:rsidR="00182609" w:rsidRPr="00B7760C" w:rsidRDefault="00182609" w:rsidP="00AB1DA6">
            <w:pPr>
              <w:widowControl/>
              <w:spacing w:before="120" w:after="120" w:line="276" w:lineRule="auto"/>
              <w:rPr>
                <w:rFonts w:asciiTheme="minorHAnsi" w:hAnsiTheme="minorHAnsi" w:cstheme="minorHAnsi"/>
                <w:bCs/>
                <w:color w:val="000000"/>
                <w:sz w:val="20"/>
                <w:lang w:eastAsia="fr-BE"/>
              </w:rPr>
            </w:pPr>
          </w:p>
        </w:tc>
        <w:tc>
          <w:tcPr>
            <w:tcW w:w="3262" w:type="dxa"/>
            <w:tcBorders>
              <w:top w:val="single" w:sz="4" w:space="0" w:color="0070C0"/>
              <w:left w:val="single" w:sz="4" w:space="0" w:color="0070C0"/>
              <w:right w:val="single" w:sz="4" w:space="0" w:color="0070C0"/>
            </w:tcBorders>
          </w:tcPr>
          <w:p w14:paraId="0EEFCD97" w14:textId="77777777" w:rsidR="00182609" w:rsidRPr="00B7760C" w:rsidRDefault="00182609" w:rsidP="00AB1DA6">
            <w:pPr>
              <w:widowControl/>
              <w:spacing w:before="120" w:after="120" w:line="276" w:lineRule="auto"/>
              <w:rPr>
                <w:rFonts w:asciiTheme="minorHAnsi" w:hAnsiTheme="minorHAnsi" w:cstheme="minorHAnsi"/>
                <w:sz w:val="18"/>
                <w:szCs w:val="18"/>
                <w:lang w:eastAsia="fr-BE"/>
              </w:rPr>
            </w:pPr>
          </w:p>
        </w:tc>
        <w:tc>
          <w:tcPr>
            <w:tcW w:w="4617" w:type="dxa"/>
            <w:vMerge/>
            <w:tcBorders>
              <w:left w:val="single" w:sz="4" w:space="0" w:color="0070C0"/>
              <w:right w:val="single" w:sz="4" w:space="0" w:color="0070C0"/>
            </w:tcBorders>
          </w:tcPr>
          <w:p w14:paraId="20AEC35C" w14:textId="77777777" w:rsidR="00182609" w:rsidRPr="00B7760C" w:rsidRDefault="00182609" w:rsidP="00AB1DA6">
            <w:pPr>
              <w:widowControl/>
              <w:spacing w:before="120" w:after="120"/>
              <w:rPr>
                <w:rFonts w:asciiTheme="minorHAnsi" w:hAnsiTheme="minorHAnsi" w:cstheme="minorHAnsi"/>
                <w:sz w:val="18"/>
                <w:szCs w:val="18"/>
                <w:lang w:eastAsia="fr-BE"/>
              </w:rPr>
            </w:pPr>
          </w:p>
        </w:tc>
        <w:tc>
          <w:tcPr>
            <w:tcW w:w="236" w:type="dxa"/>
            <w:tcBorders>
              <w:left w:val="single" w:sz="4" w:space="0" w:color="0070C0"/>
              <w:right w:val="single" w:sz="4" w:space="0" w:color="0070C0"/>
            </w:tcBorders>
          </w:tcPr>
          <w:p w14:paraId="6B895CC6" w14:textId="77777777" w:rsidR="00182609" w:rsidRPr="00B7760C" w:rsidRDefault="00182609" w:rsidP="00AB1DA6">
            <w:pPr>
              <w:widowControl/>
              <w:spacing w:before="120" w:after="120" w:line="276" w:lineRule="auto"/>
              <w:rPr>
                <w:rFonts w:asciiTheme="minorHAnsi" w:hAnsiTheme="minorHAnsi" w:cstheme="minorHAnsi"/>
                <w:sz w:val="18"/>
                <w:szCs w:val="18"/>
                <w:lang w:eastAsia="fr-BE"/>
              </w:rPr>
            </w:pPr>
          </w:p>
        </w:tc>
        <w:tc>
          <w:tcPr>
            <w:tcW w:w="1673" w:type="dxa"/>
            <w:vMerge/>
            <w:tcBorders>
              <w:left w:val="single" w:sz="4" w:space="0" w:color="0070C0"/>
              <w:right w:val="single" w:sz="4" w:space="0" w:color="0070C0"/>
            </w:tcBorders>
          </w:tcPr>
          <w:p w14:paraId="0FB910E8" w14:textId="77777777" w:rsidR="00182609" w:rsidRPr="00B7760C" w:rsidRDefault="00182609" w:rsidP="00AB1DA6">
            <w:pPr>
              <w:widowControl/>
              <w:spacing w:before="120" w:after="120"/>
              <w:rPr>
                <w:rFonts w:asciiTheme="minorHAnsi" w:hAnsiTheme="minorHAnsi" w:cstheme="minorHAnsi"/>
                <w:b/>
                <w:bCs/>
                <w:color w:val="000000"/>
                <w:sz w:val="18"/>
                <w:szCs w:val="18"/>
                <w:lang w:eastAsia="fr-BE"/>
              </w:rPr>
            </w:pPr>
          </w:p>
        </w:tc>
        <w:tc>
          <w:tcPr>
            <w:tcW w:w="3259" w:type="dxa"/>
            <w:vMerge/>
            <w:tcBorders>
              <w:left w:val="single" w:sz="4" w:space="0" w:color="0070C0"/>
              <w:right w:val="single" w:sz="4" w:space="0" w:color="0070C0"/>
            </w:tcBorders>
          </w:tcPr>
          <w:p w14:paraId="49CA3E9E" w14:textId="77777777" w:rsidR="00182609" w:rsidRPr="00B7760C" w:rsidRDefault="00182609" w:rsidP="00AB1DA6">
            <w:pPr>
              <w:spacing w:before="120" w:after="120"/>
              <w:rPr>
                <w:rFonts w:asciiTheme="minorHAnsi" w:hAnsiTheme="minorHAnsi" w:cstheme="minorHAnsi"/>
                <w:sz w:val="18"/>
                <w:szCs w:val="18"/>
                <w:lang w:eastAsia="fr-BE"/>
              </w:rPr>
            </w:pPr>
          </w:p>
        </w:tc>
      </w:tr>
      <w:tr w:rsidR="00182609" w:rsidRPr="00B7760C" w14:paraId="25F8F57C" w14:textId="77777777" w:rsidTr="00A35DEB">
        <w:trPr>
          <w:cantSplit/>
          <w:trHeight w:val="465"/>
        </w:trPr>
        <w:tc>
          <w:tcPr>
            <w:tcW w:w="2311" w:type="dxa"/>
            <w:vMerge/>
            <w:tcBorders>
              <w:left w:val="single" w:sz="4" w:space="0" w:color="0070C0"/>
              <w:right w:val="single" w:sz="4" w:space="0" w:color="0070C0"/>
            </w:tcBorders>
            <w:noWrap/>
            <w:hideMark/>
          </w:tcPr>
          <w:p w14:paraId="62D0A788" w14:textId="77777777" w:rsidR="00182609" w:rsidRPr="00B7760C" w:rsidRDefault="00182609" w:rsidP="00AB1DA6">
            <w:pPr>
              <w:widowControl/>
              <w:spacing w:before="120" w:after="120" w:line="276" w:lineRule="auto"/>
              <w:rPr>
                <w:rFonts w:asciiTheme="minorHAnsi" w:hAnsiTheme="minorHAnsi" w:cstheme="minorHAnsi"/>
                <w:b/>
                <w:bCs/>
                <w:color w:val="000000"/>
                <w:sz w:val="18"/>
                <w:szCs w:val="18"/>
                <w:lang w:eastAsia="fr-BE"/>
              </w:rPr>
            </w:pPr>
          </w:p>
        </w:tc>
        <w:tc>
          <w:tcPr>
            <w:tcW w:w="3262" w:type="dxa"/>
            <w:tcBorders>
              <w:left w:val="single" w:sz="4" w:space="0" w:color="0070C0"/>
              <w:right w:val="single" w:sz="4" w:space="0" w:color="0070C0"/>
            </w:tcBorders>
            <w:noWrap/>
          </w:tcPr>
          <w:p w14:paraId="79B7F9B9" w14:textId="77777777" w:rsidR="00182609" w:rsidRPr="00B7760C" w:rsidRDefault="00182609" w:rsidP="00AB1DA6">
            <w:pPr>
              <w:widowControl/>
              <w:spacing w:before="120" w:after="120" w:line="276" w:lineRule="auto"/>
              <w:rPr>
                <w:rFonts w:asciiTheme="minorHAnsi" w:hAnsiTheme="minorHAnsi" w:cstheme="minorHAnsi"/>
                <w:sz w:val="18"/>
                <w:szCs w:val="18"/>
              </w:rPr>
            </w:pPr>
            <w:r w:rsidRPr="00B7760C">
              <w:rPr>
                <w:rFonts w:asciiTheme="minorHAnsi" w:hAnsiTheme="minorHAnsi" w:cstheme="minorHAnsi"/>
                <w:sz w:val="18"/>
                <w:szCs w:val="18"/>
              </w:rPr>
              <w:t>I.19 Okrepljeno varstvo biotske raznovrstnosti:</w:t>
            </w:r>
            <w:r w:rsidRPr="00B7760C">
              <w:rPr>
                <w:rFonts w:asciiTheme="minorHAnsi" w:hAnsiTheme="minorHAnsi" w:cstheme="minorHAnsi"/>
                <w:bCs/>
                <w:sz w:val="18"/>
                <w:szCs w:val="18"/>
              </w:rPr>
              <w:t xml:space="preserve"> </w:t>
            </w:r>
            <w:r w:rsidRPr="00B7760C">
              <w:rPr>
                <w:rFonts w:asciiTheme="minorHAnsi" w:hAnsiTheme="minorHAnsi" w:cstheme="minorHAnsi"/>
                <w:sz w:val="18"/>
                <w:szCs w:val="18"/>
              </w:rPr>
              <w:t>odstotek vrst in habitatov v interesu Skupnosti, povezanih s kmetijstvom, ki so stabilni ali se povečujejo</w:t>
            </w:r>
          </w:p>
        </w:tc>
        <w:tc>
          <w:tcPr>
            <w:tcW w:w="4617" w:type="dxa"/>
            <w:tcBorders>
              <w:left w:val="single" w:sz="4" w:space="0" w:color="0070C0"/>
              <w:right w:val="single" w:sz="4" w:space="0" w:color="0070C0"/>
            </w:tcBorders>
          </w:tcPr>
          <w:p w14:paraId="21F42EF0" w14:textId="77777777" w:rsidR="00182609" w:rsidRPr="00B7760C" w:rsidRDefault="00182609" w:rsidP="00AB1DA6">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R.26 Varstvo gozdnih ekosistemov:</w:t>
            </w:r>
            <w:r w:rsidRPr="00B7760C">
              <w:rPr>
                <w:rFonts w:asciiTheme="minorHAnsi" w:hAnsiTheme="minorHAnsi" w:cstheme="minorHAnsi"/>
                <w:bCs/>
                <w:sz w:val="18"/>
                <w:szCs w:val="18"/>
              </w:rPr>
              <w:t xml:space="preserve"> </w:t>
            </w:r>
            <w:r w:rsidRPr="00B7760C">
              <w:rPr>
                <w:rFonts w:asciiTheme="minorHAnsi" w:hAnsiTheme="minorHAnsi" w:cstheme="minorHAnsi"/>
                <w:sz w:val="18"/>
                <w:szCs w:val="18"/>
              </w:rPr>
              <w:t xml:space="preserve">delež gozdnih zemljišč z upravljavskimi obveznostmi za podpiranje storitev v zvezi s krajino in biotsko raznovrstnostjo ter ekosistemskih storitev </w:t>
            </w:r>
          </w:p>
        </w:tc>
        <w:tc>
          <w:tcPr>
            <w:tcW w:w="236" w:type="dxa"/>
            <w:tcBorders>
              <w:left w:val="single" w:sz="4" w:space="0" w:color="0070C0"/>
              <w:right w:val="single" w:sz="4" w:space="0" w:color="0070C0"/>
            </w:tcBorders>
          </w:tcPr>
          <w:p w14:paraId="2FB96310" w14:textId="77777777" w:rsidR="00182609" w:rsidRPr="00B7760C" w:rsidRDefault="00182609" w:rsidP="00AB1DA6">
            <w:pPr>
              <w:widowControl/>
              <w:spacing w:before="120" w:after="120"/>
              <w:rPr>
                <w:rFonts w:asciiTheme="minorHAnsi" w:hAnsiTheme="minorHAnsi" w:cstheme="minorHAnsi"/>
                <w:sz w:val="18"/>
                <w:szCs w:val="18"/>
                <w:lang w:eastAsia="fr-BE"/>
              </w:rPr>
            </w:pPr>
          </w:p>
        </w:tc>
        <w:tc>
          <w:tcPr>
            <w:tcW w:w="1673" w:type="dxa"/>
            <w:tcBorders>
              <w:left w:val="single" w:sz="4" w:space="0" w:color="0070C0"/>
              <w:bottom w:val="single" w:sz="4" w:space="0" w:color="0070C0"/>
              <w:right w:val="single" w:sz="4" w:space="0" w:color="0070C0"/>
            </w:tcBorders>
          </w:tcPr>
          <w:p w14:paraId="761A274A" w14:textId="77777777" w:rsidR="00182609" w:rsidRPr="00B7760C" w:rsidRDefault="00182609" w:rsidP="00AB1DA6">
            <w:pPr>
              <w:widowControl/>
              <w:spacing w:before="120" w:after="120"/>
              <w:rPr>
                <w:rFonts w:asciiTheme="minorHAnsi" w:hAnsiTheme="minorHAnsi" w:cstheme="minorHAnsi"/>
                <w:bCs/>
                <w:color w:val="000000"/>
                <w:sz w:val="18"/>
                <w:szCs w:val="18"/>
                <w:lang w:eastAsia="fr-BE"/>
              </w:rPr>
            </w:pPr>
          </w:p>
        </w:tc>
        <w:tc>
          <w:tcPr>
            <w:tcW w:w="3259" w:type="dxa"/>
            <w:vMerge/>
            <w:tcBorders>
              <w:left w:val="single" w:sz="4" w:space="0" w:color="0070C0"/>
              <w:bottom w:val="single" w:sz="4" w:space="0" w:color="0070C0"/>
              <w:right w:val="single" w:sz="4" w:space="0" w:color="0070C0"/>
            </w:tcBorders>
          </w:tcPr>
          <w:p w14:paraId="646230DA" w14:textId="77777777" w:rsidR="00182609" w:rsidRPr="00B7760C" w:rsidRDefault="00182609" w:rsidP="00AB1DA6">
            <w:pPr>
              <w:widowControl/>
              <w:spacing w:before="120" w:after="120"/>
              <w:rPr>
                <w:rFonts w:asciiTheme="minorHAnsi" w:hAnsiTheme="minorHAnsi" w:cstheme="minorHAnsi"/>
                <w:sz w:val="18"/>
                <w:szCs w:val="18"/>
                <w:lang w:eastAsia="fr-BE"/>
              </w:rPr>
            </w:pPr>
          </w:p>
        </w:tc>
      </w:tr>
      <w:tr w:rsidR="00182609" w:rsidRPr="00B7760C" w14:paraId="02D81BB0" w14:textId="77777777" w:rsidTr="00A35DEB">
        <w:trPr>
          <w:cantSplit/>
          <w:trHeight w:val="465"/>
        </w:trPr>
        <w:tc>
          <w:tcPr>
            <w:tcW w:w="2311" w:type="dxa"/>
            <w:vMerge/>
            <w:tcBorders>
              <w:left w:val="single" w:sz="4" w:space="0" w:color="0070C0"/>
              <w:right w:val="single" w:sz="4" w:space="0" w:color="0070C0"/>
            </w:tcBorders>
            <w:noWrap/>
          </w:tcPr>
          <w:p w14:paraId="5AEE6B2A" w14:textId="77777777" w:rsidR="00182609" w:rsidRPr="00B7760C" w:rsidRDefault="00182609" w:rsidP="00AB1DA6">
            <w:pPr>
              <w:widowControl/>
              <w:spacing w:before="120" w:after="120" w:line="276" w:lineRule="auto"/>
              <w:rPr>
                <w:rFonts w:asciiTheme="minorHAnsi" w:hAnsiTheme="minorHAnsi" w:cstheme="minorHAnsi"/>
                <w:b/>
                <w:bCs/>
                <w:color w:val="000000"/>
                <w:sz w:val="18"/>
                <w:szCs w:val="18"/>
                <w:lang w:eastAsia="fr-BE"/>
              </w:rPr>
            </w:pPr>
          </w:p>
        </w:tc>
        <w:tc>
          <w:tcPr>
            <w:tcW w:w="3262" w:type="dxa"/>
            <w:tcBorders>
              <w:left w:val="single" w:sz="4" w:space="0" w:color="0070C0"/>
              <w:right w:val="single" w:sz="4" w:space="0" w:color="0070C0"/>
            </w:tcBorders>
            <w:noWrap/>
          </w:tcPr>
          <w:p w14:paraId="0792114A" w14:textId="77777777" w:rsidR="00182609" w:rsidRPr="00B7760C" w:rsidRDefault="00182609" w:rsidP="00AB1DA6">
            <w:pPr>
              <w:widowControl/>
              <w:spacing w:before="120" w:after="120" w:line="276" w:lineRule="auto"/>
              <w:rPr>
                <w:rFonts w:asciiTheme="minorHAnsi" w:hAnsiTheme="minorHAnsi" w:cstheme="minorHAnsi"/>
                <w:b/>
                <w:i/>
                <w:sz w:val="18"/>
                <w:szCs w:val="18"/>
              </w:rPr>
            </w:pPr>
            <w:r w:rsidRPr="00B7760C">
              <w:rPr>
                <w:rFonts w:asciiTheme="minorHAnsi" w:hAnsiTheme="minorHAnsi" w:cstheme="minorHAnsi"/>
                <w:b/>
                <w:i/>
                <w:sz w:val="18"/>
                <w:szCs w:val="18"/>
              </w:rPr>
              <w:t>I.19a Obrnitev trenda upada opraševalcev: kazalnik opraševalcev</w:t>
            </w:r>
            <w:r w:rsidRPr="00B7760C">
              <w:rPr>
                <w:rFonts w:asciiTheme="minorHAnsi" w:hAnsiTheme="minorHAnsi" w:cstheme="minorHAnsi"/>
                <w:b/>
                <w:i/>
                <w:sz w:val="18"/>
                <w:szCs w:val="18"/>
                <w:vertAlign w:val="superscript"/>
              </w:rPr>
              <w:t>*a</w:t>
            </w:r>
          </w:p>
        </w:tc>
        <w:tc>
          <w:tcPr>
            <w:tcW w:w="4617" w:type="dxa"/>
            <w:tcBorders>
              <w:left w:val="single" w:sz="4" w:space="0" w:color="0070C0"/>
              <w:right w:val="single" w:sz="4" w:space="0" w:color="0070C0"/>
            </w:tcBorders>
          </w:tcPr>
          <w:p w14:paraId="09ADEDFF" w14:textId="77777777" w:rsidR="00182609" w:rsidRPr="00B7760C" w:rsidRDefault="00182609" w:rsidP="00AB1DA6">
            <w:pPr>
              <w:widowControl/>
              <w:spacing w:before="120" w:after="120"/>
              <w:rPr>
                <w:rFonts w:asciiTheme="minorHAnsi" w:hAnsiTheme="minorHAnsi" w:cstheme="minorHAnsi"/>
                <w:b/>
                <w:sz w:val="18"/>
                <w:szCs w:val="18"/>
                <w:lang w:eastAsia="fr-BE"/>
              </w:rPr>
            </w:pPr>
          </w:p>
        </w:tc>
        <w:tc>
          <w:tcPr>
            <w:tcW w:w="236" w:type="dxa"/>
            <w:tcBorders>
              <w:left w:val="single" w:sz="4" w:space="0" w:color="0070C0"/>
              <w:right w:val="single" w:sz="4" w:space="0" w:color="0070C0"/>
            </w:tcBorders>
          </w:tcPr>
          <w:p w14:paraId="70900642" w14:textId="77777777" w:rsidR="00182609" w:rsidRPr="00B7760C" w:rsidRDefault="00182609" w:rsidP="00AB1DA6">
            <w:pPr>
              <w:widowControl/>
              <w:spacing w:before="120" w:after="120"/>
              <w:rPr>
                <w:rFonts w:asciiTheme="minorHAnsi" w:hAnsiTheme="minorHAnsi" w:cstheme="minorHAnsi"/>
                <w:sz w:val="18"/>
                <w:szCs w:val="18"/>
                <w:lang w:eastAsia="fr-BE"/>
              </w:rPr>
            </w:pPr>
          </w:p>
        </w:tc>
        <w:tc>
          <w:tcPr>
            <w:tcW w:w="1673" w:type="dxa"/>
            <w:tcBorders>
              <w:left w:val="single" w:sz="4" w:space="0" w:color="0070C0"/>
              <w:bottom w:val="single" w:sz="4" w:space="0" w:color="0070C0"/>
              <w:right w:val="single" w:sz="4" w:space="0" w:color="0070C0"/>
            </w:tcBorders>
          </w:tcPr>
          <w:p w14:paraId="604CFBC6" w14:textId="77777777" w:rsidR="00182609" w:rsidRPr="00B7760C" w:rsidRDefault="00182609" w:rsidP="00AB1DA6">
            <w:pPr>
              <w:widowControl/>
              <w:spacing w:before="120" w:after="120"/>
              <w:rPr>
                <w:rFonts w:asciiTheme="minorHAnsi" w:hAnsiTheme="minorHAnsi" w:cstheme="minorHAnsi"/>
                <w:bCs/>
                <w:color w:val="000000"/>
                <w:sz w:val="18"/>
                <w:szCs w:val="18"/>
                <w:lang w:eastAsia="fr-BE"/>
              </w:rPr>
            </w:pPr>
          </w:p>
        </w:tc>
        <w:tc>
          <w:tcPr>
            <w:tcW w:w="3259" w:type="dxa"/>
            <w:tcBorders>
              <w:left w:val="single" w:sz="4" w:space="0" w:color="0070C0"/>
              <w:bottom w:val="single" w:sz="4" w:space="0" w:color="0070C0"/>
              <w:right w:val="single" w:sz="4" w:space="0" w:color="0070C0"/>
            </w:tcBorders>
          </w:tcPr>
          <w:p w14:paraId="0463C70E" w14:textId="77777777" w:rsidR="00182609" w:rsidRPr="00B7760C" w:rsidRDefault="00182609" w:rsidP="00AB1DA6">
            <w:pPr>
              <w:widowControl/>
              <w:spacing w:before="120" w:after="120"/>
              <w:rPr>
                <w:rFonts w:asciiTheme="minorHAnsi" w:hAnsiTheme="minorHAnsi" w:cstheme="minorHAnsi"/>
                <w:sz w:val="18"/>
                <w:szCs w:val="18"/>
                <w:lang w:eastAsia="fr-BE"/>
              </w:rPr>
            </w:pPr>
          </w:p>
        </w:tc>
      </w:tr>
      <w:tr w:rsidR="00182609" w:rsidRPr="00B7760C" w14:paraId="3B7AB125" w14:textId="77777777" w:rsidTr="00A35DEB">
        <w:trPr>
          <w:cantSplit/>
          <w:trHeight w:val="596"/>
        </w:trPr>
        <w:tc>
          <w:tcPr>
            <w:tcW w:w="2311" w:type="dxa"/>
            <w:vMerge/>
            <w:tcBorders>
              <w:left w:val="single" w:sz="4" w:space="0" w:color="0070C0"/>
              <w:right w:val="single" w:sz="4" w:space="0" w:color="0070C0"/>
            </w:tcBorders>
            <w:noWrap/>
          </w:tcPr>
          <w:p w14:paraId="37AAD9DF" w14:textId="77777777" w:rsidR="00182609" w:rsidRPr="00B7760C" w:rsidRDefault="00182609" w:rsidP="00AB1DA6">
            <w:pPr>
              <w:widowControl/>
              <w:spacing w:before="120" w:after="120" w:line="276" w:lineRule="auto"/>
              <w:rPr>
                <w:rFonts w:asciiTheme="minorHAnsi" w:hAnsiTheme="minorHAnsi" w:cstheme="minorHAnsi"/>
                <w:b/>
                <w:bCs/>
                <w:color w:val="000000"/>
                <w:sz w:val="18"/>
                <w:szCs w:val="18"/>
                <w:lang w:eastAsia="fr-BE"/>
              </w:rPr>
            </w:pPr>
          </w:p>
        </w:tc>
        <w:tc>
          <w:tcPr>
            <w:tcW w:w="3262" w:type="dxa"/>
            <w:tcBorders>
              <w:left w:val="single" w:sz="4" w:space="0" w:color="0070C0"/>
              <w:right w:val="single" w:sz="4" w:space="0" w:color="0070C0"/>
            </w:tcBorders>
            <w:noWrap/>
          </w:tcPr>
          <w:p w14:paraId="30751CED" w14:textId="77777777" w:rsidR="00182609" w:rsidRPr="00B7760C" w:rsidRDefault="00182609" w:rsidP="00AB1DA6">
            <w:pPr>
              <w:widowControl/>
              <w:spacing w:before="120" w:after="120" w:line="276" w:lineRule="auto"/>
              <w:rPr>
                <w:rFonts w:asciiTheme="minorHAnsi" w:hAnsiTheme="minorHAnsi" w:cstheme="minorHAnsi"/>
                <w:sz w:val="18"/>
                <w:szCs w:val="18"/>
              </w:rPr>
            </w:pPr>
            <w:r w:rsidRPr="00B7760C">
              <w:rPr>
                <w:rFonts w:asciiTheme="minorHAnsi" w:hAnsiTheme="minorHAnsi" w:cstheme="minorHAnsi"/>
                <w:sz w:val="18"/>
                <w:szCs w:val="18"/>
              </w:rPr>
              <w:t>I.20 Boljše zagotavljanje ekosistemskih storitev:</w:t>
            </w:r>
            <w:r w:rsidRPr="00B7760C">
              <w:rPr>
                <w:rFonts w:asciiTheme="minorHAnsi" w:hAnsiTheme="minorHAnsi" w:cstheme="minorHAnsi"/>
                <w:b/>
                <w:sz w:val="18"/>
                <w:szCs w:val="18"/>
              </w:rPr>
              <w:t xml:space="preserve"> </w:t>
            </w:r>
            <w:r w:rsidRPr="00B7760C">
              <w:rPr>
                <w:rFonts w:asciiTheme="minorHAnsi" w:hAnsiTheme="minorHAnsi" w:cstheme="minorHAnsi"/>
                <w:sz w:val="18"/>
              </w:rPr>
              <w:t xml:space="preserve">delež </w:t>
            </w:r>
            <w:r w:rsidRPr="00B7760C">
              <w:rPr>
                <w:rFonts w:asciiTheme="minorHAnsi" w:hAnsiTheme="minorHAnsi" w:cstheme="minorHAnsi"/>
                <w:b/>
                <w:i/>
                <w:sz w:val="18"/>
              </w:rPr>
              <w:t>kmetijskih zemljišč</w:t>
            </w:r>
            <w:r w:rsidRPr="00B7760C">
              <w:rPr>
                <w:rFonts w:asciiTheme="minorHAnsi" w:hAnsiTheme="minorHAnsi" w:cstheme="minorHAnsi"/>
                <w:sz w:val="18"/>
              </w:rPr>
              <w:t xml:space="preserve"> s krajinskimi značilnostmi</w:t>
            </w:r>
          </w:p>
        </w:tc>
        <w:tc>
          <w:tcPr>
            <w:tcW w:w="4617" w:type="dxa"/>
            <w:tcBorders>
              <w:left w:val="single" w:sz="4" w:space="0" w:color="0070C0"/>
              <w:right w:val="single" w:sz="4" w:space="0" w:color="0070C0"/>
            </w:tcBorders>
          </w:tcPr>
          <w:p w14:paraId="17E38392" w14:textId="77777777" w:rsidR="00182609" w:rsidRPr="00B7760C" w:rsidRDefault="00182609" w:rsidP="00AB1DA6">
            <w:pPr>
              <w:rPr>
                <w:rFonts w:asciiTheme="minorHAnsi" w:hAnsiTheme="minorHAnsi" w:cstheme="minorHAnsi"/>
                <w:sz w:val="18"/>
                <w:szCs w:val="18"/>
              </w:rPr>
            </w:pPr>
            <w:r w:rsidRPr="00B7760C">
              <w:rPr>
                <w:rFonts w:asciiTheme="minorHAnsi" w:hAnsiTheme="minorHAnsi" w:cstheme="minorHAnsi"/>
                <w:sz w:val="18"/>
                <w:szCs w:val="18"/>
              </w:rPr>
              <w:t>R.27 Ohranjanje habitatov in vrst:</w:t>
            </w:r>
            <w:r w:rsidRPr="00B7760C">
              <w:rPr>
                <w:rFonts w:asciiTheme="minorHAnsi" w:hAnsiTheme="minorHAnsi" w:cstheme="minorHAnsi"/>
                <w:b/>
                <w:bCs/>
                <w:sz w:val="18"/>
                <w:szCs w:val="18"/>
              </w:rPr>
              <w:t xml:space="preserve"> </w:t>
            </w:r>
            <w:r w:rsidRPr="00B7760C">
              <w:rPr>
                <w:rFonts w:asciiTheme="minorHAnsi" w:hAnsiTheme="minorHAnsi" w:cstheme="minorHAnsi"/>
                <w:sz w:val="18"/>
                <w:szCs w:val="18"/>
              </w:rPr>
              <w:t>delež kmetijskih zemljišč z upravljavskimi obveznostmi, ki podpirajo ohranjanje ali obnavljanje biotske raznovrstnosti,</w:t>
            </w:r>
            <w:r w:rsidRPr="00B7760C">
              <w:rPr>
                <w:rFonts w:asciiTheme="minorHAnsi" w:hAnsiTheme="minorHAnsi" w:cstheme="minorHAnsi"/>
                <w:b/>
                <w:i/>
                <w:sz w:val="18"/>
                <w:szCs w:val="18"/>
              </w:rPr>
              <w:t xml:space="preserve"> vključno s kmetijskimi zemljišči z visoko naravno vrednostjo</w:t>
            </w:r>
            <w:r w:rsidRPr="00B7760C">
              <w:rPr>
                <w:rFonts w:asciiTheme="minorHAnsi" w:hAnsiTheme="minorHAnsi" w:cstheme="minorHAnsi"/>
                <w:sz w:val="18"/>
                <w:szCs w:val="18"/>
              </w:rPr>
              <w:t xml:space="preserve"> </w:t>
            </w:r>
          </w:p>
        </w:tc>
        <w:tc>
          <w:tcPr>
            <w:tcW w:w="236" w:type="dxa"/>
            <w:tcBorders>
              <w:left w:val="single" w:sz="4" w:space="0" w:color="0070C0"/>
              <w:right w:val="single" w:sz="4" w:space="0" w:color="0070C0"/>
            </w:tcBorders>
          </w:tcPr>
          <w:p w14:paraId="0E3B38DB" w14:textId="77777777" w:rsidR="00182609" w:rsidRPr="00B7760C" w:rsidRDefault="00182609" w:rsidP="00AB1DA6">
            <w:pPr>
              <w:widowControl/>
              <w:spacing w:before="120" w:after="120" w:line="276" w:lineRule="auto"/>
              <w:rPr>
                <w:rFonts w:asciiTheme="minorHAnsi" w:hAnsiTheme="minorHAnsi" w:cstheme="minorHAnsi"/>
                <w:sz w:val="18"/>
                <w:szCs w:val="18"/>
                <w:lang w:eastAsia="fr-BE"/>
              </w:rPr>
            </w:pPr>
          </w:p>
        </w:tc>
        <w:tc>
          <w:tcPr>
            <w:tcW w:w="1673" w:type="dxa"/>
            <w:vMerge w:val="restart"/>
            <w:tcBorders>
              <w:top w:val="single" w:sz="4" w:space="0" w:color="0070C0"/>
              <w:left w:val="single" w:sz="4" w:space="0" w:color="0070C0"/>
              <w:right w:val="single" w:sz="4" w:space="0" w:color="0070C0"/>
            </w:tcBorders>
          </w:tcPr>
          <w:p w14:paraId="1100E19C" w14:textId="77777777" w:rsidR="00182609" w:rsidRPr="00B7760C" w:rsidRDefault="00182609" w:rsidP="00AB1DA6">
            <w:pPr>
              <w:widowControl/>
              <w:spacing w:before="120" w:after="120"/>
              <w:rPr>
                <w:rFonts w:asciiTheme="minorHAnsi" w:hAnsiTheme="minorHAnsi" w:cstheme="minorHAnsi"/>
                <w:bCs/>
                <w:color w:val="000000"/>
                <w:sz w:val="18"/>
                <w:szCs w:val="18"/>
              </w:rPr>
            </w:pPr>
            <w:r w:rsidRPr="00B7760C">
              <w:rPr>
                <w:rFonts w:asciiTheme="minorHAnsi" w:hAnsiTheme="minorHAnsi" w:cstheme="minorHAnsi"/>
                <w:bCs/>
                <w:color w:val="000000"/>
                <w:sz w:val="18"/>
                <w:szCs w:val="18"/>
              </w:rPr>
              <w:t>Sodelovanje</w:t>
            </w:r>
          </w:p>
        </w:tc>
        <w:tc>
          <w:tcPr>
            <w:tcW w:w="3259" w:type="dxa"/>
            <w:vMerge w:val="restart"/>
            <w:tcBorders>
              <w:top w:val="single" w:sz="4" w:space="0" w:color="0070C0"/>
              <w:left w:val="single" w:sz="4" w:space="0" w:color="0070C0"/>
              <w:right w:val="single" w:sz="4" w:space="0" w:color="0070C0"/>
            </w:tcBorders>
          </w:tcPr>
          <w:p w14:paraId="69DBCC0D" w14:textId="574A69D6" w:rsidR="00182609" w:rsidRPr="00B7760C" w:rsidRDefault="00182609" w:rsidP="00AB1DA6">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O.24</w:t>
            </w:r>
            <w:r w:rsidR="009D3E2B" w:rsidRPr="00B7760C">
              <w:rPr>
                <w:rFonts w:asciiTheme="minorHAnsi" w:hAnsiTheme="minorHAnsi" w:cstheme="minorHAnsi"/>
                <w:sz w:val="18"/>
                <w:szCs w:val="18"/>
              </w:rPr>
              <w:t xml:space="preserve"> </w:t>
            </w:r>
            <w:r w:rsidRPr="00B7760C">
              <w:rPr>
                <w:rFonts w:asciiTheme="minorHAnsi" w:hAnsiTheme="minorHAnsi" w:cstheme="minorHAnsi"/>
                <w:sz w:val="18"/>
                <w:szCs w:val="18"/>
              </w:rPr>
              <w:t>Število skupin/organizacij proizvajalcev, ki prejemajo podporo</w:t>
            </w:r>
          </w:p>
          <w:p w14:paraId="302FF946" w14:textId="77777777" w:rsidR="00182609" w:rsidRPr="00B7760C" w:rsidRDefault="00182609" w:rsidP="00AB1DA6">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O.25 Število kmetov, ki prejemajo podporo za sodelovanje v shemah kakovosti EU</w:t>
            </w:r>
          </w:p>
        </w:tc>
      </w:tr>
      <w:tr w:rsidR="00182609" w:rsidRPr="00B7760C" w14:paraId="707387B4" w14:textId="77777777" w:rsidTr="00A35DEB">
        <w:trPr>
          <w:cantSplit/>
          <w:trHeight w:val="596"/>
        </w:trPr>
        <w:tc>
          <w:tcPr>
            <w:tcW w:w="2311" w:type="dxa"/>
            <w:vMerge/>
            <w:tcBorders>
              <w:left w:val="single" w:sz="4" w:space="0" w:color="0070C0"/>
              <w:right w:val="single" w:sz="4" w:space="0" w:color="0070C0"/>
            </w:tcBorders>
            <w:noWrap/>
          </w:tcPr>
          <w:p w14:paraId="6CEAB38D" w14:textId="77777777" w:rsidR="00182609" w:rsidRPr="00B7760C" w:rsidRDefault="00182609" w:rsidP="00A35DEB">
            <w:pPr>
              <w:widowControl/>
              <w:spacing w:before="120" w:after="120" w:line="276" w:lineRule="auto"/>
              <w:jc w:val="both"/>
              <w:rPr>
                <w:rFonts w:asciiTheme="minorHAnsi" w:hAnsiTheme="minorHAnsi" w:cstheme="minorHAnsi"/>
                <w:b/>
                <w:bCs/>
                <w:color w:val="000000"/>
                <w:sz w:val="18"/>
                <w:szCs w:val="18"/>
                <w:lang w:eastAsia="fr-BE"/>
              </w:rPr>
            </w:pPr>
          </w:p>
        </w:tc>
        <w:tc>
          <w:tcPr>
            <w:tcW w:w="3262" w:type="dxa"/>
            <w:tcBorders>
              <w:left w:val="single" w:sz="4" w:space="0" w:color="0070C0"/>
              <w:right w:val="single" w:sz="4" w:space="0" w:color="0070C0"/>
            </w:tcBorders>
            <w:noWrap/>
          </w:tcPr>
          <w:p w14:paraId="02F723A2" w14:textId="77777777" w:rsidR="00182609" w:rsidRPr="00B7760C" w:rsidRDefault="00182609" w:rsidP="00A35DEB">
            <w:pPr>
              <w:widowControl/>
              <w:spacing w:before="120" w:after="120" w:line="276" w:lineRule="auto"/>
              <w:jc w:val="both"/>
              <w:rPr>
                <w:rFonts w:asciiTheme="minorHAnsi" w:hAnsiTheme="minorHAnsi" w:cstheme="minorHAnsi"/>
                <w:b/>
                <w:i/>
                <w:sz w:val="18"/>
                <w:szCs w:val="18"/>
              </w:rPr>
            </w:pPr>
            <w:r w:rsidRPr="00B7760C">
              <w:rPr>
                <w:rFonts w:asciiTheme="minorHAnsi" w:hAnsiTheme="minorHAnsi" w:cstheme="minorHAnsi"/>
                <w:b/>
                <w:i/>
                <w:sz w:val="18"/>
                <w:szCs w:val="18"/>
              </w:rPr>
              <w:t>I.20a Okrepljena kmetijska biotska raznovrstnost v kmetijskem sistemu: raznolikost poljščin</w:t>
            </w:r>
          </w:p>
        </w:tc>
        <w:tc>
          <w:tcPr>
            <w:tcW w:w="4617" w:type="dxa"/>
            <w:tcBorders>
              <w:left w:val="single" w:sz="4" w:space="0" w:color="0070C0"/>
              <w:right w:val="single" w:sz="4" w:space="0" w:color="0070C0"/>
            </w:tcBorders>
          </w:tcPr>
          <w:p w14:paraId="5E1EB79F" w14:textId="77777777" w:rsidR="00182609" w:rsidRPr="00B7760C" w:rsidRDefault="00182609" w:rsidP="00A35DEB">
            <w:pPr>
              <w:widowControl/>
              <w:spacing w:before="120" w:after="120"/>
              <w:jc w:val="both"/>
              <w:rPr>
                <w:rFonts w:asciiTheme="minorHAnsi" w:hAnsiTheme="minorHAnsi" w:cstheme="minorHAnsi"/>
                <w:b/>
                <w:sz w:val="18"/>
                <w:szCs w:val="18"/>
                <w:lang w:eastAsia="fr-BE"/>
              </w:rPr>
            </w:pPr>
          </w:p>
        </w:tc>
        <w:tc>
          <w:tcPr>
            <w:tcW w:w="236" w:type="dxa"/>
            <w:tcBorders>
              <w:left w:val="single" w:sz="4" w:space="0" w:color="0070C0"/>
              <w:right w:val="single" w:sz="4" w:space="0" w:color="0070C0"/>
            </w:tcBorders>
          </w:tcPr>
          <w:p w14:paraId="5B772A53" w14:textId="77777777" w:rsidR="00182609" w:rsidRPr="00B7760C" w:rsidRDefault="00182609" w:rsidP="00A35DEB">
            <w:pPr>
              <w:widowControl/>
              <w:spacing w:before="120" w:after="120" w:line="276" w:lineRule="auto"/>
              <w:jc w:val="both"/>
              <w:rPr>
                <w:rFonts w:asciiTheme="minorHAnsi" w:hAnsiTheme="minorHAnsi" w:cstheme="minorHAnsi"/>
                <w:sz w:val="18"/>
                <w:szCs w:val="18"/>
                <w:lang w:eastAsia="fr-BE"/>
              </w:rPr>
            </w:pPr>
          </w:p>
        </w:tc>
        <w:tc>
          <w:tcPr>
            <w:tcW w:w="1673" w:type="dxa"/>
            <w:vMerge/>
            <w:tcBorders>
              <w:left w:val="single" w:sz="4" w:space="0" w:color="0070C0"/>
              <w:right w:val="single" w:sz="4" w:space="0" w:color="0070C0"/>
            </w:tcBorders>
          </w:tcPr>
          <w:p w14:paraId="059FA1A6" w14:textId="77777777" w:rsidR="00182609" w:rsidRPr="00B7760C" w:rsidRDefault="00182609" w:rsidP="00A35DEB">
            <w:pPr>
              <w:widowControl/>
              <w:spacing w:before="120" w:after="120"/>
              <w:jc w:val="both"/>
              <w:rPr>
                <w:rFonts w:asciiTheme="minorHAnsi" w:hAnsiTheme="minorHAnsi" w:cstheme="minorHAnsi"/>
                <w:bCs/>
                <w:color w:val="000000"/>
                <w:sz w:val="18"/>
                <w:szCs w:val="18"/>
                <w:lang w:eastAsia="fr-BE"/>
              </w:rPr>
            </w:pPr>
          </w:p>
        </w:tc>
        <w:tc>
          <w:tcPr>
            <w:tcW w:w="3259" w:type="dxa"/>
            <w:vMerge/>
            <w:tcBorders>
              <w:left w:val="single" w:sz="4" w:space="0" w:color="0070C0"/>
              <w:right w:val="single" w:sz="4" w:space="0" w:color="0070C0"/>
            </w:tcBorders>
          </w:tcPr>
          <w:p w14:paraId="58091B92" w14:textId="77777777" w:rsidR="00182609" w:rsidRPr="00B7760C" w:rsidRDefault="00182609" w:rsidP="00AB1DA6">
            <w:pPr>
              <w:widowControl/>
              <w:spacing w:before="120" w:after="120"/>
              <w:rPr>
                <w:rFonts w:asciiTheme="minorHAnsi" w:hAnsiTheme="minorHAnsi" w:cstheme="minorHAnsi"/>
                <w:sz w:val="18"/>
                <w:szCs w:val="18"/>
                <w:lang w:eastAsia="fr-BE"/>
              </w:rPr>
            </w:pPr>
          </w:p>
        </w:tc>
      </w:tr>
      <w:tr w:rsidR="00182609" w:rsidRPr="00B7760C" w14:paraId="7C169812" w14:textId="77777777" w:rsidTr="00A35DEB">
        <w:trPr>
          <w:cantSplit/>
          <w:trHeight w:val="596"/>
        </w:trPr>
        <w:tc>
          <w:tcPr>
            <w:tcW w:w="2311" w:type="dxa"/>
            <w:vMerge/>
            <w:tcBorders>
              <w:left w:val="single" w:sz="4" w:space="0" w:color="0070C0"/>
              <w:right w:val="single" w:sz="4" w:space="0" w:color="0070C0"/>
            </w:tcBorders>
            <w:noWrap/>
          </w:tcPr>
          <w:p w14:paraId="1B29F22A" w14:textId="77777777" w:rsidR="00182609" w:rsidRPr="00B7760C" w:rsidRDefault="00182609" w:rsidP="00A35DEB">
            <w:pPr>
              <w:widowControl/>
              <w:spacing w:before="120" w:after="120" w:line="276" w:lineRule="auto"/>
              <w:jc w:val="both"/>
              <w:rPr>
                <w:rFonts w:asciiTheme="minorHAnsi" w:hAnsiTheme="minorHAnsi" w:cstheme="minorHAnsi"/>
                <w:b/>
                <w:bCs/>
                <w:color w:val="000000"/>
                <w:sz w:val="18"/>
                <w:szCs w:val="18"/>
                <w:lang w:eastAsia="fr-BE"/>
              </w:rPr>
            </w:pPr>
          </w:p>
        </w:tc>
        <w:tc>
          <w:tcPr>
            <w:tcW w:w="3262" w:type="dxa"/>
            <w:tcBorders>
              <w:left w:val="single" w:sz="4" w:space="0" w:color="0070C0"/>
              <w:right w:val="single" w:sz="4" w:space="0" w:color="0070C0"/>
            </w:tcBorders>
            <w:noWrap/>
          </w:tcPr>
          <w:p w14:paraId="333BECC8" w14:textId="77777777" w:rsidR="00182609" w:rsidRPr="00B7760C" w:rsidRDefault="00182609" w:rsidP="00A35DEB">
            <w:pPr>
              <w:widowControl/>
              <w:spacing w:before="120" w:after="120" w:line="276" w:lineRule="auto"/>
              <w:jc w:val="both"/>
              <w:rPr>
                <w:rFonts w:asciiTheme="minorHAnsi" w:hAnsiTheme="minorHAnsi" w:cstheme="minorHAnsi"/>
                <w:b/>
                <w:i/>
                <w:sz w:val="18"/>
                <w:szCs w:val="18"/>
                <w:lang w:eastAsia="fr-BE"/>
              </w:rPr>
            </w:pPr>
          </w:p>
        </w:tc>
        <w:tc>
          <w:tcPr>
            <w:tcW w:w="4617" w:type="dxa"/>
            <w:tcBorders>
              <w:left w:val="single" w:sz="4" w:space="0" w:color="0070C0"/>
              <w:right w:val="single" w:sz="4" w:space="0" w:color="0070C0"/>
            </w:tcBorders>
          </w:tcPr>
          <w:p w14:paraId="1CF77EFD" w14:textId="77777777" w:rsidR="00182609" w:rsidRPr="00B7760C" w:rsidRDefault="00182609" w:rsidP="00A35DEB">
            <w:pPr>
              <w:widowControl/>
              <w:spacing w:before="120" w:after="120"/>
              <w:jc w:val="both"/>
              <w:rPr>
                <w:rFonts w:asciiTheme="minorHAnsi" w:hAnsiTheme="minorHAnsi" w:cstheme="minorHAnsi"/>
                <w:b/>
                <w:sz w:val="18"/>
                <w:szCs w:val="18"/>
                <w:lang w:eastAsia="fr-BE"/>
              </w:rPr>
            </w:pPr>
          </w:p>
        </w:tc>
        <w:tc>
          <w:tcPr>
            <w:tcW w:w="236" w:type="dxa"/>
            <w:tcBorders>
              <w:left w:val="single" w:sz="4" w:space="0" w:color="0070C0"/>
              <w:right w:val="single" w:sz="4" w:space="0" w:color="0070C0"/>
            </w:tcBorders>
          </w:tcPr>
          <w:p w14:paraId="5DCF6A94" w14:textId="77777777" w:rsidR="00182609" w:rsidRPr="00B7760C" w:rsidRDefault="00182609" w:rsidP="00A35DEB">
            <w:pPr>
              <w:widowControl/>
              <w:spacing w:before="120" w:after="120" w:line="276" w:lineRule="auto"/>
              <w:jc w:val="both"/>
              <w:rPr>
                <w:rFonts w:asciiTheme="minorHAnsi" w:hAnsiTheme="minorHAnsi" w:cstheme="minorHAnsi"/>
                <w:sz w:val="18"/>
                <w:szCs w:val="18"/>
                <w:lang w:eastAsia="fr-BE"/>
              </w:rPr>
            </w:pPr>
          </w:p>
        </w:tc>
        <w:tc>
          <w:tcPr>
            <w:tcW w:w="1673" w:type="dxa"/>
            <w:vMerge/>
            <w:tcBorders>
              <w:left w:val="single" w:sz="4" w:space="0" w:color="0070C0"/>
              <w:right w:val="single" w:sz="4" w:space="0" w:color="0070C0"/>
            </w:tcBorders>
          </w:tcPr>
          <w:p w14:paraId="79389238" w14:textId="77777777" w:rsidR="00182609" w:rsidRPr="00B7760C" w:rsidRDefault="00182609" w:rsidP="00A35DEB">
            <w:pPr>
              <w:widowControl/>
              <w:spacing w:before="120" w:after="120"/>
              <w:jc w:val="both"/>
              <w:rPr>
                <w:rFonts w:asciiTheme="minorHAnsi" w:hAnsiTheme="minorHAnsi" w:cstheme="minorHAnsi"/>
                <w:bCs/>
                <w:color w:val="000000"/>
                <w:sz w:val="18"/>
                <w:szCs w:val="18"/>
                <w:lang w:eastAsia="fr-BE"/>
              </w:rPr>
            </w:pPr>
          </w:p>
        </w:tc>
        <w:tc>
          <w:tcPr>
            <w:tcW w:w="3259" w:type="dxa"/>
            <w:tcBorders>
              <w:left w:val="single" w:sz="4" w:space="0" w:color="0070C0"/>
              <w:right w:val="single" w:sz="4" w:space="0" w:color="0070C0"/>
            </w:tcBorders>
          </w:tcPr>
          <w:p w14:paraId="0A4E621D" w14:textId="77777777" w:rsidR="00182609" w:rsidRPr="00B7760C" w:rsidRDefault="00182609" w:rsidP="00AB1DA6">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O.26 Število projektov generacijske pomladitve (mladi kmetje/kmetje, ki ne sodijo med mlade kmete)</w:t>
            </w:r>
          </w:p>
        </w:tc>
      </w:tr>
      <w:tr w:rsidR="00182609" w:rsidRPr="00B7760C" w14:paraId="782314F4" w14:textId="77777777" w:rsidTr="00A35DEB">
        <w:trPr>
          <w:cantSplit/>
          <w:trHeight w:val="457"/>
        </w:trPr>
        <w:tc>
          <w:tcPr>
            <w:tcW w:w="2311" w:type="dxa"/>
            <w:vMerge/>
            <w:tcBorders>
              <w:left w:val="single" w:sz="4" w:space="0" w:color="0070C0"/>
              <w:right w:val="single" w:sz="4" w:space="0" w:color="0070C0"/>
            </w:tcBorders>
            <w:noWrap/>
          </w:tcPr>
          <w:p w14:paraId="09D4EAD2" w14:textId="77777777" w:rsidR="00182609" w:rsidRPr="00B7760C" w:rsidRDefault="00182609" w:rsidP="00A35DEB">
            <w:pPr>
              <w:widowControl/>
              <w:spacing w:before="120" w:after="120" w:line="276" w:lineRule="auto"/>
              <w:jc w:val="both"/>
              <w:rPr>
                <w:rFonts w:asciiTheme="minorHAnsi" w:hAnsiTheme="minorHAnsi" w:cstheme="minorHAnsi"/>
                <w:b/>
                <w:bCs/>
                <w:color w:val="000000"/>
                <w:sz w:val="18"/>
                <w:szCs w:val="18"/>
                <w:lang w:eastAsia="fr-BE"/>
              </w:rPr>
            </w:pPr>
          </w:p>
        </w:tc>
        <w:tc>
          <w:tcPr>
            <w:tcW w:w="3262" w:type="dxa"/>
            <w:tcBorders>
              <w:left w:val="single" w:sz="4" w:space="0" w:color="0070C0"/>
              <w:right w:val="single" w:sz="4" w:space="0" w:color="0070C0"/>
            </w:tcBorders>
            <w:noWrap/>
          </w:tcPr>
          <w:p w14:paraId="48412C91" w14:textId="77777777" w:rsidR="00182609" w:rsidRPr="00B7760C" w:rsidRDefault="00182609" w:rsidP="00A35DEB">
            <w:pPr>
              <w:widowControl/>
              <w:spacing w:before="120" w:after="120" w:line="276" w:lineRule="auto"/>
              <w:jc w:val="both"/>
              <w:rPr>
                <w:rFonts w:asciiTheme="minorHAnsi" w:hAnsiTheme="minorHAnsi" w:cstheme="minorHAnsi"/>
                <w:sz w:val="18"/>
                <w:szCs w:val="18"/>
                <w:lang w:eastAsia="fr-BE"/>
              </w:rPr>
            </w:pPr>
          </w:p>
        </w:tc>
        <w:tc>
          <w:tcPr>
            <w:tcW w:w="4617" w:type="dxa"/>
            <w:tcBorders>
              <w:left w:val="single" w:sz="4" w:space="0" w:color="0070C0"/>
              <w:right w:val="single" w:sz="4" w:space="0" w:color="0070C0"/>
            </w:tcBorders>
          </w:tcPr>
          <w:p w14:paraId="07578BF3" w14:textId="77777777" w:rsidR="00182609" w:rsidRPr="00B7760C" w:rsidRDefault="00182609" w:rsidP="00A35DEB">
            <w:pPr>
              <w:widowControl/>
              <w:spacing w:before="120" w:after="120"/>
              <w:jc w:val="both"/>
              <w:rPr>
                <w:rFonts w:asciiTheme="minorHAnsi" w:hAnsiTheme="minorHAnsi" w:cstheme="minorHAnsi"/>
                <w:sz w:val="18"/>
                <w:szCs w:val="18"/>
              </w:rPr>
            </w:pPr>
            <w:r w:rsidRPr="00B7760C">
              <w:rPr>
                <w:rFonts w:asciiTheme="minorHAnsi" w:hAnsiTheme="minorHAnsi" w:cstheme="minorHAnsi"/>
                <w:sz w:val="18"/>
                <w:szCs w:val="18"/>
              </w:rPr>
              <w:t>R.28 Podpora v okviru omrežja Natura 2000: območja v omrežju Natura 2000 s prevzetimi obveznostmi za varstvo, vzdrževanje in obnavljanje</w:t>
            </w:r>
          </w:p>
        </w:tc>
        <w:tc>
          <w:tcPr>
            <w:tcW w:w="236" w:type="dxa"/>
            <w:tcBorders>
              <w:left w:val="single" w:sz="4" w:space="0" w:color="0070C0"/>
              <w:right w:val="single" w:sz="4" w:space="0" w:color="0070C0"/>
            </w:tcBorders>
          </w:tcPr>
          <w:p w14:paraId="44A09184" w14:textId="77777777" w:rsidR="00182609" w:rsidRPr="00B7760C" w:rsidRDefault="00182609" w:rsidP="00A35DEB">
            <w:pPr>
              <w:widowControl/>
              <w:spacing w:before="120" w:after="120" w:line="276" w:lineRule="auto"/>
              <w:jc w:val="both"/>
              <w:rPr>
                <w:rFonts w:asciiTheme="minorHAnsi" w:hAnsiTheme="minorHAnsi" w:cstheme="minorHAnsi"/>
                <w:sz w:val="18"/>
                <w:szCs w:val="18"/>
                <w:lang w:eastAsia="fr-BE"/>
              </w:rPr>
            </w:pPr>
          </w:p>
        </w:tc>
        <w:tc>
          <w:tcPr>
            <w:tcW w:w="1673" w:type="dxa"/>
            <w:vMerge/>
            <w:tcBorders>
              <w:left w:val="single" w:sz="4" w:space="0" w:color="0070C0"/>
              <w:right w:val="single" w:sz="4" w:space="0" w:color="0070C0"/>
            </w:tcBorders>
          </w:tcPr>
          <w:p w14:paraId="5EFB3D2F" w14:textId="77777777" w:rsidR="00182609" w:rsidRPr="00B7760C" w:rsidRDefault="00182609" w:rsidP="00A35DEB">
            <w:pPr>
              <w:widowControl/>
              <w:spacing w:before="120" w:after="120"/>
              <w:jc w:val="both"/>
              <w:rPr>
                <w:rFonts w:asciiTheme="minorHAnsi" w:hAnsiTheme="minorHAnsi" w:cstheme="minorHAnsi"/>
                <w:bCs/>
                <w:color w:val="000000"/>
                <w:sz w:val="18"/>
                <w:szCs w:val="18"/>
                <w:lang w:eastAsia="fr-BE"/>
              </w:rPr>
            </w:pPr>
          </w:p>
        </w:tc>
        <w:tc>
          <w:tcPr>
            <w:tcW w:w="3259" w:type="dxa"/>
            <w:tcBorders>
              <w:left w:val="single" w:sz="4" w:space="0" w:color="0070C0"/>
              <w:right w:val="single" w:sz="4" w:space="0" w:color="0070C0"/>
            </w:tcBorders>
          </w:tcPr>
          <w:p w14:paraId="676711CF" w14:textId="77777777" w:rsidR="00182609" w:rsidRPr="00B7760C" w:rsidRDefault="00182609" w:rsidP="00AB1DA6">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O.27 Število strategij lokalnega razvoja (LEADER)</w:t>
            </w:r>
          </w:p>
        </w:tc>
      </w:tr>
      <w:tr w:rsidR="00182609" w:rsidRPr="00B7760C" w14:paraId="496A7672" w14:textId="77777777" w:rsidTr="00A35DEB">
        <w:trPr>
          <w:cantSplit/>
          <w:trHeight w:val="457"/>
        </w:trPr>
        <w:tc>
          <w:tcPr>
            <w:tcW w:w="2311" w:type="dxa"/>
            <w:vMerge/>
            <w:tcBorders>
              <w:left w:val="single" w:sz="4" w:space="0" w:color="0070C0"/>
              <w:right w:val="single" w:sz="4" w:space="0" w:color="0070C0"/>
            </w:tcBorders>
            <w:noWrap/>
          </w:tcPr>
          <w:p w14:paraId="74E7BDE9" w14:textId="77777777" w:rsidR="00182609" w:rsidRPr="00B7760C" w:rsidRDefault="00182609" w:rsidP="00AB1DA6">
            <w:pPr>
              <w:widowControl/>
              <w:spacing w:before="120" w:after="120" w:line="276" w:lineRule="auto"/>
              <w:rPr>
                <w:rFonts w:asciiTheme="minorHAnsi" w:hAnsiTheme="minorHAnsi" w:cstheme="minorHAnsi"/>
                <w:b/>
                <w:bCs/>
                <w:color w:val="000000"/>
                <w:sz w:val="18"/>
                <w:szCs w:val="18"/>
                <w:lang w:eastAsia="fr-BE"/>
              </w:rPr>
            </w:pPr>
          </w:p>
        </w:tc>
        <w:tc>
          <w:tcPr>
            <w:tcW w:w="3262" w:type="dxa"/>
            <w:tcBorders>
              <w:left w:val="single" w:sz="4" w:space="0" w:color="0070C0"/>
              <w:right w:val="single" w:sz="4" w:space="0" w:color="0070C0"/>
            </w:tcBorders>
            <w:noWrap/>
          </w:tcPr>
          <w:p w14:paraId="796D9BC9" w14:textId="77777777" w:rsidR="00182609" w:rsidRPr="00B7760C" w:rsidRDefault="00182609" w:rsidP="00AB1DA6">
            <w:pPr>
              <w:widowControl/>
              <w:spacing w:before="120" w:after="120" w:line="276" w:lineRule="auto"/>
              <w:rPr>
                <w:rFonts w:asciiTheme="minorHAnsi" w:hAnsiTheme="minorHAnsi" w:cstheme="minorHAnsi"/>
                <w:sz w:val="18"/>
                <w:szCs w:val="18"/>
                <w:lang w:eastAsia="fr-BE"/>
              </w:rPr>
            </w:pPr>
          </w:p>
        </w:tc>
        <w:tc>
          <w:tcPr>
            <w:tcW w:w="4617" w:type="dxa"/>
            <w:tcBorders>
              <w:left w:val="single" w:sz="4" w:space="0" w:color="0070C0"/>
              <w:right w:val="single" w:sz="4" w:space="0" w:color="0070C0"/>
            </w:tcBorders>
          </w:tcPr>
          <w:p w14:paraId="7CFE6FDE" w14:textId="77777777" w:rsidR="00182609" w:rsidRPr="00B7760C" w:rsidRDefault="00182609" w:rsidP="00AB1DA6">
            <w:pPr>
              <w:widowControl/>
              <w:spacing w:before="120" w:after="120"/>
              <w:rPr>
                <w:rFonts w:asciiTheme="minorHAnsi" w:hAnsiTheme="minorHAnsi" w:cstheme="minorHAnsi"/>
                <w:b/>
                <w:i/>
                <w:sz w:val="18"/>
                <w:szCs w:val="18"/>
              </w:rPr>
            </w:pPr>
            <w:r w:rsidRPr="00B7760C">
              <w:rPr>
                <w:rFonts w:asciiTheme="minorHAnsi" w:hAnsiTheme="minorHAnsi" w:cstheme="minorHAnsi"/>
                <w:b/>
                <w:i/>
                <w:sz w:val="18"/>
                <w:szCs w:val="18"/>
              </w:rPr>
              <w:t>R.28a Izboljšanje kmetijske biotske raznovrstnosti: delež zemljišč s prevzetimi obveznostmi, ki ugodno vplivajo na kmetijsko biotsko raznovrstnost, razčlenjeno po vrsti intervencije</w:t>
            </w:r>
          </w:p>
        </w:tc>
        <w:tc>
          <w:tcPr>
            <w:tcW w:w="236" w:type="dxa"/>
            <w:tcBorders>
              <w:left w:val="single" w:sz="4" w:space="0" w:color="0070C0"/>
              <w:right w:val="single" w:sz="4" w:space="0" w:color="0070C0"/>
            </w:tcBorders>
          </w:tcPr>
          <w:p w14:paraId="48168F9C" w14:textId="77777777" w:rsidR="00182609" w:rsidRPr="00B7760C" w:rsidRDefault="00182609" w:rsidP="00A35DEB">
            <w:pPr>
              <w:widowControl/>
              <w:spacing w:before="120" w:after="120" w:line="276" w:lineRule="auto"/>
              <w:jc w:val="both"/>
              <w:rPr>
                <w:rFonts w:asciiTheme="minorHAnsi" w:hAnsiTheme="minorHAnsi" w:cstheme="minorHAnsi"/>
                <w:sz w:val="18"/>
                <w:szCs w:val="18"/>
                <w:lang w:eastAsia="fr-BE"/>
              </w:rPr>
            </w:pPr>
          </w:p>
        </w:tc>
        <w:tc>
          <w:tcPr>
            <w:tcW w:w="1673" w:type="dxa"/>
            <w:vMerge/>
            <w:tcBorders>
              <w:left w:val="single" w:sz="4" w:space="0" w:color="0070C0"/>
              <w:right w:val="single" w:sz="4" w:space="0" w:color="0070C0"/>
            </w:tcBorders>
          </w:tcPr>
          <w:p w14:paraId="2490262C" w14:textId="77777777" w:rsidR="00182609" w:rsidRPr="00B7760C" w:rsidRDefault="00182609" w:rsidP="00A35DEB">
            <w:pPr>
              <w:widowControl/>
              <w:spacing w:before="120" w:after="120"/>
              <w:jc w:val="both"/>
              <w:rPr>
                <w:rFonts w:asciiTheme="minorHAnsi" w:hAnsiTheme="minorHAnsi" w:cstheme="minorHAnsi"/>
                <w:bCs/>
                <w:color w:val="000000"/>
                <w:sz w:val="18"/>
                <w:szCs w:val="18"/>
                <w:lang w:eastAsia="fr-BE"/>
              </w:rPr>
            </w:pPr>
          </w:p>
        </w:tc>
        <w:tc>
          <w:tcPr>
            <w:tcW w:w="3259" w:type="dxa"/>
            <w:tcBorders>
              <w:left w:val="single" w:sz="4" w:space="0" w:color="0070C0"/>
              <w:right w:val="single" w:sz="4" w:space="0" w:color="0070C0"/>
            </w:tcBorders>
          </w:tcPr>
          <w:p w14:paraId="491518EF" w14:textId="77777777" w:rsidR="00182609" w:rsidRPr="00B7760C" w:rsidRDefault="00182609" w:rsidP="00AB1DA6">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O.28 Število drugih skupin za sodelovanje (razen EIP pod O.1)</w:t>
            </w:r>
          </w:p>
        </w:tc>
      </w:tr>
      <w:tr w:rsidR="00182609" w:rsidRPr="00B7760C" w14:paraId="2B470F0D" w14:textId="77777777" w:rsidTr="00A35DEB">
        <w:trPr>
          <w:cantSplit/>
          <w:trHeight w:val="457"/>
        </w:trPr>
        <w:tc>
          <w:tcPr>
            <w:tcW w:w="2311" w:type="dxa"/>
            <w:vMerge/>
            <w:tcBorders>
              <w:left w:val="single" w:sz="4" w:space="0" w:color="0070C0"/>
              <w:bottom w:val="single" w:sz="4" w:space="0" w:color="0070C0"/>
              <w:right w:val="single" w:sz="4" w:space="0" w:color="0070C0"/>
            </w:tcBorders>
            <w:noWrap/>
          </w:tcPr>
          <w:p w14:paraId="144EC34A" w14:textId="77777777" w:rsidR="00182609" w:rsidRPr="00B7760C" w:rsidRDefault="00182609" w:rsidP="00AB1DA6">
            <w:pPr>
              <w:widowControl/>
              <w:spacing w:before="120" w:after="120" w:line="276" w:lineRule="auto"/>
              <w:rPr>
                <w:rFonts w:asciiTheme="minorHAnsi" w:hAnsiTheme="minorHAnsi" w:cstheme="minorHAnsi"/>
                <w:b/>
                <w:bCs/>
                <w:color w:val="000000"/>
                <w:sz w:val="18"/>
                <w:szCs w:val="18"/>
                <w:lang w:eastAsia="fr-BE"/>
              </w:rPr>
            </w:pPr>
          </w:p>
        </w:tc>
        <w:tc>
          <w:tcPr>
            <w:tcW w:w="3262" w:type="dxa"/>
            <w:tcBorders>
              <w:left w:val="single" w:sz="4" w:space="0" w:color="0070C0"/>
              <w:bottom w:val="single" w:sz="4" w:space="0" w:color="0070C0"/>
              <w:right w:val="single" w:sz="4" w:space="0" w:color="0070C0"/>
            </w:tcBorders>
            <w:noWrap/>
          </w:tcPr>
          <w:p w14:paraId="2CA6B97D" w14:textId="77777777" w:rsidR="00182609" w:rsidRPr="00B7760C" w:rsidRDefault="00182609" w:rsidP="00AB1DA6">
            <w:pPr>
              <w:widowControl/>
              <w:spacing w:before="120" w:after="120" w:line="276" w:lineRule="auto"/>
              <w:rPr>
                <w:rFonts w:asciiTheme="minorHAnsi" w:hAnsiTheme="minorHAnsi" w:cstheme="minorHAnsi"/>
                <w:sz w:val="18"/>
                <w:szCs w:val="18"/>
                <w:lang w:eastAsia="fr-BE"/>
              </w:rPr>
            </w:pPr>
          </w:p>
        </w:tc>
        <w:tc>
          <w:tcPr>
            <w:tcW w:w="4617" w:type="dxa"/>
            <w:tcBorders>
              <w:left w:val="single" w:sz="4" w:space="0" w:color="0070C0"/>
              <w:bottom w:val="single" w:sz="4" w:space="0" w:color="0070C0"/>
              <w:right w:val="single" w:sz="4" w:space="0" w:color="0070C0"/>
            </w:tcBorders>
          </w:tcPr>
          <w:p w14:paraId="1326AE74" w14:textId="77777777" w:rsidR="00182609" w:rsidRPr="00B7760C" w:rsidRDefault="00182609" w:rsidP="00AB1DA6">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R.29 Ohranjanje krajinskih značilnosti: delež kmetijskih zemljišč s prevzetimi obveznostmi za upravljanje krajinskih značilnosti, vključno z mejicami,</w:t>
            </w:r>
            <w:r w:rsidRPr="00B7760C">
              <w:rPr>
                <w:rFonts w:asciiTheme="minorHAnsi" w:hAnsiTheme="minorHAnsi" w:cstheme="minorHAnsi"/>
                <w:b/>
                <w:i/>
                <w:sz w:val="18"/>
                <w:szCs w:val="18"/>
              </w:rPr>
              <w:t xml:space="preserve"> drevesi in polnaravno vegetacijo</w:t>
            </w:r>
          </w:p>
        </w:tc>
        <w:tc>
          <w:tcPr>
            <w:tcW w:w="236" w:type="dxa"/>
            <w:tcBorders>
              <w:left w:val="single" w:sz="4" w:space="0" w:color="0070C0"/>
              <w:right w:val="single" w:sz="4" w:space="0" w:color="0070C0"/>
            </w:tcBorders>
          </w:tcPr>
          <w:p w14:paraId="4DFF5AE7" w14:textId="77777777" w:rsidR="00182609" w:rsidRPr="00B7760C" w:rsidRDefault="00182609" w:rsidP="00A35DEB">
            <w:pPr>
              <w:widowControl/>
              <w:spacing w:before="120" w:after="120" w:line="276" w:lineRule="auto"/>
              <w:jc w:val="both"/>
              <w:rPr>
                <w:rFonts w:asciiTheme="minorHAnsi" w:hAnsiTheme="minorHAnsi" w:cstheme="minorHAnsi"/>
                <w:sz w:val="18"/>
                <w:szCs w:val="18"/>
                <w:lang w:eastAsia="fr-BE"/>
              </w:rPr>
            </w:pPr>
          </w:p>
        </w:tc>
        <w:tc>
          <w:tcPr>
            <w:tcW w:w="1673" w:type="dxa"/>
            <w:vMerge/>
            <w:tcBorders>
              <w:left w:val="single" w:sz="4" w:space="0" w:color="0070C0"/>
              <w:right w:val="single" w:sz="4" w:space="0" w:color="0070C0"/>
            </w:tcBorders>
          </w:tcPr>
          <w:p w14:paraId="584F23B0" w14:textId="77777777" w:rsidR="00182609" w:rsidRPr="00B7760C" w:rsidRDefault="00182609" w:rsidP="00A35DEB">
            <w:pPr>
              <w:widowControl/>
              <w:spacing w:before="120" w:after="120"/>
              <w:jc w:val="both"/>
              <w:rPr>
                <w:rFonts w:asciiTheme="minorHAnsi" w:hAnsiTheme="minorHAnsi" w:cstheme="minorHAnsi"/>
                <w:b/>
                <w:bCs/>
                <w:color w:val="000000"/>
                <w:sz w:val="18"/>
                <w:szCs w:val="18"/>
                <w:lang w:eastAsia="fr-BE"/>
              </w:rPr>
            </w:pPr>
          </w:p>
        </w:tc>
        <w:tc>
          <w:tcPr>
            <w:tcW w:w="3259" w:type="dxa"/>
            <w:tcBorders>
              <w:left w:val="single" w:sz="4" w:space="0" w:color="0070C0"/>
              <w:right w:val="single" w:sz="4" w:space="0" w:color="0070C0"/>
            </w:tcBorders>
          </w:tcPr>
          <w:p w14:paraId="6F18F39F" w14:textId="77777777" w:rsidR="00182609" w:rsidRPr="00B7760C" w:rsidRDefault="00182609" w:rsidP="00AB1DA6">
            <w:pPr>
              <w:widowControl/>
              <w:spacing w:before="120" w:after="120"/>
              <w:rPr>
                <w:rFonts w:asciiTheme="minorHAnsi" w:hAnsiTheme="minorHAnsi" w:cstheme="minorHAnsi"/>
                <w:sz w:val="18"/>
                <w:szCs w:val="18"/>
                <w:lang w:eastAsia="fr-BE"/>
              </w:rPr>
            </w:pPr>
          </w:p>
        </w:tc>
      </w:tr>
      <w:tr w:rsidR="00182609" w:rsidRPr="00B7760C" w14:paraId="43DE15C4" w14:textId="77777777" w:rsidTr="00A35DEB">
        <w:trPr>
          <w:cantSplit/>
          <w:trHeight w:val="457"/>
        </w:trPr>
        <w:tc>
          <w:tcPr>
            <w:tcW w:w="2311" w:type="dxa"/>
            <w:tcBorders>
              <w:top w:val="single" w:sz="4" w:space="0" w:color="0070C0"/>
            </w:tcBorders>
            <w:noWrap/>
          </w:tcPr>
          <w:p w14:paraId="60193BF7" w14:textId="77777777" w:rsidR="00182609" w:rsidRPr="00B7760C" w:rsidRDefault="00182609" w:rsidP="00AB1DA6">
            <w:pPr>
              <w:widowControl/>
              <w:spacing w:before="120" w:after="120" w:line="276" w:lineRule="auto"/>
              <w:rPr>
                <w:rFonts w:asciiTheme="minorHAnsi" w:hAnsiTheme="minorHAnsi" w:cstheme="minorHAnsi"/>
                <w:b/>
                <w:bCs/>
                <w:color w:val="000000"/>
                <w:sz w:val="18"/>
                <w:szCs w:val="18"/>
                <w:lang w:eastAsia="fr-BE"/>
              </w:rPr>
            </w:pPr>
          </w:p>
        </w:tc>
        <w:tc>
          <w:tcPr>
            <w:tcW w:w="3262" w:type="dxa"/>
            <w:tcBorders>
              <w:top w:val="single" w:sz="4" w:space="0" w:color="0070C0"/>
            </w:tcBorders>
            <w:noWrap/>
          </w:tcPr>
          <w:p w14:paraId="431E4F31" w14:textId="77777777" w:rsidR="00182609" w:rsidRPr="00B7760C" w:rsidRDefault="00182609" w:rsidP="00AB1DA6">
            <w:pPr>
              <w:widowControl/>
              <w:spacing w:before="120" w:after="120" w:line="276" w:lineRule="auto"/>
              <w:rPr>
                <w:rFonts w:asciiTheme="minorHAnsi" w:hAnsiTheme="minorHAnsi" w:cstheme="minorHAnsi"/>
                <w:sz w:val="18"/>
                <w:szCs w:val="18"/>
                <w:lang w:eastAsia="fr-BE"/>
              </w:rPr>
            </w:pPr>
          </w:p>
        </w:tc>
        <w:tc>
          <w:tcPr>
            <w:tcW w:w="4617" w:type="dxa"/>
            <w:tcBorders>
              <w:top w:val="single" w:sz="4" w:space="0" w:color="0070C0"/>
            </w:tcBorders>
          </w:tcPr>
          <w:p w14:paraId="7CD0EA2E" w14:textId="77777777" w:rsidR="00182609" w:rsidRPr="00B7760C" w:rsidRDefault="00182609" w:rsidP="00AB1DA6">
            <w:pPr>
              <w:widowControl/>
              <w:spacing w:before="120" w:after="120"/>
              <w:rPr>
                <w:rFonts w:asciiTheme="minorHAnsi" w:hAnsiTheme="minorHAnsi" w:cstheme="minorHAnsi"/>
                <w:b/>
                <w:i/>
                <w:sz w:val="18"/>
                <w:szCs w:val="18"/>
              </w:rPr>
            </w:pPr>
            <w:r w:rsidRPr="00B7760C">
              <w:rPr>
                <w:rFonts w:asciiTheme="minorHAnsi" w:hAnsiTheme="minorHAnsi" w:cstheme="minorHAnsi"/>
                <w:b/>
                <w:i/>
                <w:sz w:val="18"/>
                <w:szCs w:val="18"/>
              </w:rPr>
              <w:t>R.29a Ohranjanje čebeljih panjev: število upravičencev do podpore za čebelarstvo</w:t>
            </w:r>
          </w:p>
        </w:tc>
        <w:tc>
          <w:tcPr>
            <w:tcW w:w="236" w:type="dxa"/>
          </w:tcPr>
          <w:p w14:paraId="75B4EFAD" w14:textId="77777777" w:rsidR="00182609" w:rsidRPr="00B7760C" w:rsidRDefault="00182609" w:rsidP="00A35DEB">
            <w:pPr>
              <w:widowControl/>
              <w:spacing w:before="120" w:after="120" w:line="276" w:lineRule="auto"/>
              <w:jc w:val="both"/>
              <w:rPr>
                <w:rFonts w:asciiTheme="minorHAnsi" w:hAnsiTheme="minorHAnsi" w:cstheme="minorHAnsi"/>
                <w:sz w:val="18"/>
                <w:szCs w:val="18"/>
                <w:lang w:eastAsia="fr-BE"/>
              </w:rPr>
            </w:pPr>
          </w:p>
        </w:tc>
        <w:tc>
          <w:tcPr>
            <w:tcW w:w="1673" w:type="dxa"/>
            <w:vMerge/>
            <w:tcBorders>
              <w:left w:val="single" w:sz="4" w:space="0" w:color="0070C0"/>
              <w:bottom w:val="single" w:sz="4" w:space="0" w:color="0070C0"/>
              <w:right w:val="single" w:sz="4" w:space="0" w:color="0070C0"/>
            </w:tcBorders>
          </w:tcPr>
          <w:p w14:paraId="395BC18D" w14:textId="77777777" w:rsidR="00182609" w:rsidRPr="00B7760C" w:rsidRDefault="00182609" w:rsidP="00A35DEB">
            <w:pPr>
              <w:widowControl/>
              <w:spacing w:before="120" w:after="120"/>
              <w:jc w:val="both"/>
              <w:rPr>
                <w:rFonts w:asciiTheme="minorHAnsi" w:hAnsiTheme="minorHAnsi" w:cstheme="minorHAnsi"/>
                <w:b/>
                <w:bCs/>
                <w:color w:val="000000"/>
                <w:sz w:val="18"/>
                <w:szCs w:val="18"/>
                <w:lang w:eastAsia="fr-BE"/>
              </w:rPr>
            </w:pPr>
          </w:p>
        </w:tc>
        <w:tc>
          <w:tcPr>
            <w:tcW w:w="3259" w:type="dxa"/>
            <w:tcBorders>
              <w:left w:val="single" w:sz="4" w:space="0" w:color="0070C0"/>
              <w:bottom w:val="single" w:sz="4" w:space="0" w:color="0070C0"/>
              <w:right w:val="single" w:sz="4" w:space="0" w:color="0070C0"/>
            </w:tcBorders>
          </w:tcPr>
          <w:p w14:paraId="101D01E3" w14:textId="77777777" w:rsidR="00182609" w:rsidRPr="00B7760C" w:rsidRDefault="00182609" w:rsidP="00AB1DA6">
            <w:pPr>
              <w:widowControl/>
              <w:spacing w:before="120" w:after="120"/>
              <w:rPr>
                <w:rFonts w:asciiTheme="minorHAnsi" w:hAnsiTheme="minorHAnsi" w:cstheme="minorHAnsi"/>
                <w:sz w:val="18"/>
                <w:szCs w:val="18"/>
                <w:lang w:eastAsia="fr-BE"/>
              </w:rPr>
            </w:pPr>
          </w:p>
        </w:tc>
      </w:tr>
      <w:tr w:rsidR="00182609" w:rsidRPr="00B7760C" w14:paraId="52893417" w14:textId="77777777" w:rsidTr="00A35DEB">
        <w:trPr>
          <w:gridAfter w:val="2"/>
          <w:wAfter w:w="4932" w:type="dxa"/>
          <w:cantSplit/>
          <w:trHeight w:val="457"/>
        </w:trPr>
        <w:tc>
          <w:tcPr>
            <w:tcW w:w="2311" w:type="dxa"/>
            <w:tcBorders>
              <w:top w:val="single" w:sz="4" w:space="0" w:color="0070C0"/>
            </w:tcBorders>
            <w:noWrap/>
          </w:tcPr>
          <w:p w14:paraId="39F5D1CD" w14:textId="77777777" w:rsidR="00182609" w:rsidRPr="00B7760C" w:rsidRDefault="00182609" w:rsidP="00AB1DA6">
            <w:pPr>
              <w:widowControl/>
              <w:spacing w:before="120" w:after="120" w:line="276" w:lineRule="auto"/>
              <w:rPr>
                <w:rFonts w:asciiTheme="minorHAnsi" w:hAnsiTheme="minorHAnsi" w:cstheme="minorHAnsi"/>
                <w:b/>
                <w:bCs/>
                <w:color w:val="000000"/>
                <w:sz w:val="18"/>
                <w:szCs w:val="18"/>
                <w:lang w:eastAsia="fr-BE"/>
              </w:rPr>
            </w:pPr>
          </w:p>
        </w:tc>
        <w:tc>
          <w:tcPr>
            <w:tcW w:w="3262" w:type="dxa"/>
            <w:tcBorders>
              <w:top w:val="single" w:sz="4" w:space="0" w:color="0070C0"/>
            </w:tcBorders>
            <w:noWrap/>
          </w:tcPr>
          <w:p w14:paraId="267E77E5" w14:textId="77777777" w:rsidR="00182609" w:rsidRPr="00B7760C" w:rsidRDefault="00182609" w:rsidP="00AB1DA6">
            <w:pPr>
              <w:widowControl/>
              <w:spacing w:before="120" w:after="120" w:line="276" w:lineRule="auto"/>
              <w:rPr>
                <w:rFonts w:asciiTheme="minorHAnsi" w:hAnsiTheme="minorHAnsi" w:cstheme="minorHAnsi"/>
                <w:sz w:val="18"/>
                <w:szCs w:val="18"/>
                <w:lang w:eastAsia="fr-BE"/>
              </w:rPr>
            </w:pPr>
          </w:p>
        </w:tc>
        <w:tc>
          <w:tcPr>
            <w:tcW w:w="4617" w:type="dxa"/>
            <w:tcBorders>
              <w:top w:val="single" w:sz="4" w:space="0" w:color="0070C0"/>
            </w:tcBorders>
          </w:tcPr>
          <w:p w14:paraId="5CCA5E89" w14:textId="77777777" w:rsidR="00182609" w:rsidRPr="00B7760C" w:rsidRDefault="00182609" w:rsidP="00AB1DA6">
            <w:pPr>
              <w:widowControl/>
              <w:spacing w:before="120" w:after="120"/>
              <w:rPr>
                <w:rFonts w:asciiTheme="minorHAnsi" w:hAnsiTheme="minorHAnsi" w:cstheme="minorHAnsi"/>
                <w:b/>
                <w:i/>
                <w:sz w:val="18"/>
                <w:szCs w:val="18"/>
              </w:rPr>
            </w:pPr>
            <w:r w:rsidRPr="00B7760C">
              <w:rPr>
                <w:rFonts w:asciiTheme="minorHAnsi" w:hAnsiTheme="minorHAnsi" w:cstheme="minorHAnsi"/>
                <w:b/>
                <w:i/>
                <w:sz w:val="18"/>
                <w:szCs w:val="18"/>
              </w:rPr>
              <w:t>R.29b Spodbujanje kmetovanja z visoko naravno vrednostjo: delež kmetijskih zemljišč z upravljavskimi prevzetimi obveznostmi za ustvarjanje visoke naravne vrednosti</w:t>
            </w:r>
          </w:p>
        </w:tc>
        <w:tc>
          <w:tcPr>
            <w:tcW w:w="236" w:type="dxa"/>
          </w:tcPr>
          <w:p w14:paraId="5A999F82" w14:textId="77777777" w:rsidR="00182609" w:rsidRPr="00B7760C" w:rsidRDefault="00182609" w:rsidP="00A35DEB">
            <w:pPr>
              <w:widowControl/>
              <w:spacing w:before="120" w:after="120" w:line="276" w:lineRule="auto"/>
              <w:jc w:val="both"/>
              <w:rPr>
                <w:rFonts w:asciiTheme="minorHAnsi" w:hAnsiTheme="minorHAnsi" w:cstheme="minorHAnsi"/>
                <w:sz w:val="18"/>
                <w:szCs w:val="18"/>
                <w:lang w:eastAsia="fr-BE"/>
              </w:rPr>
            </w:pPr>
          </w:p>
        </w:tc>
      </w:tr>
      <w:tr w:rsidR="00182609" w:rsidRPr="00B7760C" w14:paraId="60616A5D" w14:textId="77777777" w:rsidTr="00A35DEB">
        <w:trPr>
          <w:cantSplit/>
          <w:trHeight w:val="808"/>
        </w:trPr>
        <w:tc>
          <w:tcPr>
            <w:tcW w:w="2311" w:type="dxa"/>
            <w:tcBorders>
              <w:top w:val="single" w:sz="4" w:space="0" w:color="0070C0"/>
              <w:left w:val="single" w:sz="4" w:space="0" w:color="0070C0"/>
              <w:bottom w:val="single" w:sz="4" w:space="0" w:color="0070C0"/>
              <w:right w:val="single" w:sz="4" w:space="0" w:color="0070C0"/>
            </w:tcBorders>
            <w:noWrap/>
            <w:vAlign w:val="center"/>
          </w:tcPr>
          <w:p w14:paraId="74A0257A" w14:textId="765EC941" w:rsidR="00182609" w:rsidRPr="00B7760C" w:rsidRDefault="00182609" w:rsidP="00AB1DA6">
            <w:pPr>
              <w:widowControl/>
              <w:spacing w:before="120" w:after="120"/>
              <w:rPr>
                <w:rFonts w:asciiTheme="minorHAnsi" w:hAnsiTheme="minorHAnsi" w:cstheme="minorHAnsi"/>
                <w:bCs/>
                <w:sz w:val="20"/>
              </w:rPr>
            </w:pPr>
            <w:r w:rsidRPr="00B7760C">
              <w:rPr>
                <w:rFonts w:asciiTheme="minorHAnsi" w:hAnsiTheme="minorHAnsi" w:cstheme="minorHAnsi"/>
                <w:b/>
                <w:i/>
                <w:sz w:val="20"/>
              </w:rPr>
              <w:t>Privabljanje in podpora mladih kmetov in novih kmetov ter spodbujanje udeležbe žensk v kmetijskem sektorju, zlasti na najmanj poseljenih območjih ter območjih z naravnimi omejitvami;</w:t>
            </w:r>
            <w:r w:rsidR="009D3E2B" w:rsidRPr="00B7760C">
              <w:rPr>
                <w:rFonts w:asciiTheme="minorHAnsi" w:hAnsiTheme="minorHAnsi" w:cstheme="minorHAnsi"/>
                <w:b/>
                <w:i/>
                <w:sz w:val="20"/>
                <w:szCs w:val="20"/>
              </w:rPr>
              <w:t xml:space="preserve"> </w:t>
            </w:r>
            <w:r w:rsidRPr="00B7760C">
              <w:rPr>
                <w:rFonts w:asciiTheme="minorHAnsi" w:hAnsiTheme="minorHAnsi" w:cstheme="minorHAnsi"/>
                <w:b/>
                <w:i/>
                <w:sz w:val="20"/>
              </w:rPr>
              <w:t>spodbujanje usposabljanja in pridobivanja izkušenj po vsej Uniji, trajnostnega razvoja podjetij in ustvarjanja delovnih mest na podeželskih območjih;</w:t>
            </w:r>
          </w:p>
        </w:tc>
        <w:tc>
          <w:tcPr>
            <w:tcW w:w="3262" w:type="dxa"/>
            <w:tcBorders>
              <w:top w:val="single" w:sz="4" w:space="0" w:color="0070C0"/>
              <w:left w:val="single" w:sz="4" w:space="0" w:color="0070C0"/>
              <w:bottom w:val="single" w:sz="4" w:space="0" w:color="0070C0"/>
              <w:right w:val="single" w:sz="4" w:space="0" w:color="0070C0"/>
            </w:tcBorders>
          </w:tcPr>
          <w:p w14:paraId="3ECAB254" w14:textId="31D25A54" w:rsidR="00182609" w:rsidRPr="00B7760C" w:rsidRDefault="00182609" w:rsidP="00AB1DA6">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 xml:space="preserve">Privabljanje mladih kmetov, </w:t>
            </w:r>
            <w:r w:rsidRPr="00B7760C">
              <w:rPr>
                <w:rFonts w:asciiTheme="minorHAnsi" w:hAnsiTheme="minorHAnsi" w:cstheme="minorHAnsi"/>
                <w:b/>
                <w:i/>
                <w:sz w:val="18"/>
                <w:szCs w:val="18"/>
              </w:rPr>
              <w:t>novih kmetov in spodbujanje razvoja podjetij</w:t>
            </w:r>
            <w:r w:rsidR="009D3E2B" w:rsidRPr="00B7760C">
              <w:rPr>
                <w:rFonts w:asciiTheme="minorHAnsi" w:hAnsiTheme="minorHAnsi" w:cstheme="minorHAnsi"/>
                <w:sz w:val="18"/>
                <w:szCs w:val="18"/>
              </w:rPr>
              <w:t xml:space="preserve"> </w:t>
            </w:r>
            <w:r w:rsidRPr="00B7760C">
              <w:rPr>
                <w:rFonts w:asciiTheme="minorHAnsi" w:hAnsiTheme="minorHAnsi" w:cstheme="minorHAnsi"/>
                <w:sz w:val="18"/>
                <w:szCs w:val="18"/>
              </w:rPr>
              <w:t xml:space="preserve">spreminjanje števila </w:t>
            </w:r>
            <w:r w:rsidRPr="00B7760C">
              <w:rPr>
                <w:rFonts w:asciiTheme="minorHAnsi" w:hAnsiTheme="minorHAnsi" w:cstheme="minorHAnsi"/>
                <w:b/>
                <w:i/>
                <w:sz w:val="18"/>
                <w:szCs w:val="18"/>
              </w:rPr>
              <w:t>mladih kmetov in</w:t>
            </w:r>
            <w:r w:rsidRPr="00B7760C">
              <w:rPr>
                <w:rFonts w:asciiTheme="minorHAnsi" w:hAnsiTheme="minorHAnsi" w:cstheme="minorHAnsi"/>
                <w:sz w:val="18"/>
                <w:szCs w:val="18"/>
              </w:rPr>
              <w:t xml:space="preserve"> novih kmetov</w:t>
            </w:r>
            <w:r w:rsidRPr="00B7760C">
              <w:rPr>
                <w:rFonts w:asciiTheme="minorHAnsi" w:hAnsiTheme="minorHAnsi" w:cstheme="minorHAnsi"/>
                <w:b/>
                <w:i/>
                <w:sz w:val="18"/>
                <w:szCs w:val="18"/>
              </w:rPr>
              <w:t>, vključno s porazdelitvijo po spolu,</w:t>
            </w:r>
            <w:r w:rsidRPr="00B7760C">
              <w:rPr>
                <w:rFonts w:asciiTheme="minorHAnsi" w:hAnsiTheme="minorHAnsi" w:cstheme="minorHAnsi"/>
                <w:sz w:val="18"/>
                <w:szCs w:val="18"/>
              </w:rPr>
              <w:t xml:space="preserve"> </w:t>
            </w:r>
            <w:r w:rsidRPr="00B7760C">
              <w:rPr>
                <w:rFonts w:asciiTheme="minorHAnsi" w:hAnsiTheme="minorHAnsi" w:cstheme="minorHAnsi"/>
                <w:b/>
                <w:i/>
                <w:sz w:val="18"/>
                <w:szCs w:val="18"/>
              </w:rPr>
              <w:t>ter malih in srednjih podjetij na podeželskih območjih.</w:t>
            </w:r>
          </w:p>
        </w:tc>
        <w:tc>
          <w:tcPr>
            <w:tcW w:w="4617" w:type="dxa"/>
            <w:tcBorders>
              <w:top w:val="single" w:sz="4" w:space="0" w:color="0070C0"/>
              <w:left w:val="single" w:sz="4" w:space="0" w:color="0070C0"/>
              <w:bottom w:val="single" w:sz="4" w:space="0" w:color="0070C0"/>
              <w:right w:val="single" w:sz="4" w:space="0" w:color="0070C0"/>
            </w:tcBorders>
          </w:tcPr>
          <w:p w14:paraId="012827D9" w14:textId="77777777" w:rsidR="00182609" w:rsidRPr="00B7760C" w:rsidRDefault="00182609" w:rsidP="00AB1DA6">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R.30 Generacijska pomladitev:</w:t>
            </w:r>
            <w:r w:rsidRPr="00B7760C">
              <w:rPr>
                <w:rFonts w:asciiTheme="minorHAnsi" w:hAnsiTheme="minorHAnsi" w:cstheme="minorHAnsi"/>
                <w:bCs/>
                <w:sz w:val="18"/>
                <w:szCs w:val="18"/>
              </w:rPr>
              <w:t xml:space="preserve"> </w:t>
            </w:r>
            <w:r w:rsidRPr="00B7760C">
              <w:rPr>
                <w:rFonts w:asciiTheme="minorHAnsi" w:hAnsiTheme="minorHAnsi" w:cstheme="minorHAnsi"/>
                <w:sz w:val="18"/>
                <w:szCs w:val="18"/>
              </w:rPr>
              <w:t xml:space="preserve">Število mladih </w:t>
            </w:r>
            <w:r w:rsidRPr="00B7760C">
              <w:rPr>
                <w:rFonts w:asciiTheme="minorHAnsi" w:hAnsiTheme="minorHAnsi" w:cstheme="minorHAnsi"/>
                <w:b/>
                <w:i/>
                <w:sz w:val="18"/>
                <w:szCs w:val="18"/>
              </w:rPr>
              <w:t>in novih kmetov</w:t>
            </w:r>
            <w:r w:rsidRPr="00B7760C">
              <w:rPr>
                <w:rFonts w:asciiTheme="minorHAnsi" w:hAnsiTheme="minorHAnsi" w:cstheme="minorHAnsi"/>
                <w:sz w:val="18"/>
                <w:szCs w:val="18"/>
              </w:rPr>
              <w:t>, ki vzpostavljajo kmetijsko gospodarstvo s podporo iz SKP</w:t>
            </w:r>
            <w:r w:rsidRPr="00B7760C">
              <w:rPr>
                <w:rFonts w:asciiTheme="minorHAnsi" w:hAnsiTheme="minorHAnsi" w:cstheme="minorHAnsi"/>
                <w:b/>
                <w:i/>
                <w:sz w:val="18"/>
                <w:szCs w:val="18"/>
              </w:rPr>
              <w:t>, vključno z razčlenitvijo po spolu</w:t>
            </w:r>
            <w:r w:rsidRPr="00B7760C">
              <w:rPr>
                <w:rFonts w:asciiTheme="minorHAnsi" w:hAnsiTheme="minorHAnsi" w:cstheme="minorHAnsi"/>
                <w:sz w:val="18"/>
                <w:szCs w:val="18"/>
              </w:rPr>
              <w:t xml:space="preserve"> </w:t>
            </w:r>
          </w:p>
        </w:tc>
        <w:tc>
          <w:tcPr>
            <w:tcW w:w="236" w:type="dxa"/>
            <w:tcBorders>
              <w:left w:val="single" w:sz="4" w:space="0" w:color="0070C0"/>
              <w:right w:val="single" w:sz="4" w:space="0" w:color="0070C0"/>
            </w:tcBorders>
          </w:tcPr>
          <w:p w14:paraId="7C8D4F73" w14:textId="77777777" w:rsidR="00182609" w:rsidRPr="00B7760C" w:rsidRDefault="00182609" w:rsidP="00A35DEB">
            <w:pPr>
              <w:widowControl/>
              <w:spacing w:before="120" w:after="120" w:line="276" w:lineRule="auto"/>
              <w:jc w:val="both"/>
              <w:rPr>
                <w:rFonts w:asciiTheme="minorHAnsi" w:hAnsiTheme="minorHAnsi" w:cstheme="minorHAnsi"/>
                <w:sz w:val="18"/>
                <w:szCs w:val="18"/>
                <w:lang w:eastAsia="fr-BE"/>
              </w:rPr>
            </w:pPr>
          </w:p>
        </w:tc>
        <w:tc>
          <w:tcPr>
            <w:tcW w:w="1673" w:type="dxa"/>
            <w:tcBorders>
              <w:top w:val="single" w:sz="4" w:space="0" w:color="0070C0"/>
              <w:left w:val="single" w:sz="4" w:space="0" w:color="0070C0"/>
              <w:right w:val="single" w:sz="4" w:space="0" w:color="0070C0"/>
            </w:tcBorders>
            <w:shd w:val="clear" w:color="auto" w:fill="auto"/>
          </w:tcPr>
          <w:p w14:paraId="542DE1A5" w14:textId="77777777" w:rsidR="00182609" w:rsidRPr="00B7760C" w:rsidRDefault="00182609" w:rsidP="00A35DEB">
            <w:pPr>
              <w:widowControl/>
              <w:spacing w:before="120" w:after="120"/>
              <w:jc w:val="both"/>
              <w:rPr>
                <w:rFonts w:asciiTheme="minorHAnsi" w:hAnsiTheme="minorHAnsi" w:cstheme="minorHAnsi"/>
                <w:bCs/>
                <w:color w:val="000000"/>
                <w:sz w:val="18"/>
                <w:szCs w:val="18"/>
              </w:rPr>
            </w:pPr>
            <w:r w:rsidRPr="00B7760C">
              <w:rPr>
                <w:rFonts w:asciiTheme="minorHAnsi" w:hAnsiTheme="minorHAnsi" w:cstheme="minorHAnsi"/>
                <w:bCs/>
                <w:color w:val="000000"/>
                <w:sz w:val="18"/>
                <w:szCs w:val="18"/>
              </w:rPr>
              <w:t>Izmenjava znanja in informiranje</w:t>
            </w:r>
          </w:p>
        </w:tc>
        <w:tc>
          <w:tcPr>
            <w:tcW w:w="3259" w:type="dxa"/>
            <w:tcBorders>
              <w:top w:val="single" w:sz="4" w:space="0" w:color="0070C0"/>
              <w:left w:val="single" w:sz="4" w:space="0" w:color="0070C0"/>
              <w:right w:val="single" w:sz="4" w:space="0" w:color="0070C0"/>
            </w:tcBorders>
            <w:shd w:val="clear" w:color="auto" w:fill="auto"/>
          </w:tcPr>
          <w:p w14:paraId="7F36477C" w14:textId="4B19E8A7" w:rsidR="00182609" w:rsidRPr="00B7760C" w:rsidRDefault="00182609" w:rsidP="00AB1DA6">
            <w:pPr>
              <w:widowControl/>
              <w:spacing w:before="120" w:after="120"/>
              <w:rPr>
                <w:rFonts w:asciiTheme="minorHAnsi" w:hAnsiTheme="minorHAnsi" w:cstheme="minorHAnsi"/>
                <w:b/>
                <w:sz w:val="18"/>
                <w:szCs w:val="18"/>
              </w:rPr>
            </w:pPr>
            <w:r w:rsidRPr="00B7760C">
              <w:rPr>
                <w:rFonts w:asciiTheme="minorHAnsi" w:hAnsiTheme="minorHAnsi" w:cstheme="minorHAnsi"/>
                <w:sz w:val="18"/>
                <w:szCs w:val="18"/>
              </w:rPr>
              <w:t>O.29</w:t>
            </w:r>
            <w:r w:rsidR="009D3E2B" w:rsidRPr="00B7760C">
              <w:rPr>
                <w:rFonts w:asciiTheme="minorHAnsi" w:hAnsiTheme="minorHAnsi" w:cstheme="minorHAnsi"/>
                <w:sz w:val="18"/>
                <w:szCs w:val="18"/>
              </w:rPr>
              <w:t xml:space="preserve"> </w:t>
            </w:r>
            <w:r w:rsidRPr="00B7760C">
              <w:rPr>
                <w:rFonts w:asciiTheme="minorHAnsi" w:hAnsiTheme="minorHAnsi" w:cstheme="minorHAnsi"/>
                <w:sz w:val="18"/>
                <w:szCs w:val="18"/>
              </w:rPr>
              <w:t>Število kmetov, ki so sodelovali na usposabljanju ali bili deležni svetovanja</w:t>
            </w:r>
          </w:p>
        </w:tc>
      </w:tr>
    </w:tbl>
    <w:p w14:paraId="143A579E" w14:textId="77777777" w:rsidR="00182609" w:rsidRPr="00B7760C" w:rsidRDefault="00182609" w:rsidP="00182609">
      <w:pPr>
        <w:widowControl/>
        <w:spacing w:before="120" w:after="120"/>
        <w:jc w:val="both"/>
        <w:rPr>
          <w:rFonts w:asciiTheme="minorHAnsi" w:eastAsia="Calibri" w:hAnsiTheme="minorHAnsi" w:cstheme="minorHAnsi"/>
          <w:szCs w:val="22"/>
          <w:lang w:eastAsia="en-US"/>
        </w:rPr>
      </w:pPr>
    </w:p>
    <w:tbl>
      <w:tblPr>
        <w:tblStyle w:val="TableGridLight11"/>
        <w:tblW w:w="22818"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3110"/>
        <w:gridCol w:w="4680"/>
        <w:gridCol w:w="240"/>
        <w:gridCol w:w="1680"/>
        <w:gridCol w:w="3240"/>
        <w:gridCol w:w="4058"/>
        <w:gridCol w:w="3400"/>
      </w:tblGrid>
      <w:tr w:rsidR="00182609" w:rsidRPr="00B7760C" w14:paraId="3CEC2FD0" w14:textId="77777777" w:rsidTr="00A35DEB">
        <w:trPr>
          <w:gridAfter w:val="2"/>
          <w:wAfter w:w="7458" w:type="dxa"/>
          <w:cantSplit/>
          <w:trHeight w:val="413"/>
          <w:tblHeader/>
        </w:trPr>
        <w:tc>
          <w:tcPr>
            <w:tcW w:w="2410" w:type="dxa"/>
            <w:tcBorders>
              <w:top w:val="single" w:sz="4" w:space="0" w:color="0070C0"/>
              <w:left w:val="single" w:sz="4" w:space="0" w:color="0070C0"/>
              <w:bottom w:val="single" w:sz="4" w:space="0" w:color="0070C0"/>
              <w:right w:val="single" w:sz="4" w:space="0" w:color="0070C0"/>
            </w:tcBorders>
            <w:shd w:val="clear" w:color="auto" w:fill="auto"/>
            <w:noWrap/>
          </w:tcPr>
          <w:p w14:paraId="1D3FF61B" w14:textId="77777777" w:rsidR="00182609" w:rsidRPr="00B7760C" w:rsidRDefault="00182609" w:rsidP="00A35DEB">
            <w:pPr>
              <w:widowControl/>
              <w:spacing w:before="120" w:after="120" w:line="276" w:lineRule="auto"/>
              <w:ind w:left="64"/>
              <w:jc w:val="center"/>
              <w:rPr>
                <w:rFonts w:asciiTheme="minorHAnsi" w:hAnsiTheme="minorHAnsi" w:cstheme="minorHAnsi"/>
                <w:bCs/>
                <w:sz w:val="18"/>
                <w:szCs w:val="18"/>
              </w:rPr>
            </w:pPr>
            <w:r w:rsidRPr="00B7760C">
              <w:rPr>
                <w:rFonts w:asciiTheme="minorHAnsi" w:hAnsiTheme="minorHAnsi" w:cstheme="minorHAnsi"/>
              </w:rPr>
              <w:br w:type="page"/>
            </w:r>
            <w:r w:rsidRPr="00B7760C">
              <w:rPr>
                <w:rFonts w:asciiTheme="minorHAnsi" w:hAnsiTheme="minorHAnsi" w:cstheme="minorHAnsi"/>
                <w:bCs/>
                <w:sz w:val="18"/>
                <w:szCs w:val="18"/>
              </w:rPr>
              <w:t>Specifični cilji EU</w:t>
            </w:r>
          </w:p>
        </w:tc>
        <w:tc>
          <w:tcPr>
            <w:tcW w:w="3110" w:type="dxa"/>
            <w:tcBorders>
              <w:top w:val="single" w:sz="4" w:space="0" w:color="0070C0"/>
              <w:left w:val="single" w:sz="4" w:space="0" w:color="0070C0"/>
              <w:bottom w:val="single" w:sz="4" w:space="0" w:color="0070C0"/>
              <w:right w:val="single" w:sz="4" w:space="0" w:color="0070C0"/>
            </w:tcBorders>
            <w:shd w:val="clear" w:color="auto" w:fill="auto"/>
            <w:noWrap/>
          </w:tcPr>
          <w:p w14:paraId="39D13C01" w14:textId="77777777" w:rsidR="00182609" w:rsidRPr="00B7760C" w:rsidRDefault="00182609" w:rsidP="00A35DEB">
            <w:pPr>
              <w:widowControl/>
              <w:spacing w:before="120" w:after="120" w:line="276" w:lineRule="auto"/>
              <w:ind w:left="64"/>
              <w:jc w:val="center"/>
              <w:rPr>
                <w:rFonts w:asciiTheme="minorHAnsi" w:hAnsiTheme="minorHAnsi" w:cstheme="minorHAnsi"/>
                <w:bCs/>
                <w:sz w:val="18"/>
                <w:szCs w:val="18"/>
              </w:rPr>
            </w:pPr>
            <w:r w:rsidRPr="00B7760C">
              <w:rPr>
                <w:rFonts w:asciiTheme="minorHAnsi" w:hAnsiTheme="minorHAnsi" w:cstheme="minorHAnsi"/>
                <w:bCs/>
                <w:sz w:val="18"/>
                <w:szCs w:val="18"/>
              </w:rPr>
              <w:t>Kazalniki učinka</w:t>
            </w:r>
          </w:p>
        </w:tc>
        <w:tc>
          <w:tcPr>
            <w:tcW w:w="4680" w:type="dxa"/>
            <w:tcBorders>
              <w:top w:val="single" w:sz="4" w:space="0" w:color="0070C0"/>
              <w:left w:val="single" w:sz="4" w:space="0" w:color="0070C0"/>
              <w:bottom w:val="single" w:sz="4" w:space="0" w:color="0070C0"/>
              <w:right w:val="single" w:sz="4" w:space="0" w:color="0070C0"/>
            </w:tcBorders>
            <w:shd w:val="clear" w:color="auto" w:fill="auto"/>
          </w:tcPr>
          <w:p w14:paraId="2AF7D62B" w14:textId="77777777" w:rsidR="00182609" w:rsidRPr="00B7760C" w:rsidRDefault="00182609" w:rsidP="00A35DEB">
            <w:pPr>
              <w:widowControl/>
              <w:spacing w:before="120" w:after="120" w:line="276" w:lineRule="auto"/>
              <w:ind w:left="64"/>
              <w:jc w:val="center"/>
              <w:rPr>
                <w:rFonts w:asciiTheme="minorHAnsi" w:hAnsiTheme="minorHAnsi" w:cstheme="minorHAnsi"/>
                <w:bCs/>
                <w:sz w:val="18"/>
                <w:szCs w:val="18"/>
              </w:rPr>
            </w:pPr>
            <w:r w:rsidRPr="00B7760C">
              <w:rPr>
                <w:rFonts w:asciiTheme="minorHAnsi" w:hAnsiTheme="minorHAnsi" w:cstheme="minorHAnsi"/>
                <w:bCs/>
                <w:sz w:val="18"/>
                <w:szCs w:val="18"/>
              </w:rPr>
              <w:t>Kazalniki rezultatov</w:t>
            </w:r>
          </w:p>
          <w:p w14:paraId="00E0075E" w14:textId="77777777" w:rsidR="00182609" w:rsidRPr="00B7760C" w:rsidRDefault="00182609" w:rsidP="00A35DEB">
            <w:pPr>
              <w:widowControl/>
              <w:spacing w:before="120" w:after="120" w:line="276" w:lineRule="auto"/>
              <w:ind w:left="64"/>
              <w:jc w:val="center"/>
              <w:rPr>
                <w:rFonts w:asciiTheme="minorHAnsi" w:hAnsiTheme="minorHAnsi" w:cstheme="minorHAnsi"/>
                <w:bCs/>
                <w:sz w:val="18"/>
                <w:szCs w:val="18"/>
              </w:rPr>
            </w:pPr>
            <w:r w:rsidRPr="00B7760C">
              <w:rPr>
                <w:rFonts w:asciiTheme="minorHAnsi" w:hAnsiTheme="minorHAnsi" w:cstheme="minorHAnsi"/>
                <w:bCs/>
                <w:sz w:val="18"/>
                <w:szCs w:val="18"/>
              </w:rPr>
              <w:t>(samo na podlagi intervencij, ki jih podpira SKP)</w:t>
            </w:r>
          </w:p>
        </w:tc>
        <w:tc>
          <w:tcPr>
            <w:tcW w:w="240" w:type="dxa"/>
            <w:tcBorders>
              <w:left w:val="single" w:sz="4" w:space="0" w:color="0070C0"/>
              <w:right w:val="single" w:sz="4" w:space="0" w:color="0070C0"/>
            </w:tcBorders>
            <w:shd w:val="clear" w:color="auto" w:fill="auto"/>
          </w:tcPr>
          <w:p w14:paraId="2D874929" w14:textId="77777777" w:rsidR="00182609" w:rsidRPr="00B7760C" w:rsidRDefault="00182609" w:rsidP="00A35DEB">
            <w:pPr>
              <w:widowControl/>
              <w:spacing w:before="120" w:after="120" w:line="276" w:lineRule="auto"/>
              <w:ind w:left="64"/>
              <w:jc w:val="center"/>
              <w:rPr>
                <w:rFonts w:asciiTheme="minorHAnsi" w:hAnsiTheme="minorHAnsi" w:cstheme="minorHAnsi"/>
                <w:bCs/>
                <w:sz w:val="18"/>
                <w:szCs w:val="18"/>
                <w:lang w:eastAsia="fr-BE"/>
              </w:rPr>
            </w:pPr>
          </w:p>
        </w:tc>
        <w:tc>
          <w:tcPr>
            <w:tcW w:w="1680" w:type="dxa"/>
            <w:tcBorders>
              <w:top w:val="single" w:sz="4" w:space="0" w:color="0070C0"/>
              <w:left w:val="single" w:sz="4" w:space="0" w:color="0070C0"/>
              <w:bottom w:val="single" w:sz="4" w:space="0" w:color="0070C0"/>
              <w:right w:val="single" w:sz="4" w:space="0" w:color="0070C0"/>
            </w:tcBorders>
            <w:shd w:val="clear" w:color="auto" w:fill="auto"/>
          </w:tcPr>
          <w:p w14:paraId="3A0E8396" w14:textId="77777777" w:rsidR="00182609" w:rsidRPr="00B7760C" w:rsidRDefault="00182609" w:rsidP="00A35DEB">
            <w:pPr>
              <w:widowControl/>
              <w:spacing w:before="120" w:after="120"/>
              <w:jc w:val="center"/>
              <w:rPr>
                <w:rFonts w:asciiTheme="minorHAnsi" w:hAnsiTheme="minorHAnsi" w:cstheme="minorHAnsi"/>
                <w:bCs/>
                <w:sz w:val="18"/>
                <w:szCs w:val="18"/>
              </w:rPr>
            </w:pPr>
            <w:r w:rsidRPr="00B7760C">
              <w:rPr>
                <w:rFonts w:asciiTheme="minorHAnsi" w:hAnsiTheme="minorHAnsi" w:cstheme="minorHAnsi"/>
                <w:bCs/>
                <w:sz w:val="18"/>
                <w:szCs w:val="18"/>
              </w:rPr>
              <w:t>Široka vrsta intervencije</w:t>
            </w:r>
          </w:p>
        </w:tc>
        <w:tc>
          <w:tcPr>
            <w:tcW w:w="3240" w:type="dxa"/>
            <w:tcBorders>
              <w:top w:val="single" w:sz="4" w:space="0" w:color="0070C0"/>
              <w:left w:val="single" w:sz="4" w:space="0" w:color="0070C0"/>
              <w:bottom w:val="single" w:sz="4" w:space="0" w:color="0070C0"/>
              <w:right w:val="single" w:sz="4" w:space="0" w:color="0070C0"/>
            </w:tcBorders>
            <w:shd w:val="clear" w:color="auto" w:fill="auto"/>
          </w:tcPr>
          <w:p w14:paraId="59DAE0BA" w14:textId="77777777" w:rsidR="00182609" w:rsidRPr="00B7760C" w:rsidRDefault="00182609" w:rsidP="00A35DEB">
            <w:pPr>
              <w:widowControl/>
              <w:spacing w:before="120" w:after="120"/>
              <w:jc w:val="center"/>
              <w:rPr>
                <w:rFonts w:asciiTheme="minorHAnsi" w:hAnsiTheme="minorHAnsi" w:cstheme="minorHAnsi"/>
                <w:bCs/>
                <w:sz w:val="18"/>
                <w:szCs w:val="18"/>
              </w:rPr>
            </w:pPr>
            <w:r w:rsidRPr="00B7760C">
              <w:rPr>
                <w:rFonts w:asciiTheme="minorHAnsi" w:hAnsiTheme="minorHAnsi" w:cstheme="minorHAnsi"/>
                <w:bCs/>
                <w:sz w:val="18"/>
                <w:szCs w:val="18"/>
              </w:rPr>
              <w:t>Kazalniki izložkov (na intervencijo)</w:t>
            </w:r>
          </w:p>
        </w:tc>
      </w:tr>
      <w:tr w:rsidR="00182609" w:rsidRPr="00B7760C" w14:paraId="65F4A206" w14:textId="77777777" w:rsidTr="00A35DEB">
        <w:trPr>
          <w:gridAfter w:val="2"/>
          <w:wAfter w:w="7458" w:type="dxa"/>
          <w:cantSplit/>
          <w:trHeight w:val="742"/>
        </w:trPr>
        <w:tc>
          <w:tcPr>
            <w:tcW w:w="2410" w:type="dxa"/>
            <w:vMerge w:val="restart"/>
            <w:tcBorders>
              <w:top w:val="single" w:sz="4" w:space="0" w:color="0070C0"/>
              <w:left w:val="single" w:sz="4" w:space="0" w:color="0070C0"/>
              <w:right w:val="single" w:sz="4" w:space="0" w:color="0070C0"/>
            </w:tcBorders>
            <w:noWrap/>
            <w:vAlign w:val="center"/>
          </w:tcPr>
          <w:p w14:paraId="4BF31C26" w14:textId="11F31D20" w:rsidR="00182609" w:rsidRPr="00B7760C" w:rsidRDefault="00182609" w:rsidP="00AB1DA6">
            <w:pPr>
              <w:widowControl/>
              <w:spacing w:before="120" w:after="120"/>
              <w:rPr>
                <w:rFonts w:asciiTheme="minorHAnsi" w:hAnsiTheme="minorHAnsi" w:cstheme="minorHAnsi"/>
                <w:bCs/>
                <w:color w:val="000000"/>
                <w:sz w:val="20"/>
              </w:rPr>
            </w:pPr>
            <w:r w:rsidRPr="00B7760C">
              <w:rPr>
                <w:rFonts w:asciiTheme="minorHAnsi" w:hAnsiTheme="minorHAnsi" w:cstheme="minorHAnsi"/>
                <w:sz w:val="20"/>
              </w:rPr>
              <w:t xml:space="preserve">Spodbujanje </w:t>
            </w:r>
            <w:r w:rsidRPr="00B7760C">
              <w:rPr>
                <w:rFonts w:asciiTheme="minorHAnsi" w:hAnsiTheme="minorHAnsi" w:cstheme="minorHAnsi"/>
                <w:b/>
                <w:i/>
                <w:sz w:val="20"/>
              </w:rPr>
              <w:t>socialne in ozemeljske kohezije</w:t>
            </w:r>
            <w:r w:rsidRPr="00B7760C">
              <w:rPr>
                <w:rFonts w:asciiTheme="minorHAnsi" w:hAnsiTheme="minorHAnsi" w:cstheme="minorHAnsi"/>
                <w:sz w:val="20"/>
              </w:rPr>
              <w:t xml:space="preserve"> na podeželskih območjih, </w:t>
            </w:r>
            <w:r w:rsidRPr="00B7760C">
              <w:rPr>
                <w:rFonts w:asciiTheme="minorHAnsi" w:hAnsiTheme="minorHAnsi" w:cstheme="minorHAnsi"/>
                <w:b/>
                <w:i/>
                <w:sz w:val="20"/>
              </w:rPr>
              <w:t>tudi prek ustvarjanja delovnih mest, rasti, naložb in socialne vključenosti, boja proti revščini na podeželju in prek lokalnega razvoja, vključno z visokokakovostnimi lokalnimi storitvami za podeželske skupnosti, s posebnim poudarkom na območjih z naravnimi omejitvami;</w:t>
            </w:r>
            <w:r w:rsidR="009D3E2B" w:rsidRPr="00B7760C">
              <w:rPr>
                <w:rFonts w:asciiTheme="minorHAnsi" w:hAnsiTheme="minorHAnsi" w:cstheme="minorHAnsi"/>
                <w:b/>
                <w:i/>
                <w:sz w:val="20"/>
                <w:szCs w:val="20"/>
              </w:rPr>
              <w:t xml:space="preserve"> </w:t>
            </w:r>
            <w:r w:rsidRPr="00B7760C">
              <w:rPr>
                <w:rFonts w:asciiTheme="minorHAnsi" w:hAnsiTheme="minorHAnsi" w:cstheme="minorHAnsi"/>
                <w:b/>
                <w:i/>
                <w:sz w:val="20"/>
                <w:szCs w:val="20"/>
              </w:rPr>
              <w:t xml:space="preserve">spodbujanje dostojnih življenjskih, delovnih in gospodarskih pogojev; </w:t>
            </w:r>
            <w:r w:rsidRPr="00B7760C">
              <w:rPr>
                <w:rFonts w:asciiTheme="minorHAnsi" w:hAnsiTheme="minorHAnsi" w:cstheme="minorHAnsi"/>
                <w:b/>
                <w:i/>
                <w:sz w:val="20"/>
              </w:rPr>
              <w:t>diverzifikacija dejavnosti in dohodka,</w:t>
            </w:r>
            <w:r w:rsidRPr="00B7760C">
              <w:rPr>
                <w:rFonts w:asciiTheme="minorHAnsi" w:hAnsiTheme="minorHAnsi" w:cstheme="minorHAnsi"/>
                <w:sz w:val="20"/>
              </w:rPr>
              <w:t xml:space="preserve"> vključno </w:t>
            </w:r>
            <w:r w:rsidRPr="00B7760C">
              <w:rPr>
                <w:rFonts w:asciiTheme="minorHAnsi" w:hAnsiTheme="minorHAnsi" w:cstheme="minorHAnsi"/>
                <w:b/>
                <w:i/>
                <w:sz w:val="20"/>
              </w:rPr>
              <w:t>s kmečkim turizmom,</w:t>
            </w:r>
            <w:r w:rsidRPr="00B7760C">
              <w:rPr>
                <w:rFonts w:asciiTheme="minorHAnsi" w:hAnsiTheme="minorHAnsi" w:cstheme="minorHAnsi"/>
                <w:sz w:val="20"/>
              </w:rPr>
              <w:t xml:space="preserve"> biogospodarstvom,</w:t>
            </w:r>
            <w:r w:rsidRPr="00B7760C">
              <w:rPr>
                <w:rFonts w:asciiTheme="minorHAnsi" w:hAnsiTheme="minorHAnsi" w:cstheme="minorHAnsi"/>
                <w:b/>
                <w:i/>
                <w:sz w:val="20"/>
              </w:rPr>
              <w:t xml:space="preserve"> krožnim gospodarstvom</w:t>
            </w:r>
            <w:r w:rsidRPr="00B7760C">
              <w:rPr>
                <w:rFonts w:asciiTheme="minorHAnsi" w:hAnsiTheme="minorHAnsi" w:cstheme="minorHAnsi"/>
                <w:sz w:val="20"/>
              </w:rPr>
              <w:t xml:space="preserve"> in trajnostnim gozdarstvom</w:t>
            </w:r>
            <w:r w:rsidRPr="00B7760C">
              <w:rPr>
                <w:rFonts w:asciiTheme="minorHAnsi" w:hAnsiTheme="minorHAnsi" w:cstheme="minorHAnsi"/>
                <w:b/>
                <w:i/>
                <w:sz w:val="20"/>
              </w:rPr>
              <w:t>, ob spoštovanju enakosti med spoloma</w:t>
            </w:r>
            <w:r w:rsidRPr="00B7760C">
              <w:rPr>
                <w:rFonts w:asciiTheme="minorHAnsi" w:hAnsiTheme="minorHAnsi" w:cstheme="minorHAnsi"/>
                <w:sz w:val="20"/>
              </w:rPr>
              <w:t>;</w:t>
            </w:r>
            <w:r w:rsidRPr="00B7760C">
              <w:rPr>
                <w:rFonts w:asciiTheme="minorHAnsi" w:hAnsiTheme="minorHAnsi" w:cstheme="minorHAnsi"/>
                <w:sz w:val="20"/>
                <w:szCs w:val="20"/>
              </w:rPr>
              <w:t xml:space="preserve"> </w:t>
            </w:r>
            <w:r w:rsidRPr="00B7760C">
              <w:rPr>
                <w:rFonts w:asciiTheme="minorHAnsi" w:hAnsiTheme="minorHAnsi" w:cstheme="minorHAnsi"/>
                <w:b/>
                <w:i/>
                <w:sz w:val="20"/>
                <w:szCs w:val="20"/>
              </w:rPr>
              <w:t>spodbujanje enakih možnosti na podeželskih območjih s posebnimi ukrepi za podpiranje in priznavanje dela žensk v kmetijstvu, rokodelstvu, turizmu ter lokalnih storitvah</w:t>
            </w:r>
          </w:p>
        </w:tc>
        <w:tc>
          <w:tcPr>
            <w:tcW w:w="3110" w:type="dxa"/>
            <w:tcBorders>
              <w:top w:val="single" w:sz="4" w:space="0" w:color="0070C0"/>
              <w:left w:val="single" w:sz="4" w:space="0" w:color="0070C0"/>
              <w:right w:val="single" w:sz="4" w:space="0" w:color="0070C0"/>
            </w:tcBorders>
          </w:tcPr>
          <w:p w14:paraId="488BB2A0" w14:textId="7203300E" w:rsidR="00182609" w:rsidRPr="00B7760C" w:rsidRDefault="00182609" w:rsidP="00AB1DA6">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I.22</w:t>
            </w:r>
            <w:r w:rsidR="009D3E2B" w:rsidRPr="00B7760C">
              <w:rPr>
                <w:rFonts w:asciiTheme="minorHAnsi" w:hAnsiTheme="minorHAnsi" w:cstheme="minorHAnsi"/>
                <w:sz w:val="18"/>
                <w:szCs w:val="18"/>
              </w:rPr>
              <w:t xml:space="preserve"> </w:t>
            </w:r>
            <w:r w:rsidRPr="00B7760C">
              <w:rPr>
                <w:rFonts w:asciiTheme="minorHAnsi" w:hAnsiTheme="minorHAnsi" w:cstheme="minorHAnsi"/>
                <w:sz w:val="18"/>
                <w:szCs w:val="18"/>
              </w:rPr>
              <w:t>Prispevanje k ustvarjanju delovnih mest na podeželskih območjih: spreminjanje stopnje zaposlenosti na pretežno podeželskih območjih</w:t>
            </w:r>
            <w:r w:rsidRPr="00B7760C">
              <w:rPr>
                <w:rFonts w:asciiTheme="minorHAnsi" w:hAnsiTheme="minorHAnsi" w:cstheme="minorHAnsi"/>
                <w:b/>
                <w:i/>
                <w:sz w:val="18"/>
                <w:szCs w:val="18"/>
              </w:rPr>
              <w:t>, vključno z razčlenitvijo po spolu</w:t>
            </w:r>
          </w:p>
        </w:tc>
        <w:tc>
          <w:tcPr>
            <w:tcW w:w="4680" w:type="dxa"/>
            <w:tcBorders>
              <w:top w:val="single" w:sz="4" w:space="0" w:color="0070C0"/>
              <w:left w:val="single" w:sz="4" w:space="0" w:color="0070C0"/>
              <w:right w:val="single" w:sz="4" w:space="0" w:color="0070C0"/>
            </w:tcBorders>
          </w:tcPr>
          <w:p w14:paraId="32506F47" w14:textId="0FC5F842" w:rsidR="00182609" w:rsidRPr="00B7760C" w:rsidRDefault="00182609" w:rsidP="00AB1DA6">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R.31</w:t>
            </w:r>
            <w:r w:rsidR="009D3E2B" w:rsidRPr="00B7760C">
              <w:rPr>
                <w:rFonts w:asciiTheme="minorHAnsi" w:hAnsiTheme="minorHAnsi" w:cstheme="minorHAnsi"/>
                <w:bCs/>
                <w:sz w:val="18"/>
                <w:szCs w:val="18"/>
              </w:rPr>
              <w:t xml:space="preserve"> </w:t>
            </w:r>
            <w:r w:rsidRPr="00B7760C">
              <w:rPr>
                <w:rFonts w:asciiTheme="minorHAnsi" w:hAnsiTheme="minorHAnsi" w:cstheme="minorHAnsi"/>
                <w:sz w:val="18"/>
                <w:szCs w:val="18"/>
              </w:rPr>
              <w:t>Rast in delovna mesta na podeželskih območjih:</w:t>
            </w:r>
            <w:r w:rsidRPr="00B7760C">
              <w:rPr>
                <w:rFonts w:asciiTheme="minorHAnsi" w:hAnsiTheme="minorHAnsi" w:cstheme="minorHAnsi"/>
                <w:b/>
                <w:bCs/>
                <w:sz w:val="18"/>
                <w:szCs w:val="18"/>
              </w:rPr>
              <w:t xml:space="preserve"> </w:t>
            </w:r>
            <w:r w:rsidRPr="00B7760C">
              <w:rPr>
                <w:rFonts w:asciiTheme="minorHAnsi" w:hAnsiTheme="minorHAnsi" w:cstheme="minorHAnsi"/>
                <w:sz w:val="18"/>
                <w:szCs w:val="18"/>
              </w:rPr>
              <w:t>nova delovna mesta pri projektih, ki prejemajo podporo</w:t>
            </w:r>
            <w:r w:rsidRPr="00B7760C">
              <w:rPr>
                <w:rFonts w:asciiTheme="minorHAnsi" w:hAnsiTheme="minorHAnsi" w:cstheme="minorHAnsi"/>
                <w:b/>
                <w:i/>
                <w:sz w:val="18"/>
                <w:szCs w:val="18"/>
              </w:rPr>
              <w:t>, vključno z razčlenitvijo po spolu</w:t>
            </w:r>
          </w:p>
        </w:tc>
        <w:tc>
          <w:tcPr>
            <w:tcW w:w="240" w:type="dxa"/>
            <w:tcBorders>
              <w:left w:val="single" w:sz="4" w:space="0" w:color="0070C0"/>
              <w:right w:val="single" w:sz="4" w:space="0" w:color="0070C0"/>
            </w:tcBorders>
          </w:tcPr>
          <w:p w14:paraId="52C9D7C0" w14:textId="77777777" w:rsidR="00182609" w:rsidRPr="00B7760C" w:rsidRDefault="00182609" w:rsidP="00A35DEB">
            <w:pPr>
              <w:widowControl/>
              <w:spacing w:before="120" w:after="120" w:line="276" w:lineRule="auto"/>
              <w:jc w:val="both"/>
              <w:rPr>
                <w:rFonts w:asciiTheme="minorHAnsi" w:hAnsiTheme="minorHAnsi" w:cstheme="minorHAnsi"/>
                <w:sz w:val="18"/>
                <w:szCs w:val="18"/>
                <w:lang w:eastAsia="fr-BE"/>
              </w:rPr>
            </w:pPr>
          </w:p>
        </w:tc>
        <w:tc>
          <w:tcPr>
            <w:tcW w:w="1680" w:type="dxa"/>
            <w:tcBorders>
              <w:left w:val="single" w:sz="4" w:space="0" w:color="0070C0"/>
              <w:bottom w:val="single" w:sz="4" w:space="0" w:color="0070C0"/>
              <w:right w:val="single" w:sz="4" w:space="0" w:color="0070C0"/>
            </w:tcBorders>
          </w:tcPr>
          <w:p w14:paraId="2466BC3D" w14:textId="77777777" w:rsidR="00182609" w:rsidRPr="00B7760C" w:rsidRDefault="00182609" w:rsidP="00A35DEB">
            <w:pPr>
              <w:widowControl/>
              <w:spacing w:before="120" w:after="120"/>
              <w:jc w:val="both"/>
              <w:rPr>
                <w:rFonts w:asciiTheme="minorHAnsi" w:hAnsiTheme="minorHAnsi" w:cstheme="minorHAnsi"/>
                <w:b/>
                <w:bCs/>
                <w:color w:val="000000"/>
                <w:sz w:val="18"/>
                <w:szCs w:val="18"/>
                <w:lang w:eastAsia="fr-BE"/>
              </w:rPr>
            </w:pPr>
          </w:p>
        </w:tc>
        <w:tc>
          <w:tcPr>
            <w:tcW w:w="3240" w:type="dxa"/>
            <w:tcBorders>
              <w:left w:val="single" w:sz="4" w:space="0" w:color="0070C0"/>
              <w:bottom w:val="single" w:sz="4" w:space="0" w:color="0070C0"/>
              <w:right w:val="single" w:sz="4" w:space="0" w:color="0070C0"/>
            </w:tcBorders>
          </w:tcPr>
          <w:p w14:paraId="145041AF" w14:textId="77777777" w:rsidR="00182609" w:rsidRPr="00B7760C" w:rsidRDefault="00182609" w:rsidP="00AB1DA6">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O.30 Število nekmetov, ki so sodelovali na usposabljanju ali bili deležni svetovanja</w:t>
            </w:r>
          </w:p>
        </w:tc>
      </w:tr>
      <w:tr w:rsidR="00182609" w:rsidRPr="00B7760C" w14:paraId="2352823D" w14:textId="77777777" w:rsidTr="00A35DEB">
        <w:trPr>
          <w:gridAfter w:val="2"/>
          <w:wAfter w:w="7458" w:type="dxa"/>
          <w:cantSplit/>
          <w:trHeight w:val="629"/>
        </w:trPr>
        <w:tc>
          <w:tcPr>
            <w:tcW w:w="2410" w:type="dxa"/>
            <w:vMerge/>
            <w:tcBorders>
              <w:left w:val="single" w:sz="4" w:space="0" w:color="0070C0"/>
              <w:right w:val="single" w:sz="4" w:space="0" w:color="0070C0"/>
            </w:tcBorders>
            <w:noWrap/>
          </w:tcPr>
          <w:p w14:paraId="74F8BD02" w14:textId="77777777" w:rsidR="00182609" w:rsidRPr="00B7760C" w:rsidRDefault="00182609" w:rsidP="00AB1DA6">
            <w:pPr>
              <w:widowControl/>
              <w:spacing w:before="120" w:after="120"/>
              <w:rPr>
                <w:rFonts w:asciiTheme="minorHAnsi" w:hAnsiTheme="minorHAnsi" w:cstheme="minorHAnsi"/>
                <w:b/>
                <w:bCs/>
                <w:color w:val="000000"/>
                <w:sz w:val="18"/>
                <w:szCs w:val="18"/>
                <w:lang w:eastAsia="fr-BE"/>
              </w:rPr>
            </w:pPr>
          </w:p>
        </w:tc>
        <w:tc>
          <w:tcPr>
            <w:tcW w:w="3110" w:type="dxa"/>
            <w:tcBorders>
              <w:left w:val="single" w:sz="4" w:space="0" w:color="0070C0"/>
              <w:right w:val="single" w:sz="4" w:space="0" w:color="0070C0"/>
            </w:tcBorders>
          </w:tcPr>
          <w:p w14:paraId="0577E719" w14:textId="77777777" w:rsidR="00182609" w:rsidRPr="00B7760C" w:rsidRDefault="00182609" w:rsidP="00AB1DA6">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I.23 Prispevanje k ustvarjanju delovnih mest na podeželskih območjih: spreminjanje BDP na prebivalca na pretežno podeželskih območjih</w:t>
            </w:r>
          </w:p>
        </w:tc>
        <w:tc>
          <w:tcPr>
            <w:tcW w:w="4680" w:type="dxa"/>
            <w:tcBorders>
              <w:left w:val="single" w:sz="4" w:space="0" w:color="0070C0"/>
              <w:right w:val="single" w:sz="4" w:space="0" w:color="0070C0"/>
            </w:tcBorders>
          </w:tcPr>
          <w:p w14:paraId="63E956D0" w14:textId="5D92BA57" w:rsidR="00182609" w:rsidRPr="00B7760C" w:rsidRDefault="00182609" w:rsidP="00AB1DA6">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R.32</w:t>
            </w:r>
            <w:r w:rsidR="009D3E2B" w:rsidRPr="00B7760C">
              <w:rPr>
                <w:rFonts w:asciiTheme="minorHAnsi" w:hAnsiTheme="minorHAnsi" w:cstheme="minorHAnsi"/>
                <w:sz w:val="18"/>
                <w:szCs w:val="18"/>
              </w:rPr>
              <w:t xml:space="preserve"> </w:t>
            </w:r>
            <w:r w:rsidRPr="00B7760C">
              <w:rPr>
                <w:rFonts w:asciiTheme="minorHAnsi" w:hAnsiTheme="minorHAnsi" w:cstheme="minorHAnsi"/>
                <w:sz w:val="18"/>
                <w:szCs w:val="18"/>
              </w:rPr>
              <w:t>Razvoj podeželskega biogospodarstva: število podjetij na področju biogospodarstva, ki so se razvila s pomočjo podpore</w:t>
            </w:r>
          </w:p>
        </w:tc>
        <w:tc>
          <w:tcPr>
            <w:tcW w:w="240" w:type="dxa"/>
            <w:tcBorders>
              <w:left w:val="single" w:sz="4" w:space="0" w:color="0070C0"/>
              <w:right w:val="single" w:sz="4" w:space="0" w:color="0070C0"/>
            </w:tcBorders>
          </w:tcPr>
          <w:p w14:paraId="09B45444" w14:textId="77777777" w:rsidR="00182609" w:rsidRPr="00B7760C" w:rsidRDefault="00182609" w:rsidP="00A35DEB">
            <w:pPr>
              <w:widowControl/>
              <w:spacing w:before="120" w:after="120" w:line="276" w:lineRule="auto"/>
              <w:jc w:val="both"/>
              <w:rPr>
                <w:rFonts w:asciiTheme="minorHAnsi" w:hAnsiTheme="minorHAnsi" w:cstheme="minorHAnsi"/>
                <w:sz w:val="18"/>
                <w:szCs w:val="18"/>
                <w:lang w:eastAsia="fr-BE"/>
              </w:rPr>
            </w:pPr>
          </w:p>
        </w:tc>
        <w:tc>
          <w:tcPr>
            <w:tcW w:w="1680" w:type="dxa"/>
            <w:tcBorders>
              <w:top w:val="single" w:sz="4" w:space="0" w:color="0070C0"/>
              <w:left w:val="single" w:sz="4" w:space="0" w:color="0070C0"/>
              <w:right w:val="single" w:sz="4" w:space="0" w:color="0070C0"/>
            </w:tcBorders>
          </w:tcPr>
          <w:p w14:paraId="66115AFD" w14:textId="77777777" w:rsidR="00182609" w:rsidRPr="00B7760C" w:rsidRDefault="00182609" w:rsidP="00A35DEB">
            <w:pPr>
              <w:widowControl/>
              <w:spacing w:before="120" w:after="120"/>
              <w:jc w:val="both"/>
              <w:rPr>
                <w:rFonts w:asciiTheme="minorHAnsi" w:hAnsiTheme="minorHAnsi" w:cstheme="minorHAnsi"/>
                <w:b/>
                <w:bCs/>
                <w:color w:val="000000"/>
                <w:sz w:val="18"/>
                <w:szCs w:val="18"/>
              </w:rPr>
            </w:pPr>
            <w:r w:rsidRPr="00B7760C">
              <w:rPr>
                <w:rFonts w:asciiTheme="minorHAnsi" w:hAnsiTheme="minorHAnsi" w:cstheme="minorHAnsi"/>
                <w:b/>
                <w:bCs/>
                <w:color w:val="000000"/>
                <w:sz w:val="18"/>
                <w:szCs w:val="18"/>
              </w:rPr>
              <w:t>Horizontalni kazalniki</w:t>
            </w:r>
          </w:p>
        </w:tc>
        <w:tc>
          <w:tcPr>
            <w:tcW w:w="3240" w:type="dxa"/>
            <w:tcBorders>
              <w:top w:val="single" w:sz="4" w:space="0" w:color="0070C0"/>
              <w:left w:val="single" w:sz="4" w:space="0" w:color="0070C0"/>
              <w:right w:val="single" w:sz="4" w:space="0" w:color="0070C0"/>
            </w:tcBorders>
          </w:tcPr>
          <w:p w14:paraId="42DC9525" w14:textId="77777777" w:rsidR="00182609" w:rsidRPr="00B7760C" w:rsidRDefault="00182609" w:rsidP="00AB1DA6">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O.31 Število hektarov, na katerih se izvajajo okoljske prakse (sintezni kazalnik o fizičnem območju, zajetem v pogojenost, ekoshema, kmetijsko-okoljsko-podnebni ukrep, gozdarski ukrepi, ekološko kmetovanje)</w:t>
            </w:r>
          </w:p>
        </w:tc>
      </w:tr>
      <w:tr w:rsidR="00182609" w:rsidRPr="00B7760C" w14:paraId="0DD6EF8B" w14:textId="77777777" w:rsidTr="00A35DEB">
        <w:trPr>
          <w:gridAfter w:val="2"/>
          <w:wAfter w:w="7458" w:type="dxa"/>
          <w:cantSplit/>
          <w:trHeight w:val="495"/>
        </w:trPr>
        <w:tc>
          <w:tcPr>
            <w:tcW w:w="2410" w:type="dxa"/>
            <w:vMerge/>
            <w:tcBorders>
              <w:left w:val="single" w:sz="4" w:space="0" w:color="0070C0"/>
              <w:right w:val="single" w:sz="4" w:space="0" w:color="0070C0"/>
            </w:tcBorders>
            <w:noWrap/>
          </w:tcPr>
          <w:p w14:paraId="2F5B10D0" w14:textId="77777777" w:rsidR="00182609" w:rsidRPr="00B7760C" w:rsidRDefault="00182609" w:rsidP="00AB1DA6">
            <w:pPr>
              <w:widowControl/>
              <w:spacing w:before="120" w:after="120"/>
              <w:rPr>
                <w:rFonts w:asciiTheme="minorHAnsi" w:hAnsiTheme="minorHAnsi" w:cstheme="minorHAnsi"/>
                <w:b/>
                <w:bCs/>
                <w:color w:val="000000"/>
                <w:sz w:val="18"/>
                <w:szCs w:val="18"/>
                <w:lang w:eastAsia="fr-BE"/>
              </w:rPr>
            </w:pPr>
          </w:p>
        </w:tc>
        <w:tc>
          <w:tcPr>
            <w:tcW w:w="3110" w:type="dxa"/>
            <w:tcBorders>
              <w:left w:val="single" w:sz="4" w:space="0" w:color="0070C0"/>
              <w:right w:val="single" w:sz="4" w:space="0" w:color="0070C0"/>
            </w:tcBorders>
          </w:tcPr>
          <w:p w14:paraId="53A0CD4F" w14:textId="77777777" w:rsidR="00182609" w:rsidRPr="00B7760C" w:rsidRDefault="00182609" w:rsidP="00AB1DA6">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 xml:space="preserve">1.24 Pravičnejša SKP: boljša porazdelitev podpore SKP </w:t>
            </w:r>
          </w:p>
        </w:tc>
        <w:tc>
          <w:tcPr>
            <w:tcW w:w="4680" w:type="dxa"/>
            <w:tcBorders>
              <w:left w:val="single" w:sz="4" w:space="0" w:color="0070C0"/>
              <w:right w:val="single" w:sz="4" w:space="0" w:color="0070C0"/>
            </w:tcBorders>
          </w:tcPr>
          <w:p w14:paraId="5AF1300E" w14:textId="5DF0FA3F" w:rsidR="00182609" w:rsidRPr="00B7760C" w:rsidRDefault="00182609" w:rsidP="00AB1DA6">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R.33</w:t>
            </w:r>
            <w:r w:rsidR="009D3E2B" w:rsidRPr="00B7760C">
              <w:rPr>
                <w:rFonts w:asciiTheme="minorHAnsi" w:hAnsiTheme="minorHAnsi" w:cstheme="minorHAnsi"/>
                <w:sz w:val="18"/>
                <w:szCs w:val="18"/>
              </w:rPr>
              <w:t xml:space="preserve"> </w:t>
            </w:r>
            <w:r w:rsidRPr="00B7760C">
              <w:rPr>
                <w:rFonts w:asciiTheme="minorHAnsi" w:hAnsiTheme="minorHAnsi" w:cstheme="minorHAnsi"/>
                <w:sz w:val="18"/>
                <w:szCs w:val="18"/>
              </w:rPr>
              <w:t xml:space="preserve">Digitalizacija podeželskega gospodarstva: </w:t>
            </w:r>
            <w:r w:rsidRPr="00B7760C">
              <w:rPr>
                <w:rFonts w:asciiTheme="minorHAnsi" w:hAnsiTheme="minorHAnsi" w:cstheme="minorHAnsi"/>
                <w:b/>
                <w:i/>
                <w:sz w:val="18"/>
                <w:szCs w:val="18"/>
              </w:rPr>
              <w:t>delež podeželskega prebivalstva, zajet v digitalizaciji kmetijstva, ki prejema podporo, in delež podeželskih območij, zajet</w:t>
            </w:r>
            <w:r w:rsidRPr="00B7760C">
              <w:rPr>
                <w:rFonts w:asciiTheme="minorHAnsi" w:hAnsiTheme="minorHAnsi" w:cstheme="minorHAnsi"/>
                <w:sz w:val="18"/>
                <w:szCs w:val="18"/>
              </w:rPr>
              <w:t xml:space="preserve"> v strategiji za pametne vasi, ki prejema podporo</w:t>
            </w:r>
          </w:p>
        </w:tc>
        <w:tc>
          <w:tcPr>
            <w:tcW w:w="240" w:type="dxa"/>
            <w:tcBorders>
              <w:left w:val="single" w:sz="4" w:space="0" w:color="0070C0"/>
              <w:right w:val="single" w:sz="4" w:space="0" w:color="0070C0"/>
            </w:tcBorders>
          </w:tcPr>
          <w:p w14:paraId="71CD798D" w14:textId="77777777" w:rsidR="00182609" w:rsidRPr="00B7760C" w:rsidRDefault="00182609" w:rsidP="00A35DEB">
            <w:pPr>
              <w:widowControl/>
              <w:spacing w:before="120" w:after="120" w:line="276" w:lineRule="auto"/>
              <w:jc w:val="both"/>
              <w:rPr>
                <w:rFonts w:asciiTheme="minorHAnsi" w:hAnsiTheme="minorHAnsi" w:cstheme="minorHAnsi"/>
                <w:sz w:val="18"/>
                <w:szCs w:val="18"/>
                <w:lang w:eastAsia="fr-BE"/>
              </w:rPr>
            </w:pPr>
          </w:p>
        </w:tc>
        <w:tc>
          <w:tcPr>
            <w:tcW w:w="1680" w:type="dxa"/>
            <w:tcBorders>
              <w:left w:val="single" w:sz="4" w:space="0" w:color="0070C0"/>
              <w:bottom w:val="single" w:sz="4" w:space="0" w:color="0070C0"/>
              <w:right w:val="single" w:sz="4" w:space="0" w:color="0070C0"/>
            </w:tcBorders>
          </w:tcPr>
          <w:p w14:paraId="72BD08B6" w14:textId="77777777" w:rsidR="00182609" w:rsidRPr="00B7760C" w:rsidRDefault="00182609" w:rsidP="00A35DEB">
            <w:pPr>
              <w:widowControl/>
              <w:spacing w:before="120" w:after="120"/>
              <w:jc w:val="both"/>
              <w:rPr>
                <w:rFonts w:asciiTheme="minorHAnsi" w:hAnsiTheme="minorHAnsi" w:cstheme="minorHAnsi"/>
                <w:b/>
                <w:bCs/>
                <w:color w:val="000000"/>
                <w:sz w:val="18"/>
                <w:szCs w:val="18"/>
                <w:lang w:eastAsia="fr-BE"/>
              </w:rPr>
            </w:pPr>
          </w:p>
        </w:tc>
        <w:tc>
          <w:tcPr>
            <w:tcW w:w="3240" w:type="dxa"/>
            <w:tcBorders>
              <w:left w:val="single" w:sz="4" w:space="0" w:color="0070C0"/>
              <w:bottom w:val="single" w:sz="4" w:space="0" w:color="0070C0"/>
              <w:right w:val="single" w:sz="4" w:space="0" w:color="0070C0"/>
            </w:tcBorders>
          </w:tcPr>
          <w:p w14:paraId="59041CEF" w14:textId="77777777" w:rsidR="00182609" w:rsidRPr="00B7760C" w:rsidRDefault="00182609" w:rsidP="00AB1DA6">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O.32 Število hektarov, za katere velja pogojenost (razčlenjeno glede na dobre kmetijske in okoljske prakse)</w:t>
            </w:r>
          </w:p>
        </w:tc>
      </w:tr>
      <w:tr w:rsidR="00182609" w:rsidRPr="00B7760C" w14:paraId="302281D3" w14:textId="77777777" w:rsidTr="00A35DEB">
        <w:trPr>
          <w:gridAfter w:val="2"/>
          <w:wAfter w:w="7458" w:type="dxa"/>
          <w:cantSplit/>
          <w:trHeight w:val="640"/>
        </w:trPr>
        <w:tc>
          <w:tcPr>
            <w:tcW w:w="2410" w:type="dxa"/>
            <w:vMerge/>
            <w:tcBorders>
              <w:left w:val="single" w:sz="4" w:space="0" w:color="0070C0"/>
              <w:right w:val="single" w:sz="4" w:space="0" w:color="0070C0"/>
            </w:tcBorders>
            <w:noWrap/>
          </w:tcPr>
          <w:p w14:paraId="09B05E7F" w14:textId="77777777" w:rsidR="00182609" w:rsidRPr="00B7760C" w:rsidRDefault="00182609" w:rsidP="00AB1DA6">
            <w:pPr>
              <w:widowControl/>
              <w:spacing w:before="120" w:after="120"/>
              <w:rPr>
                <w:rFonts w:asciiTheme="minorHAnsi" w:hAnsiTheme="minorHAnsi" w:cstheme="minorHAnsi"/>
                <w:b/>
                <w:bCs/>
                <w:color w:val="000000"/>
                <w:sz w:val="18"/>
                <w:szCs w:val="18"/>
                <w:lang w:eastAsia="fr-BE"/>
              </w:rPr>
            </w:pPr>
          </w:p>
        </w:tc>
        <w:tc>
          <w:tcPr>
            <w:tcW w:w="3110" w:type="dxa"/>
            <w:tcBorders>
              <w:left w:val="single" w:sz="4" w:space="0" w:color="0070C0"/>
              <w:right w:val="single" w:sz="4" w:space="0" w:color="0070C0"/>
            </w:tcBorders>
          </w:tcPr>
          <w:p w14:paraId="4E25EE0D" w14:textId="77777777" w:rsidR="00182609" w:rsidRPr="00B7760C" w:rsidRDefault="00182609" w:rsidP="00AB1DA6">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 xml:space="preserve">I.25 Spodbujanje podeželskega vključevanja: </w:t>
            </w:r>
            <w:r w:rsidRPr="00B7760C">
              <w:rPr>
                <w:rFonts w:asciiTheme="minorHAnsi" w:hAnsiTheme="minorHAnsi" w:cstheme="minorHAnsi"/>
                <w:sz w:val="18"/>
              </w:rPr>
              <w:t>spreminjanje indeksa revščine na podeželskih območjih</w:t>
            </w:r>
            <w:r w:rsidRPr="00B7760C">
              <w:rPr>
                <w:rFonts w:asciiTheme="minorHAnsi" w:hAnsiTheme="minorHAnsi" w:cstheme="minorHAnsi"/>
                <w:b/>
                <w:i/>
                <w:sz w:val="18"/>
              </w:rPr>
              <w:t>, vključno z razčlenitvijo po spolu</w:t>
            </w:r>
          </w:p>
        </w:tc>
        <w:tc>
          <w:tcPr>
            <w:tcW w:w="4680" w:type="dxa"/>
            <w:tcBorders>
              <w:left w:val="single" w:sz="4" w:space="0" w:color="0070C0"/>
              <w:right w:val="single" w:sz="4" w:space="0" w:color="0070C0"/>
            </w:tcBorders>
          </w:tcPr>
          <w:p w14:paraId="202A403E" w14:textId="77777777" w:rsidR="00182609" w:rsidRPr="00B7760C" w:rsidRDefault="00182609" w:rsidP="00AB1DA6">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R. 34 Povezovanje evropskega podeželja:</w:t>
            </w:r>
            <w:r w:rsidRPr="00B7760C">
              <w:rPr>
                <w:rFonts w:asciiTheme="minorHAnsi" w:hAnsiTheme="minorHAnsi" w:cstheme="minorHAnsi"/>
                <w:bCs/>
                <w:sz w:val="18"/>
                <w:szCs w:val="18"/>
              </w:rPr>
              <w:t xml:space="preserve"> </w:t>
            </w:r>
            <w:r w:rsidRPr="00B7760C">
              <w:rPr>
                <w:rFonts w:asciiTheme="minorHAnsi" w:hAnsiTheme="minorHAnsi" w:cstheme="minorHAnsi"/>
                <w:sz w:val="18"/>
                <w:szCs w:val="18"/>
              </w:rPr>
              <w:t>delež podeželskega prebivalstva, ki ima koristi od boljšega dostopa do storitev in infrastrukture zaradi podpore iz SKP</w:t>
            </w:r>
          </w:p>
        </w:tc>
        <w:tc>
          <w:tcPr>
            <w:tcW w:w="240" w:type="dxa"/>
            <w:tcBorders>
              <w:left w:val="single" w:sz="4" w:space="0" w:color="0070C0"/>
              <w:right w:val="single" w:sz="4" w:space="0" w:color="0070C0"/>
            </w:tcBorders>
          </w:tcPr>
          <w:p w14:paraId="0FEF43FF" w14:textId="77777777" w:rsidR="00182609" w:rsidRPr="00B7760C" w:rsidRDefault="00182609" w:rsidP="00A35DEB">
            <w:pPr>
              <w:widowControl/>
              <w:spacing w:before="120" w:after="120" w:line="276" w:lineRule="auto"/>
              <w:jc w:val="both"/>
              <w:rPr>
                <w:rFonts w:asciiTheme="minorHAnsi" w:hAnsiTheme="minorHAnsi" w:cstheme="minorHAnsi"/>
                <w:sz w:val="18"/>
                <w:szCs w:val="18"/>
                <w:lang w:eastAsia="fr-BE"/>
              </w:rPr>
            </w:pPr>
          </w:p>
        </w:tc>
        <w:tc>
          <w:tcPr>
            <w:tcW w:w="1680" w:type="dxa"/>
            <w:tcBorders>
              <w:top w:val="single" w:sz="4" w:space="0" w:color="0070C0"/>
              <w:left w:val="single" w:sz="4" w:space="0" w:color="0070C0"/>
              <w:right w:val="single" w:sz="4" w:space="0" w:color="0070C0"/>
            </w:tcBorders>
          </w:tcPr>
          <w:p w14:paraId="69104D53" w14:textId="77777777" w:rsidR="00182609" w:rsidRPr="00B7760C" w:rsidRDefault="00182609" w:rsidP="00A35DEB">
            <w:pPr>
              <w:widowControl/>
              <w:spacing w:before="120" w:after="120"/>
              <w:jc w:val="both"/>
              <w:rPr>
                <w:rFonts w:asciiTheme="minorHAnsi" w:hAnsiTheme="minorHAnsi" w:cstheme="minorHAnsi"/>
                <w:b/>
                <w:bCs/>
                <w:color w:val="000000"/>
                <w:sz w:val="18"/>
                <w:szCs w:val="18"/>
              </w:rPr>
            </w:pPr>
            <w:r w:rsidRPr="00B7760C">
              <w:rPr>
                <w:rFonts w:asciiTheme="minorHAnsi" w:hAnsiTheme="minorHAnsi" w:cstheme="minorHAnsi"/>
                <w:b/>
                <w:bCs/>
                <w:color w:val="000000"/>
                <w:sz w:val="18"/>
                <w:szCs w:val="18"/>
              </w:rPr>
              <w:t>Sektorski programi</w:t>
            </w:r>
          </w:p>
        </w:tc>
        <w:tc>
          <w:tcPr>
            <w:tcW w:w="3240" w:type="dxa"/>
            <w:tcBorders>
              <w:top w:val="single" w:sz="4" w:space="0" w:color="0070C0"/>
              <w:left w:val="single" w:sz="4" w:space="0" w:color="0070C0"/>
              <w:right w:val="single" w:sz="4" w:space="0" w:color="0070C0"/>
            </w:tcBorders>
          </w:tcPr>
          <w:p w14:paraId="31735221" w14:textId="77777777" w:rsidR="00182609" w:rsidRPr="00B7760C" w:rsidRDefault="00182609" w:rsidP="00AB1DA6">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 xml:space="preserve">O.33 Število organizacij proizvajalcev, ki vzpostavijo operativni sklad/program </w:t>
            </w:r>
          </w:p>
        </w:tc>
      </w:tr>
      <w:tr w:rsidR="00182609" w:rsidRPr="00B7760C" w14:paraId="0DAC6947" w14:textId="77777777" w:rsidTr="00A35DEB">
        <w:trPr>
          <w:gridAfter w:val="2"/>
          <w:wAfter w:w="7458" w:type="dxa"/>
          <w:cantSplit/>
          <w:trHeight w:val="640"/>
        </w:trPr>
        <w:tc>
          <w:tcPr>
            <w:tcW w:w="2410" w:type="dxa"/>
            <w:vMerge/>
            <w:tcBorders>
              <w:left w:val="single" w:sz="4" w:space="0" w:color="0070C0"/>
              <w:bottom w:val="single" w:sz="4" w:space="0" w:color="0070C0"/>
              <w:right w:val="single" w:sz="4" w:space="0" w:color="0070C0"/>
            </w:tcBorders>
            <w:noWrap/>
          </w:tcPr>
          <w:p w14:paraId="36DB3A38" w14:textId="77777777" w:rsidR="00182609" w:rsidRPr="00B7760C" w:rsidRDefault="00182609" w:rsidP="00AB1DA6">
            <w:pPr>
              <w:widowControl/>
              <w:spacing w:before="120" w:after="120"/>
              <w:rPr>
                <w:rFonts w:asciiTheme="minorHAnsi" w:hAnsiTheme="minorHAnsi" w:cstheme="minorHAnsi"/>
                <w:b/>
                <w:bCs/>
                <w:color w:val="000000"/>
                <w:sz w:val="18"/>
                <w:szCs w:val="18"/>
                <w:lang w:eastAsia="fr-BE"/>
              </w:rPr>
            </w:pPr>
          </w:p>
        </w:tc>
        <w:tc>
          <w:tcPr>
            <w:tcW w:w="3110" w:type="dxa"/>
            <w:tcBorders>
              <w:left w:val="single" w:sz="4" w:space="0" w:color="0070C0"/>
              <w:bottom w:val="single" w:sz="4" w:space="0" w:color="0070C0"/>
              <w:right w:val="single" w:sz="4" w:space="0" w:color="0070C0"/>
            </w:tcBorders>
          </w:tcPr>
          <w:p w14:paraId="13554386" w14:textId="77777777" w:rsidR="00182609" w:rsidRPr="00B7760C" w:rsidRDefault="00182609" w:rsidP="00AB1DA6">
            <w:pPr>
              <w:widowControl/>
              <w:spacing w:before="120" w:after="120"/>
              <w:rPr>
                <w:rFonts w:asciiTheme="minorHAnsi" w:hAnsiTheme="minorHAnsi" w:cstheme="minorHAnsi"/>
                <w:b/>
                <w:sz w:val="18"/>
                <w:szCs w:val="18"/>
                <w:lang w:eastAsia="fr-BE"/>
              </w:rPr>
            </w:pPr>
          </w:p>
        </w:tc>
        <w:tc>
          <w:tcPr>
            <w:tcW w:w="4680" w:type="dxa"/>
            <w:tcBorders>
              <w:left w:val="single" w:sz="4" w:space="0" w:color="0070C0"/>
              <w:bottom w:val="single" w:sz="4" w:space="0" w:color="0070C0"/>
              <w:right w:val="single" w:sz="4" w:space="0" w:color="0070C0"/>
            </w:tcBorders>
          </w:tcPr>
          <w:p w14:paraId="490C229A" w14:textId="77777777" w:rsidR="00182609" w:rsidRPr="00B7760C" w:rsidRDefault="00182609" w:rsidP="00AB1DA6">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R.35 Spodbujanje podeželskega vključevanja: število pripadnikov manjšin in/ali ranljivih skupin, ki imajo koristi od projektov socialnega vključevanja, ki prejemajo podporo</w:t>
            </w:r>
          </w:p>
        </w:tc>
        <w:tc>
          <w:tcPr>
            <w:tcW w:w="240" w:type="dxa"/>
            <w:tcBorders>
              <w:left w:val="single" w:sz="4" w:space="0" w:color="0070C0"/>
            </w:tcBorders>
          </w:tcPr>
          <w:p w14:paraId="71984D40" w14:textId="77777777" w:rsidR="00182609" w:rsidRPr="00B7760C" w:rsidRDefault="00182609" w:rsidP="00A35DEB">
            <w:pPr>
              <w:widowControl/>
              <w:spacing w:before="120" w:after="120" w:line="276" w:lineRule="auto"/>
              <w:jc w:val="both"/>
              <w:rPr>
                <w:rFonts w:asciiTheme="minorHAnsi" w:hAnsiTheme="minorHAnsi" w:cstheme="minorHAnsi"/>
                <w:sz w:val="18"/>
                <w:szCs w:val="18"/>
                <w:lang w:eastAsia="fr-BE"/>
              </w:rPr>
            </w:pPr>
          </w:p>
        </w:tc>
        <w:tc>
          <w:tcPr>
            <w:tcW w:w="1680" w:type="dxa"/>
            <w:tcBorders>
              <w:left w:val="single" w:sz="4" w:space="0" w:color="0070C0"/>
              <w:right w:val="single" w:sz="4" w:space="0" w:color="0070C0"/>
            </w:tcBorders>
          </w:tcPr>
          <w:p w14:paraId="7AD8923F" w14:textId="77777777" w:rsidR="00182609" w:rsidRPr="00B7760C" w:rsidRDefault="00182609" w:rsidP="00A35DEB">
            <w:pPr>
              <w:widowControl/>
              <w:spacing w:before="120" w:after="120"/>
              <w:jc w:val="both"/>
              <w:rPr>
                <w:rFonts w:asciiTheme="minorHAnsi" w:hAnsiTheme="minorHAnsi" w:cstheme="minorHAnsi"/>
                <w:b/>
                <w:bCs/>
                <w:color w:val="000000"/>
                <w:sz w:val="18"/>
                <w:szCs w:val="18"/>
                <w:lang w:eastAsia="fr-BE"/>
              </w:rPr>
            </w:pPr>
          </w:p>
        </w:tc>
        <w:tc>
          <w:tcPr>
            <w:tcW w:w="3240" w:type="dxa"/>
            <w:tcBorders>
              <w:left w:val="single" w:sz="4" w:space="0" w:color="0070C0"/>
              <w:right w:val="single" w:sz="4" w:space="0" w:color="0070C0"/>
            </w:tcBorders>
          </w:tcPr>
          <w:p w14:paraId="616F80C8" w14:textId="77777777" w:rsidR="00182609" w:rsidRPr="00B7760C" w:rsidRDefault="00182609" w:rsidP="00AB1DA6">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 xml:space="preserve">O.34 Število ukrepov za promocijo in informiranje ter spremljanje trga </w:t>
            </w:r>
          </w:p>
        </w:tc>
      </w:tr>
      <w:tr w:rsidR="00182609" w:rsidRPr="00B7760C" w14:paraId="5FAB3B30" w14:textId="77777777" w:rsidTr="00A35DEB">
        <w:trPr>
          <w:gridAfter w:val="2"/>
          <w:wAfter w:w="7458" w:type="dxa"/>
          <w:cantSplit/>
          <w:trHeight w:val="668"/>
        </w:trPr>
        <w:tc>
          <w:tcPr>
            <w:tcW w:w="2410" w:type="dxa"/>
            <w:vMerge w:val="restart"/>
            <w:tcBorders>
              <w:top w:val="single" w:sz="4" w:space="0" w:color="0070C0"/>
              <w:left w:val="single" w:sz="4" w:space="0" w:color="0070C0"/>
              <w:right w:val="single" w:sz="4" w:space="0" w:color="0070C0"/>
            </w:tcBorders>
            <w:noWrap/>
            <w:vAlign w:val="center"/>
          </w:tcPr>
          <w:p w14:paraId="2A4F7C7F" w14:textId="77777777" w:rsidR="00182609" w:rsidRPr="00B7760C" w:rsidRDefault="00182609" w:rsidP="00AB1DA6">
            <w:pPr>
              <w:widowControl/>
              <w:spacing w:before="120" w:after="120"/>
              <w:rPr>
                <w:rFonts w:asciiTheme="minorHAnsi" w:hAnsiTheme="minorHAnsi" w:cstheme="minorHAnsi"/>
                <w:b/>
                <w:bCs/>
                <w:color w:val="000000"/>
                <w:sz w:val="20"/>
              </w:rPr>
            </w:pPr>
            <w:r w:rsidRPr="00B7760C">
              <w:rPr>
                <w:rFonts w:asciiTheme="minorHAnsi" w:hAnsiTheme="minorHAnsi" w:cstheme="minorHAnsi"/>
                <w:sz w:val="20"/>
              </w:rPr>
              <w:t>Izboljšanje odziva kmetijstva EU na potrebe družbe po hrani in zdravju</w:t>
            </w:r>
            <w:r w:rsidRPr="00B7760C">
              <w:rPr>
                <w:rFonts w:asciiTheme="minorHAnsi" w:hAnsiTheme="minorHAnsi" w:cstheme="minorHAnsi"/>
                <w:b/>
                <w:i/>
                <w:sz w:val="20"/>
              </w:rPr>
              <w:t>, vključno z varno, hranljivo, visokokakovostno in trajnostno hrano, ekološkim kmetijstvom, zavrženo hrano in okoljsko trajnostjo, odpornostjo na antimikrobike in izboljšanjem zdravja in</w:t>
            </w:r>
            <w:r w:rsidRPr="00B7760C">
              <w:rPr>
                <w:rFonts w:asciiTheme="minorHAnsi" w:hAnsiTheme="minorHAnsi" w:cstheme="minorHAnsi"/>
                <w:sz w:val="20"/>
              </w:rPr>
              <w:t xml:space="preserve"> dobrobiti živali</w:t>
            </w:r>
            <w:r w:rsidRPr="00B7760C">
              <w:rPr>
                <w:rFonts w:asciiTheme="minorHAnsi" w:hAnsiTheme="minorHAnsi" w:cstheme="minorHAnsi"/>
                <w:b/>
                <w:i/>
                <w:sz w:val="20"/>
              </w:rPr>
              <w:t>, ter večja ozaveščenost državljanov o pomenu kmetijstva in podeželskih območij ob prispevanju k izvajanju agende za trajnostni razvoj do leta 2030.</w:t>
            </w:r>
          </w:p>
        </w:tc>
        <w:tc>
          <w:tcPr>
            <w:tcW w:w="3110" w:type="dxa"/>
            <w:tcBorders>
              <w:top w:val="single" w:sz="4" w:space="0" w:color="0070C0"/>
              <w:left w:val="single" w:sz="4" w:space="0" w:color="0070C0"/>
              <w:right w:val="single" w:sz="4" w:space="0" w:color="0070C0"/>
            </w:tcBorders>
          </w:tcPr>
          <w:p w14:paraId="4667D45A" w14:textId="77777777" w:rsidR="00182609" w:rsidRPr="00B7760C" w:rsidRDefault="00182609" w:rsidP="00AB1DA6">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 xml:space="preserve">L26 Omejevanje uporabe antibiotikov </w:t>
            </w:r>
            <w:r w:rsidRPr="00B7760C">
              <w:rPr>
                <w:rFonts w:asciiTheme="minorHAnsi" w:hAnsiTheme="minorHAnsi" w:cstheme="minorHAnsi"/>
                <w:b/>
                <w:i/>
                <w:sz w:val="18"/>
                <w:szCs w:val="18"/>
              </w:rPr>
              <w:t>in ustrezna uporaba veterinarskih zdravil</w:t>
            </w:r>
            <w:r w:rsidRPr="00B7760C">
              <w:rPr>
                <w:rFonts w:asciiTheme="minorHAnsi" w:hAnsiTheme="minorHAnsi" w:cstheme="minorHAnsi"/>
                <w:sz w:val="18"/>
                <w:szCs w:val="18"/>
              </w:rPr>
              <w:t xml:space="preserve"> v kmetijstvu:</w:t>
            </w:r>
            <w:r w:rsidRPr="00B7760C">
              <w:rPr>
                <w:rFonts w:asciiTheme="minorHAnsi" w:hAnsiTheme="minorHAnsi" w:cstheme="minorHAnsi"/>
                <w:bCs/>
                <w:sz w:val="18"/>
                <w:szCs w:val="18"/>
              </w:rPr>
              <w:t xml:space="preserve"> prodaja/uporaba pri živalih za proizvodnjo živil</w:t>
            </w:r>
          </w:p>
        </w:tc>
        <w:tc>
          <w:tcPr>
            <w:tcW w:w="4680" w:type="dxa"/>
            <w:tcBorders>
              <w:top w:val="single" w:sz="4" w:space="0" w:color="0070C0"/>
              <w:left w:val="single" w:sz="4" w:space="0" w:color="0070C0"/>
              <w:right w:val="single" w:sz="4" w:space="0" w:color="0070C0"/>
            </w:tcBorders>
          </w:tcPr>
          <w:p w14:paraId="184A4DB9" w14:textId="77777777" w:rsidR="00182609" w:rsidRPr="00B7760C" w:rsidRDefault="00182609" w:rsidP="00AB1DA6">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R.36 Omejevanje uporabe antibiotikov: delež glav velike živine, ki jih zadevajo ukrepi, ki prejemajo podporo, da se omeji uporaba antibiotikov (preprečevanje/zmanjšanje)</w:t>
            </w:r>
          </w:p>
        </w:tc>
        <w:tc>
          <w:tcPr>
            <w:tcW w:w="240" w:type="dxa"/>
            <w:tcBorders>
              <w:left w:val="single" w:sz="4" w:space="0" w:color="0070C0"/>
            </w:tcBorders>
          </w:tcPr>
          <w:p w14:paraId="7594818E" w14:textId="77777777" w:rsidR="00182609" w:rsidRPr="00B7760C" w:rsidRDefault="00182609" w:rsidP="00AB1DA6">
            <w:pPr>
              <w:widowControl/>
              <w:spacing w:before="120" w:after="120" w:line="276" w:lineRule="auto"/>
              <w:rPr>
                <w:rFonts w:asciiTheme="minorHAnsi" w:hAnsiTheme="minorHAnsi" w:cstheme="minorHAnsi"/>
                <w:sz w:val="18"/>
                <w:szCs w:val="18"/>
                <w:lang w:eastAsia="fr-BE"/>
              </w:rPr>
            </w:pPr>
          </w:p>
        </w:tc>
        <w:tc>
          <w:tcPr>
            <w:tcW w:w="1680" w:type="dxa"/>
            <w:tcBorders>
              <w:left w:val="single" w:sz="4" w:space="0" w:color="0070C0"/>
              <w:bottom w:val="single" w:sz="4" w:space="0" w:color="0070C0"/>
              <w:right w:val="single" w:sz="4" w:space="0" w:color="0070C0"/>
            </w:tcBorders>
          </w:tcPr>
          <w:p w14:paraId="5D3B0C23" w14:textId="77777777" w:rsidR="00182609" w:rsidRPr="00B7760C" w:rsidRDefault="00182609" w:rsidP="00AB1DA6">
            <w:pPr>
              <w:widowControl/>
              <w:spacing w:before="120" w:after="120"/>
              <w:rPr>
                <w:rFonts w:asciiTheme="minorHAnsi" w:hAnsiTheme="minorHAnsi" w:cstheme="minorHAnsi"/>
                <w:b/>
                <w:sz w:val="18"/>
                <w:szCs w:val="18"/>
                <w:lang w:eastAsia="fr-BE"/>
              </w:rPr>
            </w:pPr>
          </w:p>
        </w:tc>
        <w:tc>
          <w:tcPr>
            <w:tcW w:w="3240" w:type="dxa"/>
            <w:tcBorders>
              <w:left w:val="single" w:sz="4" w:space="0" w:color="0070C0"/>
              <w:bottom w:val="single" w:sz="4" w:space="0" w:color="0070C0"/>
              <w:right w:val="single" w:sz="4" w:space="0" w:color="0070C0"/>
            </w:tcBorders>
          </w:tcPr>
          <w:p w14:paraId="3D4D75C1" w14:textId="77777777" w:rsidR="00182609" w:rsidRPr="00B7760C" w:rsidRDefault="00182609" w:rsidP="00AB1DA6">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O.35 Število ukrepov za ohranitev/izboljšanje čebelarstva</w:t>
            </w:r>
          </w:p>
        </w:tc>
      </w:tr>
      <w:tr w:rsidR="00182609" w:rsidRPr="00B7760C" w14:paraId="16918EC6" w14:textId="77777777" w:rsidTr="00A35DEB">
        <w:trPr>
          <w:gridAfter w:val="2"/>
          <w:wAfter w:w="7458" w:type="dxa"/>
          <w:cantSplit/>
          <w:trHeight w:val="723"/>
        </w:trPr>
        <w:tc>
          <w:tcPr>
            <w:tcW w:w="2410" w:type="dxa"/>
            <w:vMerge/>
            <w:tcBorders>
              <w:left w:val="single" w:sz="4" w:space="0" w:color="0070C0"/>
              <w:right w:val="single" w:sz="4" w:space="0" w:color="0070C0"/>
            </w:tcBorders>
            <w:noWrap/>
          </w:tcPr>
          <w:p w14:paraId="470A849E" w14:textId="77777777" w:rsidR="00182609" w:rsidRPr="00B7760C" w:rsidRDefault="00182609" w:rsidP="00AB1DA6">
            <w:pPr>
              <w:widowControl/>
              <w:spacing w:before="120" w:after="120"/>
              <w:rPr>
                <w:rFonts w:asciiTheme="minorHAnsi" w:hAnsiTheme="minorHAnsi" w:cstheme="minorHAnsi"/>
                <w:b/>
                <w:bCs/>
                <w:color w:val="000000"/>
                <w:sz w:val="18"/>
                <w:szCs w:val="18"/>
                <w:lang w:eastAsia="fr-BE"/>
              </w:rPr>
            </w:pPr>
          </w:p>
        </w:tc>
        <w:tc>
          <w:tcPr>
            <w:tcW w:w="3110" w:type="dxa"/>
            <w:tcBorders>
              <w:left w:val="single" w:sz="4" w:space="0" w:color="0070C0"/>
              <w:right w:val="single" w:sz="4" w:space="0" w:color="0070C0"/>
            </w:tcBorders>
          </w:tcPr>
          <w:p w14:paraId="798E759D" w14:textId="77777777" w:rsidR="00182609" w:rsidRPr="00B7760C" w:rsidRDefault="00182609" w:rsidP="00AB1DA6">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 xml:space="preserve">I.27 Trajnostna </w:t>
            </w:r>
            <w:r w:rsidRPr="00B7760C">
              <w:rPr>
                <w:rFonts w:asciiTheme="minorHAnsi" w:hAnsiTheme="minorHAnsi" w:cstheme="minorHAnsi"/>
                <w:b/>
                <w:i/>
                <w:sz w:val="18"/>
                <w:szCs w:val="18"/>
              </w:rPr>
              <w:t>in zmanjšana</w:t>
            </w:r>
            <w:r w:rsidRPr="00B7760C">
              <w:rPr>
                <w:rFonts w:asciiTheme="minorHAnsi" w:hAnsiTheme="minorHAnsi" w:cstheme="minorHAnsi"/>
                <w:sz w:val="18"/>
                <w:szCs w:val="18"/>
              </w:rPr>
              <w:t xml:space="preserve"> raba pesticidov:</w:t>
            </w:r>
            <w:r w:rsidRPr="00B7760C">
              <w:rPr>
                <w:rFonts w:asciiTheme="minorHAnsi" w:hAnsiTheme="minorHAnsi" w:cstheme="minorHAnsi"/>
                <w:b/>
                <w:bCs/>
                <w:sz w:val="18"/>
                <w:szCs w:val="18"/>
              </w:rPr>
              <w:t xml:space="preserve"> </w:t>
            </w:r>
            <w:r w:rsidRPr="00B7760C">
              <w:rPr>
                <w:rFonts w:asciiTheme="minorHAnsi" w:hAnsiTheme="minorHAnsi" w:cstheme="minorHAnsi"/>
                <w:sz w:val="18"/>
                <w:szCs w:val="18"/>
              </w:rPr>
              <w:t>zmanjšanje tveganj</w:t>
            </w:r>
            <w:r w:rsidRPr="00B7760C">
              <w:rPr>
                <w:rFonts w:asciiTheme="minorHAnsi" w:hAnsiTheme="minorHAnsi" w:cstheme="minorHAnsi"/>
                <w:b/>
                <w:i/>
                <w:sz w:val="18"/>
                <w:szCs w:val="18"/>
              </w:rPr>
              <w:t>, uporabe</w:t>
            </w:r>
            <w:r w:rsidRPr="00B7760C">
              <w:rPr>
                <w:rFonts w:asciiTheme="minorHAnsi" w:hAnsiTheme="minorHAnsi" w:cstheme="minorHAnsi"/>
                <w:sz w:val="18"/>
                <w:szCs w:val="18"/>
              </w:rPr>
              <w:t xml:space="preserve"> in vplivov rabe pesticidov**</w:t>
            </w:r>
          </w:p>
        </w:tc>
        <w:tc>
          <w:tcPr>
            <w:tcW w:w="4680" w:type="dxa"/>
            <w:tcBorders>
              <w:left w:val="single" w:sz="4" w:space="0" w:color="0070C0"/>
              <w:right w:val="single" w:sz="4" w:space="0" w:color="0070C0"/>
            </w:tcBorders>
          </w:tcPr>
          <w:p w14:paraId="69430E87" w14:textId="77777777" w:rsidR="00182609" w:rsidRPr="00B7760C" w:rsidRDefault="00182609" w:rsidP="00AB1DA6">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 xml:space="preserve">R.37 Trajnostna </w:t>
            </w:r>
            <w:r w:rsidRPr="00B7760C">
              <w:rPr>
                <w:rFonts w:asciiTheme="minorHAnsi" w:hAnsiTheme="minorHAnsi" w:cstheme="minorHAnsi"/>
                <w:b/>
                <w:i/>
                <w:sz w:val="18"/>
                <w:szCs w:val="18"/>
              </w:rPr>
              <w:t>in zmanjšana</w:t>
            </w:r>
            <w:r w:rsidRPr="00B7760C">
              <w:rPr>
                <w:rFonts w:asciiTheme="minorHAnsi" w:hAnsiTheme="minorHAnsi" w:cstheme="minorHAnsi"/>
                <w:sz w:val="18"/>
                <w:szCs w:val="18"/>
              </w:rPr>
              <w:t xml:space="preserve"> raba pesticidov: delež kmetijskih zemljišč, ki jih zadevajo posebni ukrepi, ki prejemajo podporo in vodijo v trajnostno </w:t>
            </w:r>
            <w:r w:rsidRPr="00B7760C">
              <w:rPr>
                <w:rFonts w:asciiTheme="minorHAnsi" w:hAnsiTheme="minorHAnsi" w:cstheme="minorHAnsi"/>
                <w:b/>
                <w:i/>
                <w:sz w:val="18"/>
                <w:szCs w:val="18"/>
              </w:rPr>
              <w:t>in zmanjšano</w:t>
            </w:r>
            <w:r w:rsidRPr="00B7760C">
              <w:rPr>
                <w:rFonts w:asciiTheme="minorHAnsi" w:hAnsiTheme="minorHAnsi" w:cstheme="minorHAnsi"/>
                <w:sz w:val="18"/>
                <w:szCs w:val="18"/>
              </w:rPr>
              <w:t xml:space="preserve"> rabo pesticidov, da se zmanjšajo tveganja in vplivi rabe pesticidov</w:t>
            </w:r>
          </w:p>
        </w:tc>
        <w:tc>
          <w:tcPr>
            <w:tcW w:w="240" w:type="dxa"/>
            <w:tcBorders>
              <w:left w:val="single" w:sz="4" w:space="0" w:color="0070C0"/>
            </w:tcBorders>
          </w:tcPr>
          <w:p w14:paraId="4C91530B" w14:textId="77777777" w:rsidR="00182609" w:rsidRPr="00B7760C" w:rsidRDefault="00182609" w:rsidP="00AB1DA6">
            <w:pPr>
              <w:widowControl/>
              <w:spacing w:before="120" w:after="120" w:line="276" w:lineRule="auto"/>
              <w:rPr>
                <w:rFonts w:asciiTheme="minorHAnsi" w:hAnsiTheme="minorHAnsi" w:cstheme="minorHAnsi"/>
                <w:sz w:val="18"/>
                <w:szCs w:val="18"/>
                <w:lang w:eastAsia="fr-BE"/>
              </w:rPr>
            </w:pPr>
          </w:p>
        </w:tc>
        <w:tc>
          <w:tcPr>
            <w:tcW w:w="1680" w:type="dxa"/>
            <w:tcBorders>
              <w:top w:val="single" w:sz="4" w:space="0" w:color="0070C0"/>
            </w:tcBorders>
          </w:tcPr>
          <w:p w14:paraId="7E2BAC74" w14:textId="77777777" w:rsidR="00182609" w:rsidRPr="00B7760C" w:rsidRDefault="00182609" w:rsidP="00AB1DA6">
            <w:pPr>
              <w:widowControl/>
              <w:spacing w:before="120" w:after="120"/>
              <w:rPr>
                <w:rFonts w:asciiTheme="minorHAnsi" w:hAnsiTheme="minorHAnsi" w:cstheme="minorHAnsi"/>
                <w:b/>
                <w:bCs/>
                <w:color w:val="000000"/>
                <w:sz w:val="18"/>
                <w:szCs w:val="18"/>
                <w:lang w:eastAsia="fr-BE"/>
              </w:rPr>
            </w:pPr>
          </w:p>
        </w:tc>
        <w:tc>
          <w:tcPr>
            <w:tcW w:w="3240" w:type="dxa"/>
            <w:tcBorders>
              <w:top w:val="single" w:sz="4" w:space="0" w:color="0070C0"/>
            </w:tcBorders>
          </w:tcPr>
          <w:p w14:paraId="6C83C7B6" w14:textId="77777777" w:rsidR="00182609" w:rsidRPr="00B7760C" w:rsidRDefault="00182609" w:rsidP="00AB1DA6">
            <w:pPr>
              <w:widowControl/>
              <w:spacing w:before="120" w:after="120"/>
              <w:rPr>
                <w:rFonts w:asciiTheme="minorHAnsi" w:hAnsiTheme="minorHAnsi" w:cstheme="minorHAnsi"/>
                <w:b/>
                <w:sz w:val="18"/>
                <w:szCs w:val="18"/>
                <w:lang w:eastAsia="fr-BE"/>
              </w:rPr>
            </w:pPr>
          </w:p>
        </w:tc>
      </w:tr>
      <w:tr w:rsidR="00182609" w:rsidRPr="00B7760C" w14:paraId="6DB92FE6" w14:textId="77777777" w:rsidTr="00A35DEB">
        <w:trPr>
          <w:gridAfter w:val="2"/>
          <w:wAfter w:w="7458" w:type="dxa"/>
          <w:cantSplit/>
          <w:trHeight w:val="855"/>
        </w:trPr>
        <w:tc>
          <w:tcPr>
            <w:tcW w:w="2410" w:type="dxa"/>
            <w:vMerge/>
            <w:tcBorders>
              <w:left w:val="single" w:sz="4" w:space="0" w:color="0070C0"/>
              <w:bottom w:val="single" w:sz="4" w:space="0" w:color="0070C0"/>
              <w:right w:val="single" w:sz="4" w:space="0" w:color="0070C0"/>
            </w:tcBorders>
            <w:noWrap/>
          </w:tcPr>
          <w:p w14:paraId="691F0CEE" w14:textId="77777777" w:rsidR="00182609" w:rsidRPr="00B7760C" w:rsidRDefault="00182609" w:rsidP="00AB1DA6">
            <w:pPr>
              <w:widowControl/>
              <w:spacing w:before="120" w:after="120"/>
              <w:rPr>
                <w:rFonts w:asciiTheme="minorHAnsi" w:hAnsiTheme="minorHAnsi" w:cstheme="minorHAnsi"/>
                <w:b/>
                <w:bCs/>
                <w:color w:val="000000"/>
                <w:sz w:val="18"/>
                <w:szCs w:val="18"/>
                <w:lang w:eastAsia="fr-BE"/>
              </w:rPr>
            </w:pPr>
          </w:p>
        </w:tc>
        <w:tc>
          <w:tcPr>
            <w:tcW w:w="3110" w:type="dxa"/>
            <w:tcBorders>
              <w:left w:val="single" w:sz="4" w:space="0" w:color="0070C0"/>
              <w:bottom w:val="single" w:sz="4" w:space="0" w:color="0070C0"/>
              <w:right w:val="single" w:sz="4" w:space="0" w:color="0070C0"/>
            </w:tcBorders>
          </w:tcPr>
          <w:p w14:paraId="673FFFD8" w14:textId="77777777" w:rsidR="00182609" w:rsidRPr="00B7760C" w:rsidRDefault="00182609" w:rsidP="00AB1DA6">
            <w:pPr>
              <w:widowControl/>
              <w:spacing w:before="120" w:after="120"/>
              <w:rPr>
                <w:rFonts w:asciiTheme="minorHAnsi" w:hAnsiTheme="minorHAnsi" w:cstheme="minorHAnsi"/>
                <w:sz w:val="18"/>
                <w:szCs w:val="18"/>
              </w:rPr>
            </w:pPr>
            <w:r w:rsidRPr="00B7760C">
              <w:rPr>
                <w:rFonts w:asciiTheme="minorHAnsi" w:hAnsiTheme="minorHAnsi" w:cstheme="minorHAnsi"/>
                <w:sz w:val="18"/>
                <w:szCs w:val="18"/>
              </w:rPr>
              <w:t xml:space="preserve">I.28 Odziv na povpraševanje potrošnikov po kakovostni hrani: vrednost proizvodnje v okviru shem kakovosti EU (vključno z ekološkimi proizvodi) </w:t>
            </w:r>
          </w:p>
        </w:tc>
        <w:tc>
          <w:tcPr>
            <w:tcW w:w="4680" w:type="dxa"/>
            <w:tcBorders>
              <w:left w:val="single" w:sz="4" w:space="0" w:color="0070C0"/>
              <w:bottom w:val="single" w:sz="4" w:space="0" w:color="0070C0"/>
              <w:right w:val="single" w:sz="4" w:space="0" w:color="0070C0"/>
            </w:tcBorders>
          </w:tcPr>
          <w:p w14:paraId="1D46E533" w14:textId="77777777" w:rsidR="00182609" w:rsidRPr="00B7760C" w:rsidRDefault="00182609" w:rsidP="00AB1DA6">
            <w:pPr>
              <w:widowControl/>
              <w:spacing w:before="120" w:after="120"/>
              <w:rPr>
                <w:rFonts w:asciiTheme="minorHAnsi" w:hAnsiTheme="minorHAnsi" w:cstheme="minorHAnsi"/>
                <w:bCs/>
                <w:sz w:val="18"/>
                <w:szCs w:val="18"/>
              </w:rPr>
            </w:pPr>
            <w:r w:rsidRPr="00B7760C">
              <w:rPr>
                <w:rFonts w:asciiTheme="minorHAnsi" w:hAnsiTheme="minorHAnsi" w:cstheme="minorHAnsi"/>
                <w:sz w:val="18"/>
                <w:szCs w:val="18"/>
              </w:rPr>
              <w:t>R.38</w:t>
            </w:r>
            <w:r w:rsidRPr="00B7760C">
              <w:rPr>
                <w:rFonts w:asciiTheme="minorHAnsi" w:hAnsiTheme="minorHAnsi" w:cstheme="minorHAnsi"/>
                <w:bCs/>
                <w:sz w:val="18"/>
                <w:szCs w:val="18"/>
              </w:rPr>
              <w:t xml:space="preserve"> </w:t>
            </w:r>
            <w:r w:rsidRPr="00B7760C">
              <w:rPr>
                <w:rFonts w:asciiTheme="minorHAnsi" w:hAnsiTheme="minorHAnsi" w:cstheme="minorHAnsi"/>
                <w:sz w:val="18"/>
                <w:szCs w:val="18"/>
              </w:rPr>
              <w:t>Izboljšanje dobrobiti živali: delež glav velike živine, ki jih zajema ukrep, ki prejema podporo, za izboljšanje dobrobiti živali</w:t>
            </w:r>
          </w:p>
        </w:tc>
        <w:tc>
          <w:tcPr>
            <w:tcW w:w="240" w:type="dxa"/>
            <w:tcBorders>
              <w:left w:val="single" w:sz="4" w:space="0" w:color="0070C0"/>
            </w:tcBorders>
          </w:tcPr>
          <w:p w14:paraId="43D3A64D" w14:textId="77777777" w:rsidR="00182609" w:rsidRPr="00B7760C" w:rsidRDefault="00182609" w:rsidP="00AB1DA6">
            <w:pPr>
              <w:widowControl/>
              <w:spacing w:before="120" w:after="120" w:line="276" w:lineRule="auto"/>
              <w:rPr>
                <w:rFonts w:asciiTheme="minorHAnsi" w:hAnsiTheme="minorHAnsi" w:cstheme="minorHAnsi"/>
                <w:sz w:val="18"/>
                <w:szCs w:val="18"/>
                <w:lang w:eastAsia="fr-BE"/>
              </w:rPr>
            </w:pPr>
          </w:p>
        </w:tc>
        <w:tc>
          <w:tcPr>
            <w:tcW w:w="1680" w:type="dxa"/>
          </w:tcPr>
          <w:p w14:paraId="299FAA78" w14:textId="77777777" w:rsidR="00182609" w:rsidRPr="00B7760C" w:rsidRDefault="00182609" w:rsidP="00AB1DA6">
            <w:pPr>
              <w:widowControl/>
              <w:spacing w:before="120" w:after="120"/>
              <w:rPr>
                <w:rFonts w:asciiTheme="minorHAnsi" w:hAnsiTheme="minorHAnsi" w:cstheme="minorHAnsi"/>
                <w:b/>
                <w:bCs/>
                <w:color w:val="000000"/>
                <w:sz w:val="18"/>
                <w:szCs w:val="18"/>
                <w:lang w:eastAsia="fr-BE"/>
              </w:rPr>
            </w:pPr>
          </w:p>
        </w:tc>
        <w:tc>
          <w:tcPr>
            <w:tcW w:w="3240" w:type="dxa"/>
          </w:tcPr>
          <w:p w14:paraId="6D5B96E8" w14:textId="77777777" w:rsidR="00182609" w:rsidRPr="00B7760C" w:rsidRDefault="00182609" w:rsidP="00AB1DA6">
            <w:pPr>
              <w:widowControl/>
              <w:spacing w:before="120" w:after="120"/>
              <w:rPr>
                <w:rFonts w:asciiTheme="minorHAnsi" w:hAnsiTheme="minorHAnsi" w:cstheme="minorHAnsi"/>
                <w:b/>
                <w:sz w:val="18"/>
                <w:szCs w:val="18"/>
                <w:lang w:eastAsia="fr-BE"/>
              </w:rPr>
            </w:pPr>
          </w:p>
        </w:tc>
      </w:tr>
      <w:tr w:rsidR="00182609" w:rsidRPr="00B7760C" w14:paraId="387C0012" w14:textId="77777777" w:rsidTr="00A35DEB">
        <w:trPr>
          <w:cantSplit/>
          <w:trHeight w:val="535"/>
        </w:trPr>
        <w:tc>
          <w:tcPr>
            <w:tcW w:w="5520" w:type="dxa"/>
            <w:gridSpan w:val="2"/>
            <w:noWrap/>
            <w:vAlign w:val="bottom"/>
          </w:tcPr>
          <w:p w14:paraId="746F80DD" w14:textId="14E21341" w:rsidR="00182609" w:rsidRPr="00B7760C" w:rsidRDefault="00182609" w:rsidP="00AB1DA6">
            <w:pPr>
              <w:widowControl/>
              <w:spacing w:before="120" w:after="120"/>
              <w:rPr>
                <w:rFonts w:asciiTheme="minorHAnsi" w:hAnsiTheme="minorHAnsi" w:cstheme="minorHAnsi"/>
                <w:sz w:val="18"/>
                <w:szCs w:val="18"/>
              </w:rPr>
            </w:pPr>
            <w:r w:rsidRPr="00B7760C">
              <w:rPr>
                <w:rFonts w:asciiTheme="minorHAnsi" w:hAnsiTheme="minorHAnsi" w:cstheme="minorHAnsi"/>
                <w:bCs/>
                <w:color w:val="000000"/>
                <w:sz w:val="18"/>
                <w:szCs w:val="18"/>
              </w:rPr>
              <w:t>* Večina kazalnikov učinka se že zbira prek drugih kanalov (Eurostat, Skupno raziskovalno središče, Evropska agencija za okolje itn.) in se uporablja v okviru druge zakonodaje EU ali ciljev trajnostnega razvoja. Podatki se ne zbirajo vedno na letni ravni in lahko pride do 2/3-letne zamude.</w:t>
            </w:r>
            <w:r w:rsidRPr="00B7760C">
              <w:rPr>
                <w:rFonts w:asciiTheme="minorHAnsi" w:hAnsiTheme="minorHAnsi" w:cstheme="minorHAnsi"/>
                <w:i/>
                <w:color w:val="000000"/>
                <w:sz w:val="18"/>
                <w:szCs w:val="18"/>
              </w:rPr>
              <w:t xml:space="preserve"> </w:t>
            </w:r>
            <w:r w:rsidRPr="00B7760C">
              <w:rPr>
                <w:rFonts w:asciiTheme="minorHAnsi" w:hAnsiTheme="minorHAnsi" w:cstheme="minorHAnsi"/>
                <w:b/>
                <w:bCs/>
                <w:i/>
                <w:sz w:val="18"/>
                <w:szCs w:val="18"/>
              </w:rPr>
              <w:t>*ª</w:t>
            </w:r>
            <w:r w:rsidR="009D3E2B" w:rsidRPr="00B7760C">
              <w:rPr>
                <w:rFonts w:asciiTheme="minorHAnsi" w:hAnsiTheme="minorHAnsi" w:cstheme="minorHAnsi"/>
                <w:b/>
                <w:bCs/>
                <w:i/>
                <w:sz w:val="18"/>
                <w:szCs w:val="18"/>
              </w:rPr>
              <w:t xml:space="preserve"> </w:t>
            </w:r>
            <w:r w:rsidRPr="00B7760C">
              <w:rPr>
                <w:rFonts w:asciiTheme="minorHAnsi" w:hAnsiTheme="minorHAnsi" w:cstheme="minorHAnsi"/>
                <w:b/>
                <w:i/>
                <w:sz w:val="18"/>
                <w:szCs w:val="18"/>
              </w:rPr>
              <w:t>Indeks opraševalcev se bo začel uporabljati, ko bo Komisija določila metodologijo</w:t>
            </w:r>
            <w:r w:rsidRPr="00B7760C">
              <w:rPr>
                <w:rFonts w:asciiTheme="minorHAnsi" w:hAnsiTheme="minorHAnsi" w:cstheme="minorHAnsi"/>
                <w:sz w:val="18"/>
                <w:szCs w:val="18"/>
              </w:rPr>
              <w:t xml:space="preserve"> ** Direktiva o trajnostni rabi pesticidov</w:t>
            </w:r>
          </w:p>
        </w:tc>
        <w:tc>
          <w:tcPr>
            <w:tcW w:w="4680" w:type="dxa"/>
          </w:tcPr>
          <w:p w14:paraId="74AF974B" w14:textId="77777777" w:rsidR="00182609" w:rsidRPr="00B7760C" w:rsidRDefault="00182609" w:rsidP="00AB1DA6">
            <w:pPr>
              <w:widowControl/>
              <w:spacing w:before="120" w:after="120"/>
              <w:rPr>
                <w:rFonts w:asciiTheme="minorHAnsi" w:hAnsiTheme="minorHAnsi" w:cstheme="minorHAnsi"/>
                <w:bCs/>
                <w:color w:val="000000"/>
                <w:sz w:val="18"/>
                <w:szCs w:val="18"/>
              </w:rPr>
            </w:pPr>
            <w:r w:rsidRPr="00B7760C">
              <w:rPr>
                <w:rFonts w:asciiTheme="minorHAnsi" w:hAnsiTheme="minorHAnsi" w:cstheme="minorHAnsi"/>
                <w:bCs/>
                <w:color w:val="000000"/>
                <w:sz w:val="18"/>
                <w:szCs w:val="18"/>
              </w:rPr>
              <w:t>* Približki za rezultate. Podatki, ki jih države članice vsako leto sporočijo za spremljanje napredka pri doseganju ciljev, ki so si jih zastavile v načrtih SKP.</w:t>
            </w:r>
          </w:p>
        </w:tc>
        <w:tc>
          <w:tcPr>
            <w:tcW w:w="240" w:type="dxa"/>
            <w:tcBorders>
              <w:left w:val="nil"/>
            </w:tcBorders>
          </w:tcPr>
          <w:p w14:paraId="0F4BFF93" w14:textId="77777777" w:rsidR="00182609" w:rsidRPr="00B7760C" w:rsidRDefault="00182609" w:rsidP="00AB1DA6">
            <w:pPr>
              <w:widowControl/>
              <w:spacing w:before="120" w:after="120" w:line="276" w:lineRule="auto"/>
              <w:rPr>
                <w:rFonts w:asciiTheme="minorHAnsi" w:hAnsiTheme="minorHAnsi" w:cstheme="minorHAnsi"/>
                <w:sz w:val="18"/>
                <w:szCs w:val="18"/>
                <w:lang w:eastAsia="fr-BE"/>
              </w:rPr>
            </w:pPr>
          </w:p>
        </w:tc>
        <w:tc>
          <w:tcPr>
            <w:tcW w:w="4920" w:type="dxa"/>
            <w:gridSpan w:val="2"/>
          </w:tcPr>
          <w:p w14:paraId="71987075" w14:textId="77777777" w:rsidR="00182609" w:rsidRPr="00B7760C" w:rsidRDefault="00182609" w:rsidP="00AB1DA6">
            <w:pPr>
              <w:widowControl/>
              <w:spacing w:before="120" w:after="120"/>
              <w:rPr>
                <w:rFonts w:asciiTheme="minorHAnsi" w:hAnsiTheme="minorHAnsi" w:cstheme="minorHAnsi"/>
                <w:bCs/>
                <w:color w:val="000000"/>
                <w:sz w:val="18"/>
                <w:szCs w:val="18"/>
              </w:rPr>
            </w:pPr>
            <w:r w:rsidRPr="00B7760C">
              <w:rPr>
                <w:rFonts w:asciiTheme="minorHAnsi" w:hAnsiTheme="minorHAnsi" w:cstheme="minorHAnsi"/>
                <w:bCs/>
                <w:color w:val="000000"/>
                <w:sz w:val="18"/>
                <w:szCs w:val="18"/>
              </w:rPr>
              <w:t>* Letno sporočeni podatki za prijavljene odhodke.</w:t>
            </w:r>
          </w:p>
          <w:p w14:paraId="001F3257" w14:textId="77777777" w:rsidR="00182609" w:rsidRPr="00B7760C" w:rsidRDefault="00182609" w:rsidP="00AB1DA6">
            <w:pPr>
              <w:widowControl/>
              <w:spacing w:before="120" w:after="120"/>
              <w:rPr>
                <w:rFonts w:asciiTheme="minorHAnsi" w:hAnsiTheme="minorHAnsi" w:cstheme="minorHAnsi"/>
                <w:b/>
                <w:sz w:val="18"/>
                <w:szCs w:val="18"/>
              </w:rPr>
            </w:pPr>
            <w:r w:rsidRPr="00B7760C">
              <w:rPr>
                <w:rFonts w:asciiTheme="minorHAnsi" w:hAnsiTheme="minorHAnsi" w:cstheme="minorHAnsi"/>
                <w:sz w:val="18"/>
                <w:szCs w:val="18"/>
              </w:rPr>
              <w:t>** Za podporo za operativne skupine v okviru evropskega inovacijskega partnerstva (EIP) se uporabljajo določbe o sodelovanju.</w:t>
            </w:r>
          </w:p>
        </w:tc>
        <w:tc>
          <w:tcPr>
            <w:tcW w:w="4058" w:type="dxa"/>
          </w:tcPr>
          <w:p w14:paraId="47DAF491" w14:textId="77777777" w:rsidR="00182609" w:rsidRPr="00B7760C" w:rsidRDefault="00182609" w:rsidP="00A35DEB">
            <w:pPr>
              <w:widowControl/>
              <w:spacing w:before="120" w:after="120"/>
              <w:jc w:val="both"/>
              <w:rPr>
                <w:rFonts w:asciiTheme="minorHAnsi" w:hAnsiTheme="minorHAnsi" w:cstheme="minorHAnsi"/>
              </w:rPr>
            </w:pPr>
          </w:p>
        </w:tc>
        <w:tc>
          <w:tcPr>
            <w:tcW w:w="3400" w:type="dxa"/>
          </w:tcPr>
          <w:p w14:paraId="35E54B06" w14:textId="77777777" w:rsidR="00182609" w:rsidRPr="00B7760C" w:rsidRDefault="00182609" w:rsidP="00A35DEB">
            <w:pPr>
              <w:widowControl/>
              <w:spacing w:before="120" w:after="120"/>
              <w:jc w:val="both"/>
              <w:rPr>
                <w:rFonts w:asciiTheme="minorHAnsi" w:hAnsiTheme="minorHAnsi" w:cstheme="minorHAnsi"/>
              </w:rPr>
            </w:pPr>
          </w:p>
        </w:tc>
      </w:tr>
    </w:tbl>
    <w:p w14:paraId="0B588457" w14:textId="77777777" w:rsidR="00182609" w:rsidRPr="00B7760C" w:rsidRDefault="00182609" w:rsidP="003663AF"/>
    <w:p w14:paraId="6B8311FE" w14:textId="5F3C1A40" w:rsidR="003663AF" w:rsidRPr="00B7760C" w:rsidRDefault="003663AF" w:rsidP="003663AF"/>
    <w:p w14:paraId="55EC1229" w14:textId="32D5F844" w:rsidR="006D33E3" w:rsidRPr="00B7760C" w:rsidRDefault="004F0B88" w:rsidP="006D33E3">
      <w:pPr>
        <w:pStyle w:val="AmNumberTabs0"/>
      </w:pPr>
      <w:r w:rsidRPr="00B7760C">
        <w:t>Sprememba</w:t>
      </w:r>
      <w:r w:rsidR="006D33E3" w:rsidRPr="00B7760C">
        <w:tab/>
      </w:r>
      <w:r w:rsidR="006D33E3" w:rsidRPr="00B7760C">
        <w:tab/>
        <w:t>1141</w:t>
      </w:r>
    </w:p>
    <w:p w14:paraId="5C818A61" w14:textId="77777777" w:rsidR="006D33E3" w:rsidRPr="00B7760C" w:rsidRDefault="006D33E3" w:rsidP="006D33E3">
      <w:pPr>
        <w:pStyle w:val="NormalBold12b"/>
      </w:pPr>
      <w:r w:rsidRPr="00B7760C">
        <w:t>Predlog uredbe</w:t>
      </w:r>
    </w:p>
    <w:p w14:paraId="70A6A31F" w14:textId="77777777" w:rsidR="006D33E3" w:rsidRPr="00B7760C" w:rsidRDefault="006D33E3" w:rsidP="006D33E3">
      <w:pPr>
        <w:pStyle w:val="NormalBold"/>
      </w:pPr>
      <w:r w:rsidRPr="00B7760C">
        <w:t>Priloga III</w:t>
      </w:r>
    </w:p>
    <w:tbl>
      <w:tblPr>
        <w:tblW w:w="9752" w:type="dxa"/>
        <w:jc w:val="center"/>
        <w:tblLayout w:type="fixed"/>
        <w:tblCellMar>
          <w:left w:w="340" w:type="dxa"/>
          <w:right w:w="340" w:type="dxa"/>
        </w:tblCellMar>
        <w:tblLook w:val="0000" w:firstRow="0" w:lastRow="0" w:firstColumn="0" w:lastColumn="0" w:noHBand="0" w:noVBand="0"/>
      </w:tblPr>
      <w:tblGrid>
        <w:gridCol w:w="9752"/>
      </w:tblGrid>
      <w:tr w:rsidR="006D33E3" w:rsidRPr="00B7760C" w14:paraId="230AABCF" w14:textId="77777777" w:rsidTr="004F0B88">
        <w:trPr>
          <w:jc w:val="center"/>
        </w:trPr>
        <w:tc>
          <w:tcPr>
            <w:tcW w:w="9752" w:type="dxa"/>
          </w:tcPr>
          <w:p w14:paraId="43CCCE14" w14:textId="77777777" w:rsidR="006D33E3" w:rsidRPr="00B7760C" w:rsidRDefault="006D33E3" w:rsidP="004F0B88">
            <w:pPr>
              <w:keepNext/>
            </w:pPr>
          </w:p>
        </w:tc>
      </w:tr>
      <w:tr w:rsidR="006D33E3" w:rsidRPr="00B7760C" w14:paraId="7489C4E2" w14:textId="77777777" w:rsidTr="004F0B88">
        <w:trPr>
          <w:jc w:val="center"/>
        </w:trPr>
        <w:tc>
          <w:tcPr>
            <w:tcW w:w="9752" w:type="dxa"/>
          </w:tcPr>
          <w:p w14:paraId="6B6DF62B" w14:textId="77777777" w:rsidR="006D33E3" w:rsidRPr="00B7760C" w:rsidRDefault="006D33E3" w:rsidP="004F0B88">
            <w:pPr>
              <w:pStyle w:val="AmColumnHeading"/>
              <w:keepNext/>
            </w:pPr>
            <w:r w:rsidRPr="00B7760C">
              <w:t>Besedilo, ki ga predlaga Komisija</w:t>
            </w:r>
          </w:p>
        </w:tc>
      </w:tr>
    </w:tbl>
    <w:p w14:paraId="6452F647" w14:textId="77777777" w:rsidR="006D33E3" w:rsidRPr="00B7760C" w:rsidRDefault="006D33E3" w:rsidP="006D33E3">
      <w:pPr>
        <w:widowControl/>
        <w:spacing w:before="120" w:after="120"/>
        <w:jc w:val="center"/>
        <w:rPr>
          <w:rFonts w:eastAsia="Calibri"/>
          <w:b/>
          <w:szCs w:val="22"/>
          <w:u w:val="single"/>
        </w:rPr>
      </w:pPr>
      <w:r w:rsidRPr="00B7760C">
        <w:rPr>
          <w:b/>
          <w:szCs w:val="22"/>
          <w:u w:val="single"/>
        </w:rPr>
        <w:t>PRILOGA III</w:t>
      </w:r>
    </w:p>
    <w:p w14:paraId="5DBEFC73" w14:textId="77777777" w:rsidR="006D33E3" w:rsidRPr="00B7760C" w:rsidRDefault="006D33E3" w:rsidP="006D33E3">
      <w:pPr>
        <w:widowControl/>
        <w:jc w:val="both"/>
        <w:rPr>
          <w:rFonts w:eastAsia="Calibri"/>
          <w:szCs w:val="24"/>
          <w:lang w:eastAsia="en-US"/>
        </w:rPr>
      </w:pPr>
    </w:p>
    <w:p w14:paraId="02E7AEE2" w14:textId="77777777" w:rsidR="006D33E3" w:rsidRPr="00B7760C" w:rsidRDefault="006D33E3" w:rsidP="006D33E3">
      <w:pPr>
        <w:widowControl/>
        <w:jc w:val="center"/>
        <w:rPr>
          <w:b/>
          <w:bCs/>
          <w:color w:val="000000"/>
          <w:szCs w:val="24"/>
        </w:rPr>
      </w:pPr>
      <w:r w:rsidRPr="00B7760C">
        <w:rPr>
          <w:b/>
          <w:bCs/>
          <w:color w:val="000000"/>
          <w:szCs w:val="24"/>
        </w:rPr>
        <w:t xml:space="preserve">PRAVILA O POGOJENOSTI NA PODLAGI ČLENA 11 </w:t>
      </w:r>
    </w:p>
    <w:p w14:paraId="0D2CC52F" w14:textId="77777777" w:rsidR="006D33E3" w:rsidRPr="00B7760C" w:rsidRDefault="006D33E3" w:rsidP="006D33E3">
      <w:pPr>
        <w:widowControl/>
        <w:jc w:val="both"/>
        <w:rPr>
          <w:rFonts w:eastAsia="Arial Unicode MS"/>
          <w:bCs/>
          <w:color w:val="000000"/>
          <w:szCs w:val="24"/>
        </w:rPr>
      </w:pPr>
    </w:p>
    <w:p w14:paraId="09954E95" w14:textId="77777777" w:rsidR="006D33E3" w:rsidRPr="00B7760C" w:rsidRDefault="006D33E3" w:rsidP="006D33E3">
      <w:pPr>
        <w:widowControl/>
        <w:jc w:val="both"/>
        <w:rPr>
          <w:rFonts w:eastAsia="Arial Unicode MS"/>
          <w:bCs/>
          <w:color w:val="000000"/>
          <w:sz w:val="20"/>
        </w:rPr>
      </w:pPr>
      <w:r w:rsidRPr="00B7760C">
        <w:rPr>
          <w:bCs/>
          <w:color w:val="000000"/>
          <w:sz w:val="20"/>
        </w:rPr>
        <w:t>PZR: predpisana zahteva ravnanja</w:t>
      </w:r>
    </w:p>
    <w:p w14:paraId="3FF45E92" w14:textId="77777777" w:rsidR="006D33E3" w:rsidRPr="00B7760C" w:rsidRDefault="006D33E3" w:rsidP="006D33E3">
      <w:pPr>
        <w:widowControl/>
        <w:jc w:val="both"/>
        <w:rPr>
          <w:rFonts w:eastAsia="Arial Unicode MS"/>
          <w:bCs/>
          <w:color w:val="000000"/>
          <w:sz w:val="20"/>
        </w:rPr>
      </w:pPr>
      <w:r w:rsidRPr="00B7760C">
        <w:rPr>
          <w:bCs/>
          <w:color w:val="000000"/>
          <w:sz w:val="20"/>
        </w:rPr>
        <w:t>DKOP: standardi za dobre kmetijske in okoljske pogoje</w:t>
      </w:r>
    </w:p>
    <w:tbl>
      <w:tblPr>
        <w:tblW w:w="9806"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65"/>
        <w:gridCol w:w="1479"/>
        <w:gridCol w:w="960"/>
        <w:gridCol w:w="3843"/>
        <w:gridCol w:w="2159"/>
      </w:tblGrid>
      <w:tr w:rsidR="006D33E3" w:rsidRPr="00B7760C" w14:paraId="563C98F2" w14:textId="77777777" w:rsidTr="004F0B88">
        <w:trPr>
          <w:cantSplit/>
          <w:tblHeader/>
          <w:tblCellSpacing w:w="0" w:type="dxa"/>
          <w:jc w:val="center"/>
        </w:trPr>
        <w:tc>
          <w:tcPr>
            <w:tcW w:w="1398" w:type="dxa"/>
            <w:tcBorders>
              <w:top w:val="outset" w:sz="6" w:space="0" w:color="auto"/>
              <w:left w:val="outset" w:sz="6" w:space="0" w:color="auto"/>
              <w:bottom w:val="outset" w:sz="6" w:space="0" w:color="auto"/>
              <w:right w:val="outset" w:sz="6" w:space="0" w:color="auto"/>
            </w:tcBorders>
            <w:hideMark/>
          </w:tcPr>
          <w:p w14:paraId="1CDCD751" w14:textId="77777777" w:rsidR="006D33E3" w:rsidRPr="00B7760C" w:rsidRDefault="006D33E3" w:rsidP="004F0B88">
            <w:pPr>
              <w:widowControl/>
              <w:spacing w:before="60" w:after="60"/>
              <w:jc w:val="both"/>
              <w:rPr>
                <w:rFonts w:eastAsia="Arial Unicode MS"/>
                <w:b/>
                <w:bCs/>
                <w:color w:val="000000"/>
                <w:sz w:val="20"/>
              </w:rPr>
            </w:pPr>
            <w:r w:rsidRPr="00B7760C">
              <w:rPr>
                <w:b/>
                <w:bCs/>
                <w:color w:val="000000"/>
                <w:sz w:val="20"/>
              </w:rPr>
              <w:t>Območja</w:t>
            </w:r>
          </w:p>
        </w:tc>
        <w:tc>
          <w:tcPr>
            <w:tcW w:w="1249" w:type="dxa"/>
            <w:tcBorders>
              <w:top w:val="outset" w:sz="6" w:space="0" w:color="auto"/>
              <w:left w:val="outset" w:sz="6" w:space="0" w:color="auto"/>
              <w:bottom w:val="outset" w:sz="6" w:space="0" w:color="auto"/>
              <w:right w:val="outset" w:sz="6" w:space="0" w:color="auto"/>
            </w:tcBorders>
            <w:hideMark/>
          </w:tcPr>
          <w:p w14:paraId="5F3D0DEC" w14:textId="77777777" w:rsidR="006D33E3" w:rsidRPr="00B7760C" w:rsidRDefault="006D33E3" w:rsidP="004F0B88">
            <w:pPr>
              <w:widowControl/>
              <w:spacing w:before="60" w:after="60"/>
              <w:jc w:val="center"/>
              <w:rPr>
                <w:rFonts w:eastAsia="Arial Unicode MS"/>
                <w:b/>
                <w:bCs/>
                <w:color w:val="000000"/>
                <w:sz w:val="20"/>
              </w:rPr>
            </w:pPr>
            <w:r w:rsidRPr="00B7760C">
              <w:rPr>
                <w:b/>
                <w:bCs/>
                <w:color w:val="000000"/>
                <w:sz w:val="20"/>
              </w:rPr>
              <w:t>Glavna zadeva</w:t>
            </w:r>
          </w:p>
        </w:tc>
        <w:tc>
          <w:tcPr>
            <w:tcW w:w="4950" w:type="dxa"/>
            <w:gridSpan w:val="2"/>
            <w:tcBorders>
              <w:top w:val="outset" w:sz="6" w:space="0" w:color="auto"/>
              <w:left w:val="outset" w:sz="6" w:space="0" w:color="auto"/>
              <w:bottom w:val="outset" w:sz="6" w:space="0" w:color="auto"/>
              <w:right w:val="outset" w:sz="6" w:space="0" w:color="auto"/>
            </w:tcBorders>
            <w:hideMark/>
          </w:tcPr>
          <w:p w14:paraId="444C0C39" w14:textId="77777777" w:rsidR="006D33E3" w:rsidRPr="00B7760C" w:rsidRDefault="006D33E3" w:rsidP="004F0B88">
            <w:pPr>
              <w:widowControl/>
              <w:spacing w:before="60" w:after="60"/>
              <w:jc w:val="both"/>
              <w:rPr>
                <w:rFonts w:eastAsia="Arial Unicode MS"/>
                <w:b/>
                <w:bCs/>
                <w:color w:val="000000"/>
                <w:sz w:val="20"/>
              </w:rPr>
            </w:pPr>
            <w:r w:rsidRPr="00B7760C">
              <w:rPr>
                <w:b/>
                <w:bCs/>
                <w:color w:val="000000"/>
                <w:sz w:val="20"/>
              </w:rPr>
              <w:t>Zahteve in standardi</w:t>
            </w:r>
          </w:p>
        </w:tc>
        <w:tc>
          <w:tcPr>
            <w:tcW w:w="2209" w:type="dxa"/>
            <w:tcBorders>
              <w:top w:val="outset" w:sz="6" w:space="0" w:color="auto"/>
              <w:left w:val="outset" w:sz="6" w:space="0" w:color="auto"/>
              <w:bottom w:val="outset" w:sz="6" w:space="0" w:color="auto"/>
              <w:right w:val="outset" w:sz="6" w:space="0" w:color="auto"/>
            </w:tcBorders>
          </w:tcPr>
          <w:p w14:paraId="347DB95B" w14:textId="77777777" w:rsidR="006D33E3" w:rsidRPr="00B7760C" w:rsidRDefault="006D33E3" w:rsidP="004F0B88">
            <w:pPr>
              <w:widowControl/>
              <w:spacing w:before="60" w:after="60"/>
              <w:jc w:val="both"/>
              <w:rPr>
                <w:rFonts w:eastAsia="Arial Unicode MS"/>
                <w:b/>
                <w:bCs/>
                <w:color w:val="000000"/>
                <w:sz w:val="20"/>
              </w:rPr>
            </w:pPr>
            <w:r w:rsidRPr="00B7760C">
              <w:rPr>
                <w:b/>
                <w:bCs/>
                <w:color w:val="000000"/>
                <w:sz w:val="20"/>
              </w:rPr>
              <w:t>Glavni cilj standarda</w:t>
            </w:r>
          </w:p>
        </w:tc>
      </w:tr>
      <w:tr w:rsidR="006D33E3" w:rsidRPr="00B7760C" w14:paraId="4D6CCFE1" w14:textId="77777777" w:rsidTr="004F0B88">
        <w:trPr>
          <w:cantSplit/>
          <w:tblCellSpacing w:w="0" w:type="dxa"/>
          <w:jc w:val="center"/>
        </w:trPr>
        <w:tc>
          <w:tcPr>
            <w:tcW w:w="1398" w:type="dxa"/>
            <w:vMerge w:val="restart"/>
            <w:tcBorders>
              <w:top w:val="outset" w:sz="6" w:space="0" w:color="auto"/>
              <w:left w:val="outset" w:sz="6" w:space="0" w:color="auto"/>
              <w:bottom w:val="outset" w:sz="6" w:space="0" w:color="auto"/>
              <w:right w:val="outset" w:sz="6" w:space="0" w:color="auto"/>
            </w:tcBorders>
            <w:hideMark/>
          </w:tcPr>
          <w:p w14:paraId="6DC4614A" w14:textId="77777777" w:rsidR="006D33E3" w:rsidRPr="00B7760C" w:rsidRDefault="006D33E3" w:rsidP="004F0B88">
            <w:pPr>
              <w:widowControl/>
              <w:spacing w:before="60" w:after="60"/>
              <w:jc w:val="both"/>
              <w:rPr>
                <w:rFonts w:eastAsia="Arial Unicode MS"/>
                <w:color w:val="000000"/>
                <w:sz w:val="20"/>
              </w:rPr>
            </w:pPr>
            <w:r w:rsidRPr="00B7760C">
              <w:rPr>
                <w:color w:val="000000"/>
                <w:sz w:val="20"/>
              </w:rPr>
              <w:t>Podnebje in okolje</w:t>
            </w:r>
          </w:p>
        </w:tc>
        <w:tc>
          <w:tcPr>
            <w:tcW w:w="1249" w:type="dxa"/>
            <w:vMerge w:val="restart"/>
            <w:tcBorders>
              <w:top w:val="outset" w:sz="6" w:space="0" w:color="auto"/>
              <w:left w:val="outset" w:sz="6" w:space="0" w:color="auto"/>
              <w:bottom w:val="outset" w:sz="6" w:space="0" w:color="auto"/>
              <w:right w:val="outset" w:sz="6" w:space="0" w:color="auto"/>
            </w:tcBorders>
            <w:hideMark/>
          </w:tcPr>
          <w:p w14:paraId="21D54ADF" w14:textId="77777777" w:rsidR="006D33E3" w:rsidRPr="00B7760C" w:rsidRDefault="006D33E3" w:rsidP="004F0B88">
            <w:pPr>
              <w:widowControl/>
              <w:spacing w:before="60" w:after="60"/>
              <w:jc w:val="center"/>
              <w:rPr>
                <w:rFonts w:eastAsia="Arial Unicode MS"/>
                <w:color w:val="000000"/>
                <w:sz w:val="20"/>
              </w:rPr>
            </w:pPr>
            <w:r w:rsidRPr="00B7760C">
              <w:rPr>
                <w:color w:val="000000"/>
                <w:sz w:val="20"/>
              </w:rPr>
              <w:t>Podnebne spremembe</w:t>
            </w:r>
          </w:p>
          <w:p w14:paraId="0EA61193" w14:textId="77777777" w:rsidR="006D33E3" w:rsidRPr="00B7760C" w:rsidRDefault="006D33E3" w:rsidP="004F0B88">
            <w:pPr>
              <w:widowControl/>
              <w:spacing w:before="60" w:after="60"/>
              <w:jc w:val="center"/>
              <w:rPr>
                <w:rFonts w:eastAsia="Arial Unicode MS"/>
                <w:color w:val="000000"/>
                <w:sz w:val="20"/>
              </w:rPr>
            </w:pPr>
            <w:r w:rsidRPr="00B7760C">
              <w:rPr>
                <w:color w:val="000000"/>
                <w:sz w:val="20"/>
              </w:rPr>
              <w:t>(blažitev in prilagajanje nanje)</w:t>
            </w:r>
          </w:p>
        </w:tc>
        <w:tc>
          <w:tcPr>
            <w:tcW w:w="981" w:type="dxa"/>
            <w:tcBorders>
              <w:top w:val="outset" w:sz="6" w:space="0" w:color="auto"/>
              <w:left w:val="outset" w:sz="6" w:space="0" w:color="auto"/>
              <w:bottom w:val="outset" w:sz="6" w:space="0" w:color="auto"/>
              <w:right w:val="outset" w:sz="6" w:space="0" w:color="auto"/>
            </w:tcBorders>
            <w:hideMark/>
          </w:tcPr>
          <w:p w14:paraId="13FCEF99" w14:textId="77777777" w:rsidR="006D33E3" w:rsidRPr="00B7760C" w:rsidRDefault="006D33E3" w:rsidP="004F0B88">
            <w:pPr>
              <w:widowControl/>
              <w:spacing w:before="60" w:after="60"/>
              <w:jc w:val="both"/>
              <w:rPr>
                <w:rFonts w:eastAsia="Arial Unicode MS"/>
                <w:color w:val="000000"/>
                <w:sz w:val="20"/>
              </w:rPr>
            </w:pPr>
            <w:r w:rsidRPr="00B7760C">
              <w:rPr>
                <w:color w:val="000000"/>
                <w:sz w:val="20"/>
              </w:rPr>
              <w:t>DKOP 1</w:t>
            </w:r>
          </w:p>
        </w:tc>
        <w:tc>
          <w:tcPr>
            <w:tcW w:w="3969" w:type="dxa"/>
            <w:tcBorders>
              <w:top w:val="outset" w:sz="6" w:space="0" w:color="auto"/>
              <w:left w:val="outset" w:sz="6" w:space="0" w:color="auto"/>
              <w:bottom w:val="outset" w:sz="6" w:space="0" w:color="auto"/>
              <w:right w:val="outset" w:sz="6" w:space="0" w:color="auto"/>
            </w:tcBorders>
            <w:hideMark/>
          </w:tcPr>
          <w:p w14:paraId="69808716" w14:textId="77777777" w:rsidR="006D33E3" w:rsidRPr="00B7760C" w:rsidRDefault="006D33E3" w:rsidP="00AB1DA6">
            <w:pPr>
              <w:widowControl/>
              <w:spacing w:before="60" w:after="60"/>
              <w:rPr>
                <w:rFonts w:eastAsia="Arial Unicode MS"/>
                <w:color w:val="000000"/>
                <w:sz w:val="20"/>
              </w:rPr>
            </w:pPr>
            <w:r w:rsidRPr="00B7760C">
              <w:rPr>
                <w:color w:val="000000"/>
                <w:sz w:val="20"/>
              </w:rPr>
              <w:t>Ohranjanje trajnega travinja na podlagi deleža trajnega travinja v primerjavi s celotno površino kmetijskih zemljišč</w:t>
            </w:r>
          </w:p>
        </w:tc>
        <w:tc>
          <w:tcPr>
            <w:tcW w:w="2209" w:type="dxa"/>
            <w:tcBorders>
              <w:top w:val="outset" w:sz="6" w:space="0" w:color="auto"/>
              <w:left w:val="outset" w:sz="6" w:space="0" w:color="auto"/>
              <w:bottom w:val="outset" w:sz="6" w:space="0" w:color="auto"/>
              <w:right w:val="outset" w:sz="6" w:space="0" w:color="auto"/>
            </w:tcBorders>
            <w:hideMark/>
          </w:tcPr>
          <w:p w14:paraId="02CB5447" w14:textId="77777777" w:rsidR="006D33E3" w:rsidRPr="00B7760C" w:rsidRDefault="006D33E3" w:rsidP="00AB1DA6">
            <w:pPr>
              <w:widowControl/>
              <w:spacing w:before="60" w:after="60"/>
              <w:rPr>
                <w:rFonts w:eastAsia="Arial Unicode MS"/>
                <w:i/>
                <w:color w:val="000000"/>
                <w:sz w:val="20"/>
              </w:rPr>
            </w:pPr>
            <w:r w:rsidRPr="00B7760C">
              <w:rPr>
                <w:i/>
                <w:color w:val="000000"/>
                <w:sz w:val="20"/>
              </w:rPr>
              <w:t>Splošna zaščita pred preusmeritvijo v druge kmetijske uporabe za ohranitev zalog ogljika</w:t>
            </w:r>
          </w:p>
        </w:tc>
      </w:tr>
      <w:tr w:rsidR="006D33E3" w:rsidRPr="00B7760C" w14:paraId="614C1AD4" w14:textId="77777777" w:rsidTr="004F0B88">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tcPr>
          <w:p w14:paraId="626FCB65" w14:textId="77777777" w:rsidR="006D33E3" w:rsidRPr="00B7760C" w:rsidRDefault="006D33E3" w:rsidP="004F0B88">
            <w:pPr>
              <w:widowControl/>
              <w:spacing w:before="60" w:after="60"/>
              <w:jc w:val="both"/>
              <w:rPr>
                <w:rFonts w:eastAsia="Arial Unicode MS"/>
                <w:color w:val="000000"/>
                <w:sz w:val="20"/>
              </w:rPr>
            </w:pPr>
          </w:p>
        </w:tc>
        <w:tc>
          <w:tcPr>
            <w:tcW w:w="1249" w:type="dxa"/>
            <w:vMerge/>
            <w:tcBorders>
              <w:top w:val="outset" w:sz="6" w:space="0" w:color="auto"/>
              <w:left w:val="outset" w:sz="6" w:space="0" w:color="auto"/>
              <w:bottom w:val="outset" w:sz="6" w:space="0" w:color="auto"/>
              <w:right w:val="outset" w:sz="6" w:space="0" w:color="auto"/>
            </w:tcBorders>
          </w:tcPr>
          <w:p w14:paraId="75DADEAB" w14:textId="77777777" w:rsidR="006D33E3" w:rsidRPr="00B7760C" w:rsidRDefault="006D33E3" w:rsidP="004F0B88">
            <w:pPr>
              <w:widowControl/>
              <w:spacing w:before="60" w:after="60"/>
              <w:jc w:val="center"/>
              <w:rPr>
                <w:rFonts w:eastAsia="Arial Unicode MS"/>
                <w:color w:val="000000"/>
                <w:sz w:val="20"/>
              </w:rPr>
            </w:pPr>
          </w:p>
        </w:tc>
        <w:tc>
          <w:tcPr>
            <w:tcW w:w="981" w:type="dxa"/>
            <w:tcBorders>
              <w:top w:val="outset" w:sz="6" w:space="0" w:color="auto"/>
              <w:left w:val="outset" w:sz="6" w:space="0" w:color="auto"/>
              <w:bottom w:val="outset" w:sz="6" w:space="0" w:color="auto"/>
              <w:right w:val="outset" w:sz="6" w:space="0" w:color="auto"/>
            </w:tcBorders>
          </w:tcPr>
          <w:p w14:paraId="689D456C" w14:textId="77777777" w:rsidR="006D33E3" w:rsidRPr="00B7760C" w:rsidRDefault="006D33E3" w:rsidP="004F0B88">
            <w:pPr>
              <w:widowControl/>
              <w:spacing w:before="60" w:after="60"/>
              <w:jc w:val="both"/>
              <w:rPr>
                <w:rFonts w:eastAsia="Arial Unicode MS"/>
                <w:color w:val="000000"/>
                <w:sz w:val="20"/>
              </w:rPr>
            </w:pPr>
            <w:r w:rsidRPr="00B7760C">
              <w:rPr>
                <w:color w:val="000000"/>
                <w:sz w:val="20"/>
              </w:rPr>
              <w:t>DKOP 2</w:t>
            </w:r>
          </w:p>
        </w:tc>
        <w:tc>
          <w:tcPr>
            <w:tcW w:w="3969" w:type="dxa"/>
            <w:tcBorders>
              <w:top w:val="outset" w:sz="6" w:space="0" w:color="auto"/>
              <w:left w:val="outset" w:sz="6" w:space="0" w:color="auto"/>
              <w:bottom w:val="outset" w:sz="6" w:space="0" w:color="auto"/>
              <w:right w:val="outset" w:sz="6" w:space="0" w:color="auto"/>
            </w:tcBorders>
          </w:tcPr>
          <w:p w14:paraId="747D3173" w14:textId="77777777" w:rsidR="006D33E3" w:rsidRPr="00B7760C" w:rsidRDefault="006D33E3" w:rsidP="00AB1DA6">
            <w:pPr>
              <w:widowControl/>
              <w:spacing w:before="60" w:after="60"/>
              <w:rPr>
                <w:rFonts w:eastAsia="Arial Unicode MS"/>
                <w:color w:val="000000"/>
                <w:sz w:val="20"/>
              </w:rPr>
            </w:pPr>
            <w:r w:rsidRPr="00B7760C">
              <w:rPr>
                <w:b/>
                <w:i/>
                <w:color w:val="000000"/>
                <w:sz w:val="20"/>
              </w:rPr>
              <w:t>Ustrezno</w:t>
            </w:r>
            <w:r w:rsidRPr="00B7760C">
              <w:rPr>
                <w:color w:val="000000"/>
                <w:sz w:val="20"/>
              </w:rPr>
              <w:t xml:space="preserve"> varstvo mokrišč in šotišč</w:t>
            </w:r>
          </w:p>
        </w:tc>
        <w:tc>
          <w:tcPr>
            <w:tcW w:w="2209" w:type="dxa"/>
            <w:tcBorders>
              <w:top w:val="outset" w:sz="6" w:space="0" w:color="auto"/>
              <w:left w:val="outset" w:sz="6" w:space="0" w:color="auto"/>
              <w:bottom w:val="outset" w:sz="6" w:space="0" w:color="auto"/>
              <w:right w:val="outset" w:sz="6" w:space="0" w:color="auto"/>
            </w:tcBorders>
          </w:tcPr>
          <w:p w14:paraId="01DEF43B" w14:textId="77777777" w:rsidR="006D33E3" w:rsidRPr="00B7760C" w:rsidRDefault="006D33E3" w:rsidP="00AB1DA6">
            <w:pPr>
              <w:widowControl/>
              <w:spacing w:before="60" w:after="60"/>
              <w:rPr>
                <w:rFonts w:eastAsia="Arial Unicode MS"/>
                <w:i/>
                <w:color w:val="000000"/>
                <w:sz w:val="20"/>
              </w:rPr>
            </w:pPr>
            <w:r w:rsidRPr="00B7760C">
              <w:rPr>
                <w:i/>
                <w:color w:val="000000"/>
                <w:sz w:val="20"/>
              </w:rPr>
              <w:t>Varstvo z ogljikom bogate prsti</w:t>
            </w:r>
          </w:p>
        </w:tc>
      </w:tr>
      <w:tr w:rsidR="006D33E3" w:rsidRPr="00B7760C" w14:paraId="369709E3" w14:textId="77777777" w:rsidTr="004F0B88">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tcPr>
          <w:p w14:paraId="3FAE14FA" w14:textId="77777777" w:rsidR="006D33E3" w:rsidRPr="00B7760C" w:rsidRDefault="006D33E3" w:rsidP="004F0B88">
            <w:pPr>
              <w:widowControl/>
              <w:spacing w:before="60" w:after="60"/>
              <w:jc w:val="both"/>
              <w:rPr>
                <w:rFonts w:eastAsia="Arial Unicode MS"/>
                <w:color w:val="000000"/>
                <w:sz w:val="20"/>
              </w:rPr>
            </w:pPr>
          </w:p>
        </w:tc>
        <w:tc>
          <w:tcPr>
            <w:tcW w:w="1249" w:type="dxa"/>
            <w:vMerge/>
            <w:tcBorders>
              <w:top w:val="outset" w:sz="6" w:space="0" w:color="auto"/>
              <w:left w:val="outset" w:sz="6" w:space="0" w:color="auto"/>
              <w:bottom w:val="outset" w:sz="6" w:space="0" w:color="auto"/>
              <w:right w:val="outset" w:sz="6" w:space="0" w:color="auto"/>
            </w:tcBorders>
          </w:tcPr>
          <w:p w14:paraId="1467A320" w14:textId="77777777" w:rsidR="006D33E3" w:rsidRPr="00B7760C" w:rsidRDefault="006D33E3" w:rsidP="004F0B88">
            <w:pPr>
              <w:widowControl/>
              <w:spacing w:before="60" w:after="60"/>
              <w:jc w:val="center"/>
              <w:rPr>
                <w:rFonts w:eastAsia="Arial Unicode MS"/>
                <w:color w:val="000000"/>
                <w:sz w:val="20"/>
              </w:rPr>
            </w:pPr>
          </w:p>
        </w:tc>
        <w:tc>
          <w:tcPr>
            <w:tcW w:w="981" w:type="dxa"/>
            <w:tcBorders>
              <w:top w:val="outset" w:sz="6" w:space="0" w:color="auto"/>
              <w:left w:val="outset" w:sz="6" w:space="0" w:color="auto"/>
              <w:bottom w:val="outset" w:sz="6" w:space="0" w:color="auto"/>
              <w:right w:val="outset" w:sz="6" w:space="0" w:color="auto"/>
            </w:tcBorders>
          </w:tcPr>
          <w:p w14:paraId="66E9B01B" w14:textId="77777777" w:rsidR="006D33E3" w:rsidRPr="00B7760C" w:rsidRDefault="006D33E3" w:rsidP="004F0B88">
            <w:pPr>
              <w:widowControl/>
              <w:spacing w:before="60" w:after="60"/>
              <w:jc w:val="both"/>
              <w:rPr>
                <w:rFonts w:eastAsia="Arial Unicode MS"/>
                <w:color w:val="000000"/>
                <w:sz w:val="20"/>
              </w:rPr>
            </w:pPr>
            <w:r w:rsidRPr="00B7760C">
              <w:rPr>
                <w:color w:val="000000"/>
                <w:sz w:val="20"/>
              </w:rPr>
              <w:t>DKOP 3</w:t>
            </w:r>
          </w:p>
        </w:tc>
        <w:tc>
          <w:tcPr>
            <w:tcW w:w="3969" w:type="dxa"/>
            <w:tcBorders>
              <w:top w:val="outset" w:sz="6" w:space="0" w:color="auto"/>
              <w:left w:val="outset" w:sz="6" w:space="0" w:color="auto"/>
              <w:bottom w:val="outset" w:sz="6" w:space="0" w:color="auto"/>
              <w:right w:val="outset" w:sz="6" w:space="0" w:color="auto"/>
            </w:tcBorders>
          </w:tcPr>
          <w:p w14:paraId="2E15DF77" w14:textId="77777777" w:rsidR="006D33E3" w:rsidRPr="00B7760C" w:rsidRDefault="006D33E3" w:rsidP="00AB1DA6">
            <w:pPr>
              <w:widowControl/>
              <w:spacing w:before="60" w:after="60"/>
              <w:rPr>
                <w:rFonts w:eastAsia="Arial Unicode MS"/>
                <w:color w:val="000000"/>
                <w:sz w:val="20"/>
              </w:rPr>
            </w:pPr>
            <w:r w:rsidRPr="00B7760C">
              <w:rPr>
                <w:color w:val="000000"/>
                <w:sz w:val="20"/>
              </w:rPr>
              <w:t>Prepoved sežiganja ornih strnišč, razen zaradi zdravstvenega varstva rastlin </w:t>
            </w:r>
          </w:p>
        </w:tc>
        <w:tc>
          <w:tcPr>
            <w:tcW w:w="2209" w:type="dxa"/>
            <w:tcBorders>
              <w:top w:val="outset" w:sz="6" w:space="0" w:color="auto"/>
              <w:left w:val="outset" w:sz="6" w:space="0" w:color="auto"/>
              <w:bottom w:val="outset" w:sz="6" w:space="0" w:color="auto"/>
              <w:right w:val="outset" w:sz="6" w:space="0" w:color="auto"/>
            </w:tcBorders>
          </w:tcPr>
          <w:p w14:paraId="182AA20A" w14:textId="77777777" w:rsidR="006D33E3" w:rsidRPr="00B7760C" w:rsidRDefault="006D33E3" w:rsidP="00AB1DA6">
            <w:pPr>
              <w:widowControl/>
              <w:spacing w:before="60" w:after="60"/>
              <w:rPr>
                <w:rFonts w:eastAsia="Arial Unicode MS"/>
                <w:i/>
                <w:color w:val="000000"/>
                <w:sz w:val="20"/>
              </w:rPr>
            </w:pPr>
            <w:r w:rsidRPr="00B7760C">
              <w:rPr>
                <w:i/>
                <w:color w:val="000000"/>
                <w:sz w:val="20"/>
              </w:rPr>
              <w:t>Vzdrževanje ravni vsebnosti organskih snovi v prsti</w:t>
            </w:r>
          </w:p>
        </w:tc>
      </w:tr>
      <w:tr w:rsidR="006D33E3" w:rsidRPr="00B7760C" w14:paraId="5FBDD902" w14:textId="77777777" w:rsidTr="004F0B88">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tcPr>
          <w:p w14:paraId="5B632267" w14:textId="77777777" w:rsidR="006D33E3" w:rsidRPr="00B7760C" w:rsidRDefault="006D33E3" w:rsidP="004F0B88">
            <w:pPr>
              <w:widowControl/>
              <w:spacing w:before="60" w:after="60"/>
              <w:jc w:val="both"/>
              <w:rPr>
                <w:rFonts w:eastAsia="Arial Unicode MS"/>
                <w:color w:val="000000"/>
                <w:sz w:val="20"/>
              </w:rPr>
            </w:pPr>
          </w:p>
        </w:tc>
        <w:tc>
          <w:tcPr>
            <w:tcW w:w="1249" w:type="dxa"/>
            <w:vMerge w:val="restart"/>
            <w:tcBorders>
              <w:top w:val="outset" w:sz="6" w:space="0" w:color="auto"/>
              <w:left w:val="outset" w:sz="6" w:space="0" w:color="auto"/>
              <w:bottom w:val="outset" w:sz="6" w:space="0" w:color="auto"/>
              <w:right w:val="outset" w:sz="6" w:space="0" w:color="auto"/>
            </w:tcBorders>
          </w:tcPr>
          <w:p w14:paraId="052BBA90" w14:textId="77777777" w:rsidR="006D33E3" w:rsidRPr="00B7760C" w:rsidRDefault="006D33E3" w:rsidP="004F0B88">
            <w:pPr>
              <w:widowControl/>
              <w:spacing w:before="60" w:after="60"/>
              <w:jc w:val="center"/>
              <w:rPr>
                <w:rFonts w:eastAsia="Arial Unicode MS"/>
                <w:color w:val="000000"/>
                <w:sz w:val="20"/>
              </w:rPr>
            </w:pPr>
            <w:r w:rsidRPr="00B7760C">
              <w:rPr>
                <w:color w:val="000000"/>
                <w:sz w:val="20"/>
              </w:rPr>
              <w:t>Voda</w:t>
            </w:r>
          </w:p>
        </w:tc>
        <w:tc>
          <w:tcPr>
            <w:tcW w:w="981" w:type="dxa"/>
            <w:tcBorders>
              <w:top w:val="outset" w:sz="6" w:space="0" w:color="auto"/>
              <w:left w:val="outset" w:sz="6" w:space="0" w:color="auto"/>
              <w:bottom w:val="outset" w:sz="6" w:space="0" w:color="auto"/>
              <w:right w:val="outset" w:sz="6" w:space="0" w:color="auto"/>
            </w:tcBorders>
          </w:tcPr>
          <w:p w14:paraId="79A0E46D" w14:textId="77777777" w:rsidR="006D33E3" w:rsidRPr="00B7760C" w:rsidRDefault="006D33E3" w:rsidP="004F0B88">
            <w:pPr>
              <w:widowControl/>
              <w:spacing w:before="60" w:after="60"/>
              <w:jc w:val="both"/>
              <w:rPr>
                <w:rFonts w:eastAsia="Arial Unicode MS"/>
                <w:color w:val="000000"/>
                <w:sz w:val="20"/>
              </w:rPr>
            </w:pPr>
            <w:r w:rsidRPr="00B7760C">
              <w:rPr>
                <w:color w:val="000000"/>
                <w:sz w:val="20"/>
              </w:rPr>
              <w:t>PZR 1</w:t>
            </w:r>
          </w:p>
        </w:tc>
        <w:tc>
          <w:tcPr>
            <w:tcW w:w="3969" w:type="dxa"/>
            <w:tcBorders>
              <w:top w:val="outset" w:sz="6" w:space="0" w:color="auto"/>
              <w:left w:val="outset" w:sz="6" w:space="0" w:color="auto"/>
              <w:bottom w:val="outset" w:sz="6" w:space="0" w:color="auto"/>
              <w:right w:val="outset" w:sz="6" w:space="0" w:color="auto"/>
            </w:tcBorders>
          </w:tcPr>
          <w:p w14:paraId="2C6819B1" w14:textId="77777777" w:rsidR="006D33E3" w:rsidRPr="00B7760C" w:rsidRDefault="006D33E3" w:rsidP="00AB1DA6">
            <w:pPr>
              <w:widowControl/>
              <w:rPr>
                <w:rFonts w:eastAsia="Calibri"/>
                <w:sz w:val="20"/>
              </w:rPr>
            </w:pPr>
            <w:r w:rsidRPr="00B7760C">
              <w:rPr>
                <w:sz w:val="20"/>
              </w:rPr>
              <w:t>Direktiva 2000/60/ES Evropskega parlamenta in Sveta z dne 23. oktobra 2000 o določitvi okvira za ukrepe Skupnosti na področju vodne politike:</w:t>
            </w:r>
          </w:p>
          <w:p w14:paraId="30AE6AF3" w14:textId="77777777" w:rsidR="006D33E3" w:rsidRPr="00B7760C" w:rsidRDefault="006D33E3" w:rsidP="00AB1DA6">
            <w:pPr>
              <w:widowControl/>
              <w:rPr>
                <w:rFonts w:eastAsia="Arial Unicode MS"/>
                <w:color w:val="000000"/>
                <w:sz w:val="20"/>
              </w:rPr>
            </w:pPr>
            <w:r w:rsidRPr="00B7760C">
              <w:rPr>
                <w:sz w:val="20"/>
              </w:rPr>
              <w:t>člena 11(3)(e) in 11(3)(h) glede obveznih zahtev za nadzorovanje razpršenih virov onesnaževanja s fosfati</w:t>
            </w:r>
          </w:p>
        </w:tc>
        <w:tc>
          <w:tcPr>
            <w:tcW w:w="2209" w:type="dxa"/>
            <w:tcBorders>
              <w:top w:val="outset" w:sz="6" w:space="0" w:color="auto"/>
              <w:left w:val="outset" w:sz="6" w:space="0" w:color="auto"/>
              <w:bottom w:val="outset" w:sz="6" w:space="0" w:color="auto"/>
              <w:right w:val="outset" w:sz="6" w:space="0" w:color="auto"/>
            </w:tcBorders>
          </w:tcPr>
          <w:p w14:paraId="2E49C957" w14:textId="77777777" w:rsidR="006D33E3" w:rsidRPr="00B7760C" w:rsidRDefault="006D33E3" w:rsidP="00AB1DA6">
            <w:pPr>
              <w:widowControl/>
              <w:spacing w:before="60" w:after="60"/>
              <w:rPr>
                <w:rFonts w:eastAsia="Arial Unicode MS"/>
                <w:i/>
                <w:color w:val="000000"/>
                <w:sz w:val="20"/>
              </w:rPr>
            </w:pPr>
          </w:p>
        </w:tc>
      </w:tr>
      <w:tr w:rsidR="006D33E3" w:rsidRPr="00B7760C" w14:paraId="63A24699" w14:textId="77777777" w:rsidTr="004F0B88">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tcPr>
          <w:p w14:paraId="113B09BB" w14:textId="77777777" w:rsidR="006D33E3" w:rsidRPr="00B7760C" w:rsidRDefault="006D33E3" w:rsidP="004F0B88">
            <w:pPr>
              <w:widowControl/>
              <w:spacing w:before="60" w:after="60"/>
              <w:jc w:val="both"/>
              <w:rPr>
                <w:rFonts w:eastAsia="Arial Unicode MS"/>
                <w:color w:val="000000"/>
                <w:sz w:val="20"/>
              </w:rPr>
            </w:pPr>
          </w:p>
        </w:tc>
        <w:tc>
          <w:tcPr>
            <w:tcW w:w="1249" w:type="dxa"/>
            <w:vMerge/>
            <w:tcBorders>
              <w:top w:val="outset" w:sz="6" w:space="0" w:color="auto"/>
              <w:left w:val="outset" w:sz="6" w:space="0" w:color="auto"/>
              <w:bottom w:val="outset" w:sz="6" w:space="0" w:color="auto"/>
              <w:right w:val="outset" w:sz="6" w:space="0" w:color="auto"/>
            </w:tcBorders>
          </w:tcPr>
          <w:p w14:paraId="20F102E8" w14:textId="77777777" w:rsidR="006D33E3" w:rsidRPr="00B7760C" w:rsidRDefault="006D33E3" w:rsidP="004F0B88">
            <w:pPr>
              <w:widowControl/>
              <w:spacing w:before="60" w:after="60"/>
              <w:jc w:val="center"/>
              <w:rPr>
                <w:rFonts w:eastAsia="Arial Unicode MS"/>
                <w:color w:val="000000"/>
                <w:sz w:val="20"/>
              </w:rPr>
            </w:pPr>
          </w:p>
        </w:tc>
        <w:tc>
          <w:tcPr>
            <w:tcW w:w="981" w:type="dxa"/>
            <w:tcBorders>
              <w:top w:val="outset" w:sz="6" w:space="0" w:color="auto"/>
              <w:left w:val="outset" w:sz="6" w:space="0" w:color="auto"/>
              <w:bottom w:val="outset" w:sz="6" w:space="0" w:color="auto"/>
              <w:right w:val="outset" w:sz="6" w:space="0" w:color="auto"/>
            </w:tcBorders>
          </w:tcPr>
          <w:p w14:paraId="59094C0E" w14:textId="77777777" w:rsidR="006D33E3" w:rsidRPr="00B7760C" w:rsidRDefault="006D33E3" w:rsidP="004F0B88">
            <w:pPr>
              <w:widowControl/>
              <w:spacing w:before="60" w:after="60"/>
              <w:jc w:val="both"/>
              <w:rPr>
                <w:rFonts w:eastAsia="Arial Unicode MS"/>
                <w:color w:val="000000"/>
                <w:sz w:val="20"/>
              </w:rPr>
            </w:pPr>
            <w:r w:rsidRPr="00B7760C">
              <w:rPr>
                <w:color w:val="000000"/>
                <w:sz w:val="20"/>
              </w:rPr>
              <w:t>PZR 2</w:t>
            </w:r>
          </w:p>
        </w:tc>
        <w:tc>
          <w:tcPr>
            <w:tcW w:w="3969" w:type="dxa"/>
            <w:tcBorders>
              <w:top w:val="outset" w:sz="6" w:space="0" w:color="auto"/>
              <w:left w:val="outset" w:sz="6" w:space="0" w:color="auto"/>
              <w:bottom w:val="outset" w:sz="6" w:space="0" w:color="auto"/>
              <w:right w:val="outset" w:sz="6" w:space="0" w:color="auto"/>
            </w:tcBorders>
          </w:tcPr>
          <w:p w14:paraId="54B7A3C1" w14:textId="77777777" w:rsidR="006D33E3" w:rsidRPr="00B7760C" w:rsidRDefault="006D33E3" w:rsidP="00AB1DA6">
            <w:pPr>
              <w:widowControl/>
              <w:spacing w:before="60" w:after="60"/>
              <w:rPr>
                <w:rFonts w:eastAsia="Arial Unicode MS"/>
                <w:color w:val="000000"/>
                <w:sz w:val="20"/>
              </w:rPr>
            </w:pPr>
            <w:r w:rsidRPr="00B7760C">
              <w:rPr>
                <w:color w:val="000000"/>
                <w:sz w:val="20"/>
              </w:rPr>
              <w:t>Direktiva Sveta 91/676/EGS z dne 12. decembra 1991 o varstvu voda pred onesnaženjem z nitrati iz kmetijskih virov (UL L 375, 31.12.1991, str. 1):</w:t>
            </w:r>
          </w:p>
          <w:p w14:paraId="241207D2" w14:textId="77777777" w:rsidR="006D33E3" w:rsidRPr="00B7760C" w:rsidRDefault="006D33E3" w:rsidP="00AB1DA6">
            <w:pPr>
              <w:widowControl/>
              <w:spacing w:before="60" w:after="60"/>
              <w:rPr>
                <w:rFonts w:eastAsia="Arial Unicode MS"/>
                <w:color w:val="000000"/>
                <w:sz w:val="20"/>
              </w:rPr>
            </w:pPr>
            <w:r w:rsidRPr="00B7760C">
              <w:rPr>
                <w:color w:val="000000"/>
                <w:sz w:val="20"/>
              </w:rPr>
              <w:t>člena 4 in 5</w:t>
            </w:r>
          </w:p>
        </w:tc>
        <w:tc>
          <w:tcPr>
            <w:tcW w:w="2209" w:type="dxa"/>
            <w:tcBorders>
              <w:top w:val="outset" w:sz="6" w:space="0" w:color="auto"/>
              <w:left w:val="outset" w:sz="6" w:space="0" w:color="auto"/>
              <w:bottom w:val="outset" w:sz="6" w:space="0" w:color="auto"/>
              <w:right w:val="outset" w:sz="6" w:space="0" w:color="auto"/>
            </w:tcBorders>
          </w:tcPr>
          <w:p w14:paraId="62C2BB8F" w14:textId="77777777" w:rsidR="006D33E3" w:rsidRPr="00B7760C" w:rsidRDefault="006D33E3" w:rsidP="00AB1DA6">
            <w:pPr>
              <w:widowControl/>
              <w:spacing w:before="60" w:after="60"/>
              <w:rPr>
                <w:rFonts w:eastAsia="Arial Unicode MS"/>
                <w:i/>
                <w:color w:val="000000"/>
                <w:sz w:val="20"/>
              </w:rPr>
            </w:pPr>
          </w:p>
        </w:tc>
      </w:tr>
      <w:tr w:rsidR="006D33E3" w:rsidRPr="00B7760C" w14:paraId="143AE291" w14:textId="77777777" w:rsidTr="004F0B88">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vAlign w:val="center"/>
            <w:hideMark/>
          </w:tcPr>
          <w:p w14:paraId="637B39C4" w14:textId="77777777" w:rsidR="006D33E3" w:rsidRPr="00B7760C" w:rsidRDefault="006D33E3" w:rsidP="004F0B88">
            <w:pPr>
              <w:widowControl/>
              <w:jc w:val="both"/>
              <w:rPr>
                <w:rFonts w:eastAsia="Arial Unicode MS"/>
                <w:color w:val="000000"/>
                <w:sz w:val="20"/>
              </w:rPr>
            </w:pPr>
          </w:p>
        </w:tc>
        <w:tc>
          <w:tcPr>
            <w:tcW w:w="1249" w:type="dxa"/>
            <w:vMerge/>
            <w:tcBorders>
              <w:top w:val="outset" w:sz="6" w:space="0" w:color="auto"/>
              <w:left w:val="outset" w:sz="6" w:space="0" w:color="auto"/>
              <w:bottom w:val="outset" w:sz="6" w:space="0" w:color="auto"/>
              <w:right w:val="outset" w:sz="6" w:space="0" w:color="auto"/>
            </w:tcBorders>
            <w:vAlign w:val="center"/>
            <w:hideMark/>
          </w:tcPr>
          <w:p w14:paraId="0963FA69" w14:textId="77777777" w:rsidR="006D33E3" w:rsidRPr="00B7760C" w:rsidRDefault="006D33E3" w:rsidP="004F0B88">
            <w:pPr>
              <w:widowControl/>
              <w:jc w:val="center"/>
              <w:rPr>
                <w:rFonts w:eastAsia="Arial Unicode MS"/>
                <w:color w:val="000000"/>
                <w:sz w:val="20"/>
              </w:rPr>
            </w:pPr>
          </w:p>
        </w:tc>
        <w:tc>
          <w:tcPr>
            <w:tcW w:w="981" w:type="dxa"/>
            <w:tcBorders>
              <w:top w:val="outset" w:sz="6" w:space="0" w:color="auto"/>
              <w:left w:val="outset" w:sz="6" w:space="0" w:color="auto"/>
              <w:bottom w:val="outset" w:sz="6" w:space="0" w:color="auto"/>
              <w:right w:val="outset" w:sz="6" w:space="0" w:color="auto"/>
            </w:tcBorders>
            <w:hideMark/>
          </w:tcPr>
          <w:p w14:paraId="5B8A3854" w14:textId="77777777" w:rsidR="006D33E3" w:rsidRPr="00B7760C" w:rsidRDefault="006D33E3" w:rsidP="004F0B88">
            <w:pPr>
              <w:widowControl/>
              <w:spacing w:before="60" w:after="60"/>
              <w:jc w:val="both"/>
              <w:rPr>
                <w:rFonts w:eastAsia="Arial Unicode MS"/>
                <w:color w:val="000000"/>
                <w:sz w:val="20"/>
              </w:rPr>
            </w:pPr>
            <w:r w:rsidRPr="00B7760C">
              <w:rPr>
                <w:color w:val="000000"/>
                <w:sz w:val="20"/>
              </w:rPr>
              <w:t>DKOP 4</w:t>
            </w:r>
          </w:p>
        </w:tc>
        <w:tc>
          <w:tcPr>
            <w:tcW w:w="3969" w:type="dxa"/>
            <w:tcBorders>
              <w:top w:val="outset" w:sz="6" w:space="0" w:color="auto"/>
              <w:left w:val="outset" w:sz="6" w:space="0" w:color="auto"/>
              <w:bottom w:val="outset" w:sz="6" w:space="0" w:color="auto"/>
              <w:right w:val="outset" w:sz="6" w:space="0" w:color="auto"/>
            </w:tcBorders>
            <w:hideMark/>
          </w:tcPr>
          <w:p w14:paraId="609FD278" w14:textId="77777777" w:rsidR="006D33E3" w:rsidRPr="00B7760C" w:rsidRDefault="006D33E3" w:rsidP="00AB1DA6">
            <w:pPr>
              <w:widowControl/>
              <w:spacing w:before="60" w:after="60"/>
              <w:rPr>
                <w:rFonts w:eastAsia="Arial Unicode MS"/>
                <w:color w:val="000000"/>
                <w:sz w:val="20"/>
              </w:rPr>
            </w:pPr>
            <w:r w:rsidRPr="00B7760C">
              <w:rPr>
                <w:color w:val="000000"/>
                <w:sz w:val="20"/>
              </w:rPr>
              <w:t>Vzpostavitev varovalnih pasov vzdolž vodnih tokov</w:t>
            </w:r>
            <w:r w:rsidRPr="00B7760C">
              <w:rPr>
                <w:rFonts w:eastAsia="Arial Unicode MS"/>
                <w:color w:val="000000"/>
                <w:sz w:val="20"/>
                <w:vertAlign w:val="superscript"/>
              </w:rPr>
              <w:footnoteReference w:id="4"/>
            </w:r>
            <w:r w:rsidRPr="00B7760C">
              <w:rPr>
                <w:color w:val="000000"/>
                <w:sz w:val="20"/>
              </w:rPr>
              <w:t xml:space="preserve"> </w:t>
            </w:r>
          </w:p>
        </w:tc>
        <w:tc>
          <w:tcPr>
            <w:tcW w:w="2209" w:type="dxa"/>
            <w:tcBorders>
              <w:top w:val="outset" w:sz="6" w:space="0" w:color="auto"/>
              <w:left w:val="outset" w:sz="6" w:space="0" w:color="auto"/>
              <w:bottom w:val="outset" w:sz="6" w:space="0" w:color="auto"/>
              <w:right w:val="outset" w:sz="6" w:space="0" w:color="auto"/>
            </w:tcBorders>
            <w:hideMark/>
          </w:tcPr>
          <w:p w14:paraId="6E5A2B45" w14:textId="77777777" w:rsidR="006D33E3" w:rsidRPr="00B7760C" w:rsidRDefault="006D33E3" w:rsidP="00AB1DA6">
            <w:pPr>
              <w:widowControl/>
              <w:spacing w:before="100" w:beforeAutospacing="1" w:after="100" w:afterAutospacing="1"/>
              <w:rPr>
                <w:rFonts w:eastAsia="Arial Unicode MS"/>
                <w:i/>
                <w:color w:val="000000"/>
                <w:sz w:val="20"/>
              </w:rPr>
            </w:pPr>
            <w:r w:rsidRPr="00B7760C">
              <w:rPr>
                <w:i/>
                <w:color w:val="000000"/>
                <w:sz w:val="20"/>
              </w:rPr>
              <w:t>Varstvo rečnih tokov pred onesnaževanjem in odtekanjem</w:t>
            </w:r>
          </w:p>
        </w:tc>
      </w:tr>
      <w:tr w:rsidR="006D33E3" w:rsidRPr="00B7760C" w14:paraId="0934BC71" w14:textId="77777777" w:rsidTr="004F0B88">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vAlign w:val="center"/>
            <w:hideMark/>
          </w:tcPr>
          <w:p w14:paraId="321288C1" w14:textId="77777777" w:rsidR="006D33E3" w:rsidRPr="00B7760C" w:rsidRDefault="006D33E3" w:rsidP="004F0B88">
            <w:pPr>
              <w:widowControl/>
              <w:jc w:val="both"/>
              <w:rPr>
                <w:rFonts w:eastAsia="Arial Unicode MS"/>
                <w:color w:val="000000"/>
                <w:sz w:val="20"/>
              </w:rPr>
            </w:pPr>
          </w:p>
        </w:tc>
        <w:tc>
          <w:tcPr>
            <w:tcW w:w="1249" w:type="dxa"/>
            <w:vMerge/>
            <w:tcBorders>
              <w:top w:val="outset" w:sz="6" w:space="0" w:color="auto"/>
              <w:left w:val="outset" w:sz="6" w:space="0" w:color="auto"/>
              <w:bottom w:val="outset" w:sz="6" w:space="0" w:color="auto"/>
              <w:right w:val="outset" w:sz="6" w:space="0" w:color="auto"/>
            </w:tcBorders>
            <w:vAlign w:val="center"/>
            <w:hideMark/>
          </w:tcPr>
          <w:p w14:paraId="0C1510CF" w14:textId="77777777" w:rsidR="006D33E3" w:rsidRPr="00B7760C" w:rsidRDefault="006D33E3" w:rsidP="004F0B88">
            <w:pPr>
              <w:widowControl/>
              <w:jc w:val="center"/>
              <w:rPr>
                <w:rFonts w:eastAsia="Arial Unicode MS"/>
                <w:color w:val="000000"/>
                <w:sz w:val="20"/>
              </w:rPr>
            </w:pPr>
          </w:p>
        </w:tc>
        <w:tc>
          <w:tcPr>
            <w:tcW w:w="981" w:type="dxa"/>
            <w:tcBorders>
              <w:top w:val="outset" w:sz="6" w:space="0" w:color="auto"/>
              <w:left w:val="outset" w:sz="6" w:space="0" w:color="auto"/>
              <w:bottom w:val="outset" w:sz="6" w:space="0" w:color="auto"/>
              <w:right w:val="outset" w:sz="6" w:space="0" w:color="auto"/>
            </w:tcBorders>
          </w:tcPr>
          <w:p w14:paraId="1F328D9F" w14:textId="77777777" w:rsidR="006D33E3" w:rsidRPr="00B7760C" w:rsidRDefault="006D33E3" w:rsidP="004F0B88">
            <w:pPr>
              <w:widowControl/>
              <w:spacing w:before="60" w:after="60"/>
              <w:jc w:val="both"/>
              <w:rPr>
                <w:rFonts w:eastAsia="Arial Unicode MS"/>
                <w:color w:val="000000"/>
                <w:sz w:val="20"/>
              </w:rPr>
            </w:pPr>
          </w:p>
        </w:tc>
        <w:tc>
          <w:tcPr>
            <w:tcW w:w="3969" w:type="dxa"/>
            <w:tcBorders>
              <w:top w:val="outset" w:sz="6" w:space="0" w:color="auto"/>
              <w:left w:val="outset" w:sz="6" w:space="0" w:color="auto"/>
              <w:bottom w:val="outset" w:sz="6" w:space="0" w:color="auto"/>
              <w:right w:val="outset" w:sz="6" w:space="0" w:color="auto"/>
            </w:tcBorders>
          </w:tcPr>
          <w:p w14:paraId="716FDDFB" w14:textId="77777777" w:rsidR="006D33E3" w:rsidRPr="00B7760C" w:rsidRDefault="006D33E3" w:rsidP="004F0B88">
            <w:pPr>
              <w:widowControl/>
              <w:spacing w:before="60" w:after="60"/>
              <w:jc w:val="both"/>
              <w:rPr>
                <w:rFonts w:eastAsia="Arial Unicode MS"/>
                <w:color w:val="000000"/>
                <w:sz w:val="20"/>
              </w:rPr>
            </w:pPr>
          </w:p>
        </w:tc>
        <w:tc>
          <w:tcPr>
            <w:tcW w:w="2209" w:type="dxa"/>
            <w:tcBorders>
              <w:top w:val="outset" w:sz="6" w:space="0" w:color="auto"/>
              <w:left w:val="outset" w:sz="6" w:space="0" w:color="auto"/>
              <w:bottom w:val="outset" w:sz="6" w:space="0" w:color="auto"/>
              <w:right w:val="outset" w:sz="6" w:space="0" w:color="auto"/>
            </w:tcBorders>
          </w:tcPr>
          <w:p w14:paraId="6BA3E27D" w14:textId="77777777" w:rsidR="006D33E3" w:rsidRPr="00B7760C" w:rsidRDefault="006D33E3" w:rsidP="004F0B88">
            <w:pPr>
              <w:widowControl/>
              <w:spacing w:before="100" w:beforeAutospacing="1" w:after="100" w:afterAutospacing="1"/>
              <w:jc w:val="both"/>
              <w:rPr>
                <w:rFonts w:eastAsia="Arial Unicode MS"/>
                <w:i/>
                <w:color w:val="000000"/>
                <w:sz w:val="20"/>
              </w:rPr>
            </w:pPr>
          </w:p>
        </w:tc>
      </w:tr>
      <w:tr w:rsidR="006D33E3" w:rsidRPr="00B7760C" w14:paraId="5335D025" w14:textId="77777777" w:rsidTr="004F0B88">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vAlign w:val="center"/>
          </w:tcPr>
          <w:p w14:paraId="472DE53C" w14:textId="77777777" w:rsidR="006D33E3" w:rsidRPr="00B7760C" w:rsidRDefault="006D33E3" w:rsidP="004F0B88">
            <w:pPr>
              <w:widowControl/>
              <w:jc w:val="both"/>
              <w:rPr>
                <w:rFonts w:eastAsia="Arial Unicode MS"/>
                <w:color w:val="000000"/>
                <w:sz w:val="20"/>
              </w:rPr>
            </w:pPr>
          </w:p>
        </w:tc>
        <w:tc>
          <w:tcPr>
            <w:tcW w:w="1249" w:type="dxa"/>
            <w:vMerge/>
            <w:tcBorders>
              <w:top w:val="outset" w:sz="6" w:space="0" w:color="auto"/>
              <w:left w:val="outset" w:sz="6" w:space="0" w:color="auto"/>
              <w:bottom w:val="outset" w:sz="6" w:space="0" w:color="auto"/>
              <w:right w:val="outset" w:sz="6" w:space="0" w:color="auto"/>
            </w:tcBorders>
            <w:vAlign w:val="center"/>
          </w:tcPr>
          <w:p w14:paraId="46C012C0" w14:textId="77777777" w:rsidR="006D33E3" w:rsidRPr="00B7760C" w:rsidRDefault="006D33E3" w:rsidP="004F0B88">
            <w:pPr>
              <w:widowControl/>
              <w:jc w:val="center"/>
              <w:rPr>
                <w:rFonts w:eastAsia="Arial Unicode MS"/>
                <w:color w:val="000000"/>
                <w:sz w:val="20"/>
              </w:rPr>
            </w:pPr>
          </w:p>
        </w:tc>
        <w:tc>
          <w:tcPr>
            <w:tcW w:w="981" w:type="dxa"/>
            <w:tcBorders>
              <w:top w:val="outset" w:sz="6" w:space="0" w:color="auto"/>
              <w:left w:val="outset" w:sz="6" w:space="0" w:color="auto"/>
              <w:bottom w:val="outset" w:sz="6" w:space="0" w:color="auto"/>
              <w:right w:val="outset" w:sz="6" w:space="0" w:color="auto"/>
            </w:tcBorders>
          </w:tcPr>
          <w:p w14:paraId="519C356D" w14:textId="77777777" w:rsidR="006D33E3" w:rsidRPr="00B7760C" w:rsidRDefault="006D33E3" w:rsidP="004F0B88">
            <w:pPr>
              <w:widowControl/>
              <w:spacing w:before="60" w:after="60"/>
              <w:jc w:val="both"/>
              <w:rPr>
                <w:rFonts w:eastAsia="Arial Unicode MS"/>
                <w:b/>
                <w:i/>
                <w:color w:val="000000"/>
                <w:sz w:val="20"/>
              </w:rPr>
            </w:pPr>
            <w:r w:rsidRPr="00B7760C">
              <w:rPr>
                <w:b/>
                <w:i/>
                <w:color w:val="000000"/>
                <w:sz w:val="20"/>
              </w:rPr>
              <w:t>DKOP 5</w:t>
            </w:r>
          </w:p>
        </w:tc>
        <w:tc>
          <w:tcPr>
            <w:tcW w:w="3969" w:type="dxa"/>
            <w:tcBorders>
              <w:top w:val="outset" w:sz="6" w:space="0" w:color="auto"/>
              <w:left w:val="outset" w:sz="6" w:space="0" w:color="auto"/>
              <w:bottom w:val="outset" w:sz="6" w:space="0" w:color="auto"/>
              <w:right w:val="outset" w:sz="6" w:space="0" w:color="auto"/>
            </w:tcBorders>
          </w:tcPr>
          <w:p w14:paraId="70BA8317" w14:textId="77777777" w:rsidR="006D33E3" w:rsidRPr="00B7760C" w:rsidRDefault="006D33E3" w:rsidP="004F0B88">
            <w:pPr>
              <w:widowControl/>
              <w:spacing w:before="60" w:after="60"/>
              <w:jc w:val="both"/>
              <w:rPr>
                <w:rFonts w:eastAsia="Arial Unicode MS"/>
                <w:b/>
                <w:i/>
                <w:color w:val="000000"/>
                <w:sz w:val="20"/>
              </w:rPr>
            </w:pPr>
            <w:r w:rsidRPr="00B7760C">
              <w:rPr>
                <w:b/>
                <w:i/>
                <w:color w:val="000000"/>
                <w:sz w:val="20"/>
              </w:rPr>
              <w:t>Uporaba orodja za trajnostnost kmetij za hranila</w:t>
            </w:r>
            <w:r w:rsidRPr="00B7760C">
              <w:rPr>
                <w:rFonts w:eastAsia="Arial Unicode MS"/>
                <w:b/>
                <w:i/>
                <w:color w:val="000000"/>
                <w:sz w:val="20"/>
                <w:vertAlign w:val="superscript"/>
              </w:rPr>
              <w:footnoteReference w:id="5"/>
            </w:r>
          </w:p>
          <w:p w14:paraId="3E440A28" w14:textId="77777777" w:rsidR="006D33E3" w:rsidRPr="00B7760C" w:rsidRDefault="006D33E3" w:rsidP="004F0B88">
            <w:pPr>
              <w:widowControl/>
              <w:spacing w:before="60" w:after="60"/>
              <w:jc w:val="both"/>
              <w:rPr>
                <w:rFonts w:eastAsia="Arial Unicode MS"/>
                <w:b/>
                <w:i/>
                <w:color w:val="000000"/>
                <w:sz w:val="20"/>
              </w:rPr>
            </w:pPr>
          </w:p>
        </w:tc>
        <w:tc>
          <w:tcPr>
            <w:tcW w:w="2209" w:type="dxa"/>
            <w:tcBorders>
              <w:top w:val="outset" w:sz="6" w:space="0" w:color="auto"/>
              <w:left w:val="outset" w:sz="6" w:space="0" w:color="auto"/>
              <w:bottom w:val="outset" w:sz="6" w:space="0" w:color="auto"/>
              <w:right w:val="outset" w:sz="6" w:space="0" w:color="auto"/>
            </w:tcBorders>
          </w:tcPr>
          <w:p w14:paraId="534683A9" w14:textId="77777777" w:rsidR="006D33E3" w:rsidRPr="00B7760C" w:rsidRDefault="006D33E3" w:rsidP="004F0B88">
            <w:pPr>
              <w:widowControl/>
              <w:spacing w:before="100" w:beforeAutospacing="1" w:after="100" w:afterAutospacing="1"/>
              <w:jc w:val="both"/>
              <w:rPr>
                <w:rFonts w:eastAsia="Arial Unicode MS"/>
                <w:b/>
                <w:i/>
                <w:color w:val="000000"/>
                <w:sz w:val="20"/>
              </w:rPr>
            </w:pPr>
            <w:r w:rsidRPr="00B7760C">
              <w:rPr>
                <w:b/>
                <w:i/>
                <w:color w:val="000000"/>
                <w:sz w:val="20"/>
              </w:rPr>
              <w:t>Trajnostno upravljanje hranil</w:t>
            </w:r>
          </w:p>
        </w:tc>
      </w:tr>
      <w:tr w:rsidR="006D33E3" w:rsidRPr="00B7760C" w14:paraId="1ED9B48E" w14:textId="77777777" w:rsidTr="004F0B88">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vAlign w:val="center"/>
            <w:hideMark/>
          </w:tcPr>
          <w:p w14:paraId="527F0EE8" w14:textId="77777777" w:rsidR="006D33E3" w:rsidRPr="00B7760C" w:rsidRDefault="006D33E3" w:rsidP="004F0B88">
            <w:pPr>
              <w:widowControl/>
              <w:jc w:val="both"/>
              <w:rPr>
                <w:rFonts w:eastAsia="Arial Unicode MS"/>
                <w:color w:val="000000"/>
                <w:sz w:val="20"/>
              </w:rPr>
            </w:pPr>
          </w:p>
        </w:tc>
        <w:tc>
          <w:tcPr>
            <w:tcW w:w="1249" w:type="dxa"/>
            <w:vMerge/>
            <w:tcBorders>
              <w:top w:val="outset" w:sz="6" w:space="0" w:color="auto"/>
              <w:left w:val="outset" w:sz="6" w:space="0" w:color="auto"/>
              <w:bottom w:val="outset" w:sz="6" w:space="0" w:color="auto"/>
              <w:right w:val="outset" w:sz="6" w:space="0" w:color="auto"/>
            </w:tcBorders>
            <w:vAlign w:val="center"/>
            <w:hideMark/>
          </w:tcPr>
          <w:p w14:paraId="6F6BB099" w14:textId="77777777" w:rsidR="006D33E3" w:rsidRPr="00B7760C" w:rsidRDefault="006D33E3" w:rsidP="004F0B88">
            <w:pPr>
              <w:widowControl/>
              <w:jc w:val="center"/>
              <w:rPr>
                <w:rFonts w:eastAsia="Arial Unicode MS"/>
                <w:color w:val="000000"/>
                <w:sz w:val="20"/>
              </w:rPr>
            </w:pPr>
          </w:p>
        </w:tc>
        <w:tc>
          <w:tcPr>
            <w:tcW w:w="981" w:type="dxa"/>
            <w:tcBorders>
              <w:top w:val="outset" w:sz="6" w:space="0" w:color="auto"/>
              <w:left w:val="outset" w:sz="6" w:space="0" w:color="auto"/>
              <w:bottom w:val="outset" w:sz="6" w:space="0" w:color="auto"/>
              <w:right w:val="outset" w:sz="6" w:space="0" w:color="auto"/>
            </w:tcBorders>
          </w:tcPr>
          <w:p w14:paraId="1162C104" w14:textId="77777777" w:rsidR="006D33E3" w:rsidRPr="00B7760C" w:rsidRDefault="006D33E3" w:rsidP="004F0B88">
            <w:pPr>
              <w:widowControl/>
              <w:spacing w:before="60" w:after="60"/>
              <w:jc w:val="both"/>
              <w:rPr>
                <w:rFonts w:eastAsia="Arial Unicode MS"/>
                <w:color w:val="000000"/>
                <w:sz w:val="20"/>
              </w:rPr>
            </w:pPr>
          </w:p>
        </w:tc>
        <w:tc>
          <w:tcPr>
            <w:tcW w:w="3969" w:type="dxa"/>
            <w:tcBorders>
              <w:top w:val="outset" w:sz="6" w:space="0" w:color="auto"/>
              <w:left w:val="outset" w:sz="6" w:space="0" w:color="auto"/>
              <w:bottom w:val="outset" w:sz="6" w:space="0" w:color="auto"/>
              <w:right w:val="outset" w:sz="6" w:space="0" w:color="auto"/>
            </w:tcBorders>
          </w:tcPr>
          <w:p w14:paraId="14936B6E" w14:textId="77777777" w:rsidR="006D33E3" w:rsidRPr="00B7760C" w:rsidRDefault="006D33E3" w:rsidP="004F0B88">
            <w:pPr>
              <w:widowControl/>
              <w:spacing w:before="60" w:after="60"/>
              <w:jc w:val="both"/>
              <w:rPr>
                <w:rFonts w:eastAsia="Arial Unicode MS"/>
                <w:color w:val="000000"/>
                <w:sz w:val="20"/>
              </w:rPr>
            </w:pPr>
          </w:p>
        </w:tc>
        <w:tc>
          <w:tcPr>
            <w:tcW w:w="2209" w:type="dxa"/>
            <w:tcBorders>
              <w:top w:val="outset" w:sz="6" w:space="0" w:color="auto"/>
              <w:left w:val="outset" w:sz="6" w:space="0" w:color="auto"/>
              <w:bottom w:val="outset" w:sz="6" w:space="0" w:color="auto"/>
              <w:right w:val="outset" w:sz="6" w:space="0" w:color="auto"/>
            </w:tcBorders>
          </w:tcPr>
          <w:p w14:paraId="768D1E8B" w14:textId="77777777" w:rsidR="006D33E3" w:rsidRPr="00B7760C" w:rsidRDefault="006D33E3" w:rsidP="004F0B88">
            <w:pPr>
              <w:widowControl/>
              <w:spacing w:before="100" w:beforeAutospacing="1" w:after="100" w:afterAutospacing="1"/>
              <w:jc w:val="both"/>
              <w:rPr>
                <w:rFonts w:eastAsia="Arial Unicode MS"/>
                <w:i/>
                <w:color w:val="000000"/>
                <w:sz w:val="20"/>
              </w:rPr>
            </w:pPr>
          </w:p>
        </w:tc>
      </w:tr>
      <w:tr w:rsidR="006D33E3" w:rsidRPr="00B7760C" w14:paraId="06F9178E" w14:textId="77777777" w:rsidTr="004F0B88">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vAlign w:val="center"/>
            <w:hideMark/>
          </w:tcPr>
          <w:p w14:paraId="20F08162" w14:textId="77777777" w:rsidR="006D33E3" w:rsidRPr="00B7760C" w:rsidRDefault="006D33E3" w:rsidP="004F0B88">
            <w:pPr>
              <w:widowControl/>
              <w:jc w:val="both"/>
              <w:rPr>
                <w:rFonts w:eastAsia="Arial Unicode MS"/>
                <w:color w:val="000000"/>
                <w:sz w:val="20"/>
              </w:rPr>
            </w:pPr>
          </w:p>
        </w:tc>
        <w:tc>
          <w:tcPr>
            <w:tcW w:w="1249" w:type="dxa"/>
            <w:vMerge w:val="restart"/>
            <w:tcBorders>
              <w:top w:val="outset" w:sz="6" w:space="0" w:color="auto"/>
              <w:left w:val="outset" w:sz="6" w:space="0" w:color="auto"/>
              <w:bottom w:val="outset" w:sz="6" w:space="0" w:color="auto"/>
              <w:right w:val="outset" w:sz="6" w:space="0" w:color="auto"/>
            </w:tcBorders>
            <w:hideMark/>
          </w:tcPr>
          <w:p w14:paraId="45A03F41" w14:textId="77777777" w:rsidR="006D33E3" w:rsidRPr="00B7760C" w:rsidRDefault="006D33E3" w:rsidP="004F0B88">
            <w:pPr>
              <w:widowControl/>
              <w:spacing w:before="60" w:after="60"/>
              <w:jc w:val="center"/>
              <w:rPr>
                <w:rFonts w:eastAsia="Arial Unicode MS"/>
                <w:color w:val="000000"/>
                <w:sz w:val="20"/>
              </w:rPr>
            </w:pPr>
            <w:r w:rsidRPr="00B7760C">
              <w:rPr>
                <w:color w:val="000000"/>
                <w:sz w:val="20"/>
              </w:rPr>
              <w:t xml:space="preserve">Tla </w:t>
            </w:r>
          </w:p>
          <w:p w14:paraId="2FA7725D" w14:textId="77777777" w:rsidR="006D33E3" w:rsidRPr="00B7760C" w:rsidRDefault="006D33E3" w:rsidP="004F0B88">
            <w:pPr>
              <w:widowControl/>
              <w:spacing w:before="60" w:after="60"/>
              <w:jc w:val="center"/>
              <w:rPr>
                <w:rFonts w:eastAsia="Arial Unicode MS"/>
                <w:color w:val="000000"/>
                <w:sz w:val="20"/>
              </w:rPr>
            </w:pPr>
            <w:r w:rsidRPr="00B7760C">
              <w:rPr>
                <w:color w:val="000000"/>
                <w:sz w:val="20"/>
              </w:rPr>
              <w:t>(varstvo in kakovost)</w:t>
            </w:r>
          </w:p>
        </w:tc>
        <w:tc>
          <w:tcPr>
            <w:tcW w:w="981" w:type="dxa"/>
            <w:tcBorders>
              <w:top w:val="outset" w:sz="6" w:space="0" w:color="auto"/>
              <w:left w:val="outset" w:sz="6" w:space="0" w:color="auto"/>
              <w:bottom w:val="outset" w:sz="6" w:space="0" w:color="auto"/>
              <w:right w:val="outset" w:sz="6" w:space="0" w:color="auto"/>
            </w:tcBorders>
            <w:hideMark/>
          </w:tcPr>
          <w:p w14:paraId="45DB13C8" w14:textId="77777777" w:rsidR="006D33E3" w:rsidRPr="00B7760C" w:rsidRDefault="006D33E3" w:rsidP="004F0B88">
            <w:pPr>
              <w:widowControl/>
              <w:spacing w:before="60" w:after="60"/>
              <w:jc w:val="both"/>
              <w:rPr>
                <w:rFonts w:eastAsia="Arial Unicode MS"/>
                <w:color w:val="000000"/>
                <w:sz w:val="20"/>
              </w:rPr>
            </w:pPr>
            <w:r w:rsidRPr="00B7760C">
              <w:rPr>
                <w:color w:val="000000"/>
                <w:sz w:val="20"/>
              </w:rPr>
              <w:t>DKOP 6</w:t>
            </w:r>
          </w:p>
        </w:tc>
        <w:tc>
          <w:tcPr>
            <w:tcW w:w="3969" w:type="dxa"/>
            <w:tcBorders>
              <w:top w:val="outset" w:sz="6" w:space="0" w:color="auto"/>
              <w:left w:val="outset" w:sz="6" w:space="0" w:color="auto"/>
              <w:bottom w:val="outset" w:sz="6" w:space="0" w:color="auto"/>
              <w:right w:val="outset" w:sz="6" w:space="0" w:color="auto"/>
            </w:tcBorders>
            <w:hideMark/>
          </w:tcPr>
          <w:p w14:paraId="0092A9C4" w14:textId="77777777" w:rsidR="006D33E3" w:rsidRPr="00B7760C" w:rsidRDefault="006D33E3" w:rsidP="00AB1DA6">
            <w:pPr>
              <w:widowControl/>
              <w:spacing w:before="60" w:after="60"/>
              <w:rPr>
                <w:rFonts w:eastAsia="Arial Unicode MS"/>
                <w:color w:val="000000"/>
                <w:sz w:val="20"/>
              </w:rPr>
            </w:pPr>
            <w:r w:rsidRPr="00B7760C">
              <w:rPr>
                <w:color w:val="000000"/>
                <w:sz w:val="20"/>
              </w:rPr>
              <w:t>Upravljanje obdelave za zmanjšanje tveganja degradacije tal, vključno z upoštevanjem naklona</w:t>
            </w:r>
          </w:p>
        </w:tc>
        <w:tc>
          <w:tcPr>
            <w:tcW w:w="2209" w:type="dxa"/>
            <w:tcBorders>
              <w:top w:val="outset" w:sz="6" w:space="0" w:color="auto"/>
              <w:left w:val="outset" w:sz="6" w:space="0" w:color="auto"/>
              <w:bottom w:val="outset" w:sz="6" w:space="0" w:color="auto"/>
              <w:right w:val="outset" w:sz="6" w:space="0" w:color="auto"/>
            </w:tcBorders>
            <w:hideMark/>
          </w:tcPr>
          <w:p w14:paraId="158769F8" w14:textId="77777777" w:rsidR="006D33E3" w:rsidRPr="00B7760C" w:rsidRDefault="006D33E3" w:rsidP="00AB1DA6">
            <w:pPr>
              <w:widowControl/>
              <w:spacing w:before="100" w:beforeAutospacing="1" w:after="100" w:afterAutospacing="1"/>
              <w:rPr>
                <w:rFonts w:eastAsia="Arial Unicode MS"/>
                <w:i/>
                <w:color w:val="000000"/>
                <w:sz w:val="20"/>
              </w:rPr>
            </w:pPr>
            <w:r w:rsidRPr="00B7760C">
              <w:rPr>
                <w:i/>
                <w:color w:val="000000"/>
                <w:sz w:val="20"/>
              </w:rPr>
              <w:t>Minimalno upravljanje zemljišč, ki odraža specifične pogoje za omejitev erozije na zemljiščih</w:t>
            </w:r>
          </w:p>
        </w:tc>
      </w:tr>
      <w:tr w:rsidR="006D33E3" w:rsidRPr="00B7760C" w14:paraId="621831DA" w14:textId="77777777" w:rsidTr="004F0B88">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vAlign w:val="center"/>
            <w:hideMark/>
          </w:tcPr>
          <w:p w14:paraId="1D095401" w14:textId="77777777" w:rsidR="006D33E3" w:rsidRPr="00B7760C" w:rsidRDefault="006D33E3" w:rsidP="004F0B88">
            <w:pPr>
              <w:widowControl/>
              <w:jc w:val="both"/>
              <w:rPr>
                <w:rFonts w:eastAsia="Arial Unicode MS"/>
                <w:color w:val="000000"/>
                <w:sz w:val="20"/>
              </w:rPr>
            </w:pPr>
          </w:p>
        </w:tc>
        <w:tc>
          <w:tcPr>
            <w:tcW w:w="1249" w:type="dxa"/>
            <w:vMerge/>
            <w:tcBorders>
              <w:top w:val="outset" w:sz="6" w:space="0" w:color="auto"/>
              <w:left w:val="outset" w:sz="6" w:space="0" w:color="auto"/>
              <w:bottom w:val="outset" w:sz="6" w:space="0" w:color="auto"/>
              <w:right w:val="outset" w:sz="6" w:space="0" w:color="auto"/>
            </w:tcBorders>
            <w:vAlign w:val="center"/>
            <w:hideMark/>
          </w:tcPr>
          <w:p w14:paraId="09E8690B" w14:textId="77777777" w:rsidR="006D33E3" w:rsidRPr="00B7760C" w:rsidRDefault="006D33E3" w:rsidP="004F0B88">
            <w:pPr>
              <w:widowControl/>
              <w:jc w:val="center"/>
              <w:rPr>
                <w:rFonts w:eastAsia="Arial Unicode MS"/>
                <w:color w:val="000000"/>
                <w:sz w:val="20"/>
              </w:rPr>
            </w:pPr>
          </w:p>
        </w:tc>
        <w:tc>
          <w:tcPr>
            <w:tcW w:w="981" w:type="dxa"/>
            <w:tcBorders>
              <w:top w:val="outset" w:sz="6" w:space="0" w:color="auto"/>
              <w:left w:val="outset" w:sz="6" w:space="0" w:color="auto"/>
              <w:bottom w:val="outset" w:sz="6" w:space="0" w:color="auto"/>
              <w:right w:val="outset" w:sz="6" w:space="0" w:color="auto"/>
            </w:tcBorders>
            <w:hideMark/>
          </w:tcPr>
          <w:p w14:paraId="34128F72" w14:textId="77777777" w:rsidR="006D33E3" w:rsidRPr="00B7760C" w:rsidRDefault="006D33E3" w:rsidP="004F0B88">
            <w:pPr>
              <w:widowControl/>
              <w:spacing w:before="60" w:after="60"/>
              <w:jc w:val="both"/>
              <w:rPr>
                <w:rFonts w:eastAsia="Arial Unicode MS"/>
                <w:color w:val="000000"/>
                <w:sz w:val="20"/>
              </w:rPr>
            </w:pPr>
            <w:r w:rsidRPr="00B7760C">
              <w:rPr>
                <w:color w:val="000000"/>
                <w:sz w:val="20"/>
              </w:rPr>
              <w:t>DKOP 7</w:t>
            </w:r>
          </w:p>
        </w:tc>
        <w:tc>
          <w:tcPr>
            <w:tcW w:w="3969" w:type="dxa"/>
            <w:tcBorders>
              <w:top w:val="outset" w:sz="6" w:space="0" w:color="auto"/>
              <w:left w:val="outset" w:sz="6" w:space="0" w:color="auto"/>
              <w:bottom w:val="outset" w:sz="6" w:space="0" w:color="auto"/>
              <w:right w:val="outset" w:sz="6" w:space="0" w:color="auto"/>
            </w:tcBorders>
            <w:hideMark/>
          </w:tcPr>
          <w:p w14:paraId="4715CC56" w14:textId="77777777" w:rsidR="006D33E3" w:rsidRPr="00B7760C" w:rsidRDefault="006D33E3" w:rsidP="00AB1DA6">
            <w:pPr>
              <w:widowControl/>
              <w:spacing w:before="60" w:after="60"/>
              <w:rPr>
                <w:rFonts w:eastAsia="Arial Unicode MS"/>
                <w:color w:val="000000"/>
                <w:sz w:val="20"/>
              </w:rPr>
            </w:pPr>
            <w:r w:rsidRPr="00B7760C">
              <w:rPr>
                <w:color w:val="000000"/>
                <w:sz w:val="20"/>
              </w:rPr>
              <w:t>Brez gole zemlje v najbolj občutljivih obdobjih</w:t>
            </w:r>
          </w:p>
        </w:tc>
        <w:tc>
          <w:tcPr>
            <w:tcW w:w="2209" w:type="dxa"/>
            <w:tcBorders>
              <w:top w:val="outset" w:sz="6" w:space="0" w:color="auto"/>
              <w:left w:val="outset" w:sz="6" w:space="0" w:color="auto"/>
              <w:bottom w:val="outset" w:sz="6" w:space="0" w:color="auto"/>
              <w:right w:val="outset" w:sz="6" w:space="0" w:color="auto"/>
            </w:tcBorders>
            <w:hideMark/>
          </w:tcPr>
          <w:p w14:paraId="2A4CDF1D" w14:textId="77777777" w:rsidR="006D33E3" w:rsidRPr="00B7760C" w:rsidRDefault="006D33E3" w:rsidP="00AB1DA6">
            <w:pPr>
              <w:widowControl/>
              <w:spacing w:before="100" w:beforeAutospacing="1" w:after="100" w:afterAutospacing="1"/>
              <w:rPr>
                <w:rFonts w:eastAsia="Arial Unicode MS"/>
                <w:i/>
                <w:color w:val="000000"/>
                <w:sz w:val="20"/>
              </w:rPr>
            </w:pPr>
            <w:r w:rsidRPr="00B7760C">
              <w:rPr>
                <w:i/>
                <w:color w:val="000000"/>
                <w:sz w:val="20"/>
              </w:rPr>
              <w:t>Varstvo tal pozimi</w:t>
            </w:r>
          </w:p>
        </w:tc>
      </w:tr>
      <w:tr w:rsidR="006D33E3" w:rsidRPr="00B7760C" w14:paraId="0D9EF75D" w14:textId="77777777" w:rsidTr="004F0B88">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vAlign w:val="center"/>
            <w:hideMark/>
          </w:tcPr>
          <w:p w14:paraId="553D5BA0" w14:textId="77777777" w:rsidR="006D33E3" w:rsidRPr="00B7760C" w:rsidRDefault="006D33E3" w:rsidP="004F0B88">
            <w:pPr>
              <w:widowControl/>
              <w:jc w:val="both"/>
              <w:rPr>
                <w:rFonts w:eastAsia="Arial Unicode MS"/>
                <w:color w:val="000000"/>
                <w:sz w:val="20"/>
              </w:rPr>
            </w:pPr>
          </w:p>
        </w:tc>
        <w:tc>
          <w:tcPr>
            <w:tcW w:w="1249" w:type="dxa"/>
            <w:vMerge/>
            <w:tcBorders>
              <w:top w:val="outset" w:sz="6" w:space="0" w:color="auto"/>
              <w:left w:val="outset" w:sz="6" w:space="0" w:color="auto"/>
              <w:bottom w:val="outset" w:sz="6" w:space="0" w:color="auto"/>
              <w:right w:val="outset" w:sz="6" w:space="0" w:color="auto"/>
            </w:tcBorders>
            <w:vAlign w:val="center"/>
            <w:hideMark/>
          </w:tcPr>
          <w:p w14:paraId="2DF0E464" w14:textId="77777777" w:rsidR="006D33E3" w:rsidRPr="00B7760C" w:rsidRDefault="006D33E3" w:rsidP="004F0B88">
            <w:pPr>
              <w:widowControl/>
              <w:jc w:val="center"/>
              <w:rPr>
                <w:rFonts w:eastAsia="Arial Unicode MS"/>
                <w:color w:val="000000"/>
                <w:sz w:val="20"/>
              </w:rPr>
            </w:pPr>
          </w:p>
        </w:tc>
        <w:tc>
          <w:tcPr>
            <w:tcW w:w="981" w:type="dxa"/>
            <w:tcBorders>
              <w:top w:val="outset" w:sz="6" w:space="0" w:color="auto"/>
              <w:left w:val="outset" w:sz="6" w:space="0" w:color="auto"/>
              <w:bottom w:val="outset" w:sz="6" w:space="0" w:color="auto"/>
              <w:right w:val="outset" w:sz="6" w:space="0" w:color="auto"/>
            </w:tcBorders>
            <w:hideMark/>
          </w:tcPr>
          <w:p w14:paraId="0D768CF3" w14:textId="77777777" w:rsidR="006D33E3" w:rsidRPr="00B7760C" w:rsidRDefault="006D33E3" w:rsidP="004F0B88">
            <w:pPr>
              <w:widowControl/>
              <w:spacing w:before="60" w:after="60"/>
              <w:jc w:val="both"/>
              <w:rPr>
                <w:rFonts w:eastAsia="Arial Unicode MS"/>
                <w:color w:val="000000"/>
                <w:sz w:val="20"/>
              </w:rPr>
            </w:pPr>
            <w:r w:rsidRPr="00B7760C">
              <w:rPr>
                <w:color w:val="000000"/>
                <w:sz w:val="20"/>
              </w:rPr>
              <w:t>DKOP 8</w:t>
            </w:r>
          </w:p>
        </w:tc>
        <w:tc>
          <w:tcPr>
            <w:tcW w:w="3969" w:type="dxa"/>
            <w:tcBorders>
              <w:top w:val="outset" w:sz="6" w:space="0" w:color="auto"/>
              <w:left w:val="outset" w:sz="6" w:space="0" w:color="auto"/>
              <w:bottom w:val="outset" w:sz="6" w:space="0" w:color="auto"/>
              <w:right w:val="outset" w:sz="6" w:space="0" w:color="auto"/>
            </w:tcBorders>
            <w:hideMark/>
          </w:tcPr>
          <w:p w14:paraId="1809F7BC" w14:textId="77777777" w:rsidR="006D33E3" w:rsidRPr="00B7760C" w:rsidRDefault="006D33E3" w:rsidP="004F0B88">
            <w:pPr>
              <w:widowControl/>
              <w:spacing w:before="60" w:after="60"/>
              <w:jc w:val="both"/>
              <w:rPr>
                <w:rFonts w:eastAsia="Arial Unicode MS"/>
                <w:color w:val="000000"/>
                <w:sz w:val="20"/>
              </w:rPr>
            </w:pPr>
            <w:r w:rsidRPr="00B7760C">
              <w:rPr>
                <w:color w:val="000000"/>
                <w:sz w:val="20"/>
              </w:rPr>
              <w:t>Kolobarjenje</w:t>
            </w:r>
          </w:p>
        </w:tc>
        <w:tc>
          <w:tcPr>
            <w:tcW w:w="2209" w:type="dxa"/>
            <w:tcBorders>
              <w:top w:val="outset" w:sz="6" w:space="0" w:color="auto"/>
              <w:left w:val="outset" w:sz="6" w:space="0" w:color="auto"/>
              <w:bottom w:val="outset" w:sz="6" w:space="0" w:color="auto"/>
              <w:right w:val="outset" w:sz="6" w:space="0" w:color="auto"/>
            </w:tcBorders>
            <w:hideMark/>
          </w:tcPr>
          <w:p w14:paraId="51719647" w14:textId="77777777" w:rsidR="006D33E3" w:rsidRPr="00B7760C" w:rsidRDefault="006D33E3" w:rsidP="00AB1DA6">
            <w:pPr>
              <w:widowControl/>
              <w:spacing w:before="100" w:beforeAutospacing="1" w:after="100" w:afterAutospacing="1"/>
              <w:rPr>
                <w:rFonts w:eastAsia="Arial Unicode MS"/>
                <w:i/>
                <w:color w:val="000000"/>
                <w:sz w:val="20"/>
              </w:rPr>
            </w:pPr>
            <w:r w:rsidRPr="00B7760C">
              <w:rPr>
                <w:i/>
                <w:color w:val="000000"/>
                <w:sz w:val="20"/>
              </w:rPr>
              <w:t>Ohranjanje potenciala tal</w:t>
            </w:r>
          </w:p>
        </w:tc>
      </w:tr>
      <w:tr w:rsidR="006D33E3" w:rsidRPr="00B7760C" w14:paraId="59ACDBAD" w14:textId="77777777" w:rsidTr="004F0B88">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vAlign w:val="center"/>
            <w:hideMark/>
          </w:tcPr>
          <w:p w14:paraId="26846EE6" w14:textId="77777777" w:rsidR="006D33E3" w:rsidRPr="00B7760C" w:rsidRDefault="006D33E3" w:rsidP="004F0B88">
            <w:pPr>
              <w:widowControl/>
              <w:jc w:val="both"/>
              <w:rPr>
                <w:rFonts w:eastAsia="Arial Unicode MS"/>
                <w:color w:val="000000"/>
                <w:sz w:val="20"/>
              </w:rPr>
            </w:pPr>
          </w:p>
        </w:tc>
        <w:tc>
          <w:tcPr>
            <w:tcW w:w="1249" w:type="dxa"/>
            <w:vMerge w:val="restart"/>
            <w:tcBorders>
              <w:top w:val="outset" w:sz="6" w:space="0" w:color="auto"/>
              <w:left w:val="outset" w:sz="6" w:space="0" w:color="auto"/>
              <w:right w:val="outset" w:sz="6" w:space="0" w:color="auto"/>
            </w:tcBorders>
            <w:hideMark/>
          </w:tcPr>
          <w:p w14:paraId="419F254D" w14:textId="77777777" w:rsidR="006D33E3" w:rsidRPr="00B7760C" w:rsidRDefault="006D33E3" w:rsidP="004F0B88">
            <w:pPr>
              <w:widowControl/>
              <w:spacing w:before="60" w:after="60"/>
              <w:jc w:val="center"/>
              <w:rPr>
                <w:rFonts w:eastAsia="Arial Unicode MS"/>
                <w:color w:val="000000"/>
                <w:sz w:val="20"/>
              </w:rPr>
            </w:pPr>
            <w:r w:rsidRPr="00B7760C">
              <w:rPr>
                <w:color w:val="000000"/>
                <w:sz w:val="20"/>
              </w:rPr>
              <w:t>Biotska raznovrstnost in krajina</w:t>
            </w:r>
          </w:p>
          <w:p w14:paraId="1166DA36" w14:textId="77777777" w:rsidR="006D33E3" w:rsidRPr="00B7760C" w:rsidRDefault="006D33E3" w:rsidP="004F0B88">
            <w:pPr>
              <w:widowControl/>
              <w:spacing w:before="60" w:after="60"/>
              <w:jc w:val="center"/>
              <w:rPr>
                <w:rFonts w:eastAsia="Arial Unicode MS"/>
                <w:color w:val="000000"/>
                <w:sz w:val="20"/>
              </w:rPr>
            </w:pPr>
            <w:r w:rsidRPr="00B7760C">
              <w:rPr>
                <w:color w:val="000000"/>
                <w:sz w:val="20"/>
              </w:rPr>
              <w:t>(varstvo in kakovost)</w:t>
            </w:r>
          </w:p>
          <w:p w14:paraId="31CDF7ED" w14:textId="77777777" w:rsidR="006D33E3" w:rsidRPr="00B7760C" w:rsidRDefault="006D33E3" w:rsidP="004F0B88">
            <w:pPr>
              <w:widowControl/>
              <w:spacing w:before="60" w:after="60"/>
              <w:jc w:val="center"/>
              <w:rPr>
                <w:rFonts w:eastAsia="Arial Unicode MS"/>
                <w:color w:val="000000"/>
                <w:sz w:val="20"/>
              </w:rPr>
            </w:pPr>
          </w:p>
        </w:tc>
        <w:tc>
          <w:tcPr>
            <w:tcW w:w="981" w:type="dxa"/>
            <w:tcBorders>
              <w:top w:val="outset" w:sz="6" w:space="0" w:color="auto"/>
              <w:left w:val="outset" w:sz="6" w:space="0" w:color="auto"/>
              <w:bottom w:val="outset" w:sz="6" w:space="0" w:color="auto"/>
              <w:right w:val="outset" w:sz="6" w:space="0" w:color="auto"/>
            </w:tcBorders>
            <w:hideMark/>
          </w:tcPr>
          <w:p w14:paraId="45ACFC50" w14:textId="77777777" w:rsidR="006D33E3" w:rsidRPr="00B7760C" w:rsidRDefault="006D33E3" w:rsidP="004F0B88">
            <w:pPr>
              <w:widowControl/>
              <w:spacing w:before="60" w:after="60"/>
              <w:jc w:val="both"/>
              <w:rPr>
                <w:rFonts w:eastAsia="Arial Unicode MS"/>
                <w:color w:val="000000"/>
                <w:sz w:val="20"/>
              </w:rPr>
            </w:pPr>
            <w:r w:rsidRPr="00B7760C">
              <w:rPr>
                <w:color w:val="000000"/>
                <w:sz w:val="20"/>
              </w:rPr>
              <w:t>PZR 3</w:t>
            </w:r>
          </w:p>
        </w:tc>
        <w:tc>
          <w:tcPr>
            <w:tcW w:w="3969" w:type="dxa"/>
            <w:tcBorders>
              <w:top w:val="outset" w:sz="6" w:space="0" w:color="auto"/>
              <w:left w:val="outset" w:sz="6" w:space="0" w:color="auto"/>
              <w:bottom w:val="outset" w:sz="6" w:space="0" w:color="auto"/>
              <w:right w:val="outset" w:sz="6" w:space="0" w:color="auto"/>
            </w:tcBorders>
            <w:hideMark/>
          </w:tcPr>
          <w:p w14:paraId="18587244" w14:textId="77777777" w:rsidR="006D33E3" w:rsidRPr="00B7760C" w:rsidRDefault="006D33E3" w:rsidP="00AB1DA6">
            <w:pPr>
              <w:widowControl/>
              <w:spacing w:before="60" w:after="60"/>
              <w:rPr>
                <w:rFonts w:eastAsia="Arial Unicode MS"/>
                <w:color w:val="000000"/>
                <w:sz w:val="20"/>
              </w:rPr>
            </w:pPr>
            <w:r w:rsidRPr="00B7760C">
              <w:rPr>
                <w:color w:val="000000"/>
                <w:sz w:val="20"/>
              </w:rPr>
              <w:t>Direktiva 2009/147/ES Evropskega parlamenta in Sveta z dne 30. novembra 2009 o ohranjanju prosto živečih ptic (UL L 20, 26.1.2010, str. 7):</w:t>
            </w:r>
          </w:p>
          <w:p w14:paraId="14244F15" w14:textId="77777777" w:rsidR="006D33E3" w:rsidRPr="00B7760C" w:rsidRDefault="006D33E3" w:rsidP="00AB1DA6">
            <w:pPr>
              <w:widowControl/>
              <w:spacing w:before="60" w:after="60"/>
              <w:rPr>
                <w:rFonts w:eastAsia="Arial Unicode MS"/>
                <w:color w:val="000000"/>
                <w:sz w:val="20"/>
              </w:rPr>
            </w:pPr>
            <w:r w:rsidRPr="00B7760C">
              <w:rPr>
                <w:color w:val="000000"/>
                <w:sz w:val="20"/>
              </w:rPr>
              <w:t>člen 3(1), člen 3(2)(b), člen 4(1), (2) in (4)</w:t>
            </w:r>
          </w:p>
        </w:tc>
        <w:tc>
          <w:tcPr>
            <w:tcW w:w="2209" w:type="dxa"/>
            <w:tcBorders>
              <w:top w:val="outset" w:sz="6" w:space="0" w:color="auto"/>
              <w:left w:val="outset" w:sz="6" w:space="0" w:color="auto"/>
              <w:bottom w:val="outset" w:sz="6" w:space="0" w:color="auto"/>
              <w:right w:val="outset" w:sz="6" w:space="0" w:color="auto"/>
            </w:tcBorders>
            <w:hideMark/>
          </w:tcPr>
          <w:p w14:paraId="4FFA8AD5" w14:textId="77777777" w:rsidR="006D33E3" w:rsidRPr="00B7760C" w:rsidRDefault="006D33E3" w:rsidP="00AB1DA6">
            <w:pPr>
              <w:widowControl/>
              <w:spacing w:before="60" w:after="60"/>
              <w:rPr>
                <w:rFonts w:eastAsia="Arial Unicode MS"/>
                <w:i/>
                <w:color w:val="000000"/>
                <w:sz w:val="20"/>
              </w:rPr>
            </w:pPr>
          </w:p>
        </w:tc>
      </w:tr>
      <w:tr w:rsidR="006D33E3" w:rsidRPr="00B7760C" w14:paraId="7D0B66D7" w14:textId="77777777" w:rsidTr="004F0B88">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vAlign w:val="center"/>
            <w:hideMark/>
          </w:tcPr>
          <w:p w14:paraId="577474EE" w14:textId="77777777" w:rsidR="006D33E3" w:rsidRPr="00B7760C" w:rsidRDefault="006D33E3" w:rsidP="004F0B88">
            <w:pPr>
              <w:widowControl/>
              <w:jc w:val="both"/>
              <w:rPr>
                <w:rFonts w:eastAsia="Arial Unicode MS"/>
                <w:color w:val="000000"/>
                <w:sz w:val="20"/>
              </w:rPr>
            </w:pPr>
          </w:p>
        </w:tc>
        <w:tc>
          <w:tcPr>
            <w:tcW w:w="1249" w:type="dxa"/>
            <w:vMerge/>
            <w:tcBorders>
              <w:left w:val="outset" w:sz="6" w:space="0" w:color="auto"/>
              <w:right w:val="outset" w:sz="6" w:space="0" w:color="auto"/>
            </w:tcBorders>
            <w:vAlign w:val="center"/>
            <w:hideMark/>
          </w:tcPr>
          <w:p w14:paraId="29B6BCAF" w14:textId="77777777" w:rsidR="006D33E3" w:rsidRPr="00B7760C" w:rsidRDefault="006D33E3" w:rsidP="004F0B88">
            <w:pPr>
              <w:widowControl/>
              <w:spacing w:before="60" w:after="60"/>
              <w:jc w:val="center"/>
              <w:rPr>
                <w:rFonts w:eastAsia="Arial Unicode MS"/>
                <w:color w:val="000000"/>
                <w:sz w:val="20"/>
              </w:rPr>
            </w:pPr>
          </w:p>
        </w:tc>
        <w:tc>
          <w:tcPr>
            <w:tcW w:w="981" w:type="dxa"/>
            <w:tcBorders>
              <w:top w:val="outset" w:sz="6" w:space="0" w:color="auto"/>
              <w:left w:val="outset" w:sz="6" w:space="0" w:color="auto"/>
              <w:bottom w:val="outset" w:sz="6" w:space="0" w:color="auto"/>
              <w:right w:val="outset" w:sz="6" w:space="0" w:color="auto"/>
            </w:tcBorders>
            <w:hideMark/>
          </w:tcPr>
          <w:p w14:paraId="62714077" w14:textId="77777777" w:rsidR="006D33E3" w:rsidRPr="00B7760C" w:rsidRDefault="006D33E3" w:rsidP="004F0B88">
            <w:pPr>
              <w:widowControl/>
              <w:spacing w:before="60" w:after="60"/>
              <w:jc w:val="both"/>
              <w:rPr>
                <w:rFonts w:eastAsia="Arial Unicode MS"/>
                <w:color w:val="000000"/>
                <w:sz w:val="20"/>
              </w:rPr>
            </w:pPr>
            <w:r w:rsidRPr="00B7760C">
              <w:rPr>
                <w:color w:val="000000"/>
                <w:sz w:val="20"/>
              </w:rPr>
              <w:t>PZR 4</w:t>
            </w:r>
          </w:p>
        </w:tc>
        <w:tc>
          <w:tcPr>
            <w:tcW w:w="3969" w:type="dxa"/>
            <w:tcBorders>
              <w:top w:val="outset" w:sz="6" w:space="0" w:color="auto"/>
              <w:left w:val="outset" w:sz="6" w:space="0" w:color="auto"/>
              <w:bottom w:val="outset" w:sz="6" w:space="0" w:color="auto"/>
              <w:right w:val="outset" w:sz="6" w:space="0" w:color="auto"/>
            </w:tcBorders>
            <w:hideMark/>
          </w:tcPr>
          <w:p w14:paraId="2DC30C98" w14:textId="77777777" w:rsidR="006D33E3" w:rsidRPr="00B7760C" w:rsidRDefault="006D33E3" w:rsidP="00AB1DA6">
            <w:pPr>
              <w:widowControl/>
              <w:spacing w:before="60" w:after="60"/>
              <w:rPr>
                <w:rFonts w:eastAsia="Arial Unicode MS"/>
                <w:color w:val="000000"/>
                <w:sz w:val="20"/>
              </w:rPr>
            </w:pPr>
            <w:r w:rsidRPr="00B7760C">
              <w:rPr>
                <w:color w:val="000000"/>
                <w:sz w:val="20"/>
              </w:rPr>
              <w:t>Direktiva Sveta 92/43/EGS z dne 21. maja 1992 o ohranjanju naravnih habitatov ter prosto živečih živalskih in rastlinskih vrst (UL L 206, 22.7.1992, str. 7):</w:t>
            </w:r>
          </w:p>
          <w:p w14:paraId="2EC6E442" w14:textId="77777777" w:rsidR="006D33E3" w:rsidRPr="00B7760C" w:rsidRDefault="006D33E3" w:rsidP="00AB1DA6">
            <w:pPr>
              <w:widowControl/>
              <w:spacing w:before="60" w:after="60"/>
              <w:rPr>
                <w:rFonts w:eastAsia="Arial Unicode MS"/>
                <w:color w:val="000000"/>
                <w:sz w:val="20"/>
              </w:rPr>
            </w:pPr>
            <w:r w:rsidRPr="00B7760C">
              <w:rPr>
                <w:color w:val="000000"/>
                <w:sz w:val="20"/>
              </w:rPr>
              <w:t>člen 6(1) in (2)</w:t>
            </w:r>
          </w:p>
        </w:tc>
        <w:tc>
          <w:tcPr>
            <w:tcW w:w="2209" w:type="dxa"/>
            <w:tcBorders>
              <w:top w:val="outset" w:sz="6" w:space="0" w:color="auto"/>
              <w:left w:val="outset" w:sz="6" w:space="0" w:color="auto"/>
              <w:bottom w:val="outset" w:sz="6" w:space="0" w:color="auto"/>
              <w:right w:val="outset" w:sz="6" w:space="0" w:color="auto"/>
            </w:tcBorders>
            <w:hideMark/>
          </w:tcPr>
          <w:p w14:paraId="1F2F84EE" w14:textId="77777777" w:rsidR="006D33E3" w:rsidRPr="00B7760C" w:rsidRDefault="006D33E3" w:rsidP="00AB1DA6">
            <w:pPr>
              <w:widowControl/>
              <w:spacing w:before="60" w:after="60"/>
              <w:rPr>
                <w:rFonts w:eastAsia="Arial Unicode MS"/>
                <w:i/>
                <w:color w:val="000000"/>
                <w:sz w:val="20"/>
              </w:rPr>
            </w:pPr>
          </w:p>
        </w:tc>
      </w:tr>
      <w:tr w:rsidR="006D33E3" w:rsidRPr="00B7760C" w14:paraId="68CF73D5" w14:textId="77777777" w:rsidTr="004F0B88">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vAlign w:val="center"/>
          </w:tcPr>
          <w:p w14:paraId="397531C7" w14:textId="77777777" w:rsidR="006D33E3" w:rsidRPr="00B7760C" w:rsidRDefault="006D33E3" w:rsidP="004F0B88">
            <w:pPr>
              <w:widowControl/>
              <w:jc w:val="both"/>
              <w:rPr>
                <w:rFonts w:eastAsia="Arial Unicode MS"/>
                <w:color w:val="000000"/>
                <w:sz w:val="20"/>
              </w:rPr>
            </w:pPr>
          </w:p>
        </w:tc>
        <w:tc>
          <w:tcPr>
            <w:tcW w:w="1249" w:type="dxa"/>
            <w:vMerge/>
            <w:tcBorders>
              <w:left w:val="outset" w:sz="6" w:space="0" w:color="auto"/>
              <w:right w:val="outset" w:sz="6" w:space="0" w:color="auto"/>
            </w:tcBorders>
            <w:vAlign w:val="center"/>
          </w:tcPr>
          <w:p w14:paraId="600379E1" w14:textId="77777777" w:rsidR="006D33E3" w:rsidRPr="00B7760C" w:rsidRDefault="006D33E3" w:rsidP="004F0B88">
            <w:pPr>
              <w:widowControl/>
              <w:spacing w:before="60" w:after="60"/>
              <w:jc w:val="center"/>
              <w:rPr>
                <w:rFonts w:eastAsia="Arial Unicode MS"/>
                <w:color w:val="000000"/>
                <w:sz w:val="20"/>
              </w:rPr>
            </w:pPr>
          </w:p>
        </w:tc>
        <w:tc>
          <w:tcPr>
            <w:tcW w:w="981" w:type="dxa"/>
            <w:tcBorders>
              <w:top w:val="outset" w:sz="6" w:space="0" w:color="auto"/>
              <w:left w:val="outset" w:sz="6" w:space="0" w:color="auto"/>
              <w:bottom w:val="outset" w:sz="6" w:space="0" w:color="auto"/>
              <w:right w:val="outset" w:sz="6" w:space="0" w:color="auto"/>
            </w:tcBorders>
          </w:tcPr>
          <w:p w14:paraId="00679DBC" w14:textId="77777777" w:rsidR="006D33E3" w:rsidRPr="00B7760C" w:rsidRDefault="006D33E3" w:rsidP="004F0B88">
            <w:pPr>
              <w:widowControl/>
              <w:spacing w:before="60" w:after="60"/>
              <w:jc w:val="both"/>
              <w:rPr>
                <w:rFonts w:eastAsia="Arial Unicode MS"/>
                <w:color w:val="000000"/>
                <w:sz w:val="20"/>
              </w:rPr>
            </w:pPr>
            <w:r w:rsidRPr="00B7760C">
              <w:rPr>
                <w:color w:val="000000"/>
                <w:sz w:val="20"/>
              </w:rPr>
              <w:t>DKOP 9</w:t>
            </w:r>
          </w:p>
        </w:tc>
        <w:tc>
          <w:tcPr>
            <w:tcW w:w="3969" w:type="dxa"/>
            <w:tcBorders>
              <w:top w:val="outset" w:sz="6" w:space="0" w:color="auto"/>
              <w:left w:val="outset" w:sz="6" w:space="0" w:color="auto"/>
              <w:bottom w:val="outset" w:sz="6" w:space="0" w:color="auto"/>
              <w:right w:val="outset" w:sz="6" w:space="0" w:color="auto"/>
            </w:tcBorders>
          </w:tcPr>
          <w:p w14:paraId="221AE57A" w14:textId="77777777" w:rsidR="006D33E3" w:rsidRPr="00B7760C" w:rsidRDefault="006D33E3" w:rsidP="00AB1DA6">
            <w:pPr>
              <w:widowControl/>
              <w:numPr>
                <w:ilvl w:val="0"/>
                <w:numId w:val="4"/>
              </w:numPr>
              <w:spacing w:before="60" w:after="60"/>
              <w:ind w:left="238" w:hanging="142"/>
              <w:contextualSpacing/>
              <w:rPr>
                <w:rFonts w:eastAsia="Arial Unicode MS"/>
                <w:color w:val="000000"/>
                <w:sz w:val="20"/>
              </w:rPr>
            </w:pPr>
            <w:r w:rsidRPr="00B7760C">
              <w:rPr>
                <w:color w:val="000000"/>
                <w:sz w:val="20"/>
              </w:rPr>
              <w:t xml:space="preserve">Minimalni delež </w:t>
            </w:r>
            <w:r w:rsidRPr="00B7760C">
              <w:rPr>
                <w:b/>
                <w:i/>
                <w:color w:val="000000"/>
                <w:sz w:val="20"/>
              </w:rPr>
              <w:t>kmetijske površine, namenjen za neproizvodne značilnosti ali območja</w:t>
            </w:r>
          </w:p>
          <w:p w14:paraId="7CE24B4A" w14:textId="77777777" w:rsidR="006D33E3" w:rsidRPr="00B7760C" w:rsidRDefault="006D33E3" w:rsidP="00AB1DA6">
            <w:pPr>
              <w:widowControl/>
              <w:numPr>
                <w:ilvl w:val="0"/>
                <w:numId w:val="4"/>
              </w:numPr>
              <w:spacing w:before="60" w:after="60"/>
              <w:ind w:left="238" w:hanging="142"/>
              <w:contextualSpacing/>
              <w:rPr>
                <w:rFonts w:eastAsia="Arial Unicode MS"/>
                <w:color w:val="000000"/>
                <w:sz w:val="20"/>
              </w:rPr>
            </w:pPr>
            <w:r w:rsidRPr="00B7760C">
              <w:rPr>
                <w:color w:val="000000"/>
                <w:sz w:val="20"/>
              </w:rPr>
              <w:t>Ohranjanje krajinskih značilnosti</w:t>
            </w:r>
          </w:p>
          <w:p w14:paraId="106F5989" w14:textId="77777777" w:rsidR="006D33E3" w:rsidRPr="00B7760C" w:rsidRDefault="006D33E3" w:rsidP="00AB1DA6">
            <w:pPr>
              <w:widowControl/>
              <w:numPr>
                <w:ilvl w:val="0"/>
                <w:numId w:val="4"/>
              </w:numPr>
              <w:spacing w:before="60" w:after="60"/>
              <w:ind w:left="238" w:hanging="142"/>
              <w:contextualSpacing/>
              <w:rPr>
                <w:rFonts w:eastAsia="Arial Unicode MS"/>
                <w:color w:val="000000"/>
                <w:sz w:val="20"/>
              </w:rPr>
            </w:pPr>
            <w:r w:rsidRPr="00B7760C">
              <w:rPr>
                <w:color w:val="000000"/>
                <w:sz w:val="20"/>
              </w:rPr>
              <w:t xml:space="preserve">Prepoved rezanja žive meje in sekanja dreves v času razmnoževanja in vzreje mladičev pri pticah </w:t>
            </w:r>
          </w:p>
          <w:p w14:paraId="1ACA95CB" w14:textId="77777777" w:rsidR="006D33E3" w:rsidRPr="00B7760C" w:rsidRDefault="006D33E3" w:rsidP="00AB1DA6">
            <w:pPr>
              <w:widowControl/>
              <w:numPr>
                <w:ilvl w:val="0"/>
                <w:numId w:val="4"/>
              </w:numPr>
              <w:spacing w:before="60" w:after="60"/>
              <w:ind w:left="238" w:hanging="142"/>
              <w:contextualSpacing/>
              <w:rPr>
                <w:rFonts w:eastAsia="Arial Unicode MS"/>
                <w:color w:val="000000"/>
                <w:sz w:val="20"/>
              </w:rPr>
            </w:pPr>
            <w:r w:rsidRPr="00B7760C">
              <w:rPr>
                <w:color w:val="000000"/>
                <w:sz w:val="20"/>
              </w:rPr>
              <w:t>Možni tudi ukrepi za preprečevanje vnašanja invazivnih rastlinskih vrst</w:t>
            </w:r>
          </w:p>
          <w:p w14:paraId="68E148FC" w14:textId="77777777" w:rsidR="006D33E3" w:rsidRPr="00B7760C" w:rsidRDefault="006D33E3" w:rsidP="00AB1DA6">
            <w:pPr>
              <w:widowControl/>
              <w:spacing w:before="60" w:after="60"/>
              <w:rPr>
                <w:rFonts w:eastAsia="Arial Unicode MS"/>
                <w:color w:val="000000"/>
                <w:sz w:val="20"/>
              </w:rPr>
            </w:pPr>
          </w:p>
        </w:tc>
        <w:tc>
          <w:tcPr>
            <w:tcW w:w="2209" w:type="dxa"/>
            <w:tcBorders>
              <w:top w:val="outset" w:sz="6" w:space="0" w:color="auto"/>
              <w:left w:val="outset" w:sz="6" w:space="0" w:color="auto"/>
              <w:bottom w:val="outset" w:sz="6" w:space="0" w:color="auto"/>
              <w:right w:val="outset" w:sz="6" w:space="0" w:color="auto"/>
            </w:tcBorders>
          </w:tcPr>
          <w:p w14:paraId="25B9ED40" w14:textId="77777777" w:rsidR="006D33E3" w:rsidRPr="00B7760C" w:rsidRDefault="006D33E3" w:rsidP="00AB1DA6">
            <w:pPr>
              <w:widowControl/>
              <w:spacing w:before="60" w:after="60"/>
              <w:rPr>
                <w:rFonts w:eastAsia="Arial Unicode MS"/>
                <w:i/>
                <w:color w:val="000000"/>
                <w:sz w:val="20"/>
              </w:rPr>
            </w:pPr>
            <w:r w:rsidRPr="00B7760C">
              <w:rPr>
                <w:i/>
                <w:color w:val="000000"/>
                <w:sz w:val="20"/>
              </w:rPr>
              <w:t>Ohranjanje neproizvodnih značilnosti in območij zaradi izboljšanja biotske raznovrstnosti na kmetijah</w:t>
            </w:r>
          </w:p>
        </w:tc>
      </w:tr>
      <w:tr w:rsidR="006D33E3" w:rsidRPr="00B7760C" w14:paraId="4F2A46B1" w14:textId="77777777" w:rsidTr="004F0B88">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vAlign w:val="center"/>
            <w:hideMark/>
          </w:tcPr>
          <w:p w14:paraId="799BAC6F" w14:textId="77777777" w:rsidR="006D33E3" w:rsidRPr="00B7760C" w:rsidRDefault="006D33E3" w:rsidP="004F0B88">
            <w:pPr>
              <w:widowControl/>
              <w:jc w:val="both"/>
              <w:rPr>
                <w:rFonts w:eastAsia="Arial Unicode MS"/>
                <w:color w:val="000000"/>
                <w:sz w:val="20"/>
              </w:rPr>
            </w:pPr>
          </w:p>
        </w:tc>
        <w:tc>
          <w:tcPr>
            <w:tcW w:w="1249" w:type="dxa"/>
            <w:vMerge/>
            <w:tcBorders>
              <w:left w:val="outset" w:sz="6" w:space="0" w:color="auto"/>
              <w:bottom w:val="outset" w:sz="6" w:space="0" w:color="auto"/>
              <w:right w:val="outset" w:sz="6" w:space="0" w:color="auto"/>
            </w:tcBorders>
            <w:hideMark/>
          </w:tcPr>
          <w:p w14:paraId="64331A67" w14:textId="77777777" w:rsidR="006D33E3" w:rsidRPr="00B7760C" w:rsidRDefault="006D33E3" w:rsidP="004F0B88">
            <w:pPr>
              <w:widowControl/>
              <w:spacing w:before="60" w:after="60"/>
              <w:jc w:val="center"/>
              <w:rPr>
                <w:rFonts w:eastAsia="Arial Unicode MS"/>
                <w:color w:val="000000"/>
                <w:sz w:val="20"/>
              </w:rPr>
            </w:pPr>
          </w:p>
        </w:tc>
        <w:tc>
          <w:tcPr>
            <w:tcW w:w="981" w:type="dxa"/>
            <w:tcBorders>
              <w:top w:val="outset" w:sz="6" w:space="0" w:color="auto"/>
              <w:left w:val="outset" w:sz="6" w:space="0" w:color="auto"/>
              <w:bottom w:val="outset" w:sz="6" w:space="0" w:color="auto"/>
              <w:right w:val="outset" w:sz="6" w:space="0" w:color="auto"/>
            </w:tcBorders>
            <w:hideMark/>
          </w:tcPr>
          <w:p w14:paraId="1788D9D5" w14:textId="77777777" w:rsidR="006D33E3" w:rsidRPr="00B7760C" w:rsidRDefault="006D33E3" w:rsidP="004F0B88">
            <w:pPr>
              <w:widowControl/>
              <w:spacing w:before="60" w:after="60"/>
              <w:jc w:val="both"/>
              <w:rPr>
                <w:rFonts w:eastAsia="Arial Unicode MS"/>
                <w:color w:val="000000"/>
                <w:sz w:val="20"/>
              </w:rPr>
            </w:pPr>
            <w:r w:rsidRPr="00B7760C">
              <w:rPr>
                <w:color w:val="000000"/>
                <w:sz w:val="20"/>
              </w:rPr>
              <w:t>DKOP 10</w:t>
            </w:r>
          </w:p>
        </w:tc>
        <w:tc>
          <w:tcPr>
            <w:tcW w:w="3969" w:type="dxa"/>
            <w:tcBorders>
              <w:top w:val="outset" w:sz="6" w:space="0" w:color="auto"/>
              <w:left w:val="outset" w:sz="6" w:space="0" w:color="auto"/>
              <w:bottom w:val="outset" w:sz="6" w:space="0" w:color="auto"/>
              <w:right w:val="outset" w:sz="6" w:space="0" w:color="auto"/>
            </w:tcBorders>
            <w:hideMark/>
          </w:tcPr>
          <w:p w14:paraId="78196FE1" w14:textId="77777777" w:rsidR="006D33E3" w:rsidRPr="00B7760C" w:rsidRDefault="006D33E3" w:rsidP="00AB1DA6">
            <w:pPr>
              <w:widowControl/>
              <w:spacing w:before="60" w:after="60"/>
              <w:rPr>
                <w:rFonts w:eastAsia="Arial Unicode MS"/>
                <w:color w:val="000000"/>
                <w:sz w:val="20"/>
              </w:rPr>
            </w:pPr>
            <w:r w:rsidRPr="00B7760C">
              <w:rPr>
                <w:b/>
                <w:i/>
                <w:color w:val="000000"/>
                <w:sz w:val="20"/>
              </w:rPr>
              <w:t>Prepoved preusmeritve ali oranja</w:t>
            </w:r>
            <w:r w:rsidRPr="00B7760C">
              <w:rPr>
                <w:color w:val="000000"/>
                <w:sz w:val="20"/>
              </w:rPr>
              <w:t xml:space="preserve"> trajnega travinja na območjih Natura 2000</w:t>
            </w:r>
          </w:p>
        </w:tc>
        <w:tc>
          <w:tcPr>
            <w:tcW w:w="2209" w:type="dxa"/>
            <w:tcBorders>
              <w:top w:val="outset" w:sz="6" w:space="0" w:color="auto"/>
              <w:left w:val="outset" w:sz="6" w:space="0" w:color="auto"/>
              <w:bottom w:val="outset" w:sz="6" w:space="0" w:color="auto"/>
              <w:right w:val="outset" w:sz="6" w:space="0" w:color="auto"/>
            </w:tcBorders>
            <w:hideMark/>
          </w:tcPr>
          <w:p w14:paraId="02E61117" w14:textId="77777777" w:rsidR="006D33E3" w:rsidRPr="00B7760C" w:rsidRDefault="006D33E3" w:rsidP="00AB1DA6">
            <w:pPr>
              <w:widowControl/>
              <w:spacing w:before="100" w:beforeAutospacing="1" w:after="100" w:afterAutospacing="1"/>
              <w:rPr>
                <w:rFonts w:eastAsia="Arial Unicode MS"/>
                <w:i/>
                <w:color w:val="000000"/>
                <w:sz w:val="20"/>
              </w:rPr>
            </w:pPr>
            <w:r w:rsidRPr="00B7760C">
              <w:rPr>
                <w:i/>
                <w:color w:val="000000"/>
                <w:sz w:val="20"/>
              </w:rPr>
              <w:t>Varstvo habitatov in vrst</w:t>
            </w:r>
          </w:p>
        </w:tc>
      </w:tr>
      <w:tr w:rsidR="006D33E3" w:rsidRPr="00B7760C" w14:paraId="422F829D" w14:textId="77777777" w:rsidTr="004F0B88">
        <w:trPr>
          <w:cantSplit/>
          <w:tblCellSpacing w:w="0" w:type="dxa"/>
          <w:jc w:val="center"/>
        </w:trPr>
        <w:tc>
          <w:tcPr>
            <w:tcW w:w="1398" w:type="dxa"/>
            <w:vMerge w:val="restart"/>
            <w:tcBorders>
              <w:top w:val="outset" w:sz="6" w:space="0" w:color="auto"/>
              <w:left w:val="outset" w:sz="6" w:space="0" w:color="auto"/>
              <w:right w:val="outset" w:sz="6" w:space="0" w:color="auto"/>
            </w:tcBorders>
            <w:hideMark/>
          </w:tcPr>
          <w:p w14:paraId="23E6DC02" w14:textId="77777777" w:rsidR="006D33E3" w:rsidRPr="00B7760C" w:rsidRDefault="006D33E3" w:rsidP="004F0B88">
            <w:pPr>
              <w:widowControl/>
              <w:spacing w:before="60" w:after="60"/>
              <w:jc w:val="both"/>
              <w:rPr>
                <w:rFonts w:eastAsia="Arial Unicode MS"/>
                <w:color w:val="000000"/>
                <w:sz w:val="20"/>
              </w:rPr>
            </w:pPr>
            <w:r w:rsidRPr="00B7760C">
              <w:rPr>
                <w:color w:val="000000"/>
                <w:sz w:val="20"/>
              </w:rPr>
              <w:t>Javno zdravje, zdravje živali in rastlin</w:t>
            </w:r>
          </w:p>
        </w:tc>
        <w:tc>
          <w:tcPr>
            <w:tcW w:w="1249" w:type="dxa"/>
            <w:vMerge w:val="restart"/>
            <w:tcBorders>
              <w:top w:val="outset" w:sz="6" w:space="0" w:color="auto"/>
              <w:left w:val="outset" w:sz="6" w:space="0" w:color="auto"/>
              <w:bottom w:val="outset" w:sz="6" w:space="0" w:color="auto"/>
              <w:right w:val="outset" w:sz="6" w:space="0" w:color="auto"/>
            </w:tcBorders>
            <w:hideMark/>
          </w:tcPr>
          <w:p w14:paraId="6A92EBD3" w14:textId="77777777" w:rsidR="006D33E3" w:rsidRPr="00B7760C" w:rsidRDefault="006D33E3" w:rsidP="004F0B88">
            <w:pPr>
              <w:widowControl/>
              <w:spacing w:before="60" w:after="60"/>
              <w:jc w:val="center"/>
              <w:rPr>
                <w:rFonts w:eastAsia="Arial Unicode MS"/>
                <w:color w:val="000000"/>
                <w:sz w:val="20"/>
              </w:rPr>
            </w:pPr>
            <w:r w:rsidRPr="00B7760C">
              <w:rPr>
                <w:color w:val="000000"/>
                <w:sz w:val="20"/>
              </w:rPr>
              <w:t>Varnost hrane</w:t>
            </w:r>
          </w:p>
        </w:tc>
        <w:tc>
          <w:tcPr>
            <w:tcW w:w="981" w:type="dxa"/>
            <w:tcBorders>
              <w:top w:val="outset" w:sz="6" w:space="0" w:color="auto"/>
              <w:left w:val="outset" w:sz="6" w:space="0" w:color="auto"/>
              <w:bottom w:val="outset" w:sz="6" w:space="0" w:color="auto"/>
              <w:right w:val="outset" w:sz="6" w:space="0" w:color="auto"/>
            </w:tcBorders>
            <w:hideMark/>
          </w:tcPr>
          <w:p w14:paraId="216DF936" w14:textId="77777777" w:rsidR="006D33E3" w:rsidRPr="00B7760C" w:rsidRDefault="006D33E3" w:rsidP="004F0B88">
            <w:pPr>
              <w:widowControl/>
              <w:spacing w:before="60" w:after="60"/>
              <w:jc w:val="both"/>
              <w:rPr>
                <w:rFonts w:eastAsia="Arial Unicode MS"/>
                <w:color w:val="000000"/>
                <w:sz w:val="20"/>
              </w:rPr>
            </w:pPr>
            <w:r w:rsidRPr="00B7760C">
              <w:rPr>
                <w:color w:val="000000"/>
                <w:sz w:val="20"/>
              </w:rPr>
              <w:t>PZR 5</w:t>
            </w:r>
          </w:p>
        </w:tc>
        <w:tc>
          <w:tcPr>
            <w:tcW w:w="3969" w:type="dxa"/>
            <w:tcBorders>
              <w:top w:val="outset" w:sz="6" w:space="0" w:color="auto"/>
              <w:left w:val="outset" w:sz="6" w:space="0" w:color="auto"/>
              <w:bottom w:val="outset" w:sz="6" w:space="0" w:color="auto"/>
              <w:right w:val="outset" w:sz="6" w:space="0" w:color="auto"/>
            </w:tcBorders>
            <w:hideMark/>
          </w:tcPr>
          <w:p w14:paraId="12FE5440" w14:textId="77777777" w:rsidR="006D33E3" w:rsidRPr="00B7760C" w:rsidRDefault="006D33E3" w:rsidP="00AB1DA6">
            <w:pPr>
              <w:widowControl/>
              <w:spacing w:before="60" w:after="60"/>
              <w:rPr>
                <w:rFonts w:eastAsia="Arial Unicode MS"/>
                <w:color w:val="000000"/>
                <w:sz w:val="20"/>
              </w:rPr>
            </w:pPr>
            <w:r w:rsidRPr="00B7760C">
              <w:rPr>
                <w:color w:val="000000"/>
                <w:sz w:val="20"/>
              </w:rPr>
              <w:t>Uredba (ES) št. 178/2002 Evropskega parlamenta in Sveta z dne 28. januarja 2002 o določitvi splošnih načel in zahtevah živilske zakonodaje, ustanovitvi Evropske agencije za varnost hrane in postopkih, ki zadevajo varnost hrane (UL L 31, 1.2.2002, str. 1):</w:t>
            </w:r>
          </w:p>
          <w:p w14:paraId="41F2E79A" w14:textId="77777777" w:rsidR="006D33E3" w:rsidRPr="00B7760C" w:rsidRDefault="006D33E3" w:rsidP="00AB1DA6">
            <w:pPr>
              <w:widowControl/>
              <w:spacing w:before="60" w:after="60"/>
              <w:rPr>
                <w:rFonts w:eastAsia="Arial Unicode MS"/>
                <w:color w:val="000000"/>
                <w:sz w:val="20"/>
              </w:rPr>
            </w:pPr>
            <w:r w:rsidRPr="00B7760C">
              <w:rPr>
                <w:color w:val="000000"/>
                <w:sz w:val="20"/>
              </w:rPr>
              <w:t>člena 14 in 15, člen 17(1)</w:t>
            </w:r>
            <w:r w:rsidRPr="00B7760C">
              <w:rPr>
                <w:rFonts w:eastAsia="Arial Unicode MS"/>
                <w:color w:val="000000"/>
                <w:sz w:val="20"/>
                <w:vertAlign w:val="superscript"/>
              </w:rPr>
              <w:footnoteReference w:id="6"/>
            </w:r>
            <w:r w:rsidRPr="00B7760C">
              <w:rPr>
                <w:color w:val="000000"/>
                <w:sz w:val="20"/>
              </w:rPr>
              <w:t xml:space="preserve"> ter členi 18, 19 in 20</w:t>
            </w:r>
          </w:p>
        </w:tc>
        <w:tc>
          <w:tcPr>
            <w:tcW w:w="2209" w:type="dxa"/>
            <w:tcBorders>
              <w:top w:val="outset" w:sz="6" w:space="0" w:color="auto"/>
              <w:left w:val="outset" w:sz="6" w:space="0" w:color="auto"/>
              <w:bottom w:val="outset" w:sz="6" w:space="0" w:color="auto"/>
              <w:right w:val="outset" w:sz="6" w:space="0" w:color="auto"/>
            </w:tcBorders>
            <w:hideMark/>
          </w:tcPr>
          <w:p w14:paraId="1EABDC4F" w14:textId="77777777" w:rsidR="006D33E3" w:rsidRPr="00B7760C" w:rsidRDefault="006D33E3" w:rsidP="00AB1DA6">
            <w:pPr>
              <w:widowControl/>
              <w:spacing w:before="60" w:after="60"/>
              <w:rPr>
                <w:rFonts w:eastAsia="Arial Unicode MS"/>
                <w:i/>
                <w:color w:val="000000"/>
                <w:sz w:val="20"/>
              </w:rPr>
            </w:pPr>
          </w:p>
        </w:tc>
      </w:tr>
      <w:tr w:rsidR="006D33E3" w:rsidRPr="00B7760C" w14:paraId="64F6E355" w14:textId="77777777" w:rsidTr="004F0B88">
        <w:trPr>
          <w:cantSplit/>
          <w:tblCellSpacing w:w="0" w:type="dxa"/>
          <w:jc w:val="center"/>
        </w:trPr>
        <w:tc>
          <w:tcPr>
            <w:tcW w:w="1398" w:type="dxa"/>
            <w:vMerge/>
            <w:tcBorders>
              <w:left w:val="outset" w:sz="6" w:space="0" w:color="auto"/>
              <w:right w:val="outset" w:sz="6" w:space="0" w:color="auto"/>
            </w:tcBorders>
            <w:vAlign w:val="center"/>
            <w:hideMark/>
          </w:tcPr>
          <w:p w14:paraId="33B2988D" w14:textId="77777777" w:rsidR="006D33E3" w:rsidRPr="00B7760C" w:rsidRDefault="006D33E3" w:rsidP="004F0B88">
            <w:pPr>
              <w:widowControl/>
              <w:jc w:val="both"/>
              <w:rPr>
                <w:rFonts w:eastAsia="Arial Unicode MS"/>
                <w:color w:val="000000"/>
                <w:sz w:val="20"/>
              </w:rPr>
            </w:pPr>
          </w:p>
        </w:tc>
        <w:tc>
          <w:tcPr>
            <w:tcW w:w="1249" w:type="dxa"/>
            <w:vMerge/>
            <w:tcBorders>
              <w:top w:val="outset" w:sz="6" w:space="0" w:color="auto"/>
              <w:left w:val="outset" w:sz="6" w:space="0" w:color="auto"/>
              <w:bottom w:val="outset" w:sz="6" w:space="0" w:color="auto"/>
              <w:right w:val="outset" w:sz="6" w:space="0" w:color="auto"/>
            </w:tcBorders>
            <w:vAlign w:val="center"/>
            <w:hideMark/>
          </w:tcPr>
          <w:p w14:paraId="6593390E" w14:textId="77777777" w:rsidR="006D33E3" w:rsidRPr="00B7760C" w:rsidRDefault="006D33E3" w:rsidP="004F0B88">
            <w:pPr>
              <w:widowControl/>
              <w:jc w:val="center"/>
              <w:rPr>
                <w:rFonts w:eastAsia="Arial Unicode MS"/>
                <w:color w:val="000000"/>
                <w:sz w:val="20"/>
              </w:rPr>
            </w:pPr>
          </w:p>
        </w:tc>
        <w:tc>
          <w:tcPr>
            <w:tcW w:w="981" w:type="dxa"/>
            <w:tcBorders>
              <w:top w:val="outset" w:sz="6" w:space="0" w:color="auto"/>
              <w:left w:val="outset" w:sz="6" w:space="0" w:color="auto"/>
              <w:bottom w:val="outset" w:sz="6" w:space="0" w:color="auto"/>
              <w:right w:val="outset" w:sz="6" w:space="0" w:color="auto"/>
            </w:tcBorders>
            <w:hideMark/>
          </w:tcPr>
          <w:p w14:paraId="5C00B423" w14:textId="77777777" w:rsidR="006D33E3" w:rsidRPr="00B7760C" w:rsidRDefault="006D33E3" w:rsidP="004F0B88">
            <w:pPr>
              <w:widowControl/>
              <w:spacing w:before="60" w:after="60"/>
              <w:jc w:val="both"/>
              <w:rPr>
                <w:rFonts w:eastAsia="Arial Unicode MS"/>
                <w:color w:val="000000"/>
                <w:sz w:val="20"/>
              </w:rPr>
            </w:pPr>
            <w:r w:rsidRPr="00B7760C">
              <w:rPr>
                <w:color w:val="000000"/>
                <w:sz w:val="20"/>
              </w:rPr>
              <w:t>PZR 6</w:t>
            </w:r>
          </w:p>
        </w:tc>
        <w:tc>
          <w:tcPr>
            <w:tcW w:w="3969" w:type="dxa"/>
            <w:tcBorders>
              <w:top w:val="outset" w:sz="6" w:space="0" w:color="auto"/>
              <w:left w:val="outset" w:sz="6" w:space="0" w:color="auto"/>
              <w:bottom w:val="outset" w:sz="6" w:space="0" w:color="auto"/>
              <w:right w:val="outset" w:sz="6" w:space="0" w:color="auto"/>
            </w:tcBorders>
            <w:hideMark/>
          </w:tcPr>
          <w:p w14:paraId="220B8BB1" w14:textId="77777777" w:rsidR="006D33E3" w:rsidRPr="00B7760C" w:rsidRDefault="006D33E3" w:rsidP="00AB1DA6">
            <w:pPr>
              <w:widowControl/>
              <w:spacing w:before="60" w:after="60"/>
              <w:rPr>
                <w:rFonts w:eastAsia="Arial Unicode MS"/>
                <w:color w:val="000000"/>
                <w:sz w:val="20"/>
              </w:rPr>
            </w:pPr>
            <w:r w:rsidRPr="00B7760C">
              <w:rPr>
                <w:color w:val="000000"/>
                <w:sz w:val="20"/>
              </w:rPr>
              <w:t>Direktiva Sveta 96/22/ES z dne 29. aprila 1996 o prepovedi uporabe v živinoreji določenih snovi, ki imajo hormonalno ali tirostatično delovanje, in beta-agonistov ter o razveljavitvi direktiv 81/602/EGS, 88/146/EGS in 88/299/EGS (UL L 125, 23.5.1996, str. 3):</w:t>
            </w:r>
          </w:p>
          <w:p w14:paraId="2FFACB23" w14:textId="77777777" w:rsidR="006D33E3" w:rsidRPr="00B7760C" w:rsidRDefault="006D33E3" w:rsidP="00AB1DA6">
            <w:pPr>
              <w:widowControl/>
              <w:spacing w:before="60" w:after="60"/>
              <w:rPr>
                <w:rFonts w:eastAsia="Arial Unicode MS"/>
                <w:color w:val="000000"/>
                <w:sz w:val="20"/>
              </w:rPr>
            </w:pPr>
            <w:r w:rsidRPr="00B7760C">
              <w:rPr>
                <w:color w:val="000000"/>
                <w:sz w:val="20"/>
              </w:rPr>
              <w:t>člen 3(a), (b), (d) in (e) ter členi 4, 5 in 7</w:t>
            </w:r>
          </w:p>
        </w:tc>
        <w:tc>
          <w:tcPr>
            <w:tcW w:w="2209" w:type="dxa"/>
            <w:tcBorders>
              <w:top w:val="outset" w:sz="6" w:space="0" w:color="auto"/>
              <w:left w:val="outset" w:sz="6" w:space="0" w:color="auto"/>
              <w:bottom w:val="outset" w:sz="6" w:space="0" w:color="auto"/>
              <w:right w:val="outset" w:sz="6" w:space="0" w:color="auto"/>
            </w:tcBorders>
            <w:hideMark/>
          </w:tcPr>
          <w:p w14:paraId="434FBC48" w14:textId="77777777" w:rsidR="006D33E3" w:rsidRPr="00B7760C" w:rsidRDefault="006D33E3" w:rsidP="004F0B88">
            <w:pPr>
              <w:widowControl/>
              <w:spacing w:before="60" w:after="60"/>
              <w:jc w:val="both"/>
              <w:rPr>
                <w:rFonts w:eastAsia="Arial Unicode MS"/>
                <w:color w:val="000000"/>
                <w:sz w:val="20"/>
              </w:rPr>
            </w:pPr>
          </w:p>
        </w:tc>
      </w:tr>
      <w:tr w:rsidR="006D33E3" w:rsidRPr="00B7760C" w14:paraId="1F6B4631" w14:textId="77777777" w:rsidTr="004F0B88">
        <w:trPr>
          <w:cantSplit/>
          <w:tblCellSpacing w:w="0" w:type="dxa"/>
          <w:jc w:val="center"/>
        </w:trPr>
        <w:tc>
          <w:tcPr>
            <w:tcW w:w="1398" w:type="dxa"/>
            <w:vMerge/>
            <w:tcBorders>
              <w:left w:val="outset" w:sz="6" w:space="0" w:color="auto"/>
              <w:right w:val="outset" w:sz="6" w:space="0" w:color="auto"/>
            </w:tcBorders>
            <w:vAlign w:val="center"/>
            <w:hideMark/>
          </w:tcPr>
          <w:p w14:paraId="6E7C112A" w14:textId="77777777" w:rsidR="006D33E3" w:rsidRPr="00B7760C" w:rsidRDefault="006D33E3" w:rsidP="004F0B88">
            <w:pPr>
              <w:widowControl/>
              <w:jc w:val="both"/>
              <w:rPr>
                <w:rFonts w:eastAsia="Arial Unicode MS"/>
                <w:color w:val="000000"/>
                <w:sz w:val="20"/>
              </w:rPr>
            </w:pPr>
          </w:p>
        </w:tc>
        <w:tc>
          <w:tcPr>
            <w:tcW w:w="1249" w:type="dxa"/>
            <w:vMerge w:val="restart"/>
            <w:tcBorders>
              <w:top w:val="outset" w:sz="6" w:space="0" w:color="auto"/>
              <w:left w:val="outset" w:sz="6" w:space="0" w:color="auto"/>
              <w:bottom w:val="outset" w:sz="6" w:space="0" w:color="auto"/>
              <w:right w:val="outset" w:sz="6" w:space="0" w:color="auto"/>
            </w:tcBorders>
            <w:hideMark/>
          </w:tcPr>
          <w:p w14:paraId="28AB5791" w14:textId="77777777" w:rsidR="006D33E3" w:rsidRPr="00B7760C" w:rsidRDefault="006D33E3" w:rsidP="004F0B88">
            <w:pPr>
              <w:widowControl/>
              <w:spacing w:before="60" w:after="60"/>
              <w:jc w:val="center"/>
              <w:rPr>
                <w:rFonts w:eastAsia="Arial Unicode MS"/>
                <w:color w:val="000000"/>
                <w:sz w:val="20"/>
              </w:rPr>
            </w:pPr>
            <w:r w:rsidRPr="00B7760C">
              <w:rPr>
                <w:color w:val="000000"/>
                <w:sz w:val="20"/>
              </w:rPr>
              <w:t>Identifikacija in registracija živali</w:t>
            </w:r>
          </w:p>
        </w:tc>
        <w:tc>
          <w:tcPr>
            <w:tcW w:w="981" w:type="dxa"/>
            <w:tcBorders>
              <w:top w:val="outset" w:sz="6" w:space="0" w:color="auto"/>
              <w:left w:val="outset" w:sz="6" w:space="0" w:color="auto"/>
              <w:bottom w:val="outset" w:sz="6" w:space="0" w:color="auto"/>
              <w:right w:val="outset" w:sz="6" w:space="0" w:color="auto"/>
            </w:tcBorders>
            <w:hideMark/>
          </w:tcPr>
          <w:p w14:paraId="504B3150" w14:textId="77777777" w:rsidR="006D33E3" w:rsidRPr="00B7760C" w:rsidRDefault="006D33E3" w:rsidP="004F0B88">
            <w:pPr>
              <w:widowControl/>
              <w:spacing w:before="60" w:after="60"/>
              <w:jc w:val="both"/>
              <w:rPr>
                <w:rFonts w:eastAsia="Arial Unicode MS"/>
                <w:color w:val="000000"/>
                <w:sz w:val="20"/>
              </w:rPr>
            </w:pPr>
            <w:r w:rsidRPr="00B7760C">
              <w:rPr>
                <w:color w:val="000000"/>
                <w:sz w:val="20"/>
              </w:rPr>
              <w:t>PZR 7</w:t>
            </w:r>
          </w:p>
        </w:tc>
        <w:tc>
          <w:tcPr>
            <w:tcW w:w="3969" w:type="dxa"/>
            <w:tcBorders>
              <w:top w:val="outset" w:sz="6" w:space="0" w:color="auto"/>
              <w:left w:val="outset" w:sz="6" w:space="0" w:color="auto"/>
              <w:bottom w:val="outset" w:sz="6" w:space="0" w:color="auto"/>
              <w:right w:val="outset" w:sz="6" w:space="0" w:color="auto"/>
            </w:tcBorders>
            <w:hideMark/>
          </w:tcPr>
          <w:p w14:paraId="6FAFA985" w14:textId="77777777" w:rsidR="006D33E3" w:rsidRPr="00B7760C" w:rsidRDefault="006D33E3" w:rsidP="00AB1DA6">
            <w:pPr>
              <w:widowControl/>
              <w:spacing w:before="60" w:after="60"/>
              <w:rPr>
                <w:rFonts w:eastAsia="Arial Unicode MS"/>
                <w:color w:val="000000"/>
                <w:sz w:val="20"/>
              </w:rPr>
            </w:pPr>
            <w:r w:rsidRPr="00B7760C">
              <w:rPr>
                <w:color w:val="000000"/>
                <w:sz w:val="20"/>
              </w:rPr>
              <w:t>Direktiva Sveta 2008/71/ES z dne 15. julija 2008 o identifikaciji in registraciji prašičev (UL L 213, 8.8.2005, str. 31):</w:t>
            </w:r>
          </w:p>
          <w:p w14:paraId="41073CE4" w14:textId="1C36C2A6" w:rsidR="006D33E3" w:rsidRPr="00B7760C" w:rsidRDefault="00AB1DA6" w:rsidP="00AB1DA6">
            <w:pPr>
              <w:widowControl/>
              <w:spacing w:before="60" w:after="60"/>
              <w:rPr>
                <w:rFonts w:eastAsia="Arial Unicode MS"/>
                <w:color w:val="000000"/>
                <w:sz w:val="20"/>
              </w:rPr>
            </w:pPr>
            <w:r w:rsidRPr="00B7760C">
              <w:rPr>
                <w:color w:val="000000"/>
                <w:sz w:val="20"/>
              </w:rPr>
              <w:t>č</w:t>
            </w:r>
            <w:r w:rsidR="006D33E3" w:rsidRPr="00B7760C">
              <w:rPr>
                <w:color w:val="000000"/>
                <w:sz w:val="20"/>
              </w:rPr>
              <w:t xml:space="preserve">len 3(4) </w:t>
            </w:r>
            <w:r w:rsidR="006D33E3" w:rsidRPr="00B7760C">
              <w:rPr>
                <w:b/>
                <w:i/>
                <w:color w:val="000000"/>
                <w:sz w:val="20"/>
              </w:rPr>
              <w:t>in (5)</w:t>
            </w:r>
          </w:p>
        </w:tc>
        <w:tc>
          <w:tcPr>
            <w:tcW w:w="2209" w:type="dxa"/>
            <w:tcBorders>
              <w:top w:val="outset" w:sz="6" w:space="0" w:color="auto"/>
              <w:left w:val="outset" w:sz="6" w:space="0" w:color="auto"/>
              <w:bottom w:val="outset" w:sz="6" w:space="0" w:color="auto"/>
              <w:right w:val="outset" w:sz="6" w:space="0" w:color="auto"/>
            </w:tcBorders>
            <w:hideMark/>
          </w:tcPr>
          <w:p w14:paraId="4DB7CE1E" w14:textId="77777777" w:rsidR="006D33E3" w:rsidRPr="00B7760C" w:rsidRDefault="006D33E3" w:rsidP="004F0B88">
            <w:pPr>
              <w:widowControl/>
              <w:spacing w:before="60" w:after="60"/>
              <w:jc w:val="both"/>
              <w:rPr>
                <w:rFonts w:eastAsia="Arial Unicode MS"/>
                <w:color w:val="000000"/>
                <w:sz w:val="20"/>
              </w:rPr>
            </w:pPr>
          </w:p>
        </w:tc>
      </w:tr>
      <w:tr w:rsidR="006D33E3" w:rsidRPr="00B7760C" w14:paraId="78165172" w14:textId="77777777" w:rsidTr="004F0B88">
        <w:trPr>
          <w:cantSplit/>
          <w:tblCellSpacing w:w="0" w:type="dxa"/>
          <w:jc w:val="center"/>
        </w:trPr>
        <w:tc>
          <w:tcPr>
            <w:tcW w:w="1398" w:type="dxa"/>
            <w:vMerge/>
            <w:tcBorders>
              <w:left w:val="outset" w:sz="6" w:space="0" w:color="auto"/>
              <w:right w:val="outset" w:sz="6" w:space="0" w:color="auto"/>
            </w:tcBorders>
            <w:vAlign w:val="center"/>
            <w:hideMark/>
          </w:tcPr>
          <w:p w14:paraId="717091DA" w14:textId="77777777" w:rsidR="006D33E3" w:rsidRPr="00B7760C" w:rsidRDefault="006D33E3" w:rsidP="004F0B88">
            <w:pPr>
              <w:widowControl/>
              <w:jc w:val="both"/>
              <w:rPr>
                <w:rFonts w:eastAsia="Arial Unicode MS"/>
                <w:color w:val="000000"/>
                <w:sz w:val="20"/>
              </w:rPr>
            </w:pPr>
          </w:p>
        </w:tc>
        <w:tc>
          <w:tcPr>
            <w:tcW w:w="1249" w:type="dxa"/>
            <w:vMerge/>
            <w:tcBorders>
              <w:top w:val="outset" w:sz="6" w:space="0" w:color="auto"/>
              <w:left w:val="outset" w:sz="6" w:space="0" w:color="auto"/>
              <w:bottom w:val="outset" w:sz="6" w:space="0" w:color="auto"/>
              <w:right w:val="outset" w:sz="6" w:space="0" w:color="auto"/>
            </w:tcBorders>
            <w:vAlign w:val="center"/>
            <w:hideMark/>
          </w:tcPr>
          <w:p w14:paraId="0698400D" w14:textId="77777777" w:rsidR="006D33E3" w:rsidRPr="00B7760C" w:rsidRDefault="006D33E3" w:rsidP="004F0B88">
            <w:pPr>
              <w:widowControl/>
              <w:jc w:val="center"/>
              <w:rPr>
                <w:rFonts w:eastAsia="Arial Unicode MS"/>
                <w:color w:val="000000"/>
                <w:sz w:val="20"/>
              </w:rPr>
            </w:pPr>
          </w:p>
        </w:tc>
        <w:tc>
          <w:tcPr>
            <w:tcW w:w="981" w:type="dxa"/>
            <w:tcBorders>
              <w:top w:val="outset" w:sz="6" w:space="0" w:color="auto"/>
              <w:left w:val="outset" w:sz="6" w:space="0" w:color="auto"/>
              <w:bottom w:val="outset" w:sz="6" w:space="0" w:color="auto"/>
              <w:right w:val="outset" w:sz="6" w:space="0" w:color="auto"/>
            </w:tcBorders>
            <w:hideMark/>
          </w:tcPr>
          <w:p w14:paraId="19DDDCE9" w14:textId="77777777" w:rsidR="006D33E3" w:rsidRPr="00B7760C" w:rsidRDefault="006D33E3" w:rsidP="004F0B88">
            <w:pPr>
              <w:widowControl/>
              <w:spacing w:before="60" w:after="60"/>
              <w:jc w:val="both"/>
              <w:rPr>
                <w:rFonts w:eastAsia="Arial Unicode MS"/>
                <w:color w:val="000000"/>
                <w:sz w:val="20"/>
              </w:rPr>
            </w:pPr>
            <w:r w:rsidRPr="00B7760C">
              <w:rPr>
                <w:color w:val="000000"/>
                <w:sz w:val="20"/>
              </w:rPr>
              <w:t>PZR 8</w:t>
            </w:r>
          </w:p>
        </w:tc>
        <w:tc>
          <w:tcPr>
            <w:tcW w:w="3969" w:type="dxa"/>
            <w:tcBorders>
              <w:top w:val="outset" w:sz="6" w:space="0" w:color="auto"/>
              <w:left w:val="outset" w:sz="6" w:space="0" w:color="auto"/>
              <w:bottom w:val="outset" w:sz="6" w:space="0" w:color="auto"/>
              <w:right w:val="outset" w:sz="6" w:space="0" w:color="auto"/>
            </w:tcBorders>
            <w:hideMark/>
          </w:tcPr>
          <w:p w14:paraId="6F70943C" w14:textId="77777777" w:rsidR="006D33E3" w:rsidRPr="00B7760C" w:rsidRDefault="006D33E3" w:rsidP="00AB1DA6">
            <w:pPr>
              <w:widowControl/>
              <w:spacing w:before="60" w:after="60"/>
              <w:rPr>
                <w:rFonts w:eastAsia="Arial Unicode MS"/>
                <w:color w:val="000000"/>
                <w:sz w:val="20"/>
              </w:rPr>
            </w:pPr>
            <w:r w:rsidRPr="00B7760C">
              <w:rPr>
                <w:color w:val="000000"/>
                <w:sz w:val="20"/>
              </w:rPr>
              <w:t>Uredba (ES) št. 1760/2000 Evropskega parlamenta in Sveta z dne 17. julija 2000 o uvedbi sistema za identifikacijo in registracijo govedi ter o označevanju govejega mesa in proizvodov iz govejega mesa in razveljavitvi Uredbe Sveta (ES) št. 820/97 (UL L 204, 11.8.2000, str. 1):</w:t>
            </w:r>
          </w:p>
          <w:p w14:paraId="4CF3A779" w14:textId="77777777" w:rsidR="006D33E3" w:rsidRPr="00B7760C" w:rsidRDefault="006D33E3" w:rsidP="00AB1DA6">
            <w:pPr>
              <w:widowControl/>
              <w:spacing w:before="60" w:after="60"/>
              <w:rPr>
                <w:rFonts w:eastAsia="Arial Unicode MS"/>
                <w:color w:val="000000"/>
                <w:sz w:val="20"/>
              </w:rPr>
            </w:pPr>
            <w:r w:rsidRPr="00B7760C">
              <w:rPr>
                <w:color w:val="000000"/>
                <w:sz w:val="20"/>
              </w:rPr>
              <w:t>člen</w:t>
            </w:r>
            <w:r w:rsidRPr="00B7760C">
              <w:rPr>
                <w:b/>
                <w:i/>
                <w:color w:val="000000"/>
                <w:sz w:val="20"/>
              </w:rPr>
              <w:t>a 4 in</w:t>
            </w:r>
            <w:r w:rsidRPr="00B7760C">
              <w:rPr>
                <w:color w:val="000000"/>
                <w:sz w:val="20"/>
              </w:rPr>
              <w:t xml:space="preserve"> 7</w:t>
            </w:r>
          </w:p>
        </w:tc>
        <w:tc>
          <w:tcPr>
            <w:tcW w:w="2209" w:type="dxa"/>
            <w:tcBorders>
              <w:top w:val="outset" w:sz="6" w:space="0" w:color="auto"/>
              <w:left w:val="outset" w:sz="6" w:space="0" w:color="auto"/>
              <w:bottom w:val="outset" w:sz="6" w:space="0" w:color="auto"/>
              <w:right w:val="outset" w:sz="6" w:space="0" w:color="auto"/>
            </w:tcBorders>
            <w:hideMark/>
          </w:tcPr>
          <w:p w14:paraId="3A6CB987" w14:textId="77777777" w:rsidR="006D33E3" w:rsidRPr="00B7760C" w:rsidRDefault="006D33E3" w:rsidP="004F0B88">
            <w:pPr>
              <w:widowControl/>
              <w:spacing w:before="60" w:after="60"/>
              <w:jc w:val="both"/>
              <w:rPr>
                <w:rFonts w:eastAsia="Arial Unicode MS"/>
                <w:color w:val="000000"/>
                <w:sz w:val="20"/>
              </w:rPr>
            </w:pPr>
          </w:p>
        </w:tc>
      </w:tr>
      <w:tr w:rsidR="006D33E3" w:rsidRPr="00B7760C" w14:paraId="1D267716" w14:textId="77777777" w:rsidTr="004F0B88">
        <w:trPr>
          <w:cantSplit/>
          <w:tblCellSpacing w:w="0" w:type="dxa"/>
          <w:jc w:val="center"/>
        </w:trPr>
        <w:tc>
          <w:tcPr>
            <w:tcW w:w="1398" w:type="dxa"/>
            <w:vMerge/>
            <w:tcBorders>
              <w:left w:val="outset" w:sz="6" w:space="0" w:color="auto"/>
              <w:right w:val="outset" w:sz="6" w:space="0" w:color="auto"/>
            </w:tcBorders>
            <w:vAlign w:val="center"/>
            <w:hideMark/>
          </w:tcPr>
          <w:p w14:paraId="0B3F87B7" w14:textId="77777777" w:rsidR="006D33E3" w:rsidRPr="00B7760C" w:rsidRDefault="006D33E3" w:rsidP="004F0B88">
            <w:pPr>
              <w:widowControl/>
              <w:jc w:val="both"/>
              <w:rPr>
                <w:rFonts w:eastAsia="Arial Unicode MS"/>
                <w:color w:val="000000"/>
                <w:sz w:val="20"/>
              </w:rPr>
            </w:pPr>
          </w:p>
        </w:tc>
        <w:tc>
          <w:tcPr>
            <w:tcW w:w="1249" w:type="dxa"/>
            <w:vMerge/>
            <w:tcBorders>
              <w:top w:val="outset" w:sz="6" w:space="0" w:color="auto"/>
              <w:left w:val="outset" w:sz="6" w:space="0" w:color="auto"/>
              <w:bottom w:val="outset" w:sz="6" w:space="0" w:color="auto"/>
              <w:right w:val="outset" w:sz="6" w:space="0" w:color="auto"/>
            </w:tcBorders>
            <w:vAlign w:val="center"/>
            <w:hideMark/>
          </w:tcPr>
          <w:p w14:paraId="1F46305A" w14:textId="77777777" w:rsidR="006D33E3" w:rsidRPr="00B7760C" w:rsidRDefault="006D33E3" w:rsidP="004F0B88">
            <w:pPr>
              <w:widowControl/>
              <w:jc w:val="center"/>
              <w:rPr>
                <w:rFonts w:eastAsia="Arial Unicode MS"/>
                <w:color w:val="000000"/>
                <w:sz w:val="20"/>
              </w:rPr>
            </w:pPr>
          </w:p>
        </w:tc>
        <w:tc>
          <w:tcPr>
            <w:tcW w:w="981" w:type="dxa"/>
            <w:tcBorders>
              <w:top w:val="outset" w:sz="6" w:space="0" w:color="auto"/>
              <w:left w:val="outset" w:sz="6" w:space="0" w:color="auto"/>
              <w:bottom w:val="outset" w:sz="6" w:space="0" w:color="auto"/>
              <w:right w:val="outset" w:sz="6" w:space="0" w:color="auto"/>
            </w:tcBorders>
            <w:hideMark/>
          </w:tcPr>
          <w:p w14:paraId="62B9C15D" w14:textId="77777777" w:rsidR="006D33E3" w:rsidRPr="00B7760C" w:rsidRDefault="006D33E3" w:rsidP="004F0B88">
            <w:pPr>
              <w:widowControl/>
              <w:spacing w:before="60" w:after="60"/>
              <w:jc w:val="both"/>
              <w:rPr>
                <w:rFonts w:eastAsia="Arial Unicode MS"/>
                <w:color w:val="000000"/>
                <w:sz w:val="20"/>
              </w:rPr>
            </w:pPr>
            <w:r w:rsidRPr="00B7760C">
              <w:rPr>
                <w:color w:val="000000"/>
                <w:sz w:val="20"/>
              </w:rPr>
              <w:t>PZR 9</w:t>
            </w:r>
          </w:p>
        </w:tc>
        <w:tc>
          <w:tcPr>
            <w:tcW w:w="3969" w:type="dxa"/>
            <w:tcBorders>
              <w:top w:val="outset" w:sz="6" w:space="0" w:color="auto"/>
              <w:left w:val="outset" w:sz="6" w:space="0" w:color="auto"/>
              <w:bottom w:val="outset" w:sz="6" w:space="0" w:color="auto"/>
              <w:right w:val="outset" w:sz="6" w:space="0" w:color="auto"/>
            </w:tcBorders>
            <w:hideMark/>
          </w:tcPr>
          <w:p w14:paraId="0B3BF05E" w14:textId="77777777" w:rsidR="006D33E3" w:rsidRPr="00B7760C" w:rsidRDefault="006D33E3" w:rsidP="00AB1DA6">
            <w:pPr>
              <w:widowControl/>
              <w:spacing w:before="60" w:after="60"/>
              <w:rPr>
                <w:rFonts w:eastAsia="Arial Unicode MS"/>
                <w:color w:val="000000"/>
                <w:sz w:val="20"/>
              </w:rPr>
            </w:pPr>
            <w:r w:rsidRPr="00B7760C">
              <w:rPr>
                <w:color w:val="000000"/>
                <w:sz w:val="20"/>
              </w:rPr>
              <w:t>Uredba Sveta (ES) št. 21/2004 z dne 17. decembra 2003 o uvedbi sistema za identifikacijo in registracijo ovc in koz ter o spremembi Uredbe (ES) št. 1782/2003 in direktiv 92/102/EGS in 64/432/EGS (UL L 5, 9.1.2004, str. 8):</w:t>
            </w:r>
          </w:p>
          <w:p w14:paraId="158108FD" w14:textId="77777777" w:rsidR="006D33E3" w:rsidRPr="00B7760C" w:rsidRDefault="006D33E3" w:rsidP="00AB1DA6">
            <w:pPr>
              <w:widowControl/>
              <w:spacing w:before="60" w:after="60"/>
              <w:rPr>
                <w:rFonts w:eastAsia="Arial Unicode MS"/>
                <w:color w:val="000000"/>
                <w:sz w:val="20"/>
              </w:rPr>
            </w:pPr>
            <w:r w:rsidRPr="00B7760C">
              <w:rPr>
                <w:color w:val="000000"/>
                <w:sz w:val="20"/>
              </w:rPr>
              <w:t xml:space="preserve">členi 3, </w:t>
            </w:r>
            <w:r w:rsidRPr="00B7760C">
              <w:rPr>
                <w:b/>
                <w:i/>
                <w:color w:val="000000"/>
                <w:sz w:val="20"/>
              </w:rPr>
              <w:t>4</w:t>
            </w:r>
            <w:r w:rsidRPr="00B7760C">
              <w:rPr>
                <w:color w:val="000000"/>
                <w:sz w:val="20"/>
              </w:rPr>
              <w:t xml:space="preserve"> in 5</w:t>
            </w:r>
          </w:p>
        </w:tc>
        <w:tc>
          <w:tcPr>
            <w:tcW w:w="2209" w:type="dxa"/>
            <w:tcBorders>
              <w:top w:val="outset" w:sz="6" w:space="0" w:color="auto"/>
              <w:left w:val="outset" w:sz="6" w:space="0" w:color="auto"/>
              <w:bottom w:val="outset" w:sz="6" w:space="0" w:color="auto"/>
              <w:right w:val="outset" w:sz="6" w:space="0" w:color="auto"/>
            </w:tcBorders>
            <w:hideMark/>
          </w:tcPr>
          <w:p w14:paraId="1242864A" w14:textId="77777777" w:rsidR="006D33E3" w:rsidRPr="00B7760C" w:rsidRDefault="006D33E3" w:rsidP="004F0B88">
            <w:pPr>
              <w:widowControl/>
              <w:spacing w:before="60" w:after="60"/>
              <w:jc w:val="both"/>
              <w:rPr>
                <w:rFonts w:eastAsia="Arial Unicode MS"/>
                <w:color w:val="000000"/>
                <w:sz w:val="20"/>
              </w:rPr>
            </w:pPr>
          </w:p>
        </w:tc>
      </w:tr>
      <w:tr w:rsidR="006D33E3" w:rsidRPr="00B7760C" w14:paraId="0B31F543" w14:textId="77777777" w:rsidTr="004F0B88">
        <w:trPr>
          <w:cantSplit/>
          <w:tblCellSpacing w:w="0" w:type="dxa"/>
          <w:jc w:val="center"/>
        </w:trPr>
        <w:tc>
          <w:tcPr>
            <w:tcW w:w="1398" w:type="dxa"/>
            <w:vMerge/>
            <w:tcBorders>
              <w:left w:val="outset" w:sz="6" w:space="0" w:color="auto"/>
              <w:right w:val="outset" w:sz="6" w:space="0" w:color="auto"/>
            </w:tcBorders>
            <w:vAlign w:val="center"/>
            <w:hideMark/>
          </w:tcPr>
          <w:p w14:paraId="67B3554A" w14:textId="77777777" w:rsidR="006D33E3" w:rsidRPr="00B7760C" w:rsidRDefault="006D33E3" w:rsidP="004F0B88">
            <w:pPr>
              <w:widowControl/>
              <w:jc w:val="both"/>
              <w:rPr>
                <w:rFonts w:eastAsia="Arial Unicode MS"/>
                <w:color w:val="000000"/>
                <w:sz w:val="20"/>
              </w:rPr>
            </w:pPr>
          </w:p>
        </w:tc>
        <w:tc>
          <w:tcPr>
            <w:tcW w:w="1249" w:type="dxa"/>
            <w:vMerge w:val="restart"/>
            <w:tcBorders>
              <w:top w:val="outset" w:sz="6" w:space="0" w:color="auto"/>
              <w:left w:val="outset" w:sz="6" w:space="0" w:color="auto"/>
              <w:right w:val="outset" w:sz="6" w:space="0" w:color="auto"/>
            </w:tcBorders>
            <w:hideMark/>
          </w:tcPr>
          <w:p w14:paraId="65DBF0F7" w14:textId="77777777" w:rsidR="006D33E3" w:rsidRPr="00B7760C" w:rsidRDefault="006D33E3" w:rsidP="004F0B88">
            <w:pPr>
              <w:widowControl/>
              <w:spacing w:before="60" w:after="60"/>
              <w:jc w:val="center"/>
              <w:rPr>
                <w:rFonts w:eastAsia="Arial Unicode MS"/>
                <w:color w:val="000000"/>
                <w:sz w:val="20"/>
              </w:rPr>
            </w:pPr>
            <w:r w:rsidRPr="00B7760C">
              <w:rPr>
                <w:color w:val="000000"/>
                <w:sz w:val="20"/>
              </w:rPr>
              <w:t>Bolezni živali</w:t>
            </w:r>
          </w:p>
        </w:tc>
        <w:tc>
          <w:tcPr>
            <w:tcW w:w="981" w:type="dxa"/>
            <w:tcBorders>
              <w:top w:val="outset" w:sz="6" w:space="0" w:color="auto"/>
              <w:left w:val="outset" w:sz="6" w:space="0" w:color="auto"/>
              <w:bottom w:val="outset" w:sz="6" w:space="0" w:color="auto"/>
              <w:right w:val="outset" w:sz="6" w:space="0" w:color="auto"/>
            </w:tcBorders>
            <w:hideMark/>
          </w:tcPr>
          <w:p w14:paraId="41B821F3" w14:textId="77777777" w:rsidR="006D33E3" w:rsidRPr="00B7760C" w:rsidRDefault="006D33E3" w:rsidP="004F0B88">
            <w:pPr>
              <w:widowControl/>
              <w:spacing w:before="60" w:after="60"/>
              <w:jc w:val="both"/>
              <w:rPr>
                <w:rFonts w:eastAsia="Arial Unicode MS"/>
                <w:color w:val="000000"/>
                <w:sz w:val="20"/>
              </w:rPr>
            </w:pPr>
            <w:r w:rsidRPr="00B7760C">
              <w:rPr>
                <w:color w:val="000000"/>
                <w:sz w:val="20"/>
              </w:rPr>
              <w:t>PZR 10</w:t>
            </w:r>
          </w:p>
        </w:tc>
        <w:tc>
          <w:tcPr>
            <w:tcW w:w="3969" w:type="dxa"/>
            <w:tcBorders>
              <w:top w:val="outset" w:sz="6" w:space="0" w:color="auto"/>
              <w:left w:val="outset" w:sz="6" w:space="0" w:color="auto"/>
              <w:bottom w:val="outset" w:sz="6" w:space="0" w:color="auto"/>
              <w:right w:val="outset" w:sz="6" w:space="0" w:color="auto"/>
            </w:tcBorders>
            <w:hideMark/>
          </w:tcPr>
          <w:p w14:paraId="4FFB4889" w14:textId="77777777" w:rsidR="006D33E3" w:rsidRPr="00B7760C" w:rsidRDefault="006D33E3" w:rsidP="00AB1DA6">
            <w:pPr>
              <w:widowControl/>
              <w:spacing w:before="60" w:after="60"/>
              <w:rPr>
                <w:rFonts w:eastAsia="Arial Unicode MS"/>
                <w:color w:val="000000"/>
                <w:sz w:val="20"/>
              </w:rPr>
            </w:pPr>
            <w:r w:rsidRPr="00B7760C">
              <w:rPr>
                <w:color w:val="000000"/>
                <w:sz w:val="20"/>
              </w:rPr>
              <w:t>Uredba (ES) št. 999/2001 Evropskega parlamenta in Sveta z dne 22. maja 2001 o določitvi predpisov za preprečevanje, nadzor in izkoreninjenje nekaterih transmisivnih spongiformnih encefalopatij (UL L 147, 31.5.2001, str. 1):</w:t>
            </w:r>
          </w:p>
          <w:p w14:paraId="761A80C4" w14:textId="77777777" w:rsidR="006D33E3" w:rsidRPr="00B7760C" w:rsidRDefault="006D33E3" w:rsidP="00AB1DA6">
            <w:pPr>
              <w:widowControl/>
              <w:spacing w:before="60" w:after="60"/>
              <w:rPr>
                <w:rFonts w:eastAsia="Arial Unicode MS"/>
                <w:color w:val="000000"/>
                <w:sz w:val="20"/>
              </w:rPr>
            </w:pPr>
            <w:r w:rsidRPr="00B7760C">
              <w:rPr>
                <w:color w:val="000000"/>
                <w:sz w:val="20"/>
              </w:rPr>
              <w:t>členi 7, 11, 12, 13 in 15</w:t>
            </w:r>
          </w:p>
        </w:tc>
        <w:tc>
          <w:tcPr>
            <w:tcW w:w="2209" w:type="dxa"/>
            <w:tcBorders>
              <w:top w:val="outset" w:sz="6" w:space="0" w:color="auto"/>
              <w:left w:val="outset" w:sz="6" w:space="0" w:color="auto"/>
              <w:bottom w:val="outset" w:sz="6" w:space="0" w:color="auto"/>
              <w:right w:val="outset" w:sz="6" w:space="0" w:color="auto"/>
            </w:tcBorders>
            <w:hideMark/>
          </w:tcPr>
          <w:p w14:paraId="71CAC69A" w14:textId="77777777" w:rsidR="006D33E3" w:rsidRPr="00B7760C" w:rsidRDefault="006D33E3" w:rsidP="004F0B88">
            <w:pPr>
              <w:widowControl/>
              <w:spacing w:before="60" w:after="60"/>
              <w:jc w:val="both"/>
              <w:rPr>
                <w:rFonts w:eastAsia="Arial Unicode MS"/>
                <w:color w:val="000000"/>
                <w:sz w:val="20"/>
              </w:rPr>
            </w:pPr>
          </w:p>
        </w:tc>
      </w:tr>
      <w:tr w:rsidR="006D33E3" w:rsidRPr="00B7760C" w14:paraId="6940A60D" w14:textId="77777777" w:rsidTr="004F0B88">
        <w:trPr>
          <w:cantSplit/>
          <w:tblCellSpacing w:w="0" w:type="dxa"/>
          <w:jc w:val="center"/>
        </w:trPr>
        <w:tc>
          <w:tcPr>
            <w:tcW w:w="1398" w:type="dxa"/>
            <w:vMerge/>
            <w:tcBorders>
              <w:left w:val="outset" w:sz="6" w:space="0" w:color="auto"/>
              <w:right w:val="outset" w:sz="6" w:space="0" w:color="auto"/>
            </w:tcBorders>
            <w:vAlign w:val="center"/>
          </w:tcPr>
          <w:p w14:paraId="169AD3CC" w14:textId="77777777" w:rsidR="006D33E3" w:rsidRPr="00B7760C" w:rsidRDefault="006D33E3" w:rsidP="004F0B88">
            <w:pPr>
              <w:widowControl/>
              <w:jc w:val="both"/>
              <w:rPr>
                <w:rFonts w:eastAsia="Arial Unicode MS"/>
                <w:color w:val="000000"/>
                <w:sz w:val="20"/>
              </w:rPr>
            </w:pPr>
          </w:p>
        </w:tc>
        <w:tc>
          <w:tcPr>
            <w:tcW w:w="1249" w:type="dxa"/>
            <w:vMerge/>
            <w:tcBorders>
              <w:left w:val="outset" w:sz="6" w:space="0" w:color="auto"/>
              <w:bottom w:val="outset" w:sz="6" w:space="0" w:color="auto"/>
              <w:right w:val="outset" w:sz="6" w:space="0" w:color="auto"/>
            </w:tcBorders>
          </w:tcPr>
          <w:p w14:paraId="4CBC0563" w14:textId="77777777" w:rsidR="006D33E3" w:rsidRPr="00B7760C" w:rsidRDefault="006D33E3" w:rsidP="004F0B88">
            <w:pPr>
              <w:widowControl/>
              <w:spacing w:before="60" w:after="60"/>
              <w:jc w:val="center"/>
              <w:rPr>
                <w:rFonts w:eastAsia="Arial Unicode MS"/>
                <w:color w:val="000000"/>
                <w:sz w:val="20"/>
              </w:rPr>
            </w:pPr>
          </w:p>
        </w:tc>
        <w:tc>
          <w:tcPr>
            <w:tcW w:w="981" w:type="dxa"/>
            <w:tcBorders>
              <w:top w:val="outset" w:sz="6" w:space="0" w:color="auto"/>
              <w:left w:val="outset" w:sz="6" w:space="0" w:color="auto"/>
              <w:bottom w:val="outset" w:sz="6" w:space="0" w:color="auto"/>
              <w:right w:val="outset" w:sz="6" w:space="0" w:color="auto"/>
            </w:tcBorders>
          </w:tcPr>
          <w:p w14:paraId="64277D5B" w14:textId="77777777" w:rsidR="006D33E3" w:rsidRPr="00B7760C" w:rsidRDefault="006D33E3" w:rsidP="004F0B88">
            <w:pPr>
              <w:widowControl/>
              <w:spacing w:before="60" w:after="60"/>
              <w:jc w:val="both"/>
              <w:rPr>
                <w:rFonts w:eastAsia="Arial Unicode MS"/>
                <w:color w:val="000000"/>
                <w:sz w:val="20"/>
              </w:rPr>
            </w:pPr>
            <w:r w:rsidRPr="00B7760C">
              <w:rPr>
                <w:color w:val="000000"/>
                <w:sz w:val="20"/>
              </w:rPr>
              <w:t>PZR 11</w:t>
            </w:r>
          </w:p>
        </w:tc>
        <w:tc>
          <w:tcPr>
            <w:tcW w:w="3969" w:type="dxa"/>
            <w:tcBorders>
              <w:top w:val="outset" w:sz="6" w:space="0" w:color="auto"/>
              <w:left w:val="outset" w:sz="6" w:space="0" w:color="auto"/>
              <w:bottom w:val="outset" w:sz="6" w:space="0" w:color="auto"/>
              <w:right w:val="outset" w:sz="6" w:space="0" w:color="auto"/>
            </w:tcBorders>
          </w:tcPr>
          <w:p w14:paraId="5A00F675" w14:textId="77777777" w:rsidR="006D33E3" w:rsidRPr="00B7760C" w:rsidRDefault="006D33E3" w:rsidP="00AB1DA6">
            <w:pPr>
              <w:widowControl/>
              <w:spacing w:before="60" w:after="60"/>
              <w:rPr>
                <w:rFonts w:eastAsia="Arial Unicode MS"/>
                <w:color w:val="000000"/>
                <w:sz w:val="20"/>
              </w:rPr>
            </w:pPr>
            <w:r w:rsidRPr="00B7760C">
              <w:rPr>
                <w:color w:val="000000"/>
                <w:sz w:val="20"/>
              </w:rPr>
              <w:t>Uredba (EU) 2016/429 Evropskega parlamenta in Sveta z dne 9. marca 2016 o prenosljivih boleznih živali (UL L 84, 31.3.2016, str. 1):</w:t>
            </w:r>
          </w:p>
          <w:p w14:paraId="71FBBDA5" w14:textId="77777777" w:rsidR="006D33E3" w:rsidRPr="00B7760C" w:rsidRDefault="006D33E3" w:rsidP="00AB1DA6">
            <w:pPr>
              <w:widowControl/>
              <w:spacing w:before="60" w:after="60"/>
              <w:rPr>
                <w:rFonts w:eastAsia="Arial Unicode MS"/>
                <w:color w:val="000000"/>
                <w:sz w:val="20"/>
              </w:rPr>
            </w:pPr>
            <w:r w:rsidRPr="00B7760C">
              <w:rPr>
                <w:color w:val="000000"/>
                <w:sz w:val="20"/>
              </w:rPr>
              <w:t>člen 18(1), omejeno na slinavko in parkljevko, vezikularno bolezen prašičev in bolezen modrikastega jezika</w:t>
            </w:r>
          </w:p>
        </w:tc>
        <w:tc>
          <w:tcPr>
            <w:tcW w:w="2209" w:type="dxa"/>
            <w:tcBorders>
              <w:top w:val="outset" w:sz="6" w:space="0" w:color="auto"/>
              <w:left w:val="outset" w:sz="6" w:space="0" w:color="auto"/>
              <w:bottom w:val="outset" w:sz="6" w:space="0" w:color="auto"/>
              <w:right w:val="outset" w:sz="6" w:space="0" w:color="auto"/>
            </w:tcBorders>
          </w:tcPr>
          <w:p w14:paraId="61A7464B" w14:textId="77777777" w:rsidR="006D33E3" w:rsidRPr="00B7760C" w:rsidRDefault="006D33E3" w:rsidP="004F0B88">
            <w:pPr>
              <w:widowControl/>
              <w:spacing w:before="60" w:after="60"/>
              <w:jc w:val="both"/>
              <w:rPr>
                <w:rFonts w:eastAsia="Arial Unicode MS"/>
                <w:color w:val="000000"/>
                <w:sz w:val="20"/>
              </w:rPr>
            </w:pPr>
          </w:p>
        </w:tc>
      </w:tr>
      <w:tr w:rsidR="006D33E3" w:rsidRPr="00B7760C" w14:paraId="7FDEEFBE" w14:textId="77777777" w:rsidTr="004F0B88">
        <w:trPr>
          <w:cantSplit/>
          <w:tblCellSpacing w:w="0" w:type="dxa"/>
          <w:jc w:val="center"/>
        </w:trPr>
        <w:tc>
          <w:tcPr>
            <w:tcW w:w="1398" w:type="dxa"/>
            <w:vMerge/>
            <w:tcBorders>
              <w:left w:val="outset" w:sz="6" w:space="0" w:color="auto"/>
              <w:right w:val="outset" w:sz="6" w:space="0" w:color="auto"/>
            </w:tcBorders>
            <w:vAlign w:val="center"/>
            <w:hideMark/>
          </w:tcPr>
          <w:p w14:paraId="702F35C2" w14:textId="77777777" w:rsidR="006D33E3" w:rsidRPr="00B7760C" w:rsidRDefault="006D33E3" w:rsidP="004F0B88">
            <w:pPr>
              <w:widowControl/>
              <w:jc w:val="both"/>
              <w:rPr>
                <w:rFonts w:eastAsia="Arial Unicode MS"/>
                <w:color w:val="000000"/>
                <w:sz w:val="20"/>
              </w:rPr>
            </w:pPr>
          </w:p>
        </w:tc>
        <w:tc>
          <w:tcPr>
            <w:tcW w:w="1249" w:type="dxa"/>
            <w:vMerge w:val="restart"/>
            <w:tcBorders>
              <w:top w:val="outset" w:sz="6" w:space="0" w:color="auto"/>
              <w:left w:val="outset" w:sz="6" w:space="0" w:color="auto"/>
              <w:right w:val="outset" w:sz="6" w:space="0" w:color="auto"/>
            </w:tcBorders>
            <w:hideMark/>
          </w:tcPr>
          <w:p w14:paraId="5E2E490A" w14:textId="77777777" w:rsidR="006D33E3" w:rsidRPr="00B7760C" w:rsidRDefault="006D33E3" w:rsidP="004F0B88">
            <w:pPr>
              <w:widowControl/>
              <w:spacing w:before="60" w:after="60"/>
              <w:jc w:val="center"/>
              <w:rPr>
                <w:rFonts w:eastAsia="Arial Unicode MS"/>
                <w:color w:val="000000"/>
                <w:sz w:val="20"/>
              </w:rPr>
            </w:pPr>
            <w:r w:rsidRPr="00B7760C">
              <w:rPr>
                <w:color w:val="000000"/>
                <w:sz w:val="20"/>
              </w:rPr>
              <w:t>Fitofarmacevtska sredstva</w:t>
            </w:r>
          </w:p>
        </w:tc>
        <w:tc>
          <w:tcPr>
            <w:tcW w:w="981" w:type="dxa"/>
            <w:tcBorders>
              <w:top w:val="outset" w:sz="6" w:space="0" w:color="auto"/>
              <w:left w:val="outset" w:sz="6" w:space="0" w:color="auto"/>
              <w:bottom w:val="outset" w:sz="6" w:space="0" w:color="auto"/>
              <w:right w:val="outset" w:sz="6" w:space="0" w:color="auto"/>
            </w:tcBorders>
            <w:hideMark/>
          </w:tcPr>
          <w:p w14:paraId="30B4DE53" w14:textId="77777777" w:rsidR="006D33E3" w:rsidRPr="00B7760C" w:rsidRDefault="006D33E3" w:rsidP="004F0B88">
            <w:pPr>
              <w:widowControl/>
              <w:spacing w:before="60" w:after="60"/>
              <w:jc w:val="both"/>
              <w:rPr>
                <w:rFonts w:eastAsia="Arial Unicode MS"/>
                <w:color w:val="000000"/>
                <w:sz w:val="20"/>
              </w:rPr>
            </w:pPr>
            <w:r w:rsidRPr="00B7760C">
              <w:rPr>
                <w:color w:val="000000"/>
                <w:sz w:val="20"/>
              </w:rPr>
              <w:t>PZR 12</w:t>
            </w:r>
          </w:p>
        </w:tc>
        <w:tc>
          <w:tcPr>
            <w:tcW w:w="3969" w:type="dxa"/>
            <w:tcBorders>
              <w:top w:val="outset" w:sz="6" w:space="0" w:color="auto"/>
              <w:left w:val="outset" w:sz="6" w:space="0" w:color="auto"/>
              <w:bottom w:val="outset" w:sz="6" w:space="0" w:color="auto"/>
              <w:right w:val="outset" w:sz="6" w:space="0" w:color="auto"/>
            </w:tcBorders>
            <w:hideMark/>
          </w:tcPr>
          <w:p w14:paraId="25C1D9E4" w14:textId="77777777" w:rsidR="006D33E3" w:rsidRPr="00B7760C" w:rsidRDefault="006D33E3" w:rsidP="00AB1DA6">
            <w:pPr>
              <w:widowControl/>
              <w:spacing w:before="60" w:after="60"/>
              <w:rPr>
                <w:rFonts w:eastAsia="Arial Unicode MS"/>
                <w:color w:val="000000"/>
                <w:sz w:val="20"/>
              </w:rPr>
            </w:pPr>
            <w:r w:rsidRPr="00B7760C">
              <w:rPr>
                <w:color w:val="000000"/>
                <w:sz w:val="20"/>
              </w:rPr>
              <w:t>Uredba (ES) št. 1107/2009 Evropskega parlamenta in Sveta z dne 21. oktobra 2009 o dajanju fitofarmacevtskih sredstev v promet in razveljavitvi direktiv Sveta 79/117/EGS in 91/414/EGS (UL L 309, 24.11.2009, str. 1):</w:t>
            </w:r>
          </w:p>
          <w:p w14:paraId="18D0BB19" w14:textId="77777777" w:rsidR="006D33E3" w:rsidRPr="00B7760C" w:rsidRDefault="006D33E3" w:rsidP="00AB1DA6">
            <w:pPr>
              <w:widowControl/>
              <w:spacing w:before="60" w:after="60"/>
              <w:rPr>
                <w:rFonts w:eastAsia="Arial Unicode MS"/>
                <w:color w:val="000000"/>
                <w:sz w:val="20"/>
              </w:rPr>
            </w:pPr>
            <w:r w:rsidRPr="00B7760C">
              <w:rPr>
                <w:color w:val="000000"/>
                <w:sz w:val="20"/>
              </w:rPr>
              <w:t>prvi in drugi stavek člena 55</w:t>
            </w:r>
          </w:p>
        </w:tc>
        <w:tc>
          <w:tcPr>
            <w:tcW w:w="2209" w:type="dxa"/>
            <w:tcBorders>
              <w:top w:val="outset" w:sz="6" w:space="0" w:color="auto"/>
              <w:left w:val="outset" w:sz="6" w:space="0" w:color="auto"/>
              <w:bottom w:val="outset" w:sz="6" w:space="0" w:color="auto"/>
              <w:right w:val="outset" w:sz="6" w:space="0" w:color="auto"/>
            </w:tcBorders>
            <w:hideMark/>
          </w:tcPr>
          <w:p w14:paraId="1AA67B8F" w14:textId="77777777" w:rsidR="006D33E3" w:rsidRPr="00B7760C" w:rsidRDefault="006D33E3" w:rsidP="004F0B88">
            <w:pPr>
              <w:widowControl/>
              <w:spacing w:before="60" w:after="60"/>
              <w:jc w:val="both"/>
              <w:rPr>
                <w:rFonts w:eastAsia="Arial Unicode MS"/>
                <w:color w:val="000000"/>
                <w:sz w:val="20"/>
              </w:rPr>
            </w:pPr>
          </w:p>
        </w:tc>
      </w:tr>
      <w:tr w:rsidR="006D33E3" w:rsidRPr="00B7760C" w14:paraId="07A940BC" w14:textId="77777777" w:rsidTr="004F0B88">
        <w:trPr>
          <w:cantSplit/>
          <w:tblCellSpacing w:w="0" w:type="dxa"/>
          <w:jc w:val="center"/>
        </w:trPr>
        <w:tc>
          <w:tcPr>
            <w:tcW w:w="1398" w:type="dxa"/>
            <w:vMerge/>
            <w:tcBorders>
              <w:left w:val="outset" w:sz="6" w:space="0" w:color="auto"/>
              <w:bottom w:val="outset" w:sz="6" w:space="0" w:color="auto"/>
              <w:right w:val="outset" w:sz="6" w:space="0" w:color="auto"/>
            </w:tcBorders>
            <w:vAlign w:val="center"/>
          </w:tcPr>
          <w:p w14:paraId="26A04137" w14:textId="77777777" w:rsidR="006D33E3" w:rsidRPr="00B7760C" w:rsidRDefault="006D33E3" w:rsidP="004F0B88">
            <w:pPr>
              <w:widowControl/>
              <w:jc w:val="both"/>
              <w:rPr>
                <w:rFonts w:eastAsia="Arial Unicode MS"/>
                <w:color w:val="000000"/>
                <w:sz w:val="20"/>
              </w:rPr>
            </w:pPr>
          </w:p>
        </w:tc>
        <w:tc>
          <w:tcPr>
            <w:tcW w:w="1249" w:type="dxa"/>
            <w:vMerge/>
            <w:tcBorders>
              <w:left w:val="outset" w:sz="6" w:space="0" w:color="auto"/>
              <w:bottom w:val="outset" w:sz="6" w:space="0" w:color="auto"/>
              <w:right w:val="outset" w:sz="6" w:space="0" w:color="auto"/>
            </w:tcBorders>
          </w:tcPr>
          <w:p w14:paraId="6CF291C0" w14:textId="77777777" w:rsidR="006D33E3" w:rsidRPr="00B7760C" w:rsidRDefault="006D33E3" w:rsidP="004F0B88">
            <w:pPr>
              <w:widowControl/>
              <w:spacing w:before="60" w:after="60"/>
              <w:jc w:val="center"/>
              <w:rPr>
                <w:rFonts w:eastAsia="Arial Unicode MS"/>
                <w:color w:val="000000"/>
                <w:sz w:val="20"/>
              </w:rPr>
            </w:pPr>
          </w:p>
        </w:tc>
        <w:tc>
          <w:tcPr>
            <w:tcW w:w="981" w:type="dxa"/>
            <w:tcBorders>
              <w:top w:val="outset" w:sz="6" w:space="0" w:color="auto"/>
              <w:left w:val="outset" w:sz="6" w:space="0" w:color="auto"/>
              <w:bottom w:val="outset" w:sz="6" w:space="0" w:color="auto"/>
              <w:right w:val="outset" w:sz="6" w:space="0" w:color="auto"/>
            </w:tcBorders>
          </w:tcPr>
          <w:p w14:paraId="30CE6A7D" w14:textId="77777777" w:rsidR="006D33E3" w:rsidRPr="00B7760C" w:rsidRDefault="006D33E3" w:rsidP="004F0B88">
            <w:pPr>
              <w:widowControl/>
              <w:spacing w:before="60" w:after="60"/>
              <w:jc w:val="both"/>
              <w:rPr>
                <w:rFonts w:eastAsia="Arial Unicode MS"/>
                <w:color w:val="000000"/>
                <w:sz w:val="20"/>
              </w:rPr>
            </w:pPr>
            <w:r w:rsidRPr="00B7760C">
              <w:rPr>
                <w:color w:val="000000"/>
                <w:sz w:val="20"/>
              </w:rPr>
              <w:t>PZR 13</w:t>
            </w:r>
          </w:p>
        </w:tc>
        <w:tc>
          <w:tcPr>
            <w:tcW w:w="3969" w:type="dxa"/>
            <w:tcBorders>
              <w:top w:val="outset" w:sz="6" w:space="0" w:color="auto"/>
              <w:left w:val="outset" w:sz="6" w:space="0" w:color="auto"/>
              <w:bottom w:val="outset" w:sz="6" w:space="0" w:color="auto"/>
              <w:right w:val="outset" w:sz="6" w:space="0" w:color="auto"/>
            </w:tcBorders>
          </w:tcPr>
          <w:p w14:paraId="79D7FB13" w14:textId="77777777" w:rsidR="006D33E3" w:rsidRPr="00B7760C" w:rsidRDefault="006D33E3" w:rsidP="00AB1DA6">
            <w:pPr>
              <w:widowControl/>
              <w:spacing w:before="60" w:after="60"/>
              <w:rPr>
                <w:rFonts w:eastAsia="Arial Unicode MS"/>
                <w:color w:val="000000"/>
                <w:sz w:val="20"/>
              </w:rPr>
            </w:pPr>
            <w:r w:rsidRPr="00B7760C">
              <w:rPr>
                <w:color w:val="000000"/>
                <w:sz w:val="20"/>
              </w:rPr>
              <w:t>Direktiva 2009/128/ES Evropskega parlamenta in Sveta z dne 21. oktobra 2009 o določitvi okvira za ukrepe Skupnosti za doseganje trajnostne rabe pesticidov (UL L 309, 24.11.2009, str. 71):</w:t>
            </w:r>
          </w:p>
          <w:p w14:paraId="6DC7F48C" w14:textId="77777777" w:rsidR="006D33E3" w:rsidRPr="00B7760C" w:rsidRDefault="006D33E3" w:rsidP="00AB1DA6">
            <w:pPr>
              <w:widowControl/>
              <w:spacing w:before="60" w:after="60"/>
              <w:rPr>
                <w:rFonts w:eastAsia="Arial Unicode MS"/>
                <w:color w:val="000000"/>
                <w:sz w:val="20"/>
              </w:rPr>
            </w:pPr>
            <w:r w:rsidRPr="00B7760C">
              <w:rPr>
                <w:color w:val="000000"/>
                <w:sz w:val="20"/>
              </w:rPr>
              <w:t>člen 5(2) in člen 8(1) do (5);</w:t>
            </w:r>
          </w:p>
          <w:p w14:paraId="2AFD8763" w14:textId="77777777" w:rsidR="006D33E3" w:rsidRPr="00B7760C" w:rsidRDefault="006D33E3" w:rsidP="00AB1DA6">
            <w:pPr>
              <w:widowControl/>
              <w:spacing w:before="60" w:after="60"/>
              <w:rPr>
                <w:rFonts w:eastAsia="Arial Unicode MS"/>
                <w:color w:val="000000"/>
                <w:sz w:val="20"/>
              </w:rPr>
            </w:pPr>
            <w:r w:rsidRPr="00B7760C">
              <w:rPr>
                <w:color w:val="000000"/>
                <w:sz w:val="20"/>
              </w:rPr>
              <w:t>člen 12 glede omejitev rabe pesticidov na zaščitenih območjih, opredeljenih na podlagi okvirne direktive o vodah in zakonodaje v zvezi z omrežjem Natura 2000;</w:t>
            </w:r>
          </w:p>
          <w:p w14:paraId="5B3FA36D" w14:textId="77777777" w:rsidR="006D33E3" w:rsidRPr="00B7760C" w:rsidRDefault="006D33E3" w:rsidP="00AB1DA6">
            <w:pPr>
              <w:widowControl/>
              <w:spacing w:before="60" w:after="60"/>
              <w:rPr>
                <w:rFonts w:eastAsia="Arial Unicode MS"/>
                <w:color w:val="000000"/>
                <w:sz w:val="20"/>
              </w:rPr>
            </w:pPr>
            <w:r w:rsidRPr="00B7760C">
              <w:rPr>
                <w:color w:val="000000"/>
                <w:sz w:val="20"/>
              </w:rPr>
              <w:t>člen 13(1) in (3) o ravnanju s pesticidi, njihovem skladiščenju in odstranitvi ostankov</w:t>
            </w:r>
            <w:r w:rsidRPr="00B7760C">
              <w:rPr>
                <w:color w:val="1F497D"/>
                <w:sz w:val="20"/>
              </w:rPr>
              <w:t xml:space="preserve"> </w:t>
            </w:r>
          </w:p>
        </w:tc>
        <w:tc>
          <w:tcPr>
            <w:tcW w:w="2209" w:type="dxa"/>
            <w:tcBorders>
              <w:top w:val="outset" w:sz="6" w:space="0" w:color="auto"/>
              <w:left w:val="outset" w:sz="6" w:space="0" w:color="auto"/>
              <w:bottom w:val="outset" w:sz="6" w:space="0" w:color="auto"/>
              <w:right w:val="outset" w:sz="6" w:space="0" w:color="auto"/>
            </w:tcBorders>
          </w:tcPr>
          <w:p w14:paraId="336D6ADC" w14:textId="77777777" w:rsidR="006D33E3" w:rsidRPr="00B7760C" w:rsidRDefault="006D33E3" w:rsidP="004F0B88">
            <w:pPr>
              <w:widowControl/>
              <w:spacing w:before="60" w:after="60"/>
              <w:jc w:val="both"/>
              <w:rPr>
                <w:rFonts w:eastAsia="Arial Unicode MS"/>
                <w:color w:val="000000"/>
                <w:sz w:val="20"/>
              </w:rPr>
            </w:pPr>
          </w:p>
        </w:tc>
      </w:tr>
      <w:tr w:rsidR="006D33E3" w:rsidRPr="00B7760C" w14:paraId="5323D555" w14:textId="77777777" w:rsidTr="004F0B88">
        <w:trPr>
          <w:cantSplit/>
          <w:tblCellSpacing w:w="0" w:type="dxa"/>
          <w:jc w:val="center"/>
        </w:trPr>
        <w:tc>
          <w:tcPr>
            <w:tcW w:w="1398" w:type="dxa"/>
            <w:vMerge w:val="restart"/>
            <w:tcBorders>
              <w:top w:val="outset" w:sz="6" w:space="0" w:color="auto"/>
              <w:left w:val="outset" w:sz="6" w:space="0" w:color="auto"/>
              <w:bottom w:val="outset" w:sz="6" w:space="0" w:color="auto"/>
              <w:right w:val="outset" w:sz="6" w:space="0" w:color="auto"/>
            </w:tcBorders>
            <w:hideMark/>
          </w:tcPr>
          <w:p w14:paraId="0325125D" w14:textId="77777777" w:rsidR="006D33E3" w:rsidRPr="00B7760C" w:rsidRDefault="006D33E3" w:rsidP="004F0B88">
            <w:pPr>
              <w:widowControl/>
              <w:spacing w:before="60" w:after="60"/>
              <w:jc w:val="both"/>
              <w:rPr>
                <w:rFonts w:eastAsia="Arial Unicode MS"/>
                <w:color w:val="000000"/>
                <w:sz w:val="20"/>
              </w:rPr>
            </w:pPr>
            <w:r w:rsidRPr="00B7760C">
              <w:rPr>
                <w:color w:val="000000"/>
                <w:sz w:val="20"/>
              </w:rPr>
              <w:t>Dobrobit živali</w:t>
            </w:r>
          </w:p>
        </w:tc>
        <w:tc>
          <w:tcPr>
            <w:tcW w:w="1249" w:type="dxa"/>
            <w:vMerge w:val="restart"/>
            <w:tcBorders>
              <w:top w:val="outset" w:sz="6" w:space="0" w:color="auto"/>
              <w:left w:val="outset" w:sz="6" w:space="0" w:color="auto"/>
              <w:bottom w:val="outset" w:sz="6" w:space="0" w:color="auto"/>
              <w:right w:val="outset" w:sz="6" w:space="0" w:color="auto"/>
            </w:tcBorders>
            <w:hideMark/>
          </w:tcPr>
          <w:p w14:paraId="403E37C0" w14:textId="77777777" w:rsidR="006D33E3" w:rsidRPr="00B7760C" w:rsidRDefault="006D33E3" w:rsidP="004F0B88">
            <w:pPr>
              <w:widowControl/>
              <w:spacing w:before="60" w:after="60"/>
              <w:jc w:val="center"/>
              <w:rPr>
                <w:rFonts w:eastAsia="Arial Unicode MS"/>
                <w:color w:val="000000"/>
                <w:sz w:val="20"/>
              </w:rPr>
            </w:pPr>
            <w:r w:rsidRPr="00B7760C">
              <w:rPr>
                <w:color w:val="000000"/>
                <w:sz w:val="20"/>
              </w:rPr>
              <w:t>Dobrobit živali</w:t>
            </w:r>
          </w:p>
        </w:tc>
        <w:tc>
          <w:tcPr>
            <w:tcW w:w="981" w:type="dxa"/>
            <w:tcBorders>
              <w:top w:val="outset" w:sz="6" w:space="0" w:color="auto"/>
              <w:left w:val="outset" w:sz="6" w:space="0" w:color="auto"/>
              <w:bottom w:val="outset" w:sz="6" w:space="0" w:color="auto"/>
              <w:right w:val="outset" w:sz="6" w:space="0" w:color="auto"/>
            </w:tcBorders>
            <w:hideMark/>
          </w:tcPr>
          <w:p w14:paraId="2DEDA2E9" w14:textId="77777777" w:rsidR="006D33E3" w:rsidRPr="00B7760C" w:rsidRDefault="006D33E3" w:rsidP="004F0B88">
            <w:pPr>
              <w:widowControl/>
              <w:spacing w:before="60" w:after="60"/>
              <w:jc w:val="both"/>
              <w:rPr>
                <w:rFonts w:eastAsia="Arial Unicode MS"/>
                <w:color w:val="000000"/>
                <w:sz w:val="20"/>
              </w:rPr>
            </w:pPr>
            <w:r w:rsidRPr="00B7760C">
              <w:rPr>
                <w:color w:val="000000"/>
                <w:sz w:val="20"/>
              </w:rPr>
              <w:t>PZR 14</w:t>
            </w:r>
          </w:p>
        </w:tc>
        <w:tc>
          <w:tcPr>
            <w:tcW w:w="3969" w:type="dxa"/>
            <w:tcBorders>
              <w:top w:val="outset" w:sz="6" w:space="0" w:color="auto"/>
              <w:left w:val="outset" w:sz="6" w:space="0" w:color="auto"/>
              <w:bottom w:val="outset" w:sz="6" w:space="0" w:color="auto"/>
              <w:right w:val="outset" w:sz="6" w:space="0" w:color="auto"/>
            </w:tcBorders>
            <w:hideMark/>
          </w:tcPr>
          <w:p w14:paraId="108F8D2E" w14:textId="77777777" w:rsidR="006D33E3" w:rsidRPr="00B7760C" w:rsidRDefault="006D33E3" w:rsidP="00AB1DA6">
            <w:pPr>
              <w:widowControl/>
              <w:spacing w:before="60" w:after="60"/>
              <w:rPr>
                <w:rFonts w:eastAsia="Arial Unicode MS"/>
                <w:color w:val="000000"/>
                <w:sz w:val="20"/>
              </w:rPr>
            </w:pPr>
            <w:r w:rsidRPr="00B7760C">
              <w:rPr>
                <w:color w:val="000000"/>
                <w:sz w:val="20"/>
              </w:rPr>
              <w:t>Direktiva Sveta 2008/119/ES z dne 18. decembra 2008 o določitvi minimalnih pogojev za zaščito telet (UL L 10, 15.1.2009, str. 7):</w:t>
            </w:r>
          </w:p>
          <w:p w14:paraId="6E27CA97" w14:textId="77777777" w:rsidR="006D33E3" w:rsidRPr="00B7760C" w:rsidRDefault="006D33E3" w:rsidP="00AB1DA6">
            <w:pPr>
              <w:widowControl/>
              <w:spacing w:before="60" w:after="60"/>
              <w:rPr>
                <w:rFonts w:eastAsia="Arial Unicode MS"/>
                <w:color w:val="000000"/>
                <w:sz w:val="20"/>
              </w:rPr>
            </w:pPr>
            <w:r w:rsidRPr="00B7760C">
              <w:rPr>
                <w:color w:val="000000"/>
                <w:sz w:val="20"/>
              </w:rPr>
              <w:t>člena 3 in 4</w:t>
            </w:r>
          </w:p>
        </w:tc>
        <w:tc>
          <w:tcPr>
            <w:tcW w:w="2209" w:type="dxa"/>
            <w:tcBorders>
              <w:top w:val="outset" w:sz="6" w:space="0" w:color="auto"/>
              <w:left w:val="outset" w:sz="6" w:space="0" w:color="auto"/>
              <w:bottom w:val="outset" w:sz="6" w:space="0" w:color="auto"/>
              <w:right w:val="outset" w:sz="6" w:space="0" w:color="auto"/>
            </w:tcBorders>
            <w:hideMark/>
          </w:tcPr>
          <w:p w14:paraId="0793FB7E" w14:textId="77777777" w:rsidR="006D33E3" w:rsidRPr="00B7760C" w:rsidRDefault="006D33E3" w:rsidP="004F0B88">
            <w:pPr>
              <w:widowControl/>
              <w:spacing w:before="60" w:after="60"/>
              <w:jc w:val="both"/>
              <w:rPr>
                <w:rFonts w:eastAsia="Arial Unicode MS"/>
                <w:color w:val="000000"/>
                <w:sz w:val="20"/>
              </w:rPr>
            </w:pPr>
          </w:p>
        </w:tc>
      </w:tr>
      <w:tr w:rsidR="006D33E3" w:rsidRPr="00B7760C" w14:paraId="6F6AC8DD" w14:textId="77777777" w:rsidTr="004F0B88">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vAlign w:val="center"/>
            <w:hideMark/>
          </w:tcPr>
          <w:p w14:paraId="20BBFF70" w14:textId="77777777" w:rsidR="006D33E3" w:rsidRPr="00B7760C" w:rsidRDefault="006D33E3" w:rsidP="004F0B88">
            <w:pPr>
              <w:widowControl/>
              <w:jc w:val="both"/>
              <w:rPr>
                <w:rFonts w:eastAsia="Arial Unicode MS"/>
                <w:color w:val="000000"/>
                <w:sz w:val="20"/>
              </w:rPr>
            </w:pPr>
          </w:p>
        </w:tc>
        <w:tc>
          <w:tcPr>
            <w:tcW w:w="1249" w:type="dxa"/>
            <w:vMerge/>
            <w:tcBorders>
              <w:top w:val="outset" w:sz="6" w:space="0" w:color="auto"/>
              <w:left w:val="outset" w:sz="6" w:space="0" w:color="auto"/>
              <w:bottom w:val="outset" w:sz="6" w:space="0" w:color="auto"/>
              <w:right w:val="outset" w:sz="6" w:space="0" w:color="auto"/>
            </w:tcBorders>
            <w:vAlign w:val="center"/>
            <w:hideMark/>
          </w:tcPr>
          <w:p w14:paraId="67433231" w14:textId="77777777" w:rsidR="006D33E3" w:rsidRPr="00B7760C" w:rsidRDefault="006D33E3" w:rsidP="004F0B88">
            <w:pPr>
              <w:widowControl/>
              <w:jc w:val="center"/>
              <w:rPr>
                <w:rFonts w:eastAsia="Arial Unicode MS"/>
                <w:color w:val="000000"/>
                <w:sz w:val="20"/>
              </w:rPr>
            </w:pPr>
          </w:p>
        </w:tc>
        <w:tc>
          <w:tcPr>
            <w:tcW w:w="981" w:type="dxa"/>
            <w:tcBorders>
              <w:top w:val="outset" w:sz="6" w:space="0" w:color="auto"/>
              <w:left w:val="outset" w:sz="6" w:space="0" w:color="auto"/>
              <w:bottom w:val="outset" w:sz="6" w:space="0" w:color="auto"/>
              <w:right w:val="outset" w:sz="6" w:space="0" w:color="auto"/>
            </w:tcBorders>
            <w:hideMark/>
          </w:tcPr>
          <w:p w14:paraId="17E97F15" w14:textId="77777777" w:rsidR="006D33E3" w:rsidRPr="00B7760C" w:rsidRDefault="006D33E3" w:rsidP="004F0B88">
            <w:pPr>
              <w:widowControl/>
              <w:spacing w:before="60" w:after="60"/>
              <w:jc w:val="both"/>
              <w:rPr>
                <w:rFonts w:eastAsia="Arial Unicode MS"/>
                <w:color w:val="000000"/>
                <w:sz w:val="20"/>
              </w:rPr>
            </w:pPr>
            <w:r w:rsidRPr="00B7760C">
              <w:rPr>
                <w:color w:val="000000"/>
                <w:sz w:val="20"/>
              </w:rPr>
              <w:t>PZR 15</w:t>
            </w:r>
          </w:p>
        </w:tc>
        <w:tc>
          <w:tcPr>
            <w:tcW w:w="3969" w:type="dxa"/>
            <w:tcBorders>
              <w:top w:val="outset" w:sz="6" w:space="0" w:color="auto"/>
              <w:left w:val="outset" w:sz="6" w:space="0" w:color="auto"/>
              <w:bottom w:val="outset" w:sz="6" w:space="0" w:color="auto"/>
              <w:right w:val="outset" w:sz="6" w:space="0" w:color="auto"/>
            </w:tcBorders>
            <w:hideMark/>
          </w:tcPr>
          <w:p w14:paraId="73BD1713" w14:textId="77777777" w:rsidR="006D33E3" w:rsidRPr="00B7760C" w:rsidRDefault="006D33E3" w:rsidP="00AB1DA6">
            <w:pPr>
              <w:widowControl/>
              <w:spacing w:before="60" w:after="60"/>
              <w:rPr>
                <w:rFonts w:eastAsia="Arial Unicode MS"/>
                <w:color w:val="000000"/>
                <w:sz w:val="20"/>
              </w:rPr>
            </w:pPr>
            <w:r w:rsidRPr="00B7760C">
              <w:rPr>
                <w:color w:val="000000"/>
                <w:sz w:val="20"/>
              </w:rPr>
              <w:t>Direktiva Sveta 2008/120/ES z dne 18. decembra 2008 o določitvi minimalnih pogojev za zaščito prašičev (UL L 47, 18.2.2009, str. 5):</w:t>
            </w:r>
          </w:p>
          <w:p w14:paraId="382B3AED" w14:textId="77777777" w:rsidR="006D33E3" w:rsidRPr="00B7760C" w:rsidRDefault="006D33E3" w:rsidP="00AB1DA6">
            <w:pPr>
              <w:widowControl/>
              <w:spacing w:before="60" w:after="60"/>
              <w:rPr>
                <w:rFonts w:eastAsia="Arial Unicode MS"/>
                <w:color w:val="000000"/>
                <w:sz w:val="20"/>
              </w:rPr>
            </w:pPr>
            <w:r w:rsidRPr="00B7760C">
              <w:rPr>
                <w:color w:val="000000"/>
                <w:sz w:val="20"/>
              </w:rPr>
              <w:t>člena 3 in 4</w:t>
            </w:r>
          </w:p>
        </w:tc>
        <w:tc>
          <w:tcPr>
            <w:tcW w:w="2209" w:type="dxa"/>
            <w:tcBorders>
              <w:top w:val="outset" w:sz="6" w:space="0" w:color="auto"/>
              <w:left w:val="outset" w:sz="6" w:space="0" w:color="auto"/>
              <w:bottom w:val="outset" w:sz="6" w:space="0" w:color="auto"/>
              <w:right w:val="outset" w:sz="6" w:space="0" w:color="auto"/>
            </w:tcBorders>
            <w:hideMark/>
          </w:tcPr>
          <w:p w14:paraId="6D8055DC" w14:textId="77777777" w:rsidR="006D33E3" w:rsidRPr="00B7760C" w:rsidRDefault="006D33E3" w:rsidP="004F0B88">
            <w:pPr>
              <w:widowControl/>
              <w:spacing w:before="60" w:after="60"/>
              <w:jc w:val="both"/>
              <w:rPr>
                <w:rFonts w:eastAsia="Arial Unicode MS"/>
                <w:color w:val="000000"/>
                <w:sz w:val="20"/>
              </w:rPr>
            </w:pPr>
          </w:p>
        </w:tc>
      </w:tr>
      <w:tr w:rsidR="006D33E3" w:rsidRPr="00B7760C" w14:paraId="4F0E5B99" w14:textId="77777777" w:rsidTr="004F0B88">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vAlign w:val="center"/>
            <w:hideMark/>
          </w:tcPr>
          <w:p w14:paraId="6EA8AE82" w14:textId="77777777" w:rsidR="006D33E3" w:rsidRPr="00B7760C" w:rsidRDefault="006D33E3" w:rsidP="004F0B88">
            <w:pPr>
              <w:widowControl/>
              <w:jc w:val="both"/>
              <w:rPr>
                <w:rFonts w:eastAsia="Arial Unicode MS"/>
                <w:color w:val="000000"/>
                <w:sz w:val="20"/>
              </w:rPr>
            </w:pPr>
          </w:p>
        </w:tc>
        <w:tc>
          <w:tcPr>
            <w:tcW w:w="1249" w:type="dxa"/>
            <w:vMerge/>
            <w:tcBorders>
              <w:top w:val="outset" w:sz="6" w:space="0" w:color="auto"/>
              <w:left w:val="outset" w:sz="6" w:space="0" w:color="auto"/>
              <w:bottom w:val="outset" w:sz="6" w:space="0" w:color="auto"/>
              <w:right w:val="outset" w:sz="6" w:space="0" w:color="auto"/>
            </w:tcBorders>
            <w:vAlign w:val="center"/>
            <w:hideMark/>
          </w:tcPr>
          <w:p w14:paraId="583BA48A" w14:textId="77777777" w:rsidR="006D33E3" w:rsidRPr="00B7760C" w:rsidRDefault="006D33E3" w:rsidP="004F0B88">
            <w:pPr>
              <w:widowControl/>
              <w:jc w:val="center"/>
              <w:rPr>
                <w:rFonts w:eastAsia="Arial Unicode MS"/>
                <w:color w:val="000000"/>
                <w:sz w:val="20"/>
              </w:rPr>
            </w:pPr>
          </w:p>
        </w:tc>
        <w:tc>
          <w:tcPr>
            <w:tcW w:w="981" w:type="dxa"/>
            <w:tcBorders>
              <w:top w:val="outset" w:sz="6" w:space="0" w:color="auto"/>
              <w:left w:val="outset" w:sz="6" w:space="0" w:color="auto"/>
              <w:bottom w:val="outset" w:sz="6" w:space="0" w:color="auto"/>
              <w:right w:val="outset" w:sz="6" w:space="0" w:color="auto"/>
            </w:tcBorders>
            <w:hideMark/>
          </w:tcPr>
          <w:p w14:paraId="032430F5" w14:textId="77777777" w:rsidR="006D33E3" w:rsidRPr="00B7760C" w:rsidRDefault="006D33E3" w:rsidP="004F0B88">
            <w:pPr>
              <w:widowControl/>
              <w:spacing w:before="60" w:after="60"/>
              <w:jc w:val="both"/>
              <w:rPr>
                <w:rFonts w:eastAsia="Arial Unicode MS"/>
                <w:color w:val="000000"/>
                <w:sz w:val="20"/>
              </w:rPr>
            </w:pPr>
            <w:r w:rsidRPr="00B7760C">
              <w:rPr>
                <w:color w:val="000000"/>
                <w:sz w:val="20"/>
              </w:rPr>
              <w:t>PZR 16</w:t>
            </w:r>
          </w:p>
        </w:tc>
        <w:tc>
          <w:tcPr>
            <w:tcW w:w="3969" w:type="dxa"/>
            <w:tcBorders>
              <w:top w:val="outset" w:sz="6" w:space="0" w:color="auto"/>
              <w:left w:val="outset" w:sz="6" w:space="0" w:color="auto"/>
              <w:bottom w:val="outset" w:sz="6" w:space="0" w:color="auto"/>
              <w:right w:val="outset" w:sz="6" w:space="0" w:color="auto"/>
            </w:tcBorders>
            <w:hideMark/>
          </w:tcPr>
          <w:p w14:paraId="1E76CCEC" w14:textId="77777777" w:rsidR="006D33E3" w:rsidRPr="00B7760C" w:rsidRDefault="006D33E3" w:rsidP="00AB1DA6">
            <w:pPr>
              <w:widowControl/>
              <w:spacing w:before="60" w:after="60"/>
              <w:rPr>
                <w:rFonts w:eastAsia="Arial Unicode MS"/>
                <w:color w:val="000000"/>
                <w:sz w:val="20"/>
              </w:rPr>
            </w:pPr>
            <w:r w:rsidRPr="00B7760C">
              <w:rPr>
                <w:color w:val="000000"/>
                <w:sz w:val="20"/>
              </w:rPr>
              <w:t>Direktiva Sveta 98/58/ES z dne 20. julija 1998 o zaščiti rejnih živali (UL L 221, 8.8.1998, str. 23):</w:t>
            </w:r>
          </w:p>
          <w:p w14:paraId="4EA029C4" w14:textId="49692416" w:rsidR="006D33E3" w:rsidRPr="00B7760C" w:rsidRDefault="00AB1DA6" w:rsidP="00AB1DA6">
            <w:pPr>
              <w:widowControl/>
              <w:spacing w:before="60" w:after="60"/>
              <w:rPr>
                <w:rFonts w:eastAsia="Arial Unicode MS"/>
                <w:color w:val="000000"/>
                <w:sz w:val="20"/>
              </w:rPr>
            </w:pPr>
            <w:r w:rsidRPr="00B7760C">
              <w:rPr>
                <w:color w:val="000000"/>
                <w:sz w:val="20"/>
              </w:rPr>
              <w:t>č</w:t>
            </w:r>
            <w:r w:rsidR="006D33E3" w:rsidRPr="00B7760C">
              <w:rPr>
                <w:color w:val="000000"/>
                <w:sz w:val="20"/>
              </w:rPr>
              <w:t>len 4</w:t>
            </w:r>
          </w:p>
        </w:tc>
        <w:tc>
          <w:tcPr>
            <w:tcW w:w="2209" w:type="dxa"/>
            <w:tcBorders>
              <w:top w:val="outset" w:sz="6" w:space="0" w:color="auto"/>
              <w:left w:val="outset" w:sz="6" w:space="0" w:color="auto"/>
              <w:bottom w:val="outset" w:sz="6" w:space="0" w:color="auto"/>
              <w:right w:val="outset" w:sz="6" w:space="0" w:color="auto"/>
            </w:tcBorders>
            <w:hideMark/>
          </w:tcPr>
          <w:p w14:paraId="716F1F3D" w14:textId="77777777" w:rsidR="006D33E3" w:rsidRPr="00B7760C" w:rsidRDefault="006D33E3" w:rsidP="004F0B88">
            <w:pPr>
              <w:widowControl/>
              <w:spacing w:before="60" w:after="60"/>
              <w:jc w:val="both"/>
              <w:rPr>
                <w:rFonts w:eastAsia="Arial Unicode MS"/>
                <w:color w:val="000000"/>
                <w:sz w:val="20"/>
              </w:rPr>
            </w:pPr>
          </w:p>
        </w:tc>
      </w:tr>
    </w:tbl>
    <w:p w14:paraId="74DCE0E8" w14:textId="77777777" w:rsidR="006D33E3" w:rsidRPr="00B7760C" w:rsidRDefault="006D33E3" w:rsidP="006D33E3">
      <w:pPr>
        <w:pStyle w:val="AmOrLang"/>
      </w:pPr>
    </w:p>
    <w:tbl>
      <w:tblPr>
        <w:tblW w:w="9752" w:type="dxa"/>
        <w:jc w:val="center"/>
        <w:tblLayout w:type="fixed"/>
        <w:tblCellMar>
          <w:left w:w="340" w:type="dxa"/>
          <w:right w:w="340" w:type="dxa"/>
        </w:tblCellMar>
        <w:tblLook w:val="0000" w:firstRow="0" w:lastRow="0" w:firstColumn="0" w:lastColumn="0" w:noHBand="0" w:noVBand="0"/>
      </w:tblPr>
      <w:tblGrid>
        <w:gridCol w:w="9752"/>
      </w:tblGrid>
      <w:tr w:rsidR="006D33E3" w:rsidRPr="00B7760C" w14:paraId="069C8C84" w14:textId="77777777" w:rsidTr="004F0B88">
        <w:trPr>
          <w:jc w:val="center"/>
        </w:trPr>
        <w:tc>
          <w:tcPr>
            <w:tcW w:w="9752" w:type="dxa"/>
          </w:tcPr>
          <w:p w14:paraId="58AD2CCD" w14:textId="76FD2C1C" w:rsidR="006D33E3" w:rsidRPr="00B7760C" w:rsidRDefault="004F0B88" w:rsidP="004F0B88">
            <w:pPr>
              <w:pStyle w:val="AmColumnHeading"/>
              <w:keepNext/>
            </w:pPr>
            <w:r w:rsidRPr="00B7760C">
              <w:t>S</w:t>
            </w:r>
            <w:r w:rsidR="006D33E3" w:rsidRPr="00B7760C">
              <w:t>prememb</w:t>
            </w:r>
            <w:r w:rsidRPr="00B7760C">
              <w:t>a</w:t>
            </w:r>
          </w:p>
        </w:tc>
      </w:tr>
    </w:tbl>
    <w:p w14:paraId="3EC767D7" w14:textId="77777777" w:rsidR="006D33E3" w:rsidRPr="00B7760C" w:rsidRDefault="006D33E3" w:rsidP="006D33E3">
      <w:pPr>
        <w:widowControl/>
        <w:spacing w:before="120" w:after="120"/>
        <w:jc w:val="center"/>
        <w:rPr>
          <w:rFonts w:eastAsia="Calibri"/>
          <w:b/>
          <w:szCs w:val="22"/>
          <w:u w:val="single"/>
        </w:rPr>
      </w:pPr>
      <w:r w:rsidRPr="00B7760C">
        <w:rPr>
          <w:b/>
          <w:szCs w:val="22"/>
          <w:u w:val="single"/>
        </w:rPr>
        <w:t>PRILOGA III</w:t>
      </w:r>
    </w:p>
    <w:p w14:paraId="02E76C51" w14:textId="77777777" w:rsidR="006D33E3" w:rsidRPr="00B7760C" w:rsidRDefault="006D33E3" w:rsidP="006D33E3">
      <w:pPr>
        <w:widowControl/>
        <w:jc w:val="both"/>
        <w:rPr>
          <w:rFonts w:eastAsia="Calibri"/>
          <w:szCs w:val="24"/>
          <w:lang w:eastAsia="en-US"/>
        </w:rPr>
      </w:pPr>
    </w:p>
    <w:p w14:paraId="0332FE4D" w14:textId="77777777" w:rsidR="006D33E3" w:rsidRPr="00B7760C" w:rsidRDefault="006D33E3" w:rsidP="006D33E3">
      <w:pPr>
        <w:widowControl/>
        <w:jc w:val="center"/>
        <w:rPr>
          <w:b/>
          <w:bCs/>
          <w:color w:val="000000"/>
          <w:szCs w:val="24"/>
        </w:rPr>
      </w:pPr>
      <w:r w:rsidRPr="00B7760C">
        <w:rPr>
          <w:b/>
          <w:bCs/>
          <w:color w:val="000000"/>
          <w:szCs w:val="24"/>
        </w:rPr>
        <w:t xml:space="preserve">PRAVILA O POGOJENOSTI NA PODLAGI ČLENA 11 </w:t>
      </w:r>
    </w:p>
    <w:p w14:paraId="56527D28" w14:textId="77777777" w:rsidR="006D33E3" w:rsidRPr="00B7760C" w:rsidRDefault="006D33E3" w:rsidP="006D33E3">
      <w:pPr>
        <w:widowControl/>
        <w:jc w:val="both"/>
        <w:rPr>
          <w:rFonts w:eastAsia="Arial Unicode MS"/>
          <w:bCs/>
          <w:color w:val="000000"/>
          <w:szCs w:val="24"/>
        </w:rPr>
      </w:pPr>
    </w:p>
    <w:p w14:paraId="35984650" w14:textId="77777777" w:rsidR="006D33E3" w:rsidRPr="00B7760C" w:rsidRDefault="006D33E3" w:rsidP="006D33E3">
      <w:pPr>
        <w:widowControl/>
        <w:jc w:val="both"/>
        <w:rPr>
          <w:rFonts w:eastAsia="Arial Unicode MS"/>
          <w:bCs/>
          <w:color w:val="000000"/>
          <w:sz w:val="20"/>
        </w:rPr>
      </w:pPr>
      <w:r w:rsidRPr="00B7760C">
        <w:rPr>
          <w:bCs/>
          <w:color w:val="000000"/>
          <w:sz w:val="20"/>
        </w:rPr>
        <w:t>PZR: predpisana zahteva ravnanja</w:t>
      </w:r>
    </w:p>
    <w:p w14:paraId="2DCE34A5" w14:textId="77777777" w:rsidR="006D33E3" w:rsidRPr="00B7760C" w:rsidRDefault="006D33E3" w:rsidP="006D33E3">
      <w:pPr>
        <w:widowControl/>
        <w:jc w:val="both"/>
        <w:rPr>
          <w:rFonts w:eastAsia="Arial Unicode MS"/>
          <w:bCs/>
          <w:color w:val="000000"/>
          <w:sz w:val="20"/>
        </w:rPr>
      </w:pPr>
      <w:r w:rsidRPr="00B7760C">
        <w:rPr>
          <w:bCs/>
          <w:color w:val="000000"/>
          <w:sz w:val="20"/>
        </w:rPr>
        <w:t>DKOP: standardi za dobre kmetijske in okoljske pogoje</w:t>
      </w:r>
    </w:p>
    <w:tbl>
      <w:tblPr>
        <w:tblW w:w="9806"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65"/>
        <w:gridCol w:w="1479"/>
        <w:gridCol w:w="960"/>
        <w:gridCol w:w="3843"/>
        <w:gridCol w:w="2159"/>
      </w:tblGrid>
      <w:tr w:rsidR="006D33E3" w:rsidRPr="00B7760C" w14:paraId="5D3EAC29" w14:textId="77777777" w:rsidTr="004F0B88">
        <w:trPr>
          <w:cantSplit/>
          <w:tblHeader/>
          <w:tblCellSpacing w:w="0" w:type="dxa"/>
          <w:jc w:val="center"/>
        </w:trPr>
        <w:tc>
          <w:tcPr>
            <w:tcW w:w="1398" w:type="dxa"/>
            <w:tcBorders>
              <w:top w:val="outset" w:sz="6" w:space="0" w:color="auto"/>
              <w:left w:val="outset" w:sz="6" w:space="0" w:color="auto"/>
              <w:bottom w:val="outset" w:sz="6" w:space="0" w:color="auto"/>
              <w:right w:val="outset" w:sz="6" w:space="0" w:color="auto"/>
            </w:tcBorders>
            <w:hideMark/>
          </w:tcPr>
          <w:p w14:paraId="5AC65FA7" w14:textId="77777777" w:rsidR="006D33E3" w:rsidRPr="00B7760C" w:rsidRDefault="006D33E3" w:rsidP="004F0B88">
            <w:pPr>
              <w:widowControl/>
              <w:spacing w:before="60" w:after="60"/>
              <w:jc w:val="both"/>
              <w:rPr>
                <w:rFonts w:eastAsia="Arial Unicode MS"/>
                <w:b/>
                <w:bCs/>
                <w:color w:val="000000"/>
                <w:sz w:val="20"/>
              </w:rPr>
            </w:pPr>
            <w:r w:rsidRPr="00B7760C">
              <w:rPr>
                <w:b/>
                <w:bCs/>
                <w:color w:val="000000"/>
                <w:sz w:val="20"/>
              </w:rPr>
              <w:t>Območja</w:t>
            </w:r>
          </w:p>
        </w:tc>
        <w:tc>
          <w:tcPr>
            <w:tcW w:w="1249" w:type="dxa"/>
            <w:tcBorders>
              <w:top w:val="outset" w:sz="6" w:space="0" w:color="auto"/>
              <w:left w:val="outset" w:sz="6" w:space="0" w:color="auto"/>
              <w:bottom w:val="outset" w:sz="6" w:space="0" w:color="auto"/>
              <w:right w:val="outset" w:sz="6" w:space="0" w:color="auto"/>
            </w:tcBorders>
            <w:hideMark/>
          </w:tcPr>
          <w:p w14:paraId="07506EFA" w14:textId="77777777" w:rsidR="006D33E3" w:rsidRPr="00B7760C" w:rsidRDefault="006D33E3" w:rsidP="004F0B88">
            <w:pPr>
              <w:widowControl/>
              <w:spacing w:before="60" w:after="60"/>
              <w:jc w:val="center"/>
              <w:rPr>
                <w:rFonts w:eastAsia="Arial Unicode MS"/>
                <w:b/>
                <w:bCs/>
                <w:color w:val="000000"/>
                <w:sz w:val="20"/>
              </w:rPr>
            </w:pPr>
            <w:r w:rsidRPr="00B7760C">
              <w:rPr>
                <w:b/>
                <w:bCs/>
                <w:color w:val="000000"/>
                <w:sz w:val="20"/>
              </w:rPr>
              <w:t>Glavna zadeva</w:t>
            </w:r>
          </w:p>
        </w:tc>
        <w:tc>
          <w:tcPr>
            <w:tcW w:w="4950" w:type="dxa"/>
            <w:gridSpan w:val="2"/>
            <w:tcBorders>
              <w:top w:val="outset" w:sz="6" w:space="0" w:color="auto"/>
              <w:left w:val="outset" w:sz="6" w:space="0" w:color="auto"/>
              <w:bottom w:val="outset" w:sz="6" w:space="0" w:color="auto"/>
              <w:right w:val="outset" w:sz="6" w:space="0" w:color="auto"/>
            </w:tcBorders>
            <w:hideMark/>
          </w:tcPr>
          <w:p w14:paraId="33BE101D" w14:textId="77777777" w:rsidR="006D33E3" w:rsidRPr="00B7760C" w:rsidRDefault="006D33E3" w:rsidP="004F0B88">
            <w:pPr>
              <w:widowControl/>
              <w:spacing w:before="60" w:after="60"/>
              <w:jc w:val="both"/>
              <w:rPr>
                <w:rFonts w:eastAsia="Arial Unicode MS"/>
                <w:b/>
                <w:bCs/>
                <w:color w:val="000000"/>
                <w:sz w:val="20"/>
              </w:rPr>
            </w:pPr>
            <w:r w:rsidRPr="00B7760C">
              <w:rPr>
                <w:b/>
                <w:bCs/>
                <w:color w:val="000000"/>
                <w:sz w:val="20"/>
              </w:rPr>
              <w:t>Zahteve in standardi</w:t>
            </w:r>
          </w:p>
        </w:tc>
        <w:tc>
          <w:tcPr>
            <w:tcW w:w="2209" w:type="dxa"/>
            <w:tcBorders>
              <w:top w:val="outset" w:sz="6" w:space="0" w:color="auto"/>
              <w:left w:val="outset" w:sz="6" w:space="0" w:color="auto"/>
              <w:bottom w:val="outset" w:sz="6" w:space="0" w:color="auto"/>
              <w:right w:val="outset" w:sz="6" w:space="0" w:color="auto"/>
            </w:tcBorders>
          </w:tcPr>
          <w:p w14:paraId="1D7CF138" w14:textId="77777777" w:rsidR="006D33E3" w:rsidRPr="00B7760C" w:rsidRDefault="006D33E3" w:rsidP="004F0B88">
            <w:pPr>
              <w:widowControl/>
              <w:spacing w:before="60" w:after="60"/>
              <w:jc w:val="both"/>
              <w:rPr>
                <w:rFonts w:eastAsia="Arial Unicode MS"/>
                <w:b/>
                <w:bCs/>
                <w:color w:val="000000"/>
                <w:sz w:val="20"/>
              </w:rPr>
            </w:pPr>
            <w:r w:rsidRPr="00B7760C">
              <w:rPr>
                <w:b/>
                <w:bCs/>
                <w:color w:val="000000"/>
                <w:sz w:val="20"/>
              </w:rPr>
              <w:t>Glavni cilj standarda</w:t>
            </w:r>
          </w:p>
        </w:tc>
      </w:tr>
      <w:tr w:rsidR="006D33E3" w:rsidRPr="00B7760C" w14:paraId="163BC5CF" w14:textId="77777777" w:rsidTr="004F0B88">
        <w:trPr>
          <w:cantSplit/>
          <w:tblCellSpacing w:w="0" w:type="dxa"/>
          <w:jc w:val="center"/>
        </w:trPr>
        <w:tc>
          <w:tcPr>
            <w:tcW w:w="1398" w:type="dxa"/>
            <w:vMerge w:val="restart"/>
            <w:tcBorders>
              <w:top w:val="outset" w:sz="6" w:space="0" w:color="auto"/>
              <w:left w:val="outset" w:sz="6" w:space="0" w:color="auto"/>
              <w:bottom w:val="outset" w:sz="6" w:space="0" w:color="auto"/>
              <w:right w:val="outset" w:sz="6" w:space="0" w:color="auto"/>
            </w:tcBorders>
            <w:hideMark/>
          </w:tcPr>
          <w:p w14:paraId="485F9149" w14:textId="77777777" w:rsidR="006D33E3" w:rsidRPr="00B7760C" w:rsidRDefault="006D33E3" w:rsidP="004F0B88">
            <w:pPr>
              <w:widowControl/>
              <w:spacing w:before="60" w:after="60"/>
              <w:jc w:val="both"/>
              <w:rPr>
                <w:rFonts w:eastAsia="Arial Unicode MS"/>
                <w:color w:val="000000"/>
                <w:sz w:val="20"/>
              </w:rPr>
            </w:pPr>
            <w:r w:rsidRPr="00B7760C">
              <w:rPr>
                <w:color w:val="000000"/>
                <w:sz w:val="20"/>
              </w:rPr>
              <w:t>Podnebje in okolje</w:t>
            </w:r>
          </w:p>
        </w:tc>
        <w:tc>
          <w:tcPr>
            <w:tcW w:w="1249" w:type="dxa"/>
            <w:vMerge w:val="restart"/>
            <w:tcBorders>
              <w:top w:val="outset" w:sz="6" w:space="0" w:color="auto"/>
              <w:left w:val="outset" w:sz="6" w:space="0" w:color="auto"/>
              <w:bottom w:val="outset" w:sz="6" w:space="0" w:color="auto"/>
              <w:right w:val="outset" w:sz="6" w:space="0" w:color="auto"/>
            </w:tcBorders>
            <w:hideMark/>
          </w:tcPr>
          <w:p w14:paraId="1555890B" w14:textId="77777777" w:rsidR="006D33E3" w:rsidRPr="00B7760C" w:rsidRDefault="006D33E3" w:rsidP="004F0B88">
            <w:pPr>
              <w:widowControl/>
              <w:spacing w:before="60" w:after="60"/>
              <w:jc w:val="center"/>
              <w:rPr>
                <w:rFonts w:eastAsia="Arial Unicode MS"/>
                <w:color w:val="000000"/>
                <w:sz w:val="20"/>
              </w:rPr>
            </w:pPr>
            <w:r w:rsidRPr="00B7760C">
              <w:rPr>
                <w:color w:val="000000"/>
                <w:sz w:val="20"/>
              </w:rPr>
              <w:t>Podnebne spremembe</w:t>
            </w:r>
          </w:p>
          <w:p w14:paraId="0D773794" w14:textId="77777777" w:rsidR="006D33E3" w:rsidRPr="00B7760C" w:rsidRDefault="006D33E3" w:rsidP="004F0B88">
            <w:pPr>
              <w:widowControl/>
              <w:spacing w:before="60" w:after="60"/>
              <w:jc w:val="center"/>
              <w:rPr>
                <w:rFonts w:eastAsia="Arial Unicode MS"/>
                <w:color w:val="000000"/>
                <w:sz w:val="20"/>
              </w:rPr>
            </w:pPr>
            <w:r w:rsidRPr="00B7760C">
              <w:rPr>
                <w:color w:val="000000"/>
                <w:sz w:val="20"/>
              </w:rPr>
              <w:t>(blažitev in prilagajanje nanje)</w:t>
            </w:r>
          </w:p>
        </w:tc>
        <w:tc>
          <w:tcPr>
            <w:tcW w:w="981" w:type="dxa"/>
            <w:tcBorders>
              <w:top w:val="outset" w:sz="6" w:space="0" w:color="auto"/>
              <w:left w:val="outset" w:sz="6" w:space="0" w:color="auto"/>
              <w:bottom w:val="outset" w:sz="6" w:space="0" w:color="auto"/>
              <w:right w:val="outset" w:sz="6" w:space="0" w:color="auto"/>
            </w:tcBorders>
            <w:hideMark/>
          </w:tcPr>
          <w:p w14:paraId="319BCE4E" w14:textId="77777777" w:rsidR="006D33E3" w:rsidRPr="00B7760C" w:rsidRDefault="006D33E3" w:rsidP="004F0B88">
            <w:pPr>
              <w:widowControl/>
              <w:spacing w:before="60" w:after="60"/>
              <w:jc w:val="both"/>
              <w:rPr>
                <w:rFonts w:eastAsia="Arial Unicode MS"/>
                <w:color w:val="000000"/>
                <w:sz w:val="20"/>
              </w:rPr>
            </w:pPr>
            <w:r w:rsidRPr="00B7760C">
              <w:rPr>
                <w:color w:val="000000"/>
                <w:sz w:val="20"/>
              </w:rPr>
              <w:t>DKOP 1</w:t>
            </w:r>
          </w:p>
        </w:tc>
        <w:tc>
          <w:tcPr>
            <w:tcW w:w="3969" w:type="dxa"/>
            <w:tcBorders>
              <w:top w:val="outset" w:sz="6" w:space="0" w:color="auto"/>
              <w:left w:val="outset" w:sz="6" w:space="0" w:color="auto"/>
              <w:bottom w:val="outset" w:sz="6" w:space="0" w:color="auto"/>
              <w:right w:val="outset" w:sz="6" w:space="0" w:color="auto"/>
            </w:tcBorders>
            <w:hideMark/>
          </w:tcPr>
          <w:p w14:paraId="41466040" w14:textId="77777777" w:rsidR="006D33E3" w:rsidRPr="00B7760C" w:rsidRDefault="006D33E3" w:rsidP="00AB1DA6">
            <w:pPr>
              <w:widowControl/>
              <w:spacing w:before="60" w:after="60"/>
              <w:rPr>
                <w:rFonts w:eastAsia="Arial Unicode MS"/>
                <w:b/>
                <w:i/>
                <w:color w:val="000000"/>
                <w:sz w:val="20"/>
              </w:rPr>
            </w:pPr>
            <w:r w:rsidRPr="00B7760C">
              <w:rPr>
                <w:color w:val="000000"/>
                <w:sz w:val="20"/>
              </w:rPr>
              <w:t xml:space="preserve">Ohranjanje trajnega travinja </w:t>
            </w:r>
            <w:r w:rsidRPr="00B7760C">
              <w:rPr>
                <w:b/>
                <w:i/>
                <w:color w:val="000000"/>
                <w:sz w:val="20"/>
              </w:rPr>
              <w:t>na regionalni ali nacionalni ravni</w:t>
            </w:r>
            <w:r w:rsidRPr="00B7760C">
              <w:rPr>
                <w:color w:val="000000"/>
                <w:sz w:val="20"/>
              </w:rPr>
              <w:t xml:space="preserve"> na podlagi deleža trajnega travinja v primerjavi s celotno površino kmetijskih zemljišč </w:t>
            </w:r>
            <w:r w:rsidRPr="00B7760C">
              <w:rPr>
                <w:b/>
                <w:i/>
                <w:color w:val="000000"/>
                <w:sz w:val="20"/>
              </w:rPr>
              <w:t>v primerjavi z referenčnim letom 2018.</w:t>
            </w:r>
          </w:p>
          <w:p w14:paraId="43E74FE4" w14:textId="77777777" w:rsidR="006D33E3" w:rsidRPr="00B7760C" w:rsidRDefault="006D33E3" w:rsidP="00AB1DA6">
            <w:pPr>
              <w:widowControl/>
              <w:spacing w:before="60" w:after="60"/>
              <w:rPr>
                <w:rFonts w:eastAsia="Arial Unicode MS"/>
                <w:b/>
                <w:i/>
                <w:color w:val="000000"/>
                <w:sz w:val="20"/>
              </w:rPr>
            </w:pPr>
          </w:p>
          <w:p w14:paraId="1BF0B319" w14:textId="77777777" w:rsidR="006D33E3" w:rsidRPr="00B7760C" w:rsidRDefault="006D33E3" w:rsidP="00AB1DA6">
            <w:pPr>
              <w:widowControl/>
              <w:spacing w:before="60" w:after="60"/>
              <w:rPr>
                <w:rFonts w:eastAsia="Arial Unicode MS"/>
                <w:b/>
                <w:i/>
                <w:color w:val="000000"/>
                <w:sz w:val="20"/>
              </w:rPr>
            </w:pPr>
            <w:r w:rsidRPr="00B7760C">
              <w:rPr>
                <w:b/>
                <w:i/>
                <w:color w:val="000000"/>
                <w:sz w:val="20"/>
              </w:rPr>
              <w:t>Največji koeficient variacije 5 % v primerjavi z referenčnim letom.</w:t>
            </w:r>
            <w:r w:rsidRPr="00B7760C">
              <w:rPr>
                <w:rFonts w:eastAsia="Arial Unicode MS"/>
                <w:b/>
                <w:i/>
                <w:color w:val="000000"/>
                <w:sz w:val="20"/>
                <w:vertAlign w:val="superscript"/>
              </w:rPr>
              <w:footnoteReference w:id="7"/>
            </w:r>
          </w:p>
        </w:tc>
        <w:tc>
          <w:tcPr>
            <w:tcW w:w="2209" w:type="dxa"/>
            <w:tcBorders>
              <w:top w:val="outset" w:sz="6" w:space="0" w:color="auto"/>
              <w:left w:val="outset" w:sz="6" w:space="0" w:color="auto"/>
              <w:bottom w:val="outset" w:sz="6" w:space="0" w:color="auto"/>
              <w:right w:val="outset" w:sz="6" w:space="0" w:color="auto"/>
            </w:tcBorders>
            <w:hideMark/>
          </w:tcPr>
          <w:p w14:paraId="7C1394AE" w14:textId="77777777" w:rsidR="006D33E3" w:rsidRPr="00B7760C" w:rsidRDefault="006D33E3" w:rsidP="00AB1DA6">
            <w:pPr>
              <w:widowControl/>
              <w:spacing w:before="60" w:after="60"/>
              <w:rPr>
                <w:rFonts w:eastAsia="Arial Unicode MS"/>
                <w:i/>
                <w:color w:val="000000"/>
                <w:sz w:val="20"/>
              </w:rPr>
            </w:pPr>
            <w:r w:rsidRPr="00B7760C">
              <w:rPr>
                <w:i/>
                <w:color w:val="000000"/>
                <w:sz w:val="20"/>
              </w:rPr>
              <w:t>Splošna zaščita pred preusmeritvijo v druge kmetijske uporabe za ohranitev zalog ogljika</w:t>
            </w:r>
          </w:p>
        </w:tc>
      </w:tr>
      <w:tr w:rsidR="006D33E3" w:rsidRPr="00B7760C" w14:paraId="5CB6E44D" w14:textId="77777777" w:rsidTr="004F0B88">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tcPr>
          <w:p w14:paraId="0E204D93" w14:textId="77777777" w:rsidR="006D33E3" w:rsidRPr="00B7760C" w:rsidRDefault="006D33E3" w:rsidP="004F0B88">
            <w:pPr>
              <w:widowControl/>
              <w:spacing w:before="60" w:after="60"/>
              <w:jc w:val="both"/>
              <w:rPr>
                <w:rFonts w:eastAsia="Arial Unicode MS"/>
                <w:color w:val="000000"/>
                <w:sz w:val="20"/>
              </w:rPr>
            </w:pPr>
          </w:p>
        </w:tc>
        <w:tc>
          <w:tcPr>
            <w:tcW w:w="1249" w:type="dxa"/>
            <w:vMerge/>
            <w:tcBorders>
              <w:top w:val="outset" w:sz="6" w:space="0" w:color="auto"/>
              <w:left w:val="outset" w:sz="6" w:space="0" w:color="auto"/>
              <w:bottom w:val="outset" w:sz="6" w:space="0" w:color="auto"/>
              <w:right w:val="outset" w:sz="6" w:space="0" w:color="auto"/>
            </w:tcBorders>
          </w:tcPr>
          <w:p w14:paraId="084CBCCC" w14:textId="77777777" w:rsidR="006D33E3" w:rsidRPr="00B7760C" w:rsidRDefault="006D33E3" w:rsidP="004F0B88">
            <w:pPr>
              <w:widowControl/>
              <w:spacing w:before="60" w:after="60"/>
              <w:jc w:val="center"/>
              <w:rPr>
                <w:rFonts w:eastAsia="Arial Unicode MS"/>
                <w:color w:val="000000"/>
                <w:sz w:val="20"/>
              </w:rPr>
            </w:pPr>
          </w:p>
        </w:tc>
        <w:tc>
          <w:tcPr>
            <w:tcW w:w="981" w:type="dxa"/>
            <w:tcBorders>
              <w:top w:val="outset" w:sz="6" w:space="0" w:color="auto"/>
              <w:left w:val="outset" w:sz="6" w:space="0" w:color="auto"/>
              <w:bottom w:val="outset" w:sz="6" w:space="0" w:color="auto"/>
              <w:right w:val="outset" w:sz="6" w:space="0" w:color="auto"/>
            </w:tcBorders>
          </w:tcPr>
          <w:p w14:paraId="02F3A106" w14:textId="77777777" w:rsidR="006D33E3" w:rsidRPr="00B7760C" w:rsidRDefault="006D33E3" w:rsidP="004F0B88">
            <w:pPr>
              <w:widowControl/>
              <w:spacing w:before="60" w:after="60"/>
              <w:jc w:val="both"/>
              <w:rPr>
                <w:rFonts w:eastAsia="Arial Unicode MS"/>
                <w:color w:val="000000"/>
                <w:sz w:val="20"/>
              </w:rPr>
            </w:pPr>
            <w:r w:rsidRPr="00B7760C">
              <w:rPr>
                <w:color w:val="000000"/>
                <w:sz w:val="20"/>
              </w:rPr>
              <w:t>DKOP 2</w:t>
            </w:r>
          </w:p>
        </w:tc>
        <w:tc>
          <w:tcPr>
            <w:tcW w:w="3969" w:type="dxa"/>
            <w:tcBorders>
              <w:top w:val="outset" w:sz="6" w:space="0" w:color="auto"/>
              <w:left w:val="outset" w:sz="6" w:space="0" w:color="auto"/>
              <w:bottom w:val="outset" w:sz="6" w:space="0" w:color="auto"/>
              <w:right w:val="outset" w:sz="6" w:space="0" w:color="auto"/>
            </w:tcBorders>
          </w:tcPr>
          <w:p w14:paraId="57751E86" w14:textId="77777777" w:rsidR="006D33E3" w:rsidRPr="00B7760C" w:rsidRDefault="006D33E3" w:rsidP="00AB1DA6">
            <w:pPr>
              <w:widowControl/>
              <w:spacing w:before="60" w:after="60"/>
              <w:rPr>
                <w:rFonts w:eastAsia="Arial Unicode MS"/>
                <w:color w:val="000000"/>
                <w:sz w:val="20"/>
              </w:rPr>
            </w:pPr>
            <w:r w:rsidRPr="00B7760C">
              <w:rPr>
                <w:b/>
                <w:i/>
                <w:color w:val="000000"/>
                <w:sz w:val="20"/>
              </w:rPr>
              <w:t>Učinkovito</w:t>
            </w:r>
            <w:r w:rsidRPr="00B7760C">
              <w:rPr>
                <w:color w:val="000000"/>
                <w:sz w:val="20"/>
              </w:rPr>
              <w:t xml:space="preserve"> varstvo mokrišč in </w:t>
            </w:r>
            <w:r w:rsidRPr="00B7760C">
              <w:rPr>
                <w:b/>
                <w:i/>
                <w:color w:val="000000"/>
                <w:sz w:val="20"/>
              </w:rPr>
              <w:t>ustrezno vzdrževanje</w:t>
            </w:r>
            <w:r w:rsidRPr="00B7760C">
              <w:rPr>
                <w:color w:val="000000"/>
                <w:sz w:val="20"/>
              </w:rPr>
              <w:t xml:space="preserve"> šotišč</w:t>
            </w:r>
          </w:p>
        </w:tc>
        <w:tc>
          <w:tcPr>
            <w:tcW w:w="2209" w:type="dxa"/>
            <w:tcBorders>
              <w:top w:val="outset" w:sz="6" w:space="0" w:color="auto"/>
              <w:left w:val="outset" w:sz="6" w:space="0" w:color="auto"/>
              <w:bottom w:val="outset" w:sz="6" w:space="0" w:color="auto"/>
              <w:right w:val="outset" w:sz="6" w:space="0" w:color="auto"/>
            </w:tcBorders>
          </w:tcPr>
          <w:p w14:paraId="4320CF20" w14:textId="77777777" w:rsidR="006D33E3" w:rsidRPr="00B7760C" w:rsidRDefault="006D33E3" w:rsidP="00AB1DA6">
            <w:pPr>
              <w:widowControl/>
              <w:spacing w:before="60" w:after="60"/>
              <w:rPr>
                <w:rFonts w:eastAsia="Arial Unicode MS"/>
                <w:i/>
                <w:color w:val="000000"/>
                <w:sz w:val="20"/>
              </w:rPr>
            </w:pPr>
            <w:r w:rsidRPr="00B7760C">
              <w:rPr>
                <w:i/>
                <w:color w:val="000000"/>
                <w:sz w:val="20"/>
              </w:rPr>
              <w:t>Varstvo z ogljikom bogate prsti</w:t>
            </w:r>
          </w:p>
        </w:tc>
      </w:tr>
      <w:tr w:rsidR="006D33E3" w:rsidRPr="00B7760C" w14:paraId="10EEE0E9" w14:textId="77777777" w:rsidTr="004F0B88">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tcPr>
          <w:p w14:paraId="6F614A77" w14:textId="77777777" w:rsidR="006D33E3" w:rsidRPr="00B7760C" w:rsidRDefault="006D33E3" w:rsidP="004F0B88">
            <w:pPr>
              <w:widowControl/>
              <w:spacing w:before="60" w:after="60"/>
              <w:jc w:val="both"/>
              <w:rPr>
                <w:rFonts w:eastAsia="Arial Unicode MS"/>
                <w:color w:val="000000"/>
                <w:sz w:val="20"/>
              </w:rPr>
            </w:pPr>
          </w:p>
        </w:tc>
        <w:tc>
          <w:tcPr>
            <w:tcW w:w="1249" w:type="dxa"/>
            <w:vMerge/>
            <w:tcBorders>
              <w:top w:val="outset" w:sz="6" w:space="0" w:color="auto"/>
              <w:left w:val="outset" w:sz="6" w:space="0" w:color="auto"/>
              <w:bottom w:val="outset" w:sz="6" w:space="0" w:color="auto"/>
              <w:right w:val="outset" w:sz="6" w:space="0" w:color="auto"/>
            </w:tcBorders>
          </w:tcPr>
          <w:p w14:paraId="0272B809" w14:textId="77777777" w:rsidR="006D33E3" w:rsidRPr="00B7760C" w:rsidRDefault="006D33E3" w:rsidP="004F0B88">
            <w:pPr>
              <w:widowControl/>
              <w:spacing w:before="60" w:after="60"/>
              <w:jc w:val="center"/>
              <w:rPr>
                <w:rFonts w:eastAsia="Arial Unicode MS"/>
                <w:color w:val="000000"/>
                <w:sz w:val="20"/>
              </w:rPr>
            </w:pPr>
          </w:p>
        </w:tc>
        <w:tc>
          <w:tcPr>
            <w:tcW w:w="981" w:type="dxa"/>
            <w:tcBorders>
              <w:top w:val="outset" w:sz="6" w:space="0" w:color="auto"/>
              <w:left w:val="outset" w:sz="6" w:space="0" w:color="auto"/>
              <w:bottom w:val="outset" w:sz="6" w:space="0" w:color="auto"/>
              <w:right w:val="outset" w:sz="6" w:space="0" w:color="auto"/>
            </w:tcBorders>
          </w:tcPr>
          <w:p w14:paraId="060AEE0A" w14:textId="77777777" w:rsidR="006D33E3" w:rsidRPr="00B7760C" w:rsidRDefault="006D33E3" w:rsidP="004F0B88">
            <w:pPr>
              <w:widowControl/>
              <w:spacing w:before="60" w:after="60"/>
              <w:jc w:val="both"/>
              <w:rPr>
                <w:rFonts w:eastAsia="Arial Unicode MS"/>
                <w:color w:val="000000"/>
                <w:sz w:val="20"/>
              </w:rPr>
            </w:pPr>
            <w:r w:rsidRPr="00B7760C">
              <w:rPr>
                <w:color w:val="000000"/>
                <w:sz w:val="20"/>
              </w:rPr>
              <w:t>DKOP 3</w:t>
            </w:r>
          </w:p>
        </w:tc>
        <w:tc>
          <w:tcPr>
            <w:tcW w:w="3969" w:type="dxa"/>
            <w:tcBorders>
              <w:top w:val="outset" w:sz="6" w:space="0" w:color="auto"/>
              <w:left w:val="outset" w:sz="6" w:space="0" w:color="auto"/>
              <w:bottom w:val="outset" w:sz="6" w:space="0" w:color="auto"/>
              <w:right w:val="outset" w:sz="6" w:space="0" w:color="auto"/>
            </w:tcBorders>
          </w:tcPr>
          <w:p w14:paraId="6C5AB506" w14:textId="77777777" w:rsidR="006D33E3" w:rsidRPr="00B7760C" w:rsidRDefault="006D33E3" w:rsidP="00AB1DA6">
            <w:pPr>
              <w:widowControl/>
              <w:spacing w:before="60" w:after="60"/>
              <w:rPr>
                <w:rFonts w:eastAsia="Arial Unicode MS"/>
                <w:color w:val="000000"/>
                <w:sz w:val="20"/>
              </w:rPr>
            </w:pPr>
            <w:r w:rsidRPr="00B7760C">
              <w:rPr>
                <w:color w:val="000000"/>
                <w:sz w:val="20"/>
              </w:rPr>
              <w:t>Prepoved sežiganja ornih strnišč, razen zaradi zdravstvenega varstva rastlin </w:t>
            </w:r>
          </w:p>
        </w:tc>
        <w:tc>
          <w:tcPr>
            <w:tcW w:w="2209" w:type="dxa"/>
            <w:tcBorders>
              <w:top w:val="outset" w:sz="6" w:space="0" w:color="auto"/>
              <w:left w:val="outset" w:sz="6" w:space="0" w:color="auto"/>
              <w:bottom w:val="outset" w:sz="6" w:space="0" w:color="auto"/>
              <w:right w:val="outset" w:sz="6" w:space="0" w:color="auto"/>
            </w:tcBorders>
          </w:tcPr>
          <w:p w14:paraId="6EDF8B46" w14:textId="77777777" w:rsidR="006D33E3" w:rsidRPr="00B7760C" w:rsidRDefault="006D33E3" w:rsidP="00AB1DA6">
            <w:pPr>
              <w:widowControl/>
              <w:spacing w:before="60" w:after="60"/>
              <w:rPr>
                <w:rFonts w:eastAsia="Arial Unicode MS"/>
                <w:i/>
                <w:color w:val="000000"/>
                <w:sz w:val="20"/>
              </w:rPr>
            </w:pPr>
            <w:r w:rsidRPr="00B7760C">
              <w:rPr>
                <w:i/>
                <w:color w:val="000000"/>
                <w:sz w:val="20"/>
              </w:rPr>
              <w:t>Vzdrževanje ravni vsebnosti organskih snovi v prsti</w:t>
            </w:r>
          </w:p>
        </w:tc>
      </w:tr>
      <w:tr w:rsidR="006D33E3" w:rsidRPr="00B7760C" w14:paraId="3EEDB74D" w14:textId="77777777" w:rsidTr="004F0B88">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tcPr>
          <w:p w14:paraId="37371473" w14:textId="77777777" w:rsidR="006D33E3" w:rsidRPr="00B7760C" w:rsidRDefault="006D33E3" w:rsidP="004F0B88">
            <w:pPr>
              <w:widowControl/>
              <w:spacing w:before="60" w:after="60"/>
              <w:jc w:val="both"/>
              <w:rPr>
                <w:rFonts w:eastAsia="Arial Unicode MS"/>
                <w:color w:val="000000"/>
                <w:sz w:val="20"/>
              </w:rPr>
            </w:pPr>
          </w:p>
        </w:tc>
        <w:tc>
          <w:tcPr>
            <w:tcW w:w="1249" w:type="dxa"/>
            <w:vMerge w:val="restart"/>
            <w:tcBorders>
              <w:top w:val="outset" w:sz="6" w:space="0" w:color="auto"/>
              <w:left w:val="outset" w:sz="6" w:space="0" w:color="auto"/>
              <w:bottom w:val="outset" w:sz="6" w:space="0" w:color="auto"/>
              <w:right w:val="outset" w:sz="6" w:space="0" w:color="auto"/>
            </w:tcBorders>
          </w:tcPr>
          <w:p w14:paraId="57185665" w14:textId="77777777" w:rsidR="006D33E3" w:rsidRPr="00B7760C" w:rsidRDefault="006D33E3" w:rsidP="004F0B88">
            <w:pPr>
              <w:widowControl/>
              <w:spacing w:before="60" w:after="60"/>
              <w:jc w:val="center"/>
              <w:rPr>
                <w:rFonts w:eastAsia="Arial Unicode MS"/>
                <w:color w:val="000000"/>
                <w:sz w:val="20"/>
              </w:rPr>
            </w:pPr>
            <w:r w:rsidRPr="00B7760C">
              <w:rPr>
                <w:color w:val="000000"/>
                <w:sz w:val="20"/>
              </w:rPr>
              <w:t>Voda</w:t>
            </w:r>
          </w:p>
        </w:tc>
        <w:tc>
          <w:tcPr>
            <w:tcW w:w="981" w:type="dxa"/>
            <w:tcBorders>
              <w:top w:val="outset" w:sz="6" w:space="0" w:color="auto"/>
              <w:left w:val="outset" w:sz="6" w:space="0" w:color="auto"/>
              <w:bottom w:val="outset" w:sz="6" w:space="0" w:color="auto"/>
              <w:right w:val="outset" w:sz="6" w:space="0" w:color="auto"/>
            </w:tcBorders>
          </w:tcPr>
          <w:p w14:paraId="5BB739A1" w14:textId="77777777" w:rsidR="006D33E3" w:rsidRPr="00B7760C" w:rsidRDefault="006D33E3" w:rsidP="004F0B88">
            <w:pPr>
              <w:widowControl/>
              <w:spacing w:before="60" w:after="60"/>
              <w:jc w:val="both"/>
              <w:rPr>
                <w:rFonts w:eastAsia="Arial Unicode MS"/>
                <w:color w:val="000000"/>
                <w:sz w:val="20"/>
              </w:rPr>
            </w:pPr>
            <w:r w:rsidRPr="00B7760C">
              <w:rPr>
                <w:color w:val="000000"/>
                <w:sz w:val="20"/>
              </w:rPr>
              <w:t>PZR 1</w:t>
            </w:r>
          </w:p>
        </w:tc>
        <w:tc>
          <w:tcPr>
            <w:tcW w:w="3969" w:type="dxa"/>
            <w:tcBorders>
              <w:top w:val="outset" w:sz="6" w:space="0" w:color="auto"/>
              <w:left w:val="outset" w:sz="6" w:space="0" w:color="auto"/>
              <w:bottom w:val="outset" w:sz="6" w:space="0" w:color="auto"/>
              <w:right w:val="outset" w:sz="6" w:space="0" w:color="auto"/>
            </w:tcBorders>
          </w:tcPr>
          <w:p w14:paraId="1F2AC6A2" w14:textId="77777777" w:rsidR="006D33E3" w:rsidRPr="00B7760C" w:rsidRDefault="006D33E3" w:rsidP="00AB1DA6">
            <w:pPr>
              <w:widowControl/>
              <w:rPr>
                <w:rFonts w:eastAsia="Calibri"/>
                <w:sz w:val="20"/>
              </w:rPr>
            </w:pPr>
            <w:r w:rsidRPr="00B7760C">
              <w:rPr>
                <w:sz w:val="20"/>
              </w:rPr>
              <w:t>Direktiva 2000/60/ES Evropskega parlamenta in Sveta z dne 23. oktobra 2000 o določitvi okvira za ukrepe Skupnosti na področju vodne politike:</w:t>
            </w:r>
          </w:p>
          <w:p w14:paraId="4712F2F8" w14:textId="77777777" w:rsidR="006D33E3" w:rsidRPr="00B7760C" w:rsidRDefault="006D33E3" w:rsidP="00AB1DA6">
            <w:pPr>
              <w:widowControl/>
              <w:rPr>
                <w:rFonts w:eastAsia="Arial Unicode MS"/>
                <w:color w:val="000000"/>
                <w:sz w:val="20"/>
              </w:rPr>
            </w:pPr>
            <w:r w:rsidRPr="00B7760C">
              <w:rPr>
                <w:sz w:val="20"/>
              </w:rPr>
              <w:t>člena 11(3)(e) in 11(3)(h) glede obveznih zahtev za nadzorovanje razpršenih virov onesnaževanja s fosfati</w:t>
            </w:r>
          </w:p>
        </w:tc>
        <w:tc>
          <w:tcPr>
            <w:tcW w:w="2209" w:type="dxa"/>
            <w:tcBorders>
              <w:top w:val="outset" w:sz="6" w:space="0" w:color="auto"/>
              <w:left w:val="outset" w:sz="6" w:space="0" w:color="auto"/>
              <w:bottom w:val="outset" w:sz="6" w:space="0" w:color="auto"/>
              <w:right w:val="outset" w:sz="6" w:space="0" w:color="auto"/>
            </w:tcBorders>
          </w:tcPr>
          <w:p w14:paraId="3CFFDDD3" w14:textId="77777777" w:rsidR="006D33E3" w:rsidRPr="00B7760C" w:rsidRDefault="006D33E3" w:rsidP="00AB1DA6">
            <w:pPr>
              <w:widowControl/>
              <w:spacing w:before="60" w:after="60"/>
              <w:rPr>
                <w:rFonts w:eastAsia="Arial Unicode MS"/>
                <w:i/>
                <w:color w:val="000000"/>
                <w:sz w:val="20"/>
              </w:rPr>
            </w:pPr>
          </w:p>
        </w:tc>
      </w:tr>
      <w:tr w:rsidR="006D33E3" w:rsidRPr="00B7760C" w14:paraId="5D197B17" w14:textId="77777777" w:rsidTr="004F0B88">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tcPr>
          <w:p w14:paraId="409DE209" w14:textId="77777777" w:rsidR="006D33E3" w:rsidRPr="00B7760C" w:rsidRDefault="006D33E3" w:rsidP="004F0B88">
            <w:pPr>
              <w:widowControl/>
              <w:spacing w:before="60" w:after="60"/>
              <w:jc w:val="both"/>
              <w:rPr>
                <w:rFonts w:eastAsia="Arial Unicode MS"/>
                <w:color w:val="000000"/>
                <w:sz w:val="20"/>
              </w:rPr>
            </w:pPr>
          </w:p>
        </w:tc>
        <w:tc>
          <w:tcPr>
            <w:tcW w:w="1249" w:type="dxa"/>
            <w:vMerge/>
            <w:tcBorders>
              <w:top w:val="outset" w:sz="6" w:space="0" w:color="auto"/>
              <w:left w:val="outset" w:sz="6" w:space="0" w:color="auto"/>
              <w:bottom w:val="outset" w:sz="6" w:space="0" w:color="auto"/>
              <w:right w:val="outset" w:sz="6" w:space="0" w:color="auto"/>
            </w:tcBorders>
          </w:tcPr>
          <w:p w14:paraId="03F53DAD" w14:textId="77777777" w:rsidR="006D33E3" w:rsidRPr="00B7760C" w:rsidRDefault="006D33E3" w:rsidP="004F0B88">
            <w:pPr>
              <w:widowControl/>
              <w:spacing w:before="60" w:after="60"/>
              <w:jc w:val="center"/>
              <w:rPr>
                <w:rFonts w:eastAsia="Arial Unicode MS"/>
                <w:color w:val="000000"/>
                <w:sz w:val="20"/>
              </w:rPr>
            </w:pPr>
          </w:p>
        </w:tc>
        <w:tc>
          <w:tcPr>
            <w:tcW w:w="981" w:type="dxa"/>
            <w:tcBorders>
              <w:top w:val="outset" w:sz="6" w:space="0" w:color="auto"/>
              <w:left w:val="outset" w:sz="6" w:space="0" w:color="auto"/>
              <w:bottom w:val="outset" w:sz="6" w:space="0" w:color="auto"/>
              <w:right w:val="outset" w:sz="6" w:space="0" w:color="auto"/>
            </w:tcBorders>
          </w:tcPr>
          <w:p w14:paraId="724BD77B" w14:textId="77777777" w:rsidR="006D33E3" w:rsidRPr="00B7760C" w:rsidRDefault="006D33E3" w:rsidP="004F0B88">
            <w:pPr>
              <w:widowControl/>
              <w:spacing w:before="60" w:after="60"/>
              <w:jc w:val="both"/>
              <w:rPr>
                <w:rFonts w:eastAsia="Arial Unicode MS"/>
                <w:color w:val="000000"/>
                <w:sz w:val="20"/>
              </w:rPr>
            </w:pPr>
            <w:r w:rsidRPr="00B7760C">
              <w:rPr>
                <w:color w:val="000000"/>
                <w:sz w:val="20"/>
              </w:rPr>
              <w:t>PZR 2</w:t>
            </w:r>
          </w:p>
        </w:tc>
        <w:tc>
          <w:tcPr>
            <w:tcW w:w="3969" w:type="dxa"/>
            <w:tcBorders>
              <w:top w:val="outset" w:sz="6" w:space="0" w:color="auto"/>
              <w:left w:val="outset" w:sz="6" w:space="0" w:color="auto"/>
              <w:bottom w:val="outset" w:sz="6" w:space="0" w:color="auto"/>
              <w:right w:val="outset" w:sz="6" w:space="0" w:color="auto"/>
            </w:tcBorders>
          </w:tcPr>
          <w:p w14:paraId="62968E61" w14:textId="77777777" w:rsidR="006D33E3" w:rsidRPr="00B7760C" w:rsidRDefault="006D33E3" w:rsidP="00AB1DA6">
            <w:pPr>
              <w:widowControl/>
              <w:spacing w:before="60" w:after="60"/>
              <w:rPr>
                <w:rFonts w:eastAsia="Arial Unicode MS"/>
                <w:color w:val="000000"/>
                <w:sz w:val="20"/>
              </w:rPr>
            </w:pPr>
            <w:r w:rsidRPr="00B7760C">
              <w:rPr>
                <w:color w:val="000000"/>
                <w:sz w:val="20"/>
              </w:rPr>
              <w:t>Direktiva Sveta 91/676/EGS z dne 12. decembra 1991 o varstvu voda pred onesnaženjem z nitrati iz kmetijskih virov (UL L 375, 31.12.1991, str. 1):</w:t>
            </w:r>
          </w:p>
          <w:p w14:paraId="44E11374" w14:textId="77777777" w:rsidR="006D33E3" w:rsidRPr="00B7760C" w:rsidRDefault="006D33E3" w:rsidP="00AB1DA6">
            <w:pPr>
              <w:widowControl/>
              <w:spacing w:before="60" w:after="60"/>
              <w:rPr>
                <w:rFonts w:eastAsia="Arial Unicode MS"/>
                <w:color w:val="000000"/>
                <w:sz w:val="20"/>
              </w:rPr>
            </w:pPr>
            <w:r w:rsidRPr="00B7760C">
              <w:rPr>
                <w:color w:val="000000"/>
                <w:sz w:val="20"/>
              </w:rPr>
              <w:t>člena 4 in 5</w:t>
            </w:r>
          </w:p>
        </w:tc>
        <w:tc>
          <w:tcPr>
            <w:tcW w:w="2209" w:type="dxa"/>
            <w:tcBorders>
              <w:top w:val="outset" w:sz="6" w:space="0" w:color="auto"/>
              <w:left w:val="outset" w:sz="6" w:space="0" w:color="auto"/>
              <w:bottom w:val="outset" w:sz="6" w:space="0" w:color="auto"/>
              <w:right w:val="outset" w:sz="6" w:space="0" w:color="auto"/>
            </w:tcBorders>
          </w:tcPr>
          <w:p w14:paraId="09B4186B" w14:textId="77777777" w:rsidR="006D33E3" w:rsidRPr="00B7760C" w:rsidRDefault="006D33E3" w:rsidP="00AB1DA6">
            <w:pPr>
              <w:widowControl/>
              <w:spacing w:before="60" w:after="60"/>
              <w:rPr>
                <w:rFonts w:eastAsia="Arial Unicode MS"/>
                <w:i/>
                <w:color w:val="000000"/>
                <w:sz w:val="20"/>
              </w:rPr>
            </w:pPr>
          </w:p>
        </w:tc>
      </w:tr>
      <w:tr w:rsidR="006D33E3" w:rsidRPr="00B7760C" w14:paraId="156042D7" w14:textId="77777777" w:rsidTr="004F0B88">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vAlign w:val="center"/>
            <w:hideMark/>
          </w:tcPr>
          <w:p w14:paraId="3594005E" w14:textId="77777777" w:rsidR="006D33E3" w:rsidRPr="00B7760C" w:rsidRDefault="006D33E3" w:rsidP="004F0B88">
            <w:pPr>
              <w:widowControl/>
              <w:jc w:val="both"/>
              <w:rPr>
                <w:rFonts w:eastAsia="Arial Unicode MS"/>
                <w:color w:val="000000"/>
                <w:sz w:val="20"/>
              </w:rPr>
            </w:pPr>
          </w:p>
        </w:tc>
        <w:tc>
          <w:tcPr>
            <w:tcW w:w="1249" w:type="dxa"/>
            <w:vMerge/>
            <w:tcBorders>
              <w:top w:val="outset" w:sz="6" w:space="0" w:color="auto"/>
              <w:left w:val="outset" w:sz="6" w:space="0" w:color="auto"/>
              <w:bottom w:val="outset" w:sz="6" w:space="0" w:color="auto"/>
              <w:right w:val="outset" w:sz="6" w:space="0" w:color="auto"/>
            </w:tcBorders>
            <w:vAlign w:val="center"/>
            <w:hideMark/>
          </w:tcPr>
          <w:p w14:paraId="09DED5EB" w14:textId="77777777" w:rsidR="006D33E3" w:rsidRPr="00B7760C" w:rsidRDefault="006D33E3" w:rsidP="004F0B88">
            <w:pPr>
              <w:widowControl/>
              <w:jc w:val="center"/>
              <w:rPr>
                <w:rFonts w:eastAsia="Arial Unicode MS"/>
                <w:color w:val="000000"/>
                <w:sz w:val="20"/>
              </w:rPr>
            </w:pPr>
          </w:p>
        </w:tc>
        <w:tc>
          <w:tcPr>
            <w:tcW w:w="981" w:type="dxa"/>
            <w:tcBorders>
              <w:top w:val="outset" w:sz="6" w:space="0" w:color="auto"/>
              <w:left w:val="outset" w:sz="6" w:space="0" w:color="auto"/>
              <w:bottom w:val="outset" w:sz="6" w:space="0" w:color="auto"/>
              <w:right w:val="outset" w:sz="6" w:space="0" w:color="auto"/>
            </w:tcBorders>
            <w:hideMark/>
          </w:tcPr>
          <w:p w14:paraId="44C13B96" w14:textId="77777777" w:rsidR="006D33E3" w:rsidRPr="00B7760C" w:rsidRDefault="006D33E3" w:rsidP="004F0B88">
            <w:pPr>
              <w:widowControl/>
              <w:spacing w:before="60" w:after="60"/>
              <w:jc w:val="both"/>
              <w:rPr>
                <w:rFonts w:eastAsia="Arial Unicode MS"/>
                <w:color w:val="000000"/>
                <w:sz w:val="20"/>
              </w:rPr>
            </w:pPr>
            <w:r w:rsidRPr="00B7760C">
              <w:rPr>
                <w:color w:val="000000"/>
                <w:sz w:val="20"/>
              </w:rPr>
              <w:t>DKOP 4</w:t>
            </w:r>
          </w:p>
        </w:tc>
        <w:tc>
          <w:tcPr>
            <w:tcW w:w="3969" w:type="dxa"/>
            <w:tcBorders>
              <w:top w:val="outset" w:sz="6" w:space="0" w:color="auto"/>
              <w:left w:val="outset" w:sz="6" w:space="0" w:color="auto"/>
              <w:bottom w:val="outset" w:sz="6" w:space="0" w:color="auto"/>
              <w:right w:val="outset" w:sz="6" w:space="0" w:color="auto"/>
            </w:tcBorders>
            <w:hideMark/>
          </w:tcPr>
          <w:p w14:paraId="4417D191" w14:textId="77777777" w:rsidR="006D33E3" w:rsidRPr="00B7760C" w:rsidRDefault="006D33E3" w:rsidP="00AB1DA6">
            <w:pPr>
              <w:widowControl/>
              <w:spacing w:before="60" w:after="60"/>
              <w:rPr>
                <w:rFonts w:eastAsia="Arial Unicode MS"/>
                <w:color w:val="000000"/>
                <w:sz w:val="20"/>
              </w:rPr>
            </w:pPr>
            <w:r w:rsidRPr="00B7760C">
              <w:rPr>
                <w:color w:val="000000"/>
                <w:sz w:val="20"/>
              </w:rPr>
              <w:t>Vzpostavitev varovalnih pasov vzdolž vodnih tokov</w:t>
            </w:r>
            <w:r w:rsidRPr="00B7760C">
              <w:rPr>
                <w:b/>
                <w:i/>
                <w:color w:val="000000"/>
                <w:sz w:val="20"/>
              </w:rPr>
              <w:t xml:space="preserve"> v širini najmanj 3m brez uporabe pesticidov in gnojil</w:t>
            </w:r>
            <w:r w:rsidRPr="00B7760C">
              <w:rPr>
                <w:rFonts w:eastAsia="Arial Unicode MS"/>
                <w:color w:val="000000"/>
                <w:sz w:val="20"/>
                <w:vertAlign w:val="superscript"/>
              </w:rPr>
              <w:footnoteReference w:id="8"/>
            </w:r>
          </w:p>
        </w:tc>
        <w:tc>
          <w:tcPr>
            <w:tcW w:w="2209" w:type="dxa"/>
            <w:tcBorders>
              <w:top w:val="outset" w:sz="6" w:space="0" w:color="auto"/>
              <w:left w:val="outset" w:sz="6" w:space="0" w:color="auto"/>
              <w:bottom w:val="outset" w:sz="6" w:space="0" w:color="auto"/>
              <w:right w:val="outset" w:sz="6" w:space="0" w:color="auto"/>
            </w:tcBorders>
            <w:hideMark/>
          </w:tcPr>
          <w:p w14:paraId="60CF8CFA" w14:textId="77777777" w:rsidR="006D33E3" w:rsidRPr="00B7760C" w:rsidRDefault="006D33E3" w:rsidP="00AB1DA6">
            <w:pPr>
              <w:widowControl/>
              <w:spacing w:before="100" w:beforeAutospacing="1" w:after="100" w:afterAutospacing="1"/>
              <w:rPr>
                <w:rFonts w:eastAsia="Arial Unicode MS"/>
                <w:i/>
                <w:color w:val="000000"/>
                <w:sz w:val="20"/>
              </w:rPr>
            </w:pPr>
            <w:r w:rsidRPr="00B7760C">
              <w:rPr>
                <w:i/>
                <w:color w:val="000000"/>
                <w:sz w:val="20"/>
              </w:rPr>
              <w:t xml:space="preserve">Varstvo rečnih tokov, </w:t>
            </w:r>
            <w:r w:rsidRPr="00B7760C">
              <w:rPr>
                <w:b/>
                <w:i/>
                <w:color w:val="000000"/>
                <w:sz w:val="20"/>
              </w:rPr>
              <w:t>zalog vode in ekosistemov</w:t>
            </w:r>
            <w:r w:rsidRPr="00B7760C">
              <w:rPr>
                <w:i/>
                <w:color w:val="000000"/>
                <w:sz w:val="20"/>
              </w:rPr>
              <w:t xml:space="preserve"> pred onesnaževanjem in odtekanjem</w:t>
            </w:r>
          </w:p>
        </w:tc>
      </w:tr>
      <w:tr w:rsidR="006D33E3" w:rsidRPr="00B7760C" w14:paraId="164EC258" w14:textId="77777777" w:rsidTr="004F0B88">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vAlign w:val="center"/>
            <w:hideMark/>
          </w:tcPr>
          <w:p w14:paraId="28F0FACA" w14:textId="77777777" w:rsidR="006D33E3" w:rsidRPr="00B7760C" w:rsidRDefault="006D33E3" w:rsidP="004F0B88">
            <w:pPr>
              <w:widowControl/>
              <w:jc w:val="both"/>
              <w:rPr>
                <w:rFonts w:eastAsia="Arial Unicode MS"/>
                <w:color w:val="000000"/>
                <w:sz w:val="20"/>
              </w:rPr>
            </w:pPr>
          </w:p>
        </w:tc>
        <w:tc>
          <w:tcPr>
            <w:tcW w:w="1249" w:type="dxa"/>
            <w:vMerge/>
            <w:tcBorders>
              <w:top w:val="outset" w:sz="6" w:space="0" w:color="auto"/>
              <w:left w:val="outset" w:sz="6" w:space="0" w:color="auto"/>
              <w:bottom w:val="outset" w:sz="6" w:space="0" w:color="auto"/>
              <w:right w:val="outset" w:sz="6" w:space="0" w:color="auto"/>
            </w:tcBorders>
            <w:vAlign w:val="center"/>
            <w:hideMark/>
          </w:tcPr>
          <w:p w14:paraId="3FD1D234" w14:textId="77777777" w:rsidR="006D33E3" w:rsidRPr="00B7760C" w:rsidRDefault="006D33E3" w:rsidP="004F0B88">
            <w:pPr>
              <w:widowControl/>
              <w:jc w:val="center"/>
              <w:rPr>
                <w:rFonts w:eastAsia="Arial Unicode MS"/>
                <w:color w:val="000000"/>
                <w:sz w:val="20"/>
              </w:rPr>
            </w:pPr>
          </w:p>
        </w:tc>
        <w:tc>
          <w:tcPr>
            <w:tcW w:w="981" w:type="dxa"/>
            <w:tcBorders>
              <w:top w:val="outset" w:sz="6" w:space="0" w:color="auto"/>
              <w:left w:val="outset" w:sz="6" w:space="0" w:color="auto"/>
              <w:bottom w:val="outset" w:sz="6" w:space="0" w:color="auto"/>
              <w:right w:val="outset" w:sz="6" w:space="0" w:color="auto"/>
            </w:tcBorders>
          </w:tcPr>
          <w:p w14:paraId="6F79DEEB" w14:textId="77777777" w:rsidR="006D33E3" w:rsidRPr="00B7760C" w:rsidRDefault="006D33E3" w:rsidP="004F0B88">
            <w:pPr>
              <w:widowControl/>
              <w:spacing w:before="60" w:after="60"/>
              <w:jc w:val="both"/>
              <w:rPr>
                <w:rFonts w:eastAsia="Arial Unicode MS"/>
                <w:color w:val="000000"/>
                <w:sz w:val="20"/>
              </w:rPr>
            </w:pPr>
          </w:p>
        </w:tc>
        <w:tc>
          <w:tcPr>
            <w:tcW w:w="3969" w:type="dxa"/>
            <w:tcBorders>
              <w:top w:val="outset" w:sz="6" w:space="0" w:color="auto"/>
              <w:left w:val="outset" w:sz="6" w:space="0" w:color="auto"/>
              <w:bottom w:val="outset" w:sz="6" w:space="0" w:color="auto"/>
              <w:right w:val="outset" w:sz="6" w:space="0" w:color="auto"/>
            </w:tcBorders>
          </w:tcPr>
          <w:p w14:paraId="3169C8E5" w14:textId="77777777" w:rsidR="006D33E3" w:rsidRPr="00B7760C" w:rsidRDefault="006D33E3" w:rsidP="004F0B88">
            <w:pPr>
              <w:widowControl/>
              <w:spacing w:before="60" w:after="60"/>
              <w:jc w:val="both"/>
              <w:rPr>
                <w:rFonts w:eastAsia="Arial Unicode MS"/>
                <w:color w:val="000000"/>
                <w:sz w:val="20"/>
              </w:rPr>
            </w:pPr>
          </w:p>
        </w:tc>
        <w:tc>
          <w:tcPr>
            <w:tcW w:w="2209" w:type="dxa"/>
            <w:tcBorders>
              <w:top w:val="outset" w:sz="6" w:space="0" w:color="auto"/>
              <w:left w:val="outset" w:sz="6" w:space="0" w:color="auto"/>
              <w:bottom w:val="outset" w:sz="6" w:space="0" w:color="auto"/>
              <w:right w:val="outset" w:sz="6" w:space="0" w:color="auto"/>
            </w:tcBorders>
          </w:tcPr>
          <w:p w14:paraId="424CC5D8" w14:textId="77777777" w:rsidR="006D33E3" w:rsidRPr="00B7760C" w:rsidRDefault="006D33E3" w:rsidP="004F0B88">
            <w:pPr>
              <w:widowControl/>
              <w:spacing w:before="100" w:beforeAutospacing="1" w:after="100" w:afterAutospacing="1"/>
              <w:jc w:val="both"/>
              <w:rPr>
                <w:rFonts w:eastAsia="Arial Unicode MS"/>
                <w:i/>
                <w:color w:val="000000"/>
                <w:sz w:val="20"/>
              </w:rPr>
            </w:pPr>
          </w:p>
        </w:tc>
      </w:tr>
      <w:tr w:rsidR="006D33E3" w:rsidRPr="00B7760C" w14:paraId="30961299" w14:textId="77777777" w:rsidTr="004F0B88">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vAlign w:val="center"/>
          </w:tcPr>
          <w:p w14:paraId="66825965" w14:textId="77777777" w:rsidR="006D33E3" w:rsidRPr="00B7760C" w:rsidRDefault="006D33E3" w:rsidP="004F0B88">
            <w:pPr>
              <w:widowControl/>
              <w:jc w:val="both"/>
              <w:rPr>
                <w:rFonts w:eastAsia="Arial Unicode MS"/>
                <w:color w:val="000000"/>
                <w:sz w:val="20"/>
              </w:rPr>
            </w:pPr>
          </w:p>
        </w:tc>
        <w:tc>
          <w:tcPr>
            <w:tcW w:w="1249" w:type="dxa"/>
            <w:vMerge/>
            <w:tcBorders>
              <w:top w:val="outset" w:sz="6" w:space="0" w:color="auto"/>
              <w:left w:val="outset" w:sz="6" w:space="0" w:color="auto"/>
              <w:bottom w:val="outset" w:sz="6" w:space="0" w:color="auto"/>
              <w:right w:val="outset" w:sz="6" w:space="0" w:color="auto"/>
            </w:tcBorders>
            <w:vAlign w:val="center"/>
          </w:tcPr>
          <w:p w14:paraId="31AC7712" w14:textId="77777777" w:rsidR="006D33E3" w:rsidRPr="00B7760C" w:rsidRDefault="006D33E3" w:rsidP="004F0B88">
            <w:pPr>
              <w:widowControl/>
              <w:jc w:val="center"/>
              <w:rPr>
                <w:rFonts w:eastAsia="Arial Unicode MS"/>
                <w:color w:val="000000"/>
                <w:sz w:val="20"/>
              </w:rPr>
            </w:pPr>
          </w:p>
        </w:tc>
        <w:tc>
          <w:tcPr>
            <w:tcW w:w="981" w:type="dxa"/>
            <w:tcBorders>
              <w:top w:val="outset" w:sz="6" w:space="0" w:color="auto"/>
              <w:left w:val="outset" w:sz="6" w:space="0" w:color="auto"/>
              <w:bottom w:val="outset" w:sz="6" w:space="0" w:color="auto"/>
              <w:right w:val="outset" w:sz="6" w:space="0" w:color="auto"/>
            </w:tcBorders>
          </w:tcPr>
          <w:p w14:paraId="4060BF49" w14:textId="77777777" w:rsidR="006D33E3" w:rsidRPr="00B7760C" w:rsidRDefault="006D33E3" w:rsidP="004F0B88">
            <w:pPr>
              <w:widowControl/>
              <w:spacing w:before="60" w:after="60"/>
              <w:jc w:val="both"/>
              <w:rPr>
                <w:rFonts w:eastAsia="Arial Unicode MS"/>
                <w:strike/>
                <w:color w:val="000000"/>
                <w:sz w:val="20"/>
              </w:rPr>
            </w:pPr>
          </w:p>
        </w:tc>
        <w:tc>
          <w:tcPr>
            <w:tcW w:w="3969" w:type="dxa"/>
            <w:tcBorders>
              <w:top w:val="outset" w:sz="6" w:space="0" w:color="auto"/>
              <w:left w:val="outset" w:sz="6" w:space="0" w:color="auto"/>
              <w:bottom w:val="outset" w:sz="6" w:space="0" w:color="auto"/>
              <w:right w:val="outset" w:sz="6" w:space="0" w:color="auto"/>
            </w:tcBorders>
          </w:tcPr>
          <w:p w14:paraId="5A9733E0" w14:textId="77777777" w:rsidR="006D33E3" w:rsidRPr="00B7760C" w:rsidRDefault="006D33E3" w:rsidP="004F0B88">
            <w:pPr>
              <w:widowControl/>
              <w:spacing w:before="60" w:after="60"/>
              <w:jc w:val="both"/>
              <w:rPr>
                <w:rFonts w:eastAsia="Arial Unicode MS"/>
                <w:color w:val="000000"/>
                <w:sz w:val="20"/>
              </w:rPr>
            </w:pPr>
          </w:p>
        </w:tc>
        <w:tc>
          <w:tcPr>
            <w:tcW w:w="2209" w:type="dxa"/>
            <w:tcBorders>
              <w:top w:val="outset" w:sz="6" w:space="0" w:color="auto"/>
              <w:left w:val="outset" w:sz="6" w:space="0" w:color="auto"/>
              <w:bottom w:val="outset" w:sz="6" w:space="0" w:color="auto"/>
              <w:right w:val="outset" w:sz="6" w:space="0" w:color="auto"/>
            </w:tcBorders>
          </w:tcPr>
          <w:p w14:paraId="75AE08D7" w14:textId="77777777" w:rsidR="006D33E3" w:rsidRPr="00B7760C" w:rsidRDefault="006D33E3" w:rsidP="004F0B88">
            <w:pPr>
              <w:widowControl/>
              <w:spacing w:before="100" w:beforeAutospacing="1" w:after="100" w:afterAutospacing="1"/>
              <w:jc w:val="both"/>
              <w:rPr>
                <w:rFonts w:eastAsia="Arial Unicode MS"/>
                <w:i/>
                <w:strike/>
                <w:color w:val="000000"/>
                <w:sz w:val="20"/>
              </w:rPr>
            </w:pPr>
          </w:p>
        </w:tc>
      </w:tr>
      <w:tr w:rsidR="006D33E3" w:rsidRPr="00B7760C" w14:paraId="25F203B2" w14:textId="77777777" w:rsidTr="004F0B88">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vAlign w:val="center"/>
            <w:hideMark/>
          </w:tcPr>
          <w:p w14:paraId="0854400B" w14:textId="77777777" w:rsidR="006D33E3" w:rsidRPr="00B7760C" w:rsidRDefault="006D33E3" w:rsidP="004F0B88">
            <w:pPr>
              <w:widowControl/>
              <w:jc w:val="both"/>
              <w:rPr>
                <w:rFonts w:eastAsia="Arial Unicode MS"/>
                <w:color w:val="000000"/>
                <w:sz w:val="20"/>
              </w:rPr>
            </w:pPr>
          </w:p>
        </w:tc>
        <w:tc>
          <w:tcPr>
            <w:tcW w:w="1249" w:type="dxa"/>
            <w:vMerge/>
            <w:tcBorders>
              <w:top w:val="outset" w:sz="6" w:space="0" w:color="auto"/>
              <w:left w:val="outset" w:sz="6" w:space="0" w:color="auto"/>
              <w:bottom w:val="outset" w:sz="6" w:space="0" w:color="auto"/>
              <w:right w:val="outset" w:sz="6" w:space="0" w:color="auto"/>
            </w:tcBorders>
            <w:vAlign w:val="center"/>
            <w:hideMark/>
          </w:tcPr>
          <w:p w14:paraId="23298BE9" w14:textId="77777777" w:rsidR="006D33E3" w:rsidRPr="00B7760C" w:rsidRDefault="006D33E3" w:rsidP="004F0B88">
            <w:pPr>
              <w:widowControl/>
              <w:jc w:val="center"/>
              <w:rPr>
                <w:rFonts w:eastAsia="Arial Unicode MS"/>
                <w:color w:val="000000"/>
                <w:sz w:val="20"/>
              </w:rPr>
            </w:pPr>
          </w:p>
        </w:tc>
        <w:tc>
          <w:tcPr>
            <w:tcW w:w="981" w:type="dxa"/>
            <w:tcBorders>
              <w:top w:val="outset" w:sz="6" w:space="0" w:color="auto"/>
              <w:left w:val="outset" w:sz="6" w:space="0" w:color="auto"/>
              <w:bottom w:val="outset" w:sz="6" w:space="0" w:color="auto"/>
              <w:right w:val="outset" w:sz="6" w:space="0" w:color="auto"/>
            </w:tcBorders>
          </w:tcPr>
          <w:p w14:paraId="0BE9400A" w14:textId="77777777" w:rsidR="006D33E3" w:rsidRPr="00B7760C" w:rsidRDefault="006D33E3" w:rsidP="004F0B88">
            <w:pPr>
              <w:widowControl/>
              <w:spacing w:before="60" w:after="60"/>
              <w:jc w:val="both"/>
              <w:rPr>
                <w:rFonts w:eastAsia="Arial Unicode MS"/>
                <w:color w:val="000000"/>
                <w:sz w:val="20"/>
              </w:rPr>
            </w:pPr>
          </w:p>
        </w:tc>
        <w:tc>
          <w:tcPr>
            <w:tcW w:w="3969" w:type="dxa"/>
            <w:tcBorders>
              <w:top w:val="outset" w:sz="6" w:space="0" w:color="auto"/>
              <w:left w:val="outset" w:sz="6" w:space="0" w:color="auto"/>
              <w:bottom w:val="outset" w:sz="6" w:space="0" w:color="auto"/>
              <w:right w:val="outset" w:sz="6" w:space="0" w:color="auto"/>
            </w:tcBorders>
          </w:tcPr>
          <w:p w14:paraId="0E4A83AC" w14:textId="77777777" w:rsidR="006D33E3" w:rsidRPr="00B7760C" w:rsidRDefault="006D33E3" w:rsidP="004F0B88">
            <w:pPr>
              <w:widowControl/>
              <w:spacing w:before="60" w:after="60"/>
              <w:jc w:val="both"/>
              <w:rPr>
                <w:rFonts w:eastAsia="Arial Unicode MS"/>
                <w:color w:val="000000"/>
                <w:sz w:val="20"/>
              </w:rPr>
            </w:pPr>
          </w:p>
        </w:tc>
        <w:tc>
          <w:tcPr>
            <w:tcW w:w="2209" w:type="dxa"/>
            <w:tcBorders>
              <w:top w:val="outset" w:sz="6" w:space="0" w:color="auto"/>
              <w:left w:val="outset" w:sz="6" w:space="0" w:color="auto"/>
              <w:bottom w:val="outset" w:sz="6" w:space="0" w:color="auto"/>
              <w:right w:val="outset" w:sz="6" w:space="0" w:color="auto"/>
            </w:tcBorders>
          </w:tcPr>
          <w:p w14:paraId="5BAA0E43" w14:textId="77777777" w:rsidR="006D33E3" w:rsidRPr="00B7760C" w:rsidRDefault="006D33E3" w:rsidP="004F0B88">
            <w:pPr>
              <w:widowControl/>
              <w:spacing w:before="100" w:beforeAutospacing="1" w:after="100" w:afterAutospacing="1"/>
              <w:jc w:val="both"/>
              <w:rPr>
                <w:rFonts w:eastAsia="Arial Unicode MS"/>
                <w:i/>
                <w:color w:val="000000"/>
                <w:sz w:val="20"/>
              </w:rPr>
            </w:pPr>
          </w:p>
        </w:tc>
      </w:tr>
      <w:tr w:rsidR="006D33E3" w:rsidRPr="00B7760C" w14:paraId="54C78E48" w14:textId="77777777" w:rsidTr="004F0B88">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vAlign w:val="center"/>
            <w:hideMark/>
          </w:tcPr>
          <w:p w14:paraId="508497F5" w14:textId="77777777" w:rsidR="006D33E3" w:rsidRPr="00B7760C" w:rsidRDefault="006D33E3" w:rsidP="004F0B88">
            <w:pPr>
              <w:widowControl/>
              <w:jc w:val="both"/>
              <w:rPr>
                <w:rFonts w:eastAsia="Arial Unicode MS"/>
                <w:color w:val="000000"/>
                <w:sz w:val="20"/>
              </w:rPr>
            </w:pPr>
          </w:p>
        </w:tc>
        <w:tc>
          <w:tcPr>
            <w:tcW w:w="1249" w:type="dxa"/>
            <w:vMerge w:val="restart"/>
            <w:tcBorders>
              <w:top w:val="outset" w:sz="6" w:space="0" w:color="auto"/>
              <w:left w:val="outset" w:sz="6" w:space="0" w:color="auto"/>
              <w:bottom w:val="outset" w:sz="6" w:space="0" w:color="auto"/>
              <w:right w:val="outset" w:sz="6" w:space="0" w:color="auto"/>
            </w:tcBorders>
            <w:hideMark/>
          </w:tcPr>
          <w:p w14:paraId="09C6791C" w14:textId="77777777" w:rsidR="006D33E3" w:rsidRPr="00B7760C" w:rsidRDefault="006D33E3" w:rsidP="004F0B88">
            <w:pPr>
              <w:widowControl/>
              <w:spacing w:before="60" w:after="60"/>
              <w:jc w:val="center"/>
              <w:rPr>
                <w:rFonts w:eastAsia="Arial Unicode MS"/>
                <w:color w:val="000000"/>
                <w:sz w:val="20"/>
              </w:rPr>
            </w:pPr>
            <w:r w:rsidRPr="00B7760C">
              <w:rPr>
                <w:color w:val="000000"/>
                <w:sz w:val="20"/>
              </w:rPr>
              <w:t xml:space="preserve">Tla </w:t>
            </w:r>
          </w:p>
          <w:p w14:paraId="1E20D841" w14:textId="77777777" w:rsidR="006D33E3" w:rsidRPr="00B7760C" w:rsidRDefault="006D33E3" w:rsidP="004F0B88">
            <w:pPr>
              <w:widowControl/>
              <w:spacing w:before="60" w:after="60"/>
              <w:jc w:val="center"/>
              <w:rPr>
                <w:rFonts w:eastAsia="Arial Unicode MS"/>
                <w:color w:val="000000"/>
                <w:sz w:val="20"/>
              </w:rPr>
            </w:pPr>
            <w:r w:rsidRPr="00B7760C">
              <w:rPr>
                <w:color w:val="000000"/>
                <w:sz w:val="20"/>
              </w:rPr>
              <w:t>(varstvo in kakovost)</w:t>
            </w:r>
          </w:p>
        </w:tc>
        <w:tc>
          <w:tcPr>
            <w:tcW w:w="981" w:type="dxa"/>
            <w:tcBorders>
              <w:top w:val="outset" w:sz="6" w:space="0" w:color="auto"/>
              <w:left w:val="outset" w:sz="6" w:space="0" w:color="auto"/>
              <w:bottom w:val="outset" w:sz="6" w:space="0" w:color="auto"/>
              <w:right w:val="outset" w:sz="6" w:space="0" w:color="auto"/>
            </w:tcBorders>
            <w:hideMark/>
          </w:tcPr>
          <w:p w14:paraId="6D14E81D" w14:textId="77777777" w:rsidR="006D33E3" w:rsidRPr="00B7760C" w:rsidRDefault="006D33E3" w:rsidP="004F0B88">
            <w:pPr>
              <w:widowControl/>
              <w:spacing w:before="60" w:after="60"/>
              <w:jc w:val="both"/>
              <w:rPr>
                <w:rFonts w:eastAsia="Arial Unicode MS"/>
                <w:color w:val="000000"/>
                <w:sz w:val="20"/>
              </w:rPr>
            </w:pPr>
            <w:r w:rsidRPr="00B7760C">
              <w:rPr>
                <w:color w:val="000000"/>
                <w:sz w:val="20"/>
              </w:rPr>
              <w:t>DKOP 6</w:t>
            </w:r>
          </w:p>
        </w:tc>
        <w:tc>
          <w:tcPr>
            <w:tcW w:w="3969" w:type="dxa"/>
            <w:tcBorders>
              <w:top w:val="outset" w:sz="6" w:space="0" w:color="auto"/>
              <w:left w:val="outset" w:sz="6" w:space="0" w:color="auto"/>
              <w:bottom w:val="outset" w:sz="6" w:space="0" w:color="auto"/>
              <w:right w:val="outset" w:sz="6" w:space="0" w:color="auto"/>
            </w:tcBorders>
            <w:hideMark/>
          </w:tcPr>
          <w:p w14:paraId="56198AB5" w14:textId="77777777" w:rsidR="006D33E3" w:rsidRPr="00B7760C" w:rsidRDefault="006D33E3" w:rsidP="00AB1DA6">
            <w:pPr>
              <w:widowControl/>
              <w:spacing w:before="60" w:after="60"/>
              <w:rPr>
                <w:rFonts w:eastAsia="Arial Unicode MS"/>
                <w:color w:val="000000"/>
                <w:sz w:val="20"/>
              </w:rPr>
            </w:pPr>
            <w:r w:rsidRPr="00B7760C">
              <w:rPr>
                <w:b/>
                <w:i/>
                <w:color w:val="000000"/>
                <w:sz w:val="20"/>
              </w:rPr>
              <w:t>Ustrezno upravljanje</w:t>
            </w:r>
            <w:r w:rsidRPr="00B7760C">
              <w:rPr>
                <w:color w:val="000000"/>
                <w:sz w:val="20"/>
              </w:rPr>
              <w:t xml:space="preserve"> obdelave za zmanjšanje tveganja degradacije</w:t>
            </w:r>
            <w:r w:rsidRPr="00B7760C">
              <w:rPr>
                <w:b/>
                <w:i/>
                <w:color w:val="000000"/>
                <w:sz w:val="20"/>
              </w:rPr>
              <w:t xml:space="preserve"> in izgube</w:t>
            </w:r>
            <w:r w:rsidRPr="00B7760C">
              <w:rPr>
                <w:color w:val="000000"/>
                <w:sz w:val="20"/>
              </w:rPr>
              <w:t xml:space="preserve"> tal, vključno z upoštevanjem naklona</w:t>
            </w:r>
          </w:p>
        </w:tc>
        <w:tc>
          <w:tcPr>
            <w:tcW w:w="2209" w:type="dxa"/>
            <w:tcBorders>
              <w:top w:val="outset" w:sz="6" w:space="0" w:color="auto"/>
              <w:left w:val="outset" w:sz="6" w:space="0" w:color="auto"/>
              <w:bottom w:val="outset" w:sz="6" w:space="0" w:color="auto"/>
              <w:right w:val="outset" w:sz="6" w:space="0" w:color="auto"/>
            </w:tcBorders>
            <w:hideMark/>
          </w:tcPr>
          <w:p w14:paraId="2CEB2A6E" w14:textId="77777777" w:rsidR="006D33E3" w:rsidRPr="00B7760C" w:rsidRDefault="006D33E3" w:rsidP="00AB1DA6">
            <w:pPr>
              <w:widowControl/>
              <w:spacing w:before="100" w:beforeAutospacing="1" w:after="100" w:afterAutospacing="1"/>
              <w:rPr>
                <w:rFonts w:eastAsia="Arial Unicode MS"/>
                <w:i/>
                <w:color w:val="000000"/>
                <w:sz w:val="20"/>
              </w:rPr>
            </w:pPr>
            <w:r w:rsidRPr="00B7760C">
              <w:rPr>
                <w:i/>
                <w:color w:val="000000"/>
                <w:sz w:val="20"/>
              </w:rPr>
              <w:t>Minimalno upravljanje zemljišč, ki odraža specifične pogoje za omejitev erozije na zemljiščih</w:t>
            </w:r>
          </w:p>
        </w:tc>
      </w:tr>
      <w:tr w:rsidR="006D33E3" w:rsidRPr="00B7760C" w14:paraId="64E3FADB" w14:textId="77777777" w:rsidTr="004F0B88">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vAlign w:val="center"/>
            <w:hideMark/>
          </w:tcPr>
          <w:p w14:paraId="06AA5593" w14:textId="77777777" w:rsidR="006D33E3" w:rsidRPr="00B7760C" w:rsidRDefault="006D33E3" w:rsidP="004F0B88">
            <w:pPr>
              <w:widowControl/>
              <w:jc w:val="both"/>
              <w:rPr>
                <w:rFonts w:eastAsia="Arial Unicode MS"/>
                <w:color w:val="000000"/>
                <w:sz w:val="20"/>
              </w:rPr>
            </w:pPr>
          </w:p>
        </w:tc>
        <w:tc>
          <w:tcPr>
            <w:tcW w:w="1249" w:type="dxa"/>
            <w:vMerge/>
            <w:tcBorders>
              <w:top w:val="outset" w:sz="6" w:space="0" w:color="auto"/>
              <w:left w:val="outset" w:sz="6" w:space="0" w:color="auto"/>
              <w:bottom w:val="outset" w:sz="6" w:space="0" w:color="auto"/>
              <w:right w:val="outset" w:sz="6" w:space="0" w:color="auto"/>
            </w:tcBorders>
            <w:vAlign w:val="center"/>
            <w:hideMark/>
          </w:tcPr>
          <w:p w14:paraId="4FA18DB7" w14:textId="77777777" w:rsidR="006D33E3" w:rsidRPr="00B7760C" w:rsidRDefault="006D33E3" w:rsidP="004F0B88">
            <w:pPr>
              <w:widowControl/>
              <w:jc w:val="center"/>
              <w:rPr>
                <w:rFonts w:eastAsia="Arial Unicode MS"/>
                <w:color w:val="000000"/>
                <w:sz w:val="20"/>
              </w:rPr>
            </w:pPr>
          </w:p>
        </w:tc>
        <w:tc>
          <w:tcPr>
            <w:tcW w:w="981" w:type="dxa"/>
            <w:tcBorders>
              <w:top w:val="outset" w:sz="6" w:space="0" w:color="auto"/>
              <w:left w:val="outset" w:sz="6" w:space="0" w:color="auto"/>
              <w:bottom w:val="outset" w:sz="6" w:space="0" w:color="auto"/>
              <w:right w:val="outset" w:sz="6" w:space="0" w:color="auto"/>
            </w:tcBorders>
            <w:hideMark/>
          </w:tcPr>
          <w:p w14:paraId="03C690DB" w14:textId="77777777" w:rsidR="006D33E3" w:rsidRPr="00B7760C" w:rsidRDefault="006D33E3" w:rsidP="004F0B88">
            <w:pPr>
              <w:widowControl/>
              <w:spacing w:before="60" w:after="60"/>
              <w:jc w:val="both"/>
              <w:rPr>
                <w:rFonts w:eastAsia="Arial Unicode MS"/>
                <w:color w:val="000000"/>
                <w:sz w:val="20"/>
              </w:rPr>
            </w:pPr>
            <w:r w:rsidRPr="00B7760C">
              <w:rPr>
                <w:color w:val="000000"/>
                <w:sz w:val="20"/>
              </w:rPr>
              <w:t>DKOP 7</w:t>
            </w:r>
          </w:p>
        </w:tc>
        <w:tc>
          <w:tcPr>
            <w:tcW w:w="3969" w:type="dxa"/>
            <w:tcBorders>
              <w:top w:val="outset" w:sz="6" w:space="0" w:color="auto"/>
              <w:left w:val="outset" w:sz="6" w:space="0" w:color="auto"/>
              <w:bottom w:val="outset" w:sz="6" w:space="0" w:color="auto"/>
              <w:right w:val="outset" w:sz="6" w:space="0" w:color="auto"/>
            </w:tcBorders>
            <w:hideMark/>
          </w:tcPr>
          <w:p w14:paraId="73AFE032" w14:textId="77777777" w:rsidR="006D33E3" w:rsidRPr="00B7760C" w:rsidRDefault="006D33E3" w:rsidP="00AB1DA6">
            <w:pPr>
              <w:widowControl/>
              <w:spacing w:before="60" w:after="60"/>
              <w:rPr>
                <w:rFonts w:eastAsia="Arial Unicode MS"/>
                <w:b/>
                <w:i/>
                <w:color w:val="000000"/>
                <w:sz w:val="20"/>
              </w:rPr>
            </w:pPr>
            <w:r w:rsidRPr="00B7760C">
              <w:rPr>
                <w:color w:val="000000"/>
                <w:sz w:val="20"/>
              </w:rPr>
              <w:t>Brez gole zemlje v najbolj občutljivih obdobjih</w:t>
            </w:r>
            <w:r w:rsidRPr="00B7760C">
              <w:rPr>
                <w:b/>
                <w:i/>
                <w:color w:val="000000"/>
                <w:sz w:val="20"/>
              </w:rPr>
              <w:t>, razen kadar se obdeluje</w:t>
            </w:r>
          </w:p>
        </w:tc>
        <w:tc>
          <w:tcPr>
            <w:tcW w:w="2209" w:type="dxa"/>
            <w:tcBorders>
              <w:top w:val="outset" w:sz="6" w:space="0" w:color="auto"/>
              <w:left w:val="outset" w:sz="6" w:space="0" w:color="auto"/>
              <w:bottom w:val="outset" w:sz="6" w:space="0" w:color="auto"/>
              <w:right w:val="outset" w:sz="6" w:space="0" w:color="auto"/>
            </w:tcBorders>
            <w:hideMark/>
          </w:tcPr>
          <w:p w14:paraId="3D38D8AC" w14:textId="77777777" w:rsidR="006D33E3" w:rsidRPr="00B7760C" w:rsidRDefault="006D33E3" w:rsidP="00AB1DA6">
            <w:pPr>
              <w:widowControl/>
              <w:spacing w:before="100" w:beforeAutospacing="1" w:after="100" w:afterAutospacing="1"/>
              <w:rPr>
                <w:rFonts w:eastAsia="Arial Unicode MS"/>
                <w:b/>
                <w:i/>
                <w:color w:val="000000"/>
                <w:sz w:val="20"/>
              </w:rPr>
            </w:pPr>
            <w:r w:rsidRPr="00B7760C">
              <w:rPr>
                <w:b/>
                <w:i/>
                <w:color w:val="000000"/>
                <w:sz w:val="20"/>
              </w:rPr>
              <w:t>Fizično varstvo tal pred erozijo, ohranjanje živih organizmov v tleh</w:t>
            </w:r>
          </w:p>
          <w:p w14:paraId="48DD17B9" w14:textId="77777777" w:rsidR="006D33E3" w:rsidRPr="00B7760C" w:rsidRDefault="006D33E3" w:rsidP="00AB1DA6">
            <w:pPr>
              <w:widowControl/>
              <w:spacing w:before="100" w:beforeAutospacing="1" w:after="100" w:afterAutospacing="1"/>
              <w:rPr>
                <w:rFonts w:eastAsia="Arial Unicode MS"/>
                <w:i/>
                <w:color w:val="000000"/>
                <w:sz w:val="20"/>
              </w:rPr>
            </w:pPr>
          </w:p>
        </w:tc>
      </w:tr>
      <w:tr w:rsidR="006D33E3" w:rsidRPr="00B7760C" w14:paraId="2A9761D5" w14:textId="77777777" w:rsidTr="004F0B88">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vAlign w:val="center"/>
            <w:hideMark/>
          </w:tcPr>
          <w:p w14:paraId="191B9DEB" w14:textId="77777777" w:rsidR="006D33E3" w:rsidRPr="00B7760C" w:rsidRDefault="006D33E3" w:rsidP="004F0B88">
            <w:pPr>
              <w:widowControl/>
              <w:jc w:val="both"/>
              <w:rPr>
                <w:rFonts w:eastAsia="Arial Unicode MS"/>
                <w:color w:val="000000"/>
                <w:sz w:val="20"/>
              </w:rPr>
            </w:pPr>
          </w:p>
        </w:tc>
        <w:tc>
          <w:tcPr>
            <w:tcW w:w="1249" w:type="dxa"/>
            <w:vMerge/>
            <w:tcBorders>
              <w:top w:val="outset" w:sz="6" w:space="0" w:color="auto"/>
              <w:left w:val="outset" w:sz="6" w:space="0" w:color="auto"/>
              <w:bottom w:val="outset" w:sz="6" w:space="0" w:color="auto"/>
              <w:right w:val="outset" w:sz="6" w:space="0" w:color="auto"/>
            </w:tcBorders>
            <w:vAlign w:val="center"/>
            <w:hideMark/>
          </w:tcPr>
          <w:p w14:paraId="53860B99" w14:textId="77777777" w:rsidR="006D33E3" w:rsidRPr="00B7760C" w:rsidRDefault="006D33E3" w:rsidP="004F0B88">
            <w:pPr>
              <w:widowControl/>
              <w:jc w:val="center"/>
              <w:rPr>
                <w:rFonts w:eastAsia="Arial Unicode MS"/>
                <w:color w:val="000000"/>
                <w:sz w:val="20"/>
              </w:rPr>
            </w:pPr>
          </w:p>
        </w:tc>
        <w:tc>
          <w:tcPr>
            <w:tcW w:w="981" w:type="dxa"/>
            <w:tcBorders>
              <w:top w:val="outset" w:sz="6" w:space="0" w:color="auto"/>
              <w:left w:val="outset" w:sz="6" w:space="0" w:color="auto"/>
              <w:bottom w:val="outset" w:sz="6" w:space="0" w:color="auto"/>
              <w:right w:val="outset" w:sz="6" w:space="0" w:color="auto"/>
            </w:tcBorders>
            <w:hideMark/>
          </w:tcPr>
          <w:p w14:paraId="5877D482" w14:textId="77777777" w:rsidR="006D33E3" w:rsidRPr="00B7760C" w:rsidRDefault="006D33E3" w:rsidP="004F0B88">
            <w:pPr>
              <w:widowControl/>
              <w:spacing w:before="60" w:after="60"/>
              <w:jc w:val="both"/>
              <w:rPr>
                <w:rFonts w:eastAsia="Arial Unicode MS"/>
                <w:color w:val="000000"/>
                <w:sz w:val="20"/>
              </w:rPr>
            </w:pPr>
            <w:r w:rsidRPr="00B7760C">
              <w:rPr>
                <w:color w:val="000000"/>
                <w:sz w:val="20"/>
              </w:rPr>
              <w:t>DKOP 8</w:t>
            </w:r>
          </w:p>
        </w:tc>
        <w:tc>
          <w:tcPr>
            <w:tcW w:w="3969" w:type="dxa"/>
            <w:tcBorders>
              <w:top w:val="outset" w:sz="6" w:space="0" w:color="auto"/>
              <w:left w:val="outset" w:sz="6" w:space="0" w:color="auto"/>
              <w:bottom w:val="outset" w:sz="6" w:space="0" w:color="auto"/>
              <w:right w:val="outset" w:sz="6" w:space="0" w:color="auto"/>
            </w:tcBorders>
            <w:hideMark/>
          </w:tcPr>
          <w:p w14:paraId="08205699" w14:textId="77777777" w:rsidR="006D33E3" w:rsidRPr="00B7760C" w:rsidRDefault="006D33E3" w:rsidP="00AB1DA6">
            <w:pPr>
              <w:widowControl/>
              <w:spacing w:before="60" w:after="60"/>
              <w:rPr>
                <w:rFonts w:eastAsia="Arial Unicode MS"/>
                <w:b/>
                <w:i/>
                <w:color w:val="000000"/>
                <w:sz w:val="20"/>
              </w:rPr>
            </w:pPr>
            <w:r w:rsidRPr="00B7760C">
              <w:rPr>
                <w:color w:val="000000"/>
                <w:sz w:val="20"/>
              </w:rPr>
              <w:t>Kolobarjenje</w:t>
            </w:r>
            <w:r w:rsidRPr="00B7760C">
              <w:rPr>
                <w:b/>
                <w:i/>
                <w:color w:val="000000"/>
                <w:sz w:val="20"/>
              </w:rPr>
              <w:t xml:space="preserve"> na ornih zemljiščih, vključno s stročnicami, razen poljščin, ki rastejo pod vodo</w:t>
            </w:r>
          </w:p>
        </w:tc>
        <w:tc>
          <w:tcPr>
            <w:tcW w:w="2209" w:type="dxa"/>
            <w:tcBorders>
              <w:top w:val="outset" w:sz="6" w:space="0" w:color="auto"/>
              <w:left w:val="outset" w:sz="6" w:space="0" w:color="auto"/>
              <w:bottom w:val="outset" w:sz="6" w:space="0" w:color="auto"/>
              <w:right w:val="outset" w:sz="6" w:space="0" w:color="auto"/>
            </w:tcBorders>
            <w:hideMark/>
          </w:tcPr>
          <w:p w14:paraId="5BA6D71D" w14:textId="77777777" w:rsidR="006D33E3" w:rsidRPr="00B7760C" w:rsidRDefault="006D33E3" w:rsidP="00AB1DA6">
            <w:pPr>
              <w:widowControl/>
              <w:spacing w:before="100" w:beforeAutospacing="1" w:after="100" w:afterAutospacing="1"/>
              <w:rPr>
                <w:rFonts w:eastAsia="Arial Unicode MS"/>
                <w:i/>
                <w:color w:val="000000"/>
                <w:sz w:val="20"/>
              </w:rPr>
            </w:pPr>
            <w:r w:rsidRPr="00B7760C">
              <w:rPr>
                <w:i/>
                <w:color w:val="000000"/>
                <w:sz w:val="20"/>
              </w:rPr>
              <w:t>Ohranjanje potenciala tal</w:t>
            </w:r>
          </w:p>
        </w:tc>
      </w:tr>
      <w:tr w:rsidR="006D33E3" w:rsidRPr="00B7760C" w14:paraId="48752A56" w14:textId="77777777" w:rsidTr="004F0B88">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vAlign w:val="center"/>
            <w:hideMark/>
          </w:tcPr>
          <w:p w14:paraId="0C90EA3F" w14:textId="77777777" w:rsidR="006D33E3" w:rsidRPr="00B7760C" w:rsidRDefault="006D33E3" w:rsidP="004F0B88">
            <w:pPr>
              <w:widowControl/>
              <w:jc w:val="both"/>
              <w:rPr>
                <w:rFonts w:eastAsia="Arial Unicode MS"/>
                <w:color w:val="000000"/>
                <w:sz w:val="20"/>
              </w:rPr>
            </w:pPr>
          </w:p>
        </w:tc>
        <w:tc>
          <w:tcPr>
            <w:tcW w:w="1249" w:type="dxa"/>
            <w:vMerge w:val="restart"/>
            <w:tcBorders>
              <w:top w:val="outset" w:sz="6" w:space="0" w:color="auto"/>
              <w:left w:val="outset" w:sz="6" w:space="0" w:color="auto"/>
              <w:right w:val="outset" w:sz="6" w:space="0" w:color="auto"/>
            </w:tcBorders>
            <w:hideMark/>
          </w:tcPr>
          <w:p w14:paraId="2E771967" w14:textId="77777777" w:rsidR="006D33E3" w:rsidRPr="00B7760C" w:rsidRDefault="006D33E3" w:rsidP="004F0B88">
            <w:pPr>
              <w:widowControl/>
              <w:spacing w:before="60" w:after="60"/>
              <w:jc w:val="center"/>
              <w:rPr>
                <w:rFonts w:eastAsia="Arial Unicode MS"/>
                <w:color w:val="000000"/>
                <w:sz w:val="20"/>
              </w:rPr>
            </w:pPr>
            <w:r w:rsidRPr="00B7760C">
              <w:rPr>
                <w:color w:val="000000"/>
                <w:sz w:val="20"/>
              </w:rPr>
              <w:t>Biotska raznovrstnost in krajina</w:t>
            </w:r>
          </w:p>
          <w:p w14:paraId="2A1645D5" w14:textId="77777777" w:rsidR="006D33E3" w:rsidRPr="00B7760C" w:rsidRDefault="006D33E3" w:rsidP="004F0B88">
            <w:pPr>
              <w:widowControl/>
              <w:spacing w:before="60" w:after="60"/>
              <w:jc w:val="center"/>
              <w:rPr>
                <w:rFonts w:eastAsia="Arial Unicode MS"/>
                <w:color w:val="000000"/>
                <w:sz w:val="20"/>
              </w:rPr>
            </w:pPr>
            <w:r w:rsidRPr="00B7760C">
              <w:rPr>
                <w:color w:val="000000"/>
                <w:sz w:val="20"/>
              </w:rPr>
              <w:t>(varstvo in kakovost)</w:t>
            </w:r>
          </w:p>
          <w:p w14:paraId="3381C5CF" w14:textId="77777777" w:rsidR="006D33E3" w:rsidRPr="00B7760C" w:rsidRDefault="006D33E3" w:rsidP="004F0B88">
            <w:pPr>
              <w:widowControl/>
              <w:spacing w:before="60" w:after="60"/>
              <w:jc w:val="center"/>
              <w:rPr>
                <w:rFonts w:eastAsia="Arial Unicode MS"/>
                <w:color w:val="000000"/>
                <w:sz w:val="20"/>
              </w:rPr>
            </w:pPr>
          </w:p>
        </w:tc>
        <w:tc>
          <w:tcPr>
            <w:tcW w:w="981" w:type="dxa"/>
            <w:tcBorders>
              <w:top w:val="outset" w:sz="6" w:space="0" w:color="auto"/>
              <w:left w:val="outset" w:sz="6" w:space="0" w:color="auto"/>
              <w:bottom w:val="outset" w:sz="6" w:space="0" w:color="auto"/>
              <w:right w:val="outset" w:sz="6" w:space="0" w:color="auto"/>
            </w:tcBorders>
            <w:hideMark/>
          </w:tcPr>
          <w:p w14:paraId="148E7057" w14:textId="77777777" w:rsidR="006D33E3" w:rsidRPr="00B7760C" w:rsidRDefault="006D33E3" w:rsidP="004F0B88">
            <w:pPr>
              <w:widowControl/>
              <w:spacing w:before="60" w:after="60"/>
              <w:jc w:val="both"/>
              <w:rPr>
                <w:rFonts w:eastAsia="Arial Unicode MS"/>
                <w:color w:val="000000"/>
                <w:sz w:val="20"/>
              </w:rPr>
            </w:pPr>
            <w:r w:rsidRPr="00B7760C">
              <w:rPr>
                <w:color w:val="000000"/>
                <w:sz w:val="20"/>
              </w:rPr>
              <w:t>PZR 3</w:t>
            </w:r>
          </w:p>
        </w:tc>
        <w:tc>
          <w:tcPr>
            <w:tcW w:w="3969" w:type="dxa"/>
            <w:tcBorders>
              <w:top w:val="outset" w:sz="6" w:space="0" w:color="auto"/>
              <w:left w:val="outset" w:sz="6" w:space="0" w:color="auto"/>
              <w:bottom w:val="outset" w:sz="6" w:space="0" w:color="auto"/>
              <w:right w:val="outset" w:sz="6" w:space="0" w:color="auto"/>
            </w:tcBorders>
            <w:hideMark/>
          </w:tcPr>
          <w:p w14:paraId="377880CA" w14:textId="77777777" w:rsidR="006D33E3" w:rsidRPr="00B7760C" w:rsidRDefault="006D33E3" w:rsidP="00AB1DA6">
            <w:pPr>
              <w:widowControl/>
              <w:spacing w:before="60" w:after="60"/>
              <w:rPr>
                <w:rFonts w:eastAsia="Arial Unicode MS"/>
                <w:color w:val="000000"/>
                <w:sz w:val="20"/>
              </w:rPr>
            </w:pPr>
            <w:r w:rsidRPr="00B7760C">
              <w:rPr>
                <w:color w:val="000000"/>
                <w:sz w:val="20"/>
              </w:rPr>
              <w:t>Direktiva 2009/147/ES Evropskega parlamenta in Sveta z dne 30. novembra 2009 o ohranjanju prosto živečih ptic (UL L 20, 26.1.2010, str. 7):</w:t>
            </w:r>
          </w:p>
          <w:p w14:paraId="24F18E4A" w14:textId="77777777" w:rsidR="006D33E3" w:rsidRPr="00B7760C" w:rsidRDefault="006D33E3" w:rsidP="00AB1DA6">
            <w:pPr>
              <w:widowControl/>
              <w:spacing w:before="60" w:after="60"/>
              <w:rPr>
                <w:rFonts w:eastAsia="Arial Unicode MS"/>
                <w:color w:val="000000"/>
                <w:sz w:val="20"/>
              </w:rPr>
            </w:pPr>
            <w:r w:rsidRPr="00B7760C">
              <w:rPr>
                <w:color w:val="000000"/>
                <w:sz w:val="20"/>
              </w:rPr>
              <w:t>člen 3(1), člen 3(2)(b), člen 4(1), (2) in (4)</w:t>
            </w:r>
          </w:p>
        </w:tc>
        <w:tc>
          <w:tcPr>
            <w:tcW w:w="2209" w:type="dxa"/>
            <w:tcBorders>
              <w:top w:val="outset" w:sz="6" w:space="0" w:color="auto"/>
              <w:left w:val="outset" w:sz="6" w:space="0" w:color="auto"/>
              <w:bottom w:val="outset" w:sz="6" w:space="0" w:color="auto"/>
              <w:right w:val="outset" w:sz="6" w:space="0" w:color="auto"/>
            </w:tcBorders>
            <w:hideMark/>
          </w:tcPr>
          <w:p w14:paraId="61EC7C9B" w14:textId="77777777" w:rsidR="006D33E3" w:rsidRPr="00B7760C" w:rsidRDefault="006D33E3" w:rsidP="00AB1DA6">
            <w:pPr>
              <w:widowControl/>
              <w:spacing w:before="60" w:after="60"/>
              <w:rPr>
                <w:rFonts w:eastAsia="Arial Unicode MS"/>
                <w:i/>
                <w:color w:val="000000"/>
                <w:sz w:val="20"/>
              </w:rPr>
            </w:pPr>
          </w:p>
        </w:tc>
      </w:tr>
      <w:tr w:rsidR="006D33E3" w:rsidRPr="00B7760C" w14:paraId="383C6480" w14:textId="77777777" w:rsidTr="004F0B88">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vAlign w:val="center"/>
            <w:hideMark/>
          </w:tcPr>
          <w:p w14:paraId="51E611E3" w14:textId="77777777" w:rsidR="006D33E3" w:rsidRPr="00B7760C" w:rsidRDefault="006D33E3" w:rsidP="004F0B88">
            <w:pPr>
              <w:widowControl/>
              <w:jc w:val="both"/>
              <w:rPr>
                <w:rFonts w:eastAsia="Arial Unicode MS"/>
                <w:color w:val="000000"/>
                <w:sz w:val="20"/>
              </w:rPr>
            </w:pPr>
          </w:p>
        </w:tc>
        <w:tc>
          <w:tcPr>
            <w:tcW w:w="1249" w:type="dxa"/>
            <w:vMerge/>
            <w:tcBorders>
              <w:left w:val="outset" w:sz="6" w:space="0" w:color="auto"/>
              <w:right w:val="outset" w:sz="6" w:space="0" w:color="auto"/>
            </w:tcBorders>
            <w:vAlign w:val="center"/>
            <w:hideMark/>
          </w:tcPr>
          <w:p w14:paraId="024919D8" w14:textId="77777777" w:rsidR="006D33E3" w:rsidRPr="00B7760C" w:rsidRDefault="006D33E3" w:rsidP="004F0B88">
            <w:pPr>
              <w:widowControl/>
              <w:spacing w:before="60" w:after="60"/>
              <w:jc w:val="center"/>
              <w:rPr>
                <w:rFonts w:eastAsia="Arial Unicode MS"/>
                <w:color w:val="000000"/>
                <w:sz w:val="20"/>
              </w:rPr>
            </w:pPr>
          </w:p>
        </w:tc>
        <w:tc>
          <w:tcPr>
            <w:tcW w:w="981" w:type="dxa"/>
            <w:tcBorders>
              <w:top w:val="outset" w:sz="6" w:space="0" w:color="auto"/>
              <w:left w:val="outset" w:sz="6" w:space="0" w:color="auto"/>
              <w:bottom w:val="outset" w:sz="6" w:space="0" w:color="auto"/>
              <w:right w:val="outset" w:sz="6" w:space="0" w:color="auto"/>
            </w:tcBorders>
            <w:hideMark/>
          </w:tcPr>
          <w:p w14:paraId="497127EB" w14:textId="77777777" w:rsidR="006D33E3" w:rsidRPr="00B7760C" w:rsidRDefault="006D33E3" w:rsidP="004F0B88">
            <w:pPr>
              <w:widowControl/>
              <w:spacing w:before="60" w:after="60"/>
              <w:jc w:val="both"/>
              <w:rPr>
                <w:rFonts w:eastAsia="Arial Unicode MS"/>
                <w:color w:val="000000"/>
                <w:sz w:val="20"/>
              </w:rPr>
            </w:pPr>
            <w:r w:rsidRPr="00B7760C">
              <w:rPr>
                <w:color w:val="000000"/>
                <w:sz w:val="20"/>
              </w:rPr>
              <w:t>PZR 4</w:t>
            </w:r>
          </w:p>
        </w:tc>
        <w:tc>
          <w:tcPr>
            <w:tcW w:w="3969" w:type="dxa"/>
            <w:tcBorders>
              <w:top w:val="outset" w:sz="6" w:space="0" w:color="auto"/>
              <w:left w:val="outset" w:sz="6" w:space="0" w:color="auto"/>
              <w:bottom w:val="outset" w:sz="6" w:space="0" w:color="auto"/>
              <w:right w:val="outset" w:sz="6" w:space="0" w:color="auto"/>
            </w:tcBorders>
            <w:hideMark/>
          </w:tcPr>
          <w:p w14:paraId="151541E9" w14:textId="77777777" w:rsidR="006D33E3" w:rsidRPr="00B7760C" w:rsidRDefault="006D33E3" w:rsidP="00AB1DA6">
            <w:pPr>
              <w:widowControl/>
              <w:spacing w:before="60" w:after="60"/>
              <w:rPr>
                <w:rFonts w:eastAsia="Arial Unicode MS"/>
                <w:color w:val="000000"/>
                <w:sz w:val="20"/>
              </w:rPr>
            </w:pPr>
            <w:r w:rsidRPr="00B7760C">
              <w:rPr>
                <w:color w:val="000000"/>
                <w:sz w:val="20"/>
              </w:rPr>
              <w:t>Direktiva Sveta 92/43/EGS z dne 21. maja 1992 o ohranjanju naravnih habitatov ter prosto živečih živalskih in rastlinskih vrst (UL L 206, 22.7.1992, str. 7):</w:t>
            </w:r>
          </w:p>
          <w:p w14:paraId="6B8E4276" w14:textId="77777777" w:rsidR="006D33E3" w:rsidRPr="00B7760C" w:rsidRDefault="006D33E3" w:rsidP="00AB1DA6">
            <w:pPr>
              <w:widowControl/>
              <w:spacing w:before="60" w:after="60"/>
              <w:rPr>
                <w:rFonts w:eastAsia="Arial Unicode MS"/>
                <w:color w:val="000000"/>
                <w:sz w:val="20"/>
              </w:rPr>
            </w:pPr>
            <w:r w:rsidRPr="00B7760C">
              <w:rPr>
                <w:color w:val="000000"/>
                <w:sz w:val="20"/>
              </w:rPr>
              <w:t>člen 6(1) in (2)</w:t>
            </w:r>
          </w:p>
        </w:tc>
        <w:tc>
          <w:tcPr>
            <w:tcW w:w="2209" w:type="dxa"/>
            <w:tcBorders>
              <w:top w:val="outset" w:sz="6" w:space="0" w:color="auto"/>
              <w:left w:val="outset" w:sz="6" w:space="0" w:color="auto"/>
              <w:bottom w:val="outset" w:sz="6" w:space="0" w:color="auto"/>
              <w:right w:val="outset" w:sz="6" w:space="0" w:color="auto"/>
            </w:tcBorders>
            <w:hideMark/>
          </w:tcPr>
          <w:p w14:paraId="4B989942" w14:textId="77777777" w:rsidR="006D33E3" w:rsidRPr="00B7760C" w:rsidRDefault="006D33E3" w:rsidP="00AB1DA6">
            <w:pPr>
              <w:widowControl/>
              <w:spacing w:before="60" w:after="60"/>
              <w:rPr>
                <w:rFonts w:eastAsia="Arial Unicode MS"/>
                <w:i/>
                <w:color w:val="000000"/>
                <w:sz w:val="20"/>
              </w:rPr>
            </w:pPr>
          </w:p>
        </w:tc>
      </w:tr>
      <w:tr w:rsidR="006D33E3" w:rsidRPr="00B7760C" w14:paraId="317B5FEF" w14:textId="77777777" w:rsidTr="004F0B88">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vAlign w:val="center"/>
          </w:tcPr>
          <w:p w14:paraId="7FE84F13" w14:textId="77777777" w:rsidR="006D33E3" w:rsidRPr="00B7760C" w:rsidRDefault="006D33E3" w:rsidP="004F0B88">
            <w:pPr>
              <w:widowControl/>
              <w:jc w:val="both"/>
              <w:rPr>
                <w:rFonts w:eastAsia="Arial Unicode MS"/>
                <w:color w:val="000000"/>
                <w:sz w:val="20"/>
              </w:rPr>
            </w:pPr>
          </w:p>
        </w:tc>
        <w:tc>
          <w:tcPr>
            <w:tcW w:w="1249" w:type="dxa"/>
            <w:vMerge/>
            <w:tcBorders>
              <w:left w:val="outset" w:sz="6" w:space="0" w:color="auto"/>
              <w:right w:val="outset" w:sz="6" w:space="0" w:color="auto"/>
            </w:tcBorders>
            <w:vAlign w:val="center"/>
          </w:tcPr>
          <w:p w14:paraId="0E2E7E2C" w14:textId="77777777" w:rsidR="006D33E3" w:rsidRPr="00B7760C" w:rsidRDefault="006D33E3" w:rsidP="004F0B88">
            <w:pPr>
              <w:widowControl/>
              <w:spacing w:before="60" w:after="60"/>
              <w:jc w:val="center"/>
              <w:rPr>
                <w:rFonts w:eastAsia="Arial Unicode MS"/>
                <w:color w:val="000000"/>
                <w:sz w:val="20"/>
              </w:rPr>
            </w:pPr>
          </w:p>
        </w:tc>
        <w:tc>
          <w:tcPr>
            <w:tcW w:w="981" w:type="dxa"/>
            <w:tcBorders>
              <w:top w:val="outset" w:sz="6" w:space="0" w:color="auto"/>
              <w:left w:val="outset" w:sz="6" w:space="0" w:color="auto"/>
              <w:bottom w:val="outset" w:sz="6" w:space="0" w:color="auto"/>
              <w:right w:val="outset" w:sz="6" w:space="0" w:color="auto"/>
            </w:tcBorders>
          </w:tcPr>
          <w:p w14:paraId="28AB119D" w14:textId="77777777" w:rsidR="006D33E3" w:rsidRPr="00B7760C" w:rsidRDefault="006D33E3" w:rsidP="004F0B88">
            <w:pPr>
              <w:widowControl/>
              <w:spacing w:before="60" w:after="60"/>
              <w:jc w:val="both"/>
              <w:rPr>
                <w:rFonts w:eastAsia="Arial Unicode MS"/>
                <w:color w:val="000000"/>
                <w:sz w:val="20"/>
              </w:rPr>
            </w:pPr>
            <w:r w:rsidRPr="00B7760C">
              <w:rPr>
                <w:color w:val="000000"/>
                <w:sz w:val="20"/>
              </w:rPr>
              <w:t>DKOP 9</w:t>
            </w:r>
          </w:p>
        </w:tc>
        <w:tc>
          <w:tcPr>
            <w:tcW w:w="3969" w:type="dxa"/>
            <w:tcBorders>
              <w:top w:val="outset" w:sz="6" w:space="0" w:color="auto"/>
              <w:left w:val="outset" w:sz="6" w:space="0" w:color="auto"/>
              <w:bottom w:val="outset" w:sz="6" w:space="0" w:color="auto"/>
              <w:right w:val="outset" w:sz="6" w:space="0" w:color="auto"/>
            </w:tcBorders>
          </w:tcPr>
          <w:p w14:paraId="45CF6D48" w14:textId="77777777" w:rsidR="006D33E3" w:rsidRPr="00B7760C" w:rsidRDefault="006D33E3" w:rsidP="00AB1DA6">
            <w:pPr>
              <w:widowControl/>
              <w:numPr>
                <w:ilvl w:val="0"/>
                <w:numId w:val="4"/>
              </w:numPr>
              <w:spacing w:before="60" w:after="60"/>
              <w:ind w:left="238" w:hanging="142"/>
              <w:contextualSpacing/>
              <w:rPr>
                <w:rFonts w:eastAsia="Arial Unicode MS"/>
                <w:color w:val="000000"/>
                <w:sz w:val="20"/>
              </w:rPr>
            </w:pPr>
            <w:r w:rsidRPr="00B7760C">
              <w:rPr>
                <w:color w:val="000000"/>
                <w:sz w:val="20"/>
              </w:rPr>
              <w:t xml:space="preserve">Minimalni delež </w:t>
            </w:r>
            <w:r w:rsidRPr="00B7760C">
              <w:rPr>
                <w:b/>
                <w:i/>
                <w:color w:val="000000"/>
                <w:sz w:val="20"/>
              </w:rPr>
              <w:t>5 % neproizvodnih značilnosti in površin na ornih zemljiščih, na katerih se ne uporabljajo pesticidi in gnojila</w:t>
            </w:r>
            <w:r w:rsidRPr="00B7760C">
              <w:rPr>
                <w:rFonts w:eastAsia="Arial Unicode MS"/>
                <w:color w:val="000000"/>
                <w:sz w:val="20"/>
                <w:vertAlign w:val="superscript"/>
              </w:rPr>
              <w:footnoteReference w:id="9"/>
            </w:r>
          </w:p>
          <w:p w14:paraId="41A0344E" w14:textId="77777777" w:rsidR="006D33E3" w:rsidRPr="00B7760C" w:rsidRDefault="006D33E3" w:rsidP="00AB1DA6">
            <w:pPr>
              <w:widowControl/>
              <w:numPr>
                <w:ilvl w:val="0"/>
                <w:numId w:val="4"/>
              </w:numPr>
              <w:spacing w:before="60" w:after="60"/>
              <w:ind w:left="238" w:hanging="142"/>
              <w:contextualSpacing/>
              <w:rPr>
                <w:rFonts w:eastAsia="Arial Unicode MS"/>
                <w:color w:val="000000"/>
                <w:sz w:val="20"/>
              </w:rPr>
            </w:pPr>
            <w:r w:rsidRPr="00B7760C">
              <w:rPr>
                <w:color w:val="000000"/>
                <w:sz w:val="20"/>
              </w:rPr>
              <w:t>Ohranjanje krajinskih značilnosti</w:t>
            </w:r>
          </w:p>
          <w:p w14:paraId="3A036350" w14:textId="77777777" w:rsidR="006D33E3" w:rsidRPr="00B7760C" w:rsidRDefault="006D33E3" w:rsidP="00AB1DA6">
            <w:pPr>
              <w:widowControl/>
              <w:numPr>
                <w:ilvl w:val="0"/>
                <w:numId w:val="4"/>
              </w:numPr>
              <w:spacing w:before="60" w:after="60"/>
              <w:ind w:left="238" w:hanging="142"/>
              <w:contextualSpacing/>
              <w:rPr>
                <w:rFonts w:eastAsia="Arial Unicode MS"/>
                <w:color w:val="000000"/>
                <w:sz w:val="20"/>
              </w:rPr>
            </w:pPr>
            <w:r w:rsidRPr="00B7760C">
              <w:rPr>
                <w:color w:val="000000"/>
                <w:sz w:val="20"/>
              </w:rPr>
              <w:t xml:space="preserve">Prepoved rezanja žive meje in sekanja dreves v času razmnoževanja in vzreje mladičev pri pticah </w:t>
            </w:r>
          </w:p>
          <w:p w14:paraId="2F05B8C6" w14:textId="77777777" w:rsidR="006D33E3" w:rsidRPr="00B7760C" w:rsidRDefault="006D33E3" w:rsidP="00AB1DA6">
            <w:pPr>
              <w:widowControl/>
              <w:numPr>
                <w:ilvl w:val="0"/>
                <w:numId w:val="4"/>
              </w:numPr>
              <w:spacing w:before="60" w:after="60"/>
              <w:ind w:left="238" w:hanging="142"/>
              <w:contextualSpacing/>
              <w:rPr>
                <w:rFonts w:eastAsia="Arial Unicode MS"/>
                <w:color w:val="000000"/>
                <w:sz w:val="20"/>
              </w:rPr>
            </w:pPr>
            <w:r w:rsidRPr="00B7760C">
              <w:rPr>
                <w:color w:val="000000"/>
                <w:sz w:val="20"/>
              </w:rPr>
              <w:t>Možni tudi ukrepi za preprečevanje vnašanja invazivnih rastlinskih vrst</w:t>
            </w:r>
          </w:p>
          <w:p w14:paraId="098E4D10" w14:textId="77777777" w:rsidR="006D33E3" w:rsidRPr="00B7760C" w:rsidRDefault="006D33E3" w:rsidP="00AB1DA6">
            <w:pPr>
              <w:widowControl/>
              <w:spacing w:before="60" w:after="60"/>
              <w:rPr>
                <w:rFonts w:eastAsia="Arial Unicode MS"/>
                <w:color w:val="000000"/>
                <w:sz w:val="20"/>
              </w:rPr>
            </w:pPr>
          </w:p>
        </w:tc>
        <w:tc>
          <w:tcPr>
            <w:tcW w:w="2209" w:type="dxa"/>
            <w:tcBorders>
              <w:top w:val="outset" w:sz="6" w:space="0" w:color="auto"/>
              <w:left w:val="outset" w:sz="6" w:space="0" w:color="auto"/>
              <w:bottom w:val="outset" w:sz="6" w:space="0" w:color="auto"/>
              <w:right w:val="outset" w:sz="6" w:space="0" w:color="auto"/>
            </w:tcBorders>
          </w:tcPr>
          <w:p w14:paraId="332F1D14" w14:textId="77777777" w:rsidR="006D33E3" w:rsidRPr="00B7760C" w:rsidRDefault="006D33E3" w:rsidP="00AB1DA6">
            <w:pPr>
              <w:widowControl/>
              <w:spacing w:before="60" w:after="60"/>
              <w:rPr>
                <w:rFonts w:eastAsia="Arial Unicode MS"/>
                <w:i/>
                <w:color w:val="000000"/>
                <w:sz w:val="20"/>
              </w:rPr>
            </w:pPr>
            <w:r w:rsidRPr="00B7760C">
              <w:rPr>
                <w:i/>
                <w:color w:val="000000"/>
                <w:sz w:val="20"/>
              </w:rPr>
              <w:t>Ohranjanje neproizvodnih značilnosti in območij zaradi izboljšanja biotske raznovrstnosti na kmetijah</w:t>
            </w:r>
          </w:p>
        </w:tc>
      </w:tr>
      <w:tr w:rsidR="006D33E3" w:rsidRPr="00B7760C" w14:paraId="4EB82092" w14:textId="77777777" w:rsidTr="004F0B88">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vAlign w:val="center"/>
            <w:hideMark/>
          </w:tcPr>
          <w:p w14:paraId="651C1B3B" w14:textId="77777777" w:rsidR="006D33E3" w:rsidRPr="00B7760C" w:rsidRDefault="006D33E3" w:rsidP="004F0B88">
            <w:pPr>
              <w:widowControl/>
              <w:jc w:val="both"/>
              <w:rPr>
                <w:rFonts w:eastAsia="Arial Unicode MS"/>
                <w:color w:val="000000"/>
                <w:sz w:val="20"/>
              </w:rPr>
            </w:pPr>
          </w:p>
        </w:tc>
        <w:tc>
          <w:tcPr>
            <w:tcW w:w="1249" w:type="dxa"/>
            <w:vMerge/>
            <w:tcBorders>
              <w:left w:val="outset" w:sz="6" w:space="0" w:color="auto"/>
              <w:bottom w:val="outset" w:sz="6" w:space="0" w:color="auto"/>
              <w:right w:val="outset" w:sz="6" w:space="0" w:color="auto"/>
            </w:tcBorders>
            <w:hideMark/>
          </w:tcPr>
          <w:p w14:paraId="024D843F" w14:textId="77777777" w:rsidR="006D33E3" w:rsidRPr="00B7760C" w:rsidRDefault="006D33E3" w:rsidP="004F0B88">
            <w:pPr>
              <w:widowControl/>
              <w:spacing w:before="60" w:after="60"/>
              <w:jc w:val="center"/>
              <w:rPr>
                <w:rFonts w:eastAsia="Arial Unicode MS"/>
                <w:color w:val="000000"/>
                <w:sz w:val="20"/>
              </w:rPr>
            </w:pPr>
          </w:p>
        </w:tc>
        <w:tc>
          <w:tcPr>
            <w:tcW w:w="981" w:type="dxa"/>
            <w:tcBorders>
              <w:top w:val="outset" w:sz="6" w:space="0" w:color="auto"/>
              <w:left w:val="outset" w:sz="6" w:space="0" w:color="auto"/>
              <w:bottom w:val="outset" w:sz="6" w:space="0" w:color="auto"/>
              <w:right w:val="outset" w:sz="6" w:space="0" w:color="auto"/>
            </w:tcBorders>
            <w:hideMark/>
          </w:tcPr>
          <w:p w14:paraId="72D7283F" w14:textId="77777777" w:rsidR="006D33E3" w:rsidRPr="00B7760C" w:rsidRDefault="006D33E3" w:rsidP="004F0B88">
            <w:pPr>
              <w:widowControl/>
              <w:spacing w:before="60" w:after="60"/>
              <w:jc w:val="both"/>
              <w:rPr>
                <w:rFonts w:eastAsia="Arial Unicode MS"/>
                <w:color w:val="000000"/>
                <w:sz w:val="20"/>
              </w:rPr>
            </w:pPr>
            <w:r w:rsidRPr="00B7760C">
              <w:rPr>
                <w:color w:val="000000"/>
                <w:sz w:val="20"/>
              </w:rPr>
              <w:t>DKOP 10</w:t>
            </w:r>
          </w:p>
        </w:tc>
        <w:tc>
          <w:tcPr>
            <w:tcW w:w="3969" w:type="dxa"/>
            <w:tcBorders>
              <w:top w:val="outset" w:sz="6" w:space="0" w:color="auto"/>
              <w:left w:val="outset" w:sz="6" w:space="0" w:color="auto"/>
              <w:bottom w:val="outset" w:sz="6" w:space="0" w:color="auto"/>
              <w:right w:val="outset" w:sz="6" w:space="0" w:color="auto"/>
            </w:tcBorders>
            <w:hideMark/>
          </w:tcPr>
          <w:p w14:paraId="432FDE0B" w14:textId="77777777" w:rsidR="006D33E3" w:rsidRPr="00B7760C" w:rsidRDefault="006D33E3" w:rsidP="00AB1DA6">
            <w:pPr>
              <w:widowControl/>
              <w:spacing w:before="60" w:after="60"/>
              <w:rPr>
                <w:rFonts w:eastAsia="Arial Unicode MS"/>
                <w:b/>
                <w:i/>
                <w:color w:val="000000"/>
                <w:sz w:val="20"/>
              </w:rPr>
            </w:pPr>
            <w:r w:rsidRPr="00B7760C">
              <w:rPr>
                <w:b/>
                <w:i/>
                <w:color w:val="000000"/>
                <w:sz w:val="20"/>
              </w:rPr>
              <w:t>Ustrezno varstvo</w:t>
            </w:r>
            <w:r w:rsidRPr="00B7760C">
              <w:rPr>
                <w:color w:val="000000"/>
                <w:sz w:val="20"/>
              </w:rPr>
              <w:t xml:space="preserve"> trajnega travinja na območjih Natura 2000 </w:t>
            </w:r>
            <w:r w:rsidRPr="00B7760C">
              <w:rPr>
                <w:b/>
                <w:i/>
                <w:color w:val="000000"/>
                <w:sz w:val="20"/>
              </w:rPr>
              <w:t>glede na posebni načrt upravljanja območij.</w:t>
            </w:r>
          </w:p>
        </w:tc>
        <w:tc>
          <w:tcPr>
            <w:tcW w:w="2209" w:type="dxa"/>
            <w:tcBorders>
              <w:top w:val="outset" w:sz="6" w:space="0" w:color="auto"/>
              <w:left w:val="outset" w:sz="6" w:space="0" w:color="auto"/>
              <w:bottom w:val="outset" w:sz="6" w:space="0" w:color="auto"/>
              <w:right w:val="outset" w:sz="6" w:space="0" w:color="auto"/>
            </w:tcBorders>
            <w:hideMark/>
          </w:tcPr>
          <w:p w14:paraId="1E661ECB" w14:textId="77777777" w:rsidR="006D33E3" w:rsidRPr="00B7760C" w:rsidRDefault="006D33E3" w:rsidP="00AB1DA6">
            <w:pPr>
              <w:widowControl/>
              <w:spacing w:before="100" w:beforeAutospacing="1" w:after="100" w:afterAutospacing="1"/>
              <w:rPr>
                <w:rFonts w:eastAsia="Arial Unicode MS"/>
                <w:b/>
                <w:i/>
                <w:color w:val="000000"/>
                <w:sz w:val="20"/>
              </w:rPr>
            </w:pPr>
            <w:r w:rsidRPr="00B7760C">
              <w:rPr>
                <w:i/>
                <w:color w:val="000000"/>
                <w:sz w:val="20"/>
              </w:rPr>
              <w:t xml:space="preserve">Varstvo habitatov in vrst, </w:t>
            </w:r>
            <w:r w:rsidRPr="00B7760C">
              <w:rPr>
                <w:b/>
                <w:i/>
                <w:color w:val="000000"/>
                <w:sz w:val="20"/>
              </w:rPr>
              <w:t xml:space="preserve">ponor ogljika </w:t>
            </w:r>
          </w:p>
        </w:tc>
      </w:tr>
      <w:tr w:rsidR="006D33E3" w:rsidRPr="00B7760C" w14:paraId="5B819EE2" w14:textId="77777777" w:rsidTr="004F0B88">
        <w:trPr>
          <w:cantSplit/>
          <w:tblCellSpacing w:w="0" w:type="dxa"/>
          <w:jc w:val="center"/>
        </w:trPr>
        <w:tc>
          <w:tcPr>
            <w:tcW w:w="1398" w:type="dxa"/>
            <w:vMerge w:val="restart"/>
            <w:tcBorders>
              <w:top w:val="outset" w:sz="6" w:space="0" w:color="auto"/>
              <w:left w:val="outset" w:sz="6" w:space="0" w:color="auto"/>
              <w:right w:val="outset" w:sz="6" w:space="0" w:color="auto"/>
            </w:tcBorders>
            <w:hideMark/>
          </w:tcPr>
          <w:p w14:paraId="08C65E2E" w14:textId="77777777" w:rsidR="006D33E3" w:rsidRPr="00B7760C" w:rsidRDefault="006D33E3" w:rsidP="004F0B88">
            <w:pPr>
              <w:widowControl/>
              <w:spacing w:before="60" w:after="60"/>
              <w:jc w:val="both"/>
              <w:rPr>
                <w:rFonts w:eastAsia="Arial Unicode MS"/>
                <w:color w:val="000000"/>
                <w:sz w:val="20"/>
              </w:rPr>
            </w:pPr>
            <w:r w:rsidRPr="00B7760C">
              <w:rPr>
                <w:color w:val="000000"/>
                <w:sz w:val="20"/>
              </w:rPr>
              <w:t>Javno zdravje, zdravje živali in rastlin</w:t>
            </w:r>
          </w:p>
        </w:tc>
        <w:tc>
          <w:tcPr>
            <w:tcW w:w="1249" w:type="dxa"/>
            <w:vMerge w:val="restart"/>
            <w:tcBorders>
              <w:top w:val="outset" w:sz="6" w:space="0" w:color="auto"/>
              <w:left w:val="outset" w:sz="6" w:space="0" w:color="auto"/>
              <w:bottom w:val="outset" w:sz="6" w:space="0" w:color="auto"/>
              <w:right w:val="outset" w:sz="6" w:space="0" w:color="auto"/>
            </w:tcBorders>
            <w:hideMark/>
          </w:tcPr>
          <w:p w14:paraId="3D17B5B8" w14:textId="77777777" w:rsidR="006D33E3" w:rsidRPr="00B7760C" w:rsidRDefault="006D33E3" w:rsidP="004F0B88">
            <w:pPr>
              <w:widowControl/>
              <w:spacing w:before="60" w:after="60"/>
              <w:jc w:val="center"/>
              <w:rPr>
                <w:rFonts w:eastAsia="Arial Unicode MS"/>
                <w:color w:val="000000"/>
                <w:sz w:val="20"/>
              </w:rPr>
            </w:pPr>
            <w:r w:rsidRPr="00B7760C">
              <w:rPr>
                <w:color w:val="000000"/>
                <w:sz w:val="20"/>
              </w:rPr>
              <w:t>Varnost hrane</w:t>
            </w:r>
          </w:p>
        </w:tc>
        <w:tc>
          <w:tcPr>
            <w:tcW w:w="981" w:type="dxa"/>
            <w:tcBorders>
              <w:top w:val="outset" w:sz="6" w:space="0" w:color="auto"/>
              <w:left w:val="outset" w:sz="6" w:space="0" w:color="auto"/>
              <w:bottom w:val="outset" w:sz="6" w:space="0" w:color="auto"/>
              <w:right w:val="outset" w:sz="6" w:space="0" w:color="auto"/>
            </w:tcBorders>
            <w:hideMark/>
          </w:tcPr>
          <w:p w14:paraId="51A337B9" w14:textId="77777777" w:rsidR="006D33E3" w:rsidRPr="00B7760C" w:rsidRDefault="006D33E3" w:rsidP="004F0B88">
            <w:pPr>
              <w:widowControl/>
              <w:spacing w:before="60" w:after="60"/>
              <w:jc w:val="both"/>
              <w:rPr>
                <w:rFonts w:eastAsia="Arial Unicode MS"/>
                <w:color w:val="000000"/>
                <w:sz w:val="20"/>
              </w:rPr>
            </w:pPr>
            <w:r w:rsidRPr="00B7760C">
              <w:rPr>
                <w:color w:val="000000"/>
                <w:sz w:val="20"/>
              </w:rPr>
              <w:t>PZR 5</w:t>
            </w:r>
          </w:p>
        </w:tc>
        <w:tc>
          <w:tcPr>
            <w:tcW w:w="3969" w:type="dxa"/>
            <w:tcBorders>
              <w:top w:val="outset" w:sz="6" w:space="0" w:color="auto"/>
              <w:left w:val="outset" w:sz="6" w:space="0" w:color="auto"/>
              <w:bottom w:val="outset" w:sz="6" w:space="0" w:color="auto"/>
              <w:right w:val="outset" w:sz="6" w:space="0" w:color="auto"/>
            </w:tcBorders>
            <w:hideMark/>
          </w:tcPr>
          <w:p w14:paraId="7D9D92EA" w14:textId="77777777" w:rsidR="006D33E3" w:rsidRPr="00B7760C" w:rsidRDefault="006D33E3" w:rsidP="00AB1DA6">
            <w:pPr>
              <w:widowControl/>
              <w:spacing w:before="60" w:after="60"/>
              <w:rPr>
                <w:rFonts w:eastAsia="Arial Unicode MS"/>
                <w:color w:val="000000"/>
                <w:sz w:val="20"/>
              </w:rPr>
            </w:pPr>
            <w:r w:rsidRPr="00B7760C">
              <w:rPr>
                <w:color w:val="000000"/>
                <w:sz w:val="20"/>
              </w:rPr>
              <w:t>Uredba (ES) št. 178/2002 Evropskega parlamenta in Sveta z dne 28. januarja 2002 o določitvi splošnih načel in zahtevah živilske zakonodaje, ustanovitvi Evropske agencije za varnost hrane in postopkih, ki zadevajo varnost hrane (UL L 31, 1.2.2002, str. 1):</w:t>
            </w:r>
          </w:p>
          <w:p w14:paraId="211A0BA1" w14:textId="77777777" w:rsidR="006D33E3" w:rsidRPr="00B7760C" w:rsidRDefault="006D33E3" w:rsidP="00AB1DA6">
            <w:pPr>
              <w:widowControl/>
              <w:spacing w:before="60" w:after="60"/>
              <w:rPr>
                <w:rFonts w:eastAsia="Arial Unicode MS"/>
                <w:color w:val="000000"/>
                <w:sz w:val="20"/>
              </w:rPr>
            </w:pPr>
            <w:r w:rsidRPr="00B7760C">
              <w:rPr>
                <w:color w:val="000000"/>
                <w:sz w:val="20"/>
              </w:rPr>
              <w:t>člena 14 in 15, člen 17(1)</w:t>
            </w:r>
            <w:r w:rsidRPr="00B7760C">
              <w:rPr>
                <w:rFonts w:eastAsia="Arial Unicode MS"/>
                <w:color w:val="000000"/>
                <w:sz w:val="20"/>
                <w:vertAlign w:val="superscript"/>
              </w:rPr>
              <w:footnoteReference w:id="10"/>
            </w:r>
            <w:r w:rsidRPr="00B7760C">
              <w:rPr>
                <w:color w:val="000000"/>
                <w:sz w:val="20"/>
              </w:rPr>
              <w:t xml:space="preserve"> ter členi 18, 19 in 20</w:t>
            </w:r>
          </w:p>
        </w:tc>
        <w:tc>
          <w:tcPr>
            <w:tcW w:w="2209" w:type="dxa"/>
            <w:tcBorders>
              <w:top w:val="outset" w:sz="6" w:space="0" w:color="auto"/>
              <w:left w:val="outset" w:sz="6" w:space="0" w:color="auto"/>
              <w:bottom w:val="outset" w:sz="6" w:space="0" w:color="auto"/>
              <w:right w:val="outset" w:sz="6" w:space="0" w:color="auto"/>
            </w:tcBorders>
            <w:hideMark/>
          </w:tcPr>
          <w:p w14:paraId="7F3CD343" w14:textId="77777777" w:rsidR="006D33E3" w:rsidRPr="00B7760C" w:rsidRDefault="006D33E3" w:rsidP="00AB1DA6">
            <w:pPr>
              <w:widowControl/>
              <w:spacing w:before="60" w:after="60"/>
              <w:rPr>
                <w:rFonts w:eastAsia="Arial Unicode MS"/>
                <w:i/>
                <w:color w:val="000000"/>
                <w:sz w:val="20"/>
              </w:rPr>
            </w:pPr>
          </w:p>
        </w:tc>
      </w:tr>
      <w:tr w:rsidR="006D33E3" w:rsidRPr="00B7760C" w14:paraId="5DC7F16A" w14:textId="77777777" w:rsidTr="004F0B88">
        <w:trPr>
          <w:cantSplit/>
          <w:tblCellSpacing w:w="0" w:type="dxa"/>
          <w:jc w:val="center"/>
        </w:trPr>
        <w:tc>
          <w:tcPr>
            <w:tcW w:w="1398" w:type="dxa"/>
            <w:vMerge/>
            <w:tcBorders>
              <w:left w:val="outset" w:sz="6" w:space="0" w:color="auto"/>
              <w:right w:val="outset" w:sz="6" w:space="0" w:color="auto"/>
            </w:tcBorders>
            <w:vAlign w:val="center"/>
            <w:hideMark/>
          </w:tcPr>
          <w:p w14:paraId="16B93386" w14:textId="77777777" w:rsidR="006D33E3" w:rsidRPr="00B7760C" w:rsidRDefault="006D33E3" w:rsidP="004F0B88">
            <w:pPr>
              <w:widowControl/>
              <w:jc w:val="both"/>
              <w:rPr>
                <w:rFonts w:eastAsia="Arial Unicode MS"/>
                <w:color w:val="000000"/>
                <w:sz w:val="20"/>
              </w:rPr>
            </w:pPr>
          </w:p>
        </w:tc>
        <w:tc>
          <w:tcPr>
            <w:tcW w:w="1249" w:type="dxa"/>
            <w:vMerge/>
            <w:tcBorders>
              <w:top w:val="outset" w:sz="6" w:space="0" w:color="auto"/>
              <w:left w:val="outset" w:sz="6" w:space="0" w:color="auto"/>
              <w:bottom w:val="outset" w:sz="6" w:space="0" w:color="auto"/>
              <w:right w:val="outset" w:sz="6" w:space="0" w:color="auto"/>
            </w:tcBorders>
            <w:vAlign w:val="center"/>
            <w:hideMark/>
          </w:tcPr>
          <w:p w14:paraId="59FA52FA" w14:textId="77777777" w:rsidR="006D33E3" w:rsidRPr="00B7760C" w:rsidRDefault="006D33E3" w:rsidP="004F0B88">
            <w:pPr>
              <w:widowControl/>
              <w:jc w:val="center"/>
              <w:rPr>
                <w:rFonts w:eastAsia="Arial Unicode MS"/>
                <w:color w:val="000000"/>
                <w:sz w:val="20"/>
              </w:rPr>
            </w:pPr>
          </w:p>
        </w:tc>
        <w:tc>
          <w:tcPr>
            <w:tcW w:w="981" w:type="dxa"/>
            <w:tcBorders>
              <w:top w:val="outset" w:sz="6" w:space="0" w:color="auto"/>
              <w:left w:val="outset" w:sz="6" w:space="0" w:color="auto"/>
              <w:bottom w:val="outset" w:sz="6" w:space="0" w:color="auto"/>
              <w:right w:val="outset" w:sz="6" w:space="0" w:color="auto"/>
            </w:tcBorders>
            <w:hideMark/>
          </w:tcPr>
          <w:p w14:paraId="734E1C9B" w14:textId="77777777" w:rsidR="006D33E3" w:rsidRPr="00B7760C" w:rsidRDefault="006D33E3" w:rsidP="004F0B88">
            <w:pPr>
              <w:widowControl/>
              <w:spacing w:before="60" w:after="60"/>
              <w:jc w:val="both"/>
              <w:rPr>
                <w:rFonts w:eastAsia="Arial Unicode MS"/>
                <w:color w:val="000000"/>
                <w:sz w:val="20"/>
              </w:rPr>
            </w:pPr>
            <w:r w:rsidRPr="00B7760C">
              <w:rPr>
                <w:color w:val="000000"/>
                <w:sz w:val="20"/>
              </w:rPr>
              <w:t>PZR 6</w:t>
            </w:r>
          </w:p>
        </w:tc>
        <w:tc>
          <w:tcPr>
            <w:tcW w:w="3969" w:type="dxa"/>
            <w:tcBorders>
              <w:top w:val="outset" w:sz="6" w:space="0" w:color="auto"/>
              <w:left w:val="outset" w:sz="6" w:space="0" w:color="auto"/>
              <w:bottom w:val="outset" w:sz="6" w:space="0" w:color="auto"/>
              <w:right w:val="outset" w:sz="6" w:space="0" w:color="auto"/>
            </w:tcBorders>
            <w:hideMark/>
          </w:tcPr>
          <w:p w14:paraId="16AC53B5" w14:textId="77777777" w:rsidR="006D33E3" w:rsidRPr="00B7760C" w:rsidRDefault="006D33E3" w:rsidP="00AB1DA6">
            <w:pPr>
              <w:widowControl/>
              <w:spacing w:before="60" w:after="60"/>
              <w:rPr>
                <w:rFonts w:eastAsia="Arial Unicode MS"/>
                <w:color w:val="000000"/>
                <w:sz w:val="20"/>
              </w:rPr>
            </w:pPr>
            <w:r w:rsidRPr="00B7760C">
              <w:rPr>
                <w:color w:val="000000"/>
                <w:sz w:val="20"/>
              </w:rPr>
              <w:t>Direktiva Sveta 96/22/ES z dne 29. aprila 1996 o prepovedi uporabe v živinoreji določenih snovi, ki imajo hormonalno ali tirostatično delovanje, in beta-agonistov ter o razveljavitvi direktiv 81/602/EGS, 88/146/EGS in 88/299/EGS (UL L 125, 23.5.1996, str. 3):</w:t>
            </w:r>
          </w:p>
          <w:p w14:paraId="6C1401B8" w14:textId="77777777" w:rsidR="006D33E3" w:rsidRPr="00B7760C" w:rsidRDefault="006D33E3" w:rsidP="00AB1DA6">
            <w:pPr>
              <w:widowControl/>
              <w:spacing w:before="60" w:after="60"/>
              <w:rPr>
                <w:rFonts w:eastAsia="Arial Unicode MS"/>
                <w:color w:val="000000"/>
                <w:sz w:val="20"/>
              </w:rPr>
            </w:pPr>
            <w:r w:rsidRPr="00B7760C">
              <w:rPr>
                <w:color w:val="000000"/>
                <w:sz w:val="20"/>
              </w:rPr>
              <w:t>člen 3(a), (b), (d) in (e) ter členi 4, 5 in 7</w:t>
            </w:r>
          </w:p>
        </w:tc>
        <w:tc>
          <w:tcPr>
            <w:tcW w:w="2209" w:type="dxa"/>
            <w:tcBorders>
              <w:top w:val="outset" w:sz="6" w:space="0" w:color="auto"/>
              <w:left w:val="outset" w:sz="6" w:space="0" w:color="auto"/>
              <w:bottom w:val="outset" w:sz="6" w:space="0" w:color="auto"/>
              <w:right w:val="outset" w:sz="6" w:space="0" w:color="auto"/>
            </w:tcBorders>
            <w:hideMark/>
          </w:tcPr>
          <w:p w14:paraId="5692EE2C" w14:textId="77777777" w:rsidR="006D33E3" w:rsidRPr="00B7760C" w:rsidRDefault="006D33E3" w:rsidP="004F0B88">
            <w:pPr>
              <w:widowControl/>
              <w:spacing w:before="60" w:after="60"/>
              <w:jc w:val="both"/>
              <w:rPr>
                <w:rFonts w:eastAsia="Arial Unicode MS"/>
                <w:color w:val="000000"/>
                <w:sz w:val="20"/>
              </w:rPr>
            </w:pPr>
          </w:p>
        </w:tc>
      </w:tr>
      <w:tr w:rsidR="006D33E3" w:rsidRPr="00B7760C" w14:paraId="667D2EC3" w14:textId="77777777" w:rsidTr="004F0B88">
        <w:trPr>
          <w:cantSplit/>
          <w:tblCellSpacing w:w="0" w:type="dxa"/>
          <w:jc w:val="center"/>
        </w:trPr>
        <w:tc>
          <w:tcPr>
            <w:tcW w:w="1398" w:type="dxa"/>
            <w:vMerge/>
            <w:tcBorders>
              <w:left w:val="outset" w:sz="6" w:space="0" w:color="auto"/>
              <w:right w:val="outset" w:sz="6" w:space="0" w:color="auto"/>
            </w:tcBorders>
            <w:vAlign w:val="center"/>
            <w:hideMark/>
          </w:tcPr>
          <w:p w14:paraId="5A854AC5" w14:textId="77777777" w:rsidR="006D33E3" w:rsidRPr="00B7760C" w:rsidRDefault="006D33E3" w:rsidP="004F0B88">
            <w:pPr>
              <w:widowControl/>
              <w:jc w:val="both"/>
              <w:rPr>
                <w:rFonts w:eastAsia="Arial Unicode MS"/>
                <w:color w:val="000000"/>
                <w:sz w:val="20"/>
              </w:rPr>
            </w:pPr>
          </w:p>
        </w:tc>
        <w:tc>
          <w:tcPr>
            <w:tcW w:w="1249" w:type="dxa"/>
            <w:vMerge w:val="restart"/>
            <w:tcBorders>
              <w:top w:val="outset" w:sz="6" w:space="0" w:color="auto"/>
              <w:left w:val="outset" w:sz="6" w:space="0" w:color="auto"/>
              <w:bottom w:val="outset" w:sz="6" w:space="0" w:color="auto"/>
              <w:right w:val="outset" w:sz="6" w:space="0" w:color="auto"/>
            </w:tcBorders>
            <w:hideMark/>
          </w:tcPr>
          <w:p w14:paraId="46924A8C" w14:textId="77777777" w:rsidR="006D33E3" w:rsidRPr="00B7760C" w:rsidRDefault="006D33E3" w:rsidP="004F0B88">
            <w:pPr>
              <w:widowControl/>
              <w:spacing w:before="60" w:after="60"/>
              <w:jc w:val="center"/>
              <w:rPr>
                <w:rFonts w:eastAsia="Arial Unicode MS"/>
                <w:color w:val="000000"/>
                <w:sz w:val="20"/>
              </w:rPr>
            </w:pPr>
            <w:r w:rsidRPr="00B7760C">
              <w:rPr>
                <w:color w:val="000000"/>
                <w:sz w:val="20"/>
              </w:rPr>
              <w:t>Identifikacija in registracija živali</w:t>
            </w:r>
          </w:p>
        </w:tc>
        <w:tc>
          <w:tcPr>
            <w:tcW w:w="981" w:type="dxa"/>
            <w:tcBorders>
              <w:top w:val="outset" w:sz="6" w:space="0" w:color="auto"/>
              <w:left w:val="outset" w:sz="6" w:space="0" w:color="auto"/>
              <w:bottom w:val="outset" w:sz="6" w:space="0" w:color="auto"/>
              <w:right w:val="outset" w:sz="6" w:space="0" w:color="auto"/>
            </w:tcBorders>
            <w:hideMark/>
          </w:tcPr>
          <w:p w14:paraId="7542B4AC" w14:textId="77777777" w:rsidR="006D33E3" w:rsidRPr="00B7760C" w:rsidRDefault="006D33E3" w:rsidP="004F0B88">
            <w:pPr>
              <w:widowControl/>
              <w:spacing w:before="60" w:after="60"/>
              <w:jc w:val="both"/>
              <w:rPr>
                <w:rFonts w:eastAsia="Arial Unicode MS"/>
                <w:color w:val="000000"/>
                <w:sz w:val="20"/>
              </w:rPr>
            </w:pPr>
            <w:r w:rsidRPr="00B7760C">
              <w:rPr>
                <w:color w:val="000000"/>
                <w:sz w:val="20"/>
              </w:rPr>
              <w:t>PZR 7</w:t>
            </w:r>
          </w:p>
        </w:tc>
        <w:tc>
          <w:tcPr>
            <w:tcW w:w="3969" w:type="dxa"/>
            <w:tcBorders>
              <w:top w:val="outset" w:sz="6" w:space="0" w:color="auto"/>
              <w:left w:val="outset" w:sz="6" w:space="0" w:color="auto"/>
              <w:bottom w:val="outset" w:sz="6" w:space="0" w:color="auto"/>
              <w:right w:val="outset" w:sz="6" w:space="0" w:color="auto"/>
            </w:tcBorders>
            <w:hideMark/>
          </w:tcPr>
          <w:p w14:paraId="1B1A2632" w14:textId="77777777" w:rsidR="006D33E3" w:rsidRPr="00B7760C" w:rsidRDefault="006D33E3" w:rsidP="00AB1DA6">
            <w:pPr>
              <w:widowControl/>
              <w:spacing w:before="60" w:after="60"/>
              <w:rPr>
                <w:rFonts w:eastAsia="Arial Unicode MS"/>
                <w:color w:val="000000"/>
                <w:sz w:val="20"/>
              </w:rPr>
            </w:pPr>
            <w:r w:rsidRPr="00B7760C">
              <w:rPr>
                <w:color w:val="000000"/>
                <w:sz w:val="20"/>
              </w:rPr>
              <w:t>Direktiva Sveta 2008/71/ES z dne 15. julija 2008 o identifikaciji in registraciji prašičev (UL L 213, 8.8.2005, str. 31):</w:t>
            </w:r>
          </w:p>
          <w:p w14:paraId="5537FB71" w14:textId="206B7F1A" w:rsidR="006D33E3" w:rsidRPr="00B7760C" w:rsidRDefault="00AB1DA6" w:rsidP="00AB1DA6">
            <w:pPr>
              <w:widowControl/>
              <w:spacing w:before="60" w:after="60"/>
              <w:rPr>
                <w:rFonts w:eastAsia="Arial Unicode MS"/>
                <w:color w:val="000000"/>
                <w:sz w:val="20"/>
              </w:rPr>
            </w:pPr>
            <w:r w:rsidRPr="00B7760C">
              <w:rPr>
                <w:color w:val="000000"/>
                <w:sz w:val="20"/>
              </w:rPr>
              <w:t>č</w:t>
            </w:r>
            <w:r w:rsidR="006D33E3" w:rsidRPr="00B7760C">
              <w:rPr>
                <w:color w:val="000000"/>
                <w:sz w:val="20"/>
              </w:rPr>
              <w:t>len 3</w:t>
            </w:r>
          </w:p>
        </w:tc>
        <w:tc>
          <w:tcPr>
            <w:tcW w:w="2209" w:type="dxa"/>
            <w:tcBorders>
              <w:top w:val="outset" w:sz="6" w:space="0" w:color="auto"/>
              <w:left w:val="outset" w:sz="6" w:space="0" w:color="auto"/>
              <w:bottom w:val="outset" w:sz="6" w:space="0" w:color="auto"/>
              <w:right w:val="outset" w:sz="6" w:space="0" w:color="auto"/>
            </w:tcBorders>
            <w:hideMark/>
          </w:tcPr>
          <w:p w14:paraId="5FB60F7E" w14:textId="77777777" w:rsidR="006D33E3" w:rsidRPr="00B7760C" w:rsidRDefault="006D33E3" w:rsidP="004F0B88">
            <w:pPr>
              <w:widowControl/>
              <w:spacing w:before="60" w:after="60"/>
              <w:jc w:val="both"/>
              <w:rPr>
                <w:rFonts w:eastAsia="Arial Unicode MS"/>
                <w:color w:val="000000"/>
                <w:sz w:val="20"/>
              </w:rPr>
            </w:pPr>
          </w:p>
        </w:tc>
      </w:tr>
      <w:tr w:rsidR="006D33E3" w:rsidRPr="00B7760C" w14:paraId="656A5E97" w14:textId="77777777" w:rsidTr="004F0B88">
        <w:trPr>
          <w:cantSplit/>
          <w:tblCellSpacing w:w="0" w:type="dxa"/>
          <w:jc w:val="center"/>
        </w:trPr>
        <w:tc>
          <w:tcPr>
            <w:tcW w:w="1398" w:type="dxa"/>
            <w:vMerge/>
            <w:tcBorders>
              <w:left w:val="outset" w:sz="6" w:space="0" w:color="auto"/>
              <w:right w:val="outset" w:sz="6" w:space="0" w:color="auto"/>
            </w:tcBorders>
            <w:vAlign w:val="center"/>
            <w:hideMark/>
          </w:tcPr>
          <w:p w14:paraId="6B77CE72" w14:textId="77777777" w:rsidR="006D33E3" w:rsidRPr="00B7760C" w:rsidRDefault="006D33E3" w:rsidP="004F0B88">
            <w:pPr>
              <w:widowControl/>
              <w:jc w:val="both"/>
              <w:rPr>
                <w:rFonts w:eastAsia="Arial Unicode MS"/>
                <w:color w:val="000000"/>
                <w:sz w:val="20"/>
              </w:rPr>
            </w:pPr>
          </w:p>
        </w:tc>
        <w:tc>
          <w:tcPr>
            <w:tcW w:w="1249" w:type="dxa"/>
            <w:vMerge/>
            <w:tcBorders>
              <w:top w:val="outset" w:sz="6" w:space="0" w:color="auto"/>
              <w:left w:val="outset" w:sz="6" w:space="0" w:color="auto"/>
              <w:bottom w:val="outset" w:sz="6" w:space="0" w:color="auto"/>
              <w:right w:val="outset" w:sz="6" w:space="0" w:color="auto"/>
            </w:tcBorders>
            <w:vAlign w:val="center"/>
            <w:hideMark/>
          </w:tcPr>
          <w:p w14:paraId="6E37E2EC" w14:textId="77777777" w:rsidR="006D33E3" w:rsidRPr="00B7760C" w:rsidRDefault="006D33E3" w:rsidP="004F0B88">
            <w:pPr>
              <w:widowControl/>
              <w:jc w:val="center"/>
              <w:rPr>
                <w:rFonts w:eastAsia="Arial Unicode MS"/>
                <w:color w:val="000000"/>
                <w:sz w:val="20"/>
              </w:rPr>
            </w:pPr>
          </w:p>
        </w:tc>
        <w:tc>
          <w:tcPr>
            <w:tcW w:w="981" w:type="dxa"/>
            <w:tcBorders>
              <w:top w:val="outset" w:sz="6" w:space="0" w:color="auto"/>
              <w:left w:val="outset" w:sz="6" w:space="0" w:color="auto"/>
              <w:bottom w:val="outset" w:sz="6" w:space="0" w:color="auto"/>
              <w:right w:val="outset" w:sz="6" w:space="0" w:color="auto"/>
            </w:tcBorders>
            <w:hideMark/>
          </w:tcPr>
          <w:p w14:paraId="71096D25" w14:textId="77777777" w:rsidR="006D33E3" w:rsidRPr="00B7760C" w:rsidRDefault="006D33E3" w:rsidP="004F0B88">
            <w:pPr>
              <w:widowControl/>
              <w:spacing w:before="60" w:after="60"/>
              <w:jc w:val="both"/>
              <w:rPr>
                <w:rFonts w:eastAsia="Arial Unicode MS"/>
                <w:color w:val="000000"/>
                <w:sz w:val="20"/>
              </w:rPr>
            </w:pPr>
            <w:r w:rsidRPr="00B7760C">
              <w:rPr>
                <w:color w:val="000000"/>
                <w:sz w:val="20"/>
              </w:rPr>
              <w:t>PZR 8</w:t>
            </w:r>
          </w:p>
        </w:tc>
        <w:tc>
          <w:tcPr>
            <w:tcW w:w="3969" w:type="dxa"/>
            <w:tcBorders>
              <w:top w:val="outset" w:sz="6" w:space="0" w:color="auto"/>
              <w:left w:val="outset" w:sz="6" w:space="0" w:color="auto"/>
              <w:bottom w:val="outset" w:sz="6" w:space="0" w:color="auto"/>
              <w:right w:val="outset" w:sz="6" w:space="0" w:color="auto"/>
            </w:tcBorders>
            <w:hideMark/>
          </w:tcPr>
          <w:p w14:paraId="11AD168F" w14:textId="77777777" w:rsidR="006D33E3" w:rsidRPr="00B7760C" w:rsidRDefault="006D33E3" w:rsidP="00AB1DA6">
            <w:pPr>
              <w:widowControl/>
              <w:spacing w:before="60" w:after="60"/>
              <w:rPr>
                <w:rFonts w:eastAsia="Arial Unicode MS"/>
                <w:color w:val="000000"/>
                <w:sz w:val="20"/>
              </w:rPr>
            </w:pPr>
            <w:r w:rsidRPr="00B7760C">
              <w:rPr>
                <w:color w:val="000000"/>
                <w:sz w:val="20"/>
              </w:rPr>
              <w:t>Uredba (ES) št. 1760/2000 Evropskega parlamenta in Sveta z dne 17. julija 2000 o uvedbi sistema za identifikacijo in registracijo govedi ter o označevanju govejega mesa in proizvodov iz govejega mesa in razveljavitvi Uredbe Sveta (ES) št. 820/97 (UL L 204, 11.8.2000, str. 1):</w:t>
            </w:r>
          </w:p>
          <w:p w14:paraId="38473801" w14:textId="7BEAEA71" w:rsidR="006D33E3" w:rsidRPr="00B7760C" w:rsidRDefault="00AB1DA6" w:rsidP="00AB1DA6">
            <w:pPr>
              <w:widowControl/>
              <w:spacing w:before="60" w:after="60"/>
              <w:rPr>
                <w:rFonts w:eastAsia="Arial Unicode MS"/>
                <w:color w:val="000000"/>
                <w:sz w:val="20"/>
              </w:rPr>
            </w:pPr>
            <w:r w:rsidRPr="00B7760C">
              <w:rPr>
                <w:color w:val="000000"/>
                <w:sz w:val="20"/>
              </w:rPr>
              <w:t>č</w:t>
            </w:r>
            <w:r w:rsidR="006D33E3" w:rsidRPr="00B7760C">
              <w:rPr>
                <w:color w:val="000000"/>
                <w:sz w:val="20"/>
              </w:rPr>
              <w:t>len 7</w:t>
            </w:r>
          </w:p>
        </w:tc>
        <w:tc>
          <w:tcPr>
            <w:tcW w:w="2209" w:type="dxa"/>
            <w:tcBorders>
              <w:top w:val="outset" w:sz="6" w:space="0" w:color="auto"/>
              <w:left w:val="outset" w:sz="6" w:space="0" w:color="auto"/>
              <w:bottom w:val="outset" w:sz="6" w:space="0" w:color="auto"/>
              <w:right w:val="outset" w:sz="6" w:space="0" w:color="auto"/>
            </w:tcBorders>
            <w:hideMark/>
          </w:tcPr>
          <w:p w14:paraId="1F3C3FDA" w14:textId="77777777" w:rsidR="006D33E3" w:rsidRPr="00B7760C" w:rsidRDefault="006D33E3" w:rsidP="004F0B88">
            <w:pPr>
              <w:widowControl/>
              <w:spacing w:before="60" w:after="60"/>
              <w:jc w:val="both"/>
              <w:rPr>
                <w:rFonts w:eastAsia="Arial Unicode MS"/>
                <w:color w:val="000000"/>
                <w:sz w:val="20"/>
              </w:rPr>
            </w:pPr>
          </w:p>
        </w:tc>
      </w:tr>
      <w:tr w:rsidR="006D33E3" w:rsidRPr="00B7760C" w14:paraId="73D4CAB9" w14:textId="77777777" w:rsidTr="004F0B88">
        <w:trPr>
          <w:cantSplit/>
          <w:tblCellSpacing w:w="0" w:type="dxa"/>
          <w:jc w:val="center"/>
        </w:trPr>
        <w:tc>
          <w:tcPr>
            <w:tcW w:w="1398" w:type="dxa"/>
            <w:vMerge/>
            <w:tcBorders>
              <w:left w:val="outset" w:sz="6" w:space="0" w:color="auto"/>
              <w:right w:val="outset" w:sz="6" w:space="0" w:color="auto"/>
            </w:tcBorders>
            <w:vAlign w:val="center"/>
            <w:hideMark/>
          </w:tcPr>
          <w:p w14:paraId="3CBBC33D" w14:textId="77777777" w:rsidR="006D33E3" w:rsidRPr="00B7760C" w:rsidRDefault="006D33E3" w:rsidP="004F0B88">
            <w:pPr>
              <w:widowControl/>
              <w:jc w:val="both"/>
              <w:rPr>
                <w:rFonts w:eastAsia="Arial Unicode MS"/>
                <w:color w:val="000000"/>
                <w:sz w:val="20"/>
              </w:rPr>
            </w:pPr>
          </w:p>
        </w:tc>
        <w:tc>
          <w:tcPr>
            <w:tcW w:w="1249" w:type="dxa"/>
            <w:vMerge/>
            <w:tcBorders>
              <w:top w:val="outset" w:sz="6" w:space="0" w:color="auto"/>
              <w:left w:val="outset" w:sz="6" w:space="0" w:color="auto"/>
              <w:bottom w:val="outset" w:sz="6" w:space="0" w:color="auto"/>
              <w:right w:val="outset" w:sz="6" w:space="0" w:color="auto"/>
            </w:tcBorders>
            <w:vAlign w:val="center"/>
            <w:hideMark/>
          </w:tcPr>
          <w:p w14:paraId="0A3DC2B8" w14:textId="77777777" w:rsidR="006D33E3" w:rsidRPr="00B7760C" w:rsidRDefault="006D33E3" w:rsidP="004F0B88">
            <w:pPr>
              <w:widowControl/>
              <w:jc w:val="center"/>
              <w:rPr>
                <w:rFonts w:eastAsia="Arial Unicode MS"/>
                <w:color w:val="000000"/>
                <w:sz w:val="20"/>
              </w:rPr>
            </w:pPr>
          </w:p>
        </w:tc>
        <w:tc>
          <w:tcPr>
            <w:tcW w:w="981" w:type="dxa"/>
            <w:tcBorders>
              <w:top w:val="outset" w:sz="6" w:space="0" w:color="auto"/>
              <w:left w:val="outset" w:sz="6" w:space="0" w:color="auto"/>
              <w:bottom w:val="outset" w:sz="6" w:space="0" w:color="auto"/>
              <w:right w:val="outset" w:sz="6" w:space="0" w:color="auto"/>
            </w:tcBorders>
            <w:hideMark/>
          </w:tcPr>
          <w:p w14:paraId="7E63D239" w14:textId="77777777" w:rsidR="006D33E3" w:rsidRPr="00B7760C" w:rsidRDefault="006D33E3" w:rsidP="004F0B88">
            <w:pPr>
              <w:widowControl/>
              <w:spacing w:before="60" w:after="60"/>
              <w:jc w:val="both"/>
              <w:rPr>
                <w:rFonts w:eastAsia="Arial Unicode MS"/>
                <w:color w:val="000000"/>
                <w:sz w:val="20"/>
              </w:rPr>
            </w:pPr>
            <w:r w:rsidRPr="00B7760C">
              <w:rPr>
                <w:color w:val="000000"/>
                <w:sz w:val="20"/>
              </w:rPr>
              <w:t>PZR 9</w:t>
            </w:r>
          </w:p>
        </w:tc>
        <w:tc>
          <w:tcPr>
            <w:tcW w:w="3969" w:type="dxa"/>
            <w:tcBorders>
              <w:top w:val="outset" w:sz="6" w:space="0" w:color="auto"/>
              <w:left w:val="outset" w:sz="6" w:space="0" w:color="auto"/>
              <w:bottom w:val="outset" w:sz="6" w:space="0" w:color="auto"/>
              <w:right w:val="outset" w:sz="6" w:space="0" w:color="auto"/>
            </w:tcBorders>
            <w:hideMark/>
          </w:tcPr>
          <w:p w14:paraId="5684DC8D" w14:textId="77777777" w:rsidR="006D33E3" w:rsidRPr="00B7760C" w:rsidRDefault="006D33E3" w:rsidP="00AB1DA6">
            <w:pPr>
              <w:widowControl/>
              <w:spacing w:before="60" w:after="60"/>
              <w:rPr>
                <w:rFonts w:eastAsia="Arial Unicode MS"/>
                <w:color w:val="000000"/>
                <w:sz w:val="20"/>
              </w:rPr>
            </w:pPr>
            <w:r w:rsidRPr="00B7760C">
              <w:rPr>
                <w:color w:val="000000"/>
                <w:sz w:val="20"/>
              </w:rPr>
              <w:t>Uredba Sveta (ES) št. 21/2004 z dne 17. decembra 2003 o uvedbi sistema za identifikacijo in registracijo ovc in koz ter o spremembi Uredbe (ES) št. 1782/2003 in direktiv 92/102/EGS in 64/432/EGS (UL L 5, 9.1.2004, str. 8):</w:t>
            </w:r>
          </w:p>
          <w:p w14:paraId="420DF333" w14:textId="77777777" w:rsidR="006D33E3" w:rsidRPr="00B7760C" w:rsidRDefault="006D33E3" w:rsidP="00AB1DA6">
            <w:pPr>
              <w:widowControl/>
              <w:spacing w:before="60" w:after="60"/>
              <w:rPr>
                <w:rFonts w:eastAsia="Arial Unicode MS"/>
                <w:color w:val="000000"/>
                <w:sz w:val="20"/>
              </w:rPr>
            </w:pPr>
            <w:r w:rsidRPr="00B7760C">
              <w:rPr>
                <w:color w:val="000000"/>
                <w:sz w:val="20"/>
              </w:rPr>
              <w:t>člena 3 in 5</w:t>
            </w:r>
          </w:p>
        </w:tc>
        <w:tc>
          <w:tcPr>
            <w:tcW w:w="2209" w:type="dxa"/>
            <w:tcBorders>
              <w:top w:val="outset" w:sz="6" w:space="0" w:color="auto"/>
              <w:left w:val="outset" w:sz="6" w:space="0" w:color="auto"/>
              <w:bottom w:val="outset" w:sz="6" w:space="0" w:color="auto"/>
              <w:right w:val="outset" w:sz="6" w:space="0" w:color="auto"/>
            </w:tcBorders>
            <w:hideMark/>
          </w:tcPr>
          <w:p w14:paraId="2C37CD89" w14:textId="77777777" w:rsidR="006D33E3" w:rsidRPr="00B7760C" w:rsidRDefault="006D33E3" w:rsidP="004F0B88">
            <w:pPr>
              <w:widowControl/>
              <w:spacing w:before="60" w:after="60"/>
              <w:jc w:val="both"/>
              <w:rPr>
                <w:rFonts w:eastAsia="Arial Unicode MS"/>
                <w:color w:val="000000"/>
                <w:sz w:val="20"/>
              </w:rPr>
            </w:pPr>
          </w:p>
        </w:tc>
      </w:tr>
      <w:tr w:rsidR="006D33E3" w:rsidRPr="00B7760C" w14:paraId="3BAD9251" w14:textId="77777777" w:rsidTr="004F0B88">
        <w:trPr>
          <w:cantSplit/>
          <w:tblCellSpacing w:w="0" w:type="dxa"/>
          <w:jc w:val="center"/>
        </w:trPr>
        <w:tc>
          <w:tcPr>
            <w:tcW w:w="1398" w:type="dxa"/>
            <w:vMerge/>
            <w:tcBorders>
              <w:left w:val="outset" w:sz="6" w:space="0" w:color="auto"/>
              <w:right w:val="outset" w:sz="6" w:space="0" w:color="auto"/>
            </w:tcBorders>
            <w:vAlign w:val="center"/>
            <w:hideMark/>
          </w:tcPr>
          <w:p w14:paraId="4571FFC3" w14:textId="77777777" w:rsidR="006D33E3" w:rsidRPr="00B7760C" w:rsidRDefault="006D33E3" w:rsidP="004F0B88">
            <w:pPr>
              <w:widowControl/>
              <w:jc w:val="both"/>
              <w:rPr>
                <w:rFonts w:eastAsia="Arial Unicode MS"/>
                <w:color w:val="000000"/>
                <w:sz w:val="20"/>
              </w:rPr>
            </w:pPr>
          </w:p>
        </w:tc>
        <w:tc>
          <w:tcPr>
            <w:tcW w:w="1249" w:type="dxa"/>
            <w:vMerge w:val="restart"/>
            <w:tcBorders>
              <w:top w:val="outset" w:sz="6" w:space="0" w:color="auto"/>
              <w:left w:val="outset" w:sz="6" w:space="0" w:color="auto"/>
              <w:right w:val="outset" w:sz="6" w:space="0" w:color="auto"/>
            </w:tcBorders>
            <w:hideMark/>
          </w:tcPr>
          <w:p w14:paraId="416DACB0" w14:textId="77777777" w:rsidR="006D33E3" w:rsidRPr="00B7760C" w:rsidRDefault="006D33E3" w:rsidP="004F0B88">
            <w:pPr>
              <w:widowControl/>
              <w:spacing w:before="60" w:after="60"/>
              <w:jc w:val="center"/>
              <w:rPr>
                <w:rFonts w:eastAsia="Arial Unicode MS"/>
                <w:color w:val="000000"/>
                <w:sz w:val="20"/>
              </w:rPr>
            </w:pPr>
            <w:r w:rsidRPr="00B7760C">
              <w:rPr>
                <w:color w:val="000000"/>
                <w:sz w:val="20"/>
              </w:rPr>
              <w:t>Bolezni živali</w:t>
            </w:r>
          </w:p>
        </w:tc>
        <w:tc>
          <w:tcPr>
            <w:tcW w:w="981" w:type="dxa"/>
            <w:tcBorders>
              <w:top w:val="outset" w:sz="6" w:space="0" w:color="auto"/>
              <w:left w:val="outset" w:sz="6" w:space="0" w:color="auto"/>
              <w:bottom w:val="outset" w:sz="6" w:space="0" w:color="auto"/>
              <w:right w:val="outset" w:sz="6" w:space="0" w:color="auto"/>
            </w:tcBorders>
            <w:hideMark/>
          </w:tcPr>
          <w:p w14:paraId="2786B567" w14:textId="77777777" w:rsidR="006D33E3" w:rsidRPr="00B7760C" w:rsidRDefault="006D33E3" w:rsidP="004F0B88">
            <w:pPr>
              <w:widowControl/>
              <w:spacing w:before="60" w:after="60"/>
              <w:jc w:val="both"/>
              <w:rPr>
                <w:rFonts w:eastAsia="Arial Unicode MS"/>
                <w:color w:val="000000"/>
                <w:sz w:val="20"/>
              </w:rPr>
            </w:pPr>
            <w:r w:rsidRPr="00B7760C">
              <w:rPr>
                <w:color w:val="000000"/>
                <w:sz w:val="20"/>
              </w:rPr>
              <w:t>PZR 10</w:t>
            </w:r>
          </w:p>
        </w:tc>
        <w:tc>
          <w:tcPr>
            <w:tcW w:w="3969" w:type="dxa"/>
            <w:tcBorders>
              <w:top w:val="outset" w:sz="6" w:space="0" w:color="auto"/>
              <w:left w:val="outset" w:sz="6" w:space="0" w:color="auto"/>
              <w:bottom w:val="outset" w:sz="6" w:space="0" w:color="auto"/>
              <w:right w:val="outset" w:sz="6" w:space="0" w:color="auto"/>
            </w:tcBorders>
            <w:hideMark/>
          </w:tcPr>
          <w:p w14:paraId="75EA059C" w14:textId="77777777" w:rsidR="006D33E3" w:rsidRPr="00B7760C" w:rsidRDefault="006D33E3" w:rsidP="00AB1DA6">
            <w:pPr>
              <w:widowControl/>
              <w:spacing w:before="60" w:after="60"/>
              <w:rPr>
                <w:rFonts w:eastAsia="Arial Unicode MS"/>
                <w:color w:val="000000"/>
                <w:sz w:val="20"/>
              </w:rPr>
            </w:pPr>
            <w:r w:rsidRPr="00B7760C">
              <w:rPr>
                <w:color w:val="000000"/>
                <w:sz w:val="20"/>
              </w:rPr>
              <w:t>Uredba (ES) št. 999/2001 Evropskega parlamenta in Sveta z dne 22. maja 2001 o določitvi predpisov za preprečevanje, nadzor in izkoreninjenje nekaterih transmisivnih spongiformnih encefalopatij (UL L 147, 31.5.2001, str. 1):</w:t>
            </w:r>
          </w:p>
          <w:p w14:paraId="2DE61FAB" w14:textId="77777777" w:rsidR="006D33E3" w:rsidRPr="00B7760C" w:rsidRDefault="006D33E3" w:rsidP="00AB1DA6">
            <w:pPr>
              <w:widowControl/>
              <w:spacing w:before="60" w:after="60"/>
              <w:rPr>
                <w:rFonts w:eastAsia="Arial Unicode MS"/>
                <w:color w:val="000000"/>
                <w:sz w:val="20"/>
              </w:rPr>
            </w:pPr>
            <w:r w:rsidRPr="00B7760C">
              <w:rPr>
                <w:color w:val="000000"/>
                <w:sz w:val="20"/>
              </w:rPr>
              <w:t>členi 7, 11, 12, 13 in 15</w:t>
            </w:r>
          </w:p>
        </w:tc>
        <w:tc>
          <w:tcPr>
            <w:tcW w:w="2209" w:type="dxa"/>
            <w:tcBorders>
              <w:top w:val="outset" w:sz="6" w:space="0" w:color="auto"/>
              <w:left w:val="outset" w:sz="6" w:space="0" w:color="auto"/>
              <w:bottom w:val="outset" w:sz="6" w:space="0" w:color="auto"/>
              <w:right w:val="outset" w:sz="6" w:space="0" w:color="auto"/>
            </w:tcBorders>
            <w:hideMark/>
          </w:tcPr>
          <w:p w14:paraId="7059AF78" w14:textId="77777777" w:rsidR="006D33E3" w:rsidRPr="00B7760C" w:rsidRDefault="006D33E3" w:rsidP="004F0B88">
            <w:pPr>
              <w:widowControl/>
              <w:spacing w:before="60" w:after="60"/>
              <w:jc w:val="both"/>
              <w:rPr>
                <w:rFonts w:eastAsia="Arial Unicode MS"/>
                <w:color w:val="000000"/>
                <w:sz w:val="20"/>
              </w:rPr>
            </w:pPr>
          </w:p>
        </w:tc>
      </w:tr>
      <w:tr w:rsidR="006D33E3" w:rsidRPr="00B7760C" w14:paraId="1E4817D6" w14:textId="77777777" w:rsidTr="004F0B88">
        <w:trPr>
          <w:cantSplit/>
          <w:tblCellSpacing w:w="0" w:type="dxa"/>
          <w:jc w:val="center"/>
        </w:trPr>
        <w:tc>
          <w:tcPr>
            <w:tcW w:w="1398" w:type="dxa"/>
            <w:vMerge/>
            <w:tcBorders>
              <w:left w:val="outset" w:sz="6" w:space="0" w:color="auto"/>
              <w:right w:val="outset" w:sz="6" w:space="0" w:color="auto"/>
            </w:tcBorders>
            <w:vAlign w:val="center"/>
          </w:tcPr>
          <w:p w14:paraId="0CD313DB" w14:textId="77777777" w:rsidR="006D33E3" w:rsidRPr="00B7760C" w:rsidRDefault="006D33E3" w:rsidP="004F0B88">
            <w:pPr>
              <w:widowControl/>
              <w:jc w:val="both"/>
              <w:rPr>
                <w:rFonts w:eastAsia="Arial Unicode MS"/>
                <w:color w:val="000000"/>
                <w:sz w:val="20"/>
              </w:rPr>
            </w:pPr>
          </w:p>
        </w:tc>
        <w:tc>
          <w:tcPr>
            <w:tcW w:w="1249" w:type="dxa"/>
            <w:vMerge/>
            <w:tcBorders>
              <w:left w:val="outset" w:sz="6" w:space="0" w:color="auto"/>
              <w:bottom w:val="outset" w:sz="6" w:space="0" w:color="auto"/>
              <w:right w:val="outset" w:sz="6" w:space="0" w:color="auto"/>
            </w:tcBorders>
          </w:tcPr>
          <w:p w14:paraId="18AD77A7" w14:textId="77777777" w:rsidR="006D33E3" w:rsidRPr="00B7760C" w:rsidRDefault="006D33E3" w:rsidP="004F0B88">
            <w:pPr>
              <w:widowControl/>
              <w:spacing w:before="60" w:after="60"/>
              <w:jc w:val="center"/>
              <w:rPr>
                <w:rFonts w:eastAsia="Arial Unicode MS"/>
                <w:color w:val="000000"/>
                <w:sz w:val="20"/>
              </w:rPr>
            </w:pPr>
          </w:p>
        </w:tc>
        <w:tc>
          <w:tcPr>
            <w:tcW w:w="981" w:type="dxa"/>
            <w:tcBorders>
              <w:top w:val="outset" w:sz="6" w:space="0" w:color="auto"/>
              <w:left w:val="outset" w:sz="6" w:space="0" w:color="auto"/>
              <w:bottom w:val="outset" w:sz="6" w:space="0" w:color="auto"/>
              <w:right w:val="outset" w:sz="6" w:space="0" w:color="auto"/>
            </w:tcBorders>
          </w:tcPr>
          <w:p w14:paraId="51D3F2E5" w14:textId="77777777" w:rsidR="006D33E3" w:rsidRPr="00B7760C" w:rsidRDefault="006D33E3" w:rsidP="004F0B88">
            <w:pPr>
              <w:widowControl/>
              <w:spacing w:before="60" w:after="60"/>
              <w:jc w:val="both"/>
              <w:rPr>
                <w:rFonts w:eastAsia="Arial Unicode MS"/>
                <w:color w:val="000000"/>
                <w:sz w:val="20"/>
              </w:rPr>
            </w:pPr>
            <w:r w:rsidRPr="00B7760C">
              <w:rPr>
                <w:color w:val="000000"/>
                <w:sz w:val="20"/>
              </w:rPr>
              <w:t>PZR 11</w:t>
            </w:r>
          </w:p>
        </w:tc>
        <w:tc>
          <w:tcPr>
            <w:tcW w:w="3969" w:type="dxa"/>
            <w:tcBorders>
              <w:top w:val="outset" w:sz="6" w:space="0" w:color="auto"/>
              <w:left w:val="outset" w:sz="6" w:space="0" w:color="auto"/>
              <w:bottom w:val="outset" w:sz="6" w:space="0" w:color="auto"/>
              <w:right w:val="outset" w:sz="6" w:space="0" w:color="auto"/>
            </w:tcBorders>
          </w:tcPr>
          <w:p w14:paraId="4B1A21FE" w14:textId="77777777" w:rsidR="006D33E3" w:rsidRPr="00B7760C" w:rsidRDefault="006D33E3" w:rsidP="00AB1DA6">
            <w:pPr>
              <w:widowControl/>
              <w:spacing w:before="60" w:after="60"/>
              <w:rPr>
                <w:rFonts w:eastAsia="Arial Unicode MS"/>
                <w:color w:val="000000"/>
                <w:sz w:val="20"/>
              </w:rPr>
            </w:pPr>
            <w:r w:rsidRPr="00B7760C">
              <w:rPr>
                <w:color w:val="000000"/>
                <w:sz w:val="20"/>
              </w:rPr>
              <w:t>Uredba (EU) 2016/429 Evropskega parlamenta in Sveta z dne 9. marca 2016 o prenosljivih boleznih živali (UL L 84, 31.3.2016, str. 1):</w:t>
            </w:r>
          </w:p>
          <w:p w14:paraId="4496EF34" w14:textId="77777777" w:rsidR="006D33E3" w:rsidRPr="00B7760C" w:rsidRDefault="006D33E3" w:rsidP="00AB1DA6">
            <w:pPr>
              <w:widowControl/>
              <w:spacing w:before="60" w:after="60"/>
              <w:rPr>
                <w:rFonts w:eastAsia="Arial Unicode MS"/>
                <w:color w:val="000000"/>
                <w:sz w:val="20"/>
              </w:rPr>
            </w:pPr>
            <w:r w:rsidRPr="00B7760C">
              <w:rPr>
                <w:color w:val="000000"/>
                <w:sz w:val="20"/>
              </w:rPr>
              <w:t>člen 18(1), omejeno na slinavko in parkljevko, vezikularno bolezen prašičev in bolezen modrikastega jezika</w:t>
            </w:r>
          </w:p>
        </w:tc>
        <w:tc>
          <w:tcPr>
            <w:tcW w:w="2209" w:type="dxa"/>
            <w:tcBorders>
              <w:top w:val="outset" w:sz="6" w:space="0" w:color="auto"/>
              <w:left w:val="outset" w:sz="6" w:space="0" w:color="auto"/>
              <w:bottom w:val="outset" w:sz="6" w:space="0" w:color="auto"/>
              <w:right w:val="outset" w:sz="6" w:space="0" w:color="auto"/>
            </w:tcBorders>
          </w:tcPr>
          <w:p w14:paraId="6D63873D" w14:textId="77777777" w:rsidR="006D33E3" w:rsidRPr="00B7760C" w:rsidRDefault="006D33E3" w:rsidP="004F0B88">
            <w:pPr>
              <w:widowControl/>
              <w:spacing w:before="60" w:after="60"/>
              <w:jc w:val="both"/>
              <w:rPr>
                <w:rFonts w:eastAsia="Arial Unicode MS"/>
                <w:color w:val="000000"/>
                <w:sz w:val="20"/>
              </w:rPr>
            </w:pPr>
          </w:p>
        </w:tc>
      </w:tr>
      <w:tr w:rsidR="006D33E3" w:rsidRPr="00B7760C" w14:paraId="19D46956" w14:textId="77777777" w:rsidTr="004F0B88">
        <w:trPr>
          <w:cantSplit/>
          <w:tblCellSpacing w:w="0" w:type="dxa"/>
          <w:jc w:val="center"/>
        </w:trPr>
        <w:tc>
          <w:tcPr>
            <w:tcW w:w="1398" w:type="dxa"/>
            <w:vMerge/>
            <w:tcBorders>
              <w:left w:val="outset" w:sz="6" w:space="0" w:color="auto"/>
              <w:right w:val="outset" w:sz="6" w:space="0" w:color="auto"/>
            </w:tcBorders>
            <w:vAlign w:val="center"/>
            <w:hideMark/>
          </w:tcPr>
          <w:p w14:paraId="4EC73D24" w14:textId="77777777" w:rsidR="006D33E3" w:rsidRPr="00B7760C" w:rsidRDefault="006D33E3" w:rsidP="004F0B88">
            <w:pPr>
              <w:widowControl/>
              <w:jc w:val="both"/>
              <w:rPr>
                <w:rFonts w:eastAsia="Arial Unicode MS"/>
                <w:color w:val="000000"/>
                <w:sz w:val="20"/>
              </w:rPr>
            </w:pPr>
          </w:p>
        </w:tc>
        <w:tc>
          <w:tcPr>
            <w:tcW w:w="1249" w:type="dxa"/>
            <w:vMerge w:val="restart"/>
            <w:tcBorders>
              <w:top w:val="outset" w:sz="6" w:space="0" w:color="auto"/>
              <w:left w:val="outset" w:sz="6" w:space="0" w:color="auto"/>
              <w:right w:val="outset" w:sz="6" w:space="0" w:color="auto"/>
            </w:tcBorders>
            <w:hideMark/>
          </w:tcPr>
          <w:p w14:paraId="4C816418" w14:textId="77777777" w:rsidR="006D33E3" w:rsidRPr="00B7760C" w:rsidRDefault="006D33E3" w:rsidP="004F0B88">
            <w:pPr>
              <w:widowControl/>
              <w:spacing w:before="60" w:after="60"/>
              <w:jc w:val="center"/>
              <w:rPr>
                <w:rFonts w:eastAsia="Arial Unicode MS"/>
                <w:color w:val="000000"/>
                <w:sz w:val="20"/>
              </w:rPr>
            </w:pPr>
            <w:r w:rsidRPr="00B7760C">
              <w:rPr>
                <w:color w:val="000000"/>
                <w:sz w:val="20"/>
              </w:rPr>
              <w:t>Fitofarmacevtska sredstva</w:t>
            </w:r>
          </w:p>
        </w:tc>
        <w:tc>
          <w:tcPr>
            <w:tcW w:w="981" w:type="dxa"/>
            <w:tcBorders>
              <w:top w:val="outset" w:sz="6" w:space="0" w:color="auto"/>
              <w:left w:val="outset" w:sz="6" w:space="0" w:color="auto"/>
              <w:bottom w:val="outset" w:sz="6" w:space="0" w:color="auto"/>
              <w:right w:val="outset" w:sz="6" w:space="0" w:color="auto"/>
            </w:tcBorders>
            <w:hideMark/>
          </w:tcPr>
          <w:p w14:paraId="1AE9DAA4" w14:textId="77777777" w:rsidR="006D33E3" w:rsidRPr="00B7760C" w:rsidRDefault="006D33E3" w:rsidP="004F0B88">
            <w:pPr>
              <w:widowControl/>
              <w:spacing w:before="60" w:after="60"/>
              <w:jc w:val="both"/>
              <w:rPr>
                <w:rFonts w:eastAsia="Arial Unicode MS"/>
                <w:color w:val="000000"/>
                <w:sz w:val="20"/>
              </w:rPr>
            </w:pPr>
            <w:r w:rsidRPr="00B7760C">
              <w:rPr>
                <w:color w:val="000000"/>
                <w:sz w:val="20"/>
              </w:rPr>
              <w:t>PZR 12</w:t>
            </w:r>
          </w:p>
        </w:tc>
        <w:tc>
          <w:tcPr>
            <w:tcW w:w="3969" w:type="dxa"/>
            <w:tcBorders>
              <w:top w:val="outset" w:sz="6" w:space="0" w:color="auto"/>
              <w:left w:val="outset" w:sz="6" w:space="0" w:color="auto"/>
              <w:bottom w:val="outset" w:sz="6" w:space="0" w:color="auto"/>
              <w:right w:val="outset" w:sz="6" w:space="0" w:color="auto"/>
            </w:tcBorders>
            <w:hideMark/>
          </w:tcPr>
          <w:p w14:paraId="18758AF7" w14:textId="77777777" w:rsidR="006D33E3" w:rsidRPr="00B7760C" w:rsidRDefault="006D33E3" w:rsidP="00AB1DA6">
            <w:pPr>
              <w:widowControl/>
              <w:spacing w:before="60" w:after="60"/>
              <w:rPr>
                <w:rFonts w:eastAsia="Arial Unicode MS"/>
                <w:color w:val="000000"/>
                <w:sz w:val="20"/>
              </w:rPr>
            </w:pPr>
            <w:r w:rsidRPr="00B7760C">
              <w:rPr>
                <w:color w:val="000000"/>
                <w:sz w:val="20"/>
              </w:rPr>
              <w:t>Uredba (ES) št. 1107/2009 Evropskega parlamenta in Sveta z dne 21. oktobra 2009 o dajanju fitofarmacevtskih sredstev v promet in razveljavitvi direktiv Sveta 79/117/EGS in 91/414/EGS (UL L 309, 24.11.2009, str. 1):</w:t>
            </w:r>
          </w:p>
          <w:p w14:paraId="7060E0D9" w14:textId="77777777" w:rsidR="006D33E3" w:rsidRPr="00B7760C" w:rsidRDefault="006D33E3" w:rsidP="00AB1DA6">
            <w:pPr>
              <w:widowControl/>
              <w:spacing w:before="60" w:after="60"/>
              <w:rPr>
                <w:rFonts w:eastAsia="Arial Unicode MS"/>
                <w:color w:val="000000"/>
                <w:sz w:val="20"/>
              </w:rPr>
            </w:pPr>
            <w:r w:rsidRPr="00B7760C">
              <w:rPr>
                <w:color w:val="000000"/>
                <w:sz w:val="20"/>
              </w:rPr>
              <w:t>prvi in drugi stavek člena 55</w:t>
            </w:r>
          </w:p>
        </w:tc>
        <w:tc>
          <w:tcPr>
            <w:tcW w:w="2209" w:type="dxa"/>
            <w:tcBorders>
              <w:top w:val="outset" w:sz="6" w:space="0" w:color="auto"/>
              <w:left w:val="outset" w:sz="6" w:space="0" w:color="auto"/>
              <w:bottom w:val="outset" w:sz="6" w:space="0" w:color="auto"/>
              <w:right w:val="outset" w:sz="6" w:space="0" w:color="auto"/>
            </w:tcBorders>
            <w:hideMark/>
          </w:tcPr>
          <w:p w14:paraId="4F9ECABC" w14:textId="77777777" w:rsidR="006D33E3" w:rsidRPr="00B7760C" w:rsidRDefault="006D33E3" w:rsidP="004F0B88">
            <w:pPr>
              <w:widowControl/>
              <w:spacing w:before="60" w:after="60"/>
              <w:jc w:val="both"/>
              <w:rPr>
                <w:rFonts w:eastAsia="Arial Unicode MS"/>
                <w:color w:val="000000"/>
                <w:sz w:val="20"/>
              </w:rPr>
            </w:pPr>
          </w:p>
        </w:tc>
      </w:tr>
      <w:tr w:rsidR="006D33E3" w:rsidRPr="00B7760C" w14:paraId="7D5E2EB4" w14:textId="77777777" w:rsidTr="004F0B88">
        <w:trPr>
          <w:cantSplit/>
          <w:tblCellSpacing w:w="0" w:type="dxa"/>
          <w:jc w:val="center"/>
        </w:trPr>
        <w:tc>
          <w:tcPr>
            <w:tcW w:w="1398" w:type="dxa"/>
            <w:vMerge/>
            <w:tcBorders>
              <w:left w:val="outset" w:sz="6" w:space="0" w:color="auto"/>
              <w:bottom w:val="outset" w:sz="6" w:space="0" w:color="auto"/>
              <w:right w:val="outset" w:sz="6" w:space="0" w:color="auto"/>
            </w:tcBorders>
            <w:vAlign w:val="center"/>
          </w:tcPr>
          <w:p w14:paraId="04D9D652" w14:textId="77777777" w:rsidR="006D33E3" w:rsidRPr="00B7760C" w:rsidRDefault="006D33E3" w:rsidP="004F0B88">
            <w:pPr>
              <w:widowControl/>
              <w:jc w:val="both"/>
              <w:rPr>
                <w:rFonts w:eastAsia="Arial Unicode MS"/>
                <w:color w:val="000000"/>
                <w:sz w:val="20"/>
              </w:rPr>
            </w:pPr>
          </w:p>
        </w:tc>
        <w:tc>
          <w:tcPr>
            <w:tcW w:w="1249" w:type="dxa"/>
            <w:vMerge/>
            <w:tcBorders>
              <w:left w:val="outset" w:sz="6" w:space="0" w:color="auto"/>
              <w:bottom w:val="outset" w:sz="6" w:space="0" w:color="auto"/>
              <w:right w:val="outset" w:sz="6" w:space="0" w:color="auto"/>
            </w:tcBorders>
          </w:tcPr>
          <w:p w14:paraId="33FFC59B" w14:textId="77777777" w:rsidR="006D33E3" w:rsidRPr="00B7760C" w:rsidRDefault="006D33E3" w:rsidP="004F0B88">
            <w:pPr>
              <w:widowControl/>
              <w:spacing w:before="60" w:after="60"/>
              <w:jc w:val="center"/>
              <w:rPr>
                <w:rFonts w:eastAsia="Arial Unicode MS"/>
                <w:color w:val="000000"/>
                <w:sz w:val="20"/>
              </w:rPr>
            </w:pPr>
          </w:p>
        </w:tc>
        <w:tc>
          <w:tcPr>
            <w:tcW w:w="981" w:type="dxa"/>
            <w:tcBorders>
              <w:top w:val="outset" w:sz="6" w:space="0" w:color="auto"/>
              <w:left w:val="outset" w:sz="6" w:space="0" w:color="auto"/>
              <w:bottom w:val="outset" w:sz="6" w:space="0" w:color="auto"/>
              <w:right w:val="outset" w:sz="6" w:space="0" w:color="auto"/>
            </w:tcBorders>
          </w:tcPr>
          <w:p w14:paraId="764C9F86" w14:textId="77777777" w:rsidR="006D33E3" w:rsidRPr="00B7760C" w:rsidRDefault="006D33E3" w:rsidP="004F0B88">
            <w:pPr>
              <w:widowControl/>
              <w:spacing w:before="60" w:after="60"/>
              <w:jc w:val="both"/>
              <w:rPr>
                <w:rFonts w:eastAsia="Arial Unicode MS"/>
                <w:color w:val="000000"/>
                <w:sz w:val="20"/>
              </w:rPr>
            </w:pPr>
            <w:r w:rsidRPr="00B7760C">
              <w:rPr>
                <w:color w:val="000000"/>
                <w:sz w:val="20"/>
              </w:rPr>
              <w:t>PZR 13</w:t>
            </w:r>
          </w:p>
        </w:tc>
        <w:tc>
          <w:tcPr>
            <w:tcW w:w="3969" w:type="dxa"/>
            <w:tcBorders>
              <w:top w:val="outset" w:sz="6" w:space="0" w:color="auto"/>
              <w:left w:val="outset" w:sz="6" w:space="0" w:color="auto"/>
              <w:bottom w:val="outset" w:sz="6" w:space="0" w:color="auto"/>
              <w:right w:val="outset" w:sz="6" w:space="0" w:color="auto"/>
            </w:tcBorders>
          </w:tcPr>
          <w:p w14:paraId="7490DE2C" w14:textId="77777777" w:rsidR="006D33E3" w:rsidRPr="00B7760C" w:rsidRDefault="006D33E3" w:rsidP="00AB1DA6">
            <w:pPr>
              <w:widowControl/>
              <w:spacing w:before="60" w:after="60"/>
              <w:rPr>
                <w:rFonts w:eastAsia="Arial Unicode MS"/>
                <w:color w:val="000000"/>
                <w:sz w:val="20"/>
              </w:rPr>
            </w:pPr>
            <w:r w:rsidRPr="00B7760C">
              <w:rPr>
                <w:color w:val="000000"/>
                <w:sz w:val="20"/>
              </w:rPr>
              <w:t>Direktiva 2009/128/ES Evropskega parlamenta in Sveta z dne 21. oktobra 2009 o določitvi okvira za ukrepe Skupnosti za doseganje trajnostne rabe pesticidov (UL L 309, 24.11.2009, str. 71):</w:t>
            </w:r>
          </w:p>
          <w:p w14:paraId="74A83FFB" w14:textId="77777777" w:rsidR="006D33E3" w:rsidRPr="00B7760C" w:rsidRDefault="006D33E3" w:rsidP="00AB1DA6">
            <w:pPr>
              <w:widowControl/>
              <w:spacing w:before="60" w:after="60"/>
              <w:rPr>
                <w:rFonts w:eastAsia="Arial Unicode MS"/>
                <w:color w:val="000000"/>
                <w:sz w:val="20"/>
              </w:rPr>
            </w:pPr>
            <w:r w:rsidRPr="00B7760C">
              <w:rPr>
                <w:color w:val="000000"/>
                <w:sz w:val="20"/>
              </w:rPr>
              <w:t>člen 5(2) in člen 8(1) do (5);</w:t>
            </w:r>
          </w:p>
          <w:p w14:paraId="75AB8614" w14:textId="77777777" w:rsidR="006D33E3" w:rsidRPr="00B7760C" w:rsidRDefault="006D33E3" w:rsidP="00AB1DA6">
            <w:pPr>
              <w:widowControl/>
              <w:spacing w:before="60" w:after="60"/>
              <w:rPr>
                <w:rFonts w:eastAsia="Arial Unicode MS"/>
                <w:color w:val="000000"/>
                <w:sz w:val="20"/>
              </w:rPr>
            </w:pPr>
            <w:r w:rsidRPr="00B7760C">
              <w:rPr>
                <w:color w:val="000000"/>
                <w:sz w:val="20"/>
              </w:rPr>
              <w:t>člen 12 glede omejitev rabe pesticidov na zaščitenih območjih, opredeljenih na podlagi okvirne direktive o vodah in zakonodaje v zvezi z omrežjem Natura 2000;</w:t>
            </w:r>
          </w:p>
          <w:p w14:paraId="50439DE2" w14:textId="77777777" w:rsidR="006D33E3" w:rsidRPr="00B7760C" w:rsidRDefault="006D33E3" w:rsidP="00AB1DA6">
            <w:pPr>
              <w:widowControl/>
              <w:spacing w:before="60" w:after="60"/>
              <w:rPr>
                <w:rFonts w:eastAsia="Arial Unicode MS"/>
                <w:color w:val="000000"/>
                <w:sz w:val="20"/>
              </w:rPr>
            </w:pPr>
            <w:r w:rsidRPr="00B7760C">
              <w:rPr>
                <w:color w:val="000000"/>
                <w:sz w:val="20"/>
              </w:rPr>
              <w:t>člen 13(1) in (3) o ravnanju s pesticidi, njihovem skladiščenju in odstranitvi ostankov</w:t>
            </w:r>
            <w:r w:rsidRPr="00B7760C">
              <w:rPr>
                <w:color w:val="1F497D"/>
                <w:sz w:val="20"/>
              </w:rPr>
              <w:t xml:space="preserve"> </w:t>
            </w:r>
          </w:p>
        </w:tc>
        <w:tc>
          <w:tcPr>
            <w:tcW w:w="2209" w:type="dxa"/>
            <w:tcBorders>
              <w:top w:val="outset" w:sz="6" w:space="0" w:color="auto"/>
              <w:left w:val="outset" w:sz="6" w:space="0" w:color="auto"/>
              <w:bottom w:val="outset" w:sz="6" w:space="0" w:color="auto"/>
              <w:right w:val="outset" w:sz="6" w:space="0" w:color="auto"/>
            </w:tcBorders>
          </w:tcPr>
          <w:p w14:paraId="4D0CC13D" w14:textId="77777777" w:rsidR="006D33E3" w:rsidRPr="00B7760C" w:rsidRDefault="006D33E3" w:rsidP="004F0B88">
            <w:pPr>
              <w:widowControl/>
              <w:spacing w:before="60" w:after="60"/>
              <w:jc w:val="both"/>
              <w:rPr>
                <w:rFonts w:eastAsia="Arial Unicode MS"/>
                <w:color w:val="000000"/>
                <w:sz w:val="20"/>
              </w:rPr>
            </w:pPr>
          </w:p>
        </w:tc>
      </w:tr>
      <w:tr w:rsidR="006D33E3" w:rsidRPr="00B7760C" w14:paraId="00C797DB" w14:textId="77777777" w:rsidTr="004F0B88">
        <w:trPr>
          <w:cantSplit/>
          <w:tblCellSpacing w:w="0" w:type="dxa"/>
          <w:jc w:val="center"/>
        </w:trPr>
        <w:tc>
          <w:tcPr>
            <w:tcW w:w="1398" w:type="dxa"/>
            <w:vMerge w:val="restart"/>
            <w:tcBorders>
              <w:top w:val="outset" w:sz="6" w:space="0" w:color="auto"/>
              <w:left w:val="outset" w:sz="6" w:space="0" w:color="auto"/>
              <w:bottom w:val="outset" w:sz="6" w:space="0" w:color="auto"/>
              <w:right w:val="outset" w:sz="6" w:space="0" w:color="auto"/>
            </w:tcBorders>
            <w:hideMark/>
          </w:tcPr>
          <w:p w14:paraId="21329EA9" w14:textId="77777777" w:rsidR="006D33E3" w:rsidRPr="00B7760C" w:rsidRDefault="006D33E3" w:rsidP="004F0B88">
            <w:pPr>
              <w:widowControl/>
              <w:spacing w:before="60" w:after="60"/>
              <w:jc w:val="both"/>
              <w:rPr>
                <w:rFonts w:eastAsia="Arial Unicode MS"/>
                <w:color w:val="000000"/>
                <w:sz w:val="20"/>
              </w:rPr>
            </w:pPr>
            <w:r w:rsidRPr="00B7760C">
              <w:rPr>
                <w:color w:val="000000"/>
                <w:sz w:val="20"/>
              </w:rPr>
              <w:t>Dobrobit živali</w:t>
            </w:r>
          </w:p>
        </w:tc>
        <w:tc>
          <w:tcPr>
            <w:tcW w:w="1249" w:type="dxa"/>
            <w:vMerge w:val="restart"/>
            <w:tcBorders>
              <w:top w:val="outset" w:sz="6" w:space="0" w:color="auto"/>
              <w:left w:val="outset" w:sz="6" w:space="0" w:color="auto"/>
              <w:bottom w:val="outset" w:sz="6" w:space="0" w:color="auto"/>
              <w:right w:val="outset" w:sz="6" w:space="0" w:color="auto"/>
            </w:tcBorders>
            <w:hideMark/>
          </w:tcPr>
          <w:p w14:paraId="2DFD8932" w14:textId="77777777" w:rsidR="006D33E3" w:rsidRPr="00B7760C" w:rsidRDefault="006D33E3" w:rsidP="004F0B88">
            <w:pPr>
              <w:widowControl/>
              <w:spacing w:before="60" w:after="60"/>
              <w:jc w:val="center"/>
              <w:rPr>
                <w:rFonts w:eastAsia="Arial Unicode MS"/>
                <w:color w:val="000000"/>
                <w:sz w:val="20"/>
              </w:rPr>
            </w:pPr>
            <w:r w:rsidRPr="00B7760C">
              <w:rPr>
                <w:color w:val="000000"/>
                <w:sz w:val="20"/>
              </w:rPr>
              <w:t>Dobrobit živali</w:t>
            </w:r>
          </w:p>
        </w:tc>
        <w:tc>
          <w:tcPr>
            <w:tcW w:w="981" w:type="dxa"/>
            <w:tcBorders>
              <w:top w:val="outset" w:sz="6" w:space="0" w:color="auto"/>
              <w:left w:val="outset" w:sz="6" w:space="0" w:color="auto"/>
              <w:bottom w:val="outset" w:sz="6" w:space="0" w:color="auto"/>
              <w:right w:val="outset" w:sz="6" w:space="0" w:color="auto"/>
            </w:tcBorders>
            <w:hideMark/>
          </w:tcPr>
          <w:p w14:paraId="728507CC" w14:textId="77777777" w:rsidR="006D33E3" w:rsidRPr="00B7760C" w:rsidRDefault="006D33E3" w:rsidP="004F0B88">
            <w:pPr>
              <w:widowControl/>
              <w:spacing w:before="60" w:after="60"/>
              <w:jc w:val="both"/>
              <w:rPr>
                <w:rFonts w:eastAsia="Arial Unicode MS"/>
                <w:color w:val="000000"/>
                <w:sz w:val="20"/>
              </w:rPr>
            </w:pPr>
            <w:r w:rsidRPr="00B7760C">
              <w:rPr>
                <w:color w:val="000000"/>
                <w:sz w:val="20"/>
              </w:rPr>
              <w:t>PZR 14</w:t>
            </w:r>
          </w:p>
        </w:tc>
        <w:tc>
          <w:tcPr>
            <w:tcW w:w="3969" w:type="dxa"/>
            <w:tcBorders>
              <w:top w:val="outset" w:sz="6" w:space="0" w:color="auto"/>
              <w:left w:val="outset" w:sz="6" w:space="0" w:color="auto"/>
              <w:bottom w:val="outset" w:sz="6" w:space="0" w:color="auto"/>
              <w:right w:val="outset" w:sz="6" w:space="0" w:color="auto"/>
            </w:tcBorders>
            <w:hideMark/>
          </w:tcPr>
          <w:p w14:paraId="748905A2" w14:textId="77777777" w:rsidR="006D33E3" w:rsidRPr="00B7760C" w:rsidRDefault="006D33E3" w:rsidP="00AB1DA6">
            <w:pPr>
              <w:widowControl/>
              <w:spacing w:before="60" w:after="60"/>
              <w:rPr>
                <w:rFonts w:eastAsia="Arial Unicode MS"/>
                <w:color w:val="000000"/>
                <w:sz w:val="20"/>
              </w:rPr>
            </w:pPr>
            <w:r w:rsidRPr="00B7760C">
              <w:rPr>
                <w:color w:val="000000"/>
                <w:sz w:val="20"/>
              </w:rPr>
              <w:t>Direktiva Sveta 2008/119/ES z dne 18. decembra 2008 o določitvi minimalnih pogojev za zaščito telet (UL L 10, 15.1.2009, str. 7):</w:t>
            </w:r>
          </w:p>
          <w:p w14:paraId="47AA00AD" w14:textId="77777777" w:rsidR="006D33E3" w:rsidRPr="00B7760C" w:rsidRDefault="006D33E3" w:rsidP="00AB1DA6">
            <w:pPr>
              <w:widowControl/>
              <w:spacing w:before="60" w:after="60"/>
              <w:rPr>
                <w:rFonts w:eastAsia="Arial Unicode MS"/>
                <w:color w:val="000000"/>
                <w:sz w:val="20"/>
              </w:rPr>
            </w:pPr>
            <w:r w:rsidRPr="00B7760C">
              <w:rPr>
                <w:color w:val="000000"/>
                <w:sz w:val="20"/>
              </w:rPr>
              <w:t>člena 3 in 4</w:t>
            </w:r>
          </w:p>
        </w:tc>
        <w:tc>
          <w:tcPr>
            <w:tcW w:w="2209" w:type="dxa"/>
            <w:tcBorders>
              <w:top w:val="outset" w:sz="6" w:space="0" w:color="auto"/>
              <w:left w:val="outset" w:sz="6" w:space="0" w:color="auto"/>
              <w:bottom w:val="outset" w:sz="6" w:space="0" w:color="auto"/>
              <w:right w:val="outset" w:sz="6" w:space="0" w:color="auto"/>
            </w:tcBorders>
            <w:hideMark/>
          </w:tcPr>
          <w:p w14:paraId="5FE8CB2E" w14:textId="77777777" w:rsidR="006D33E3" w:rsidRPr="00B7760C" w:rsidRDefault="006D33E3" w:rsidP="004F0B88">
            <w:pPr>
              <w:widowControl/>
              <w:spacing w:before="60" w:after="60"/>
              <w:jc w:val="both"/>
              <w:rPr>
                <w:rFonts w:eastAsia="Arial Unicode MS"/>
                <w:color w:val="000000"/>
                <w:sz w:val="20"/>
              </w:rPr>
            </w:pPr>
          </w:p>
        </w:tc>
      </w:tr>
      <w:tr w:rsidR="006D33E3" w:rsidRPr="00B7760C" w14:paraId="121903BA" w14:textId="77777777" w:rsidTr="004F0B88">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vAlign w:val="center"/>
            <w:hideMark/>
          </w:tcPr>
          <w:p w14:paraId="04194E81" w14:textId="77777777" w:rsidR="006D33E3" w:rsidRPr="00B7760C" w:rsidRDefault="006D33E3" w:rsidP="004F0B88">
            <w:pPr>
              <w:widowControl/>
              <w:jc w:val="both"/>
              <w:rPr>
                <w:rFonts w:eastAsia="Arial Unicode MS"/>
                <w:color w:val="000000"/>
                <w:sz w:val="20"/>
              </w:rPr>
            </w:pPr>
          </w:p>
        </w:tc>
        <w:tc>
          <w:tcPr>
            <w:tcW w:w="1249" w:type="dxa"/>
            <w:vMerge/>
            <w:tcBorders>
              <w:top w:val="outset" w:sz="6" w:space="0" w:color="auto"/>
              <w:left w:val="outset" w:sz="6" w:space="0" w:color="auto"/>
              <w:bottom w:val="outset" w:sz="6" w:space="0" w:color="auto"/>
              <w:right w:val="outset" w:sz="6" w:space="0" w:color="auto"/>
            </w:tcBorders>
            <w:vAlign w:val="center"/>
            <w:hideMark/>
          </w:tcPr>
          <w:p w14:paraId="59E56934" w14:textId="77777777" w:rsidR="006D33E3" w:rsidRPr="00B7760C" w:rsidRDefault="006D33E3" w:rsidP="004F0B88">
            <w:pPr>
              <w:widowControl/>
              <w:jc w:val="center"/>
              <w:rPr>
                <w:rFonts w:eastAsia="Arial Unicode MS"/>
                <w:color w:val="000000"/>
                <w:sz w:val="20"/>
              </w:rPr>
            </w:pPr>
          </w:p>
        </w:tc>
        <w:tc>
          <w:tcPr>
            <w:tcW w:w="981" w:type="dxa"/>
            <w:tcBorders>
              <w:top w:val="outset" w:sz="6" w:space="0" w:color="auto"/>
              <w:left w:val="outset" w:sz="6" w:space="0" w:color="auto"/>
              <w:bottom w:val="outset" w:sz="6" w:space="0" w:color="auto"/>
              <w:right w:val="outset" w:sz="6" w:space="0" w:color="auto"/>
            </w:tcBorders>
            <w:hideMark/>
          </w:tcPr>
          <w:p w14:paraId="5101DA05" w14:textId="77777777" w:rsidR="006D33E3" w:rsidRPr="00B7760C" w:rsidRDefault="006D33E3" w:rsidP="004F0B88">
            <w:pPr>
              <w:widowControl/>
              <w:spacing w:before="60" w:after="60"/>
              <w:jc w:val="both"/>
              <w:rPr>
                <w:rFonts w:eastAsia="Arial Unicode MS"/>
                <w:color w:val="000000"/>
                <w:sz w:val="20"/>
              </w:rPr>
            </w:pPr>
            <w:r w:rsidRPr="00B7760C">
              <w:rPr>
                <w:color w:val="000000"/>
                <w:sz w:val="20"/>
              </w:rPr>
              <w:t>PZR 15</w:t>
            </w:r>
          </w:p>
        </w:tc>
        <w:tc>
          <w:tcPr>
            <w:tcW w:w="3969" w:type="dxa"/>
            <w:tcBorders>
              <w:top w:val="outset" w:sz="6" w:space="0" w:color="auto"/>
              <w:left w:val="outset" w:sz="6" w:space="0" w:color="auto"/>
              <w:bottom w:val="outset" w:sz="6" w:space="0" w:color="auto"/>
              <w:right w:val="outset" w:sz="6" w:space="0" w:color="auto"/>
            </w:tcBorders>
            <w:hideMark/>
          </w:tcPr>
          <w:p w14:paraId="4F15E282" w14:textId="77777777" w:rsidR="006D33E3" w:rsidRPr="00B7760C" w:rsidRDefault="006D33E3" w:rsidP="00AB1DA6">
            <w:pPr>
              <w:widowControl/>
              <w:spacing w:before="60" w:after="60"/>
              <w:rPr>
                <w:rFonts w:eastAsia="Arial Unicode MS"/>
                <w:color w:val="000000"/>
                <w:sz w:val="20"/>
              </w:rPr>
            </w:pPr>
            <w:r w:rsidRPr="00B7760C">
              <w:rPr>
                <w:color w:val="000000"/>
                <w:sz w:val="20"/>
              </w:rPr>
              <w:t>Direktiva Sveta 2008/120/ES z dne 18. decembra 2008 o določitvi minimalnih pogojev za zaščito prašičev (UL L 47, 18.2.2009, str. 5):</w:t>
            </w:r>
          </w:p>
          <w:p w14:paraId="159F7643" w14:textId="77777777" w:rsidR="006D33E3" w:rsidRPr="00B7760C" w:rsidRDefault="006D33E3" w:rsidP="00AB1DA6">
            <w:pPr>
              <w:widowControl/>
              <w:spacing w:before="60" w:after="60"/>
              <w:rPr>
                <w:rFonts w:eastAsia="Arial Unicode MS"/>
                <w:color w:val="000000"/>
                <w:sz w:val="20"/>
              </w:rPr>
            </w:pPr>
            <w:r w:rsidRPr="00B7760C">
              <w:rPr>
                <w:color w:val="000000"/>
                <w:sz w:val="20"/>
              </w:rPr>
              <w:t>člena 3 in 4</w:t>
            </w:r>
          </w:p>
        </w:tc>
        <w:tc>
          <w:tcPr>
            <w:tcW w:w="2209" w:type="dxa"/>
            <w:tcBorders>
              <w:top w:val="outset" w:sz="6" w:space="0" w:color="auto"/>
              <w:left w:val="outset" w:sz="6" w:space="0" w:color="auto"/>
              <w:bottom w:val="outset" w:sz="6" w:space="0" w:color="auto"/>
              <w:right w:val="outset" w:sz="6" w:space="0" w:color="auto"/>
            </w:tcBorders>
            <w:hideMark/>
          </w:tcPr>
          <w:p w14:paraId="2188A46F" w14:textId="77777777" w:rsidR="006D33E3" w:rsidRPr="00B7760C" w:rsidRDefault="006D33E3" w:rsidP="004F0B88">
            <w:pPr>
              <w:widowControl/>
              <w:spacing w:before="60" w:after="60"/>
              <w:jc w:val="both"/>
              <w:rPr>
                <w:rFonts w:eastAsia="Arial Unicode MS"/>
                <w:color w:val="000000"/>
                <w:sz w:val="20"/>
              </w:rPr>
            </w:pPr>
          </w:p>
        </w:tc>
      </w:tr>
      <w:tr w:rsidR="006D33E3" w:rsidRPr="00B7760C" w14:paraId="29B05FEA" w14:textId="77777777" w:rsidTr="004F0B88">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vAlign w:val="center"/>
            <w:hideMark/>
          </w:tcPr>
          <w:p w14:paraId="64B0C265" w14:textId="77777777" w:rsidR="006D33E3" w:rsidRPr="00B7760C" w:rsidRDefault="006D33E3" w:rsidP="004F0B88">
            <w:pPr>
              <w:widowControl/>
              <w:jc w:val="both"/>
              <w:rPr>
                <w:rFonts w:eastAsia="Arial Unicode MS"/>
                <w:color w:val="000000"/>
                <w:sz w:val="20"/>
              </w:rPr>
            </w:pPr>
          </w:p>
        </w:tc>
        <w:tc>
          <w:tcPr>
            <w:tcW w:w="1249" w:type="dxa"/>
            <w:vMerge/>
            <w:tcBorders>
              <w:top w:val="outset" w:sz="6" w:space="0" w:color="auto"/>
              <w:left w:val="outset" w:sz="6" w:space="0" w:color="auto"/>
              <w:bottom w:val="outset" w:sz="6" w:space="0" w:color="auto"/>
              <w:right w:val="outset" w:sz="6" w:space="0" w:color="auto"/>
            </w:tcBorders>
            <w:vAlign w:val="center"/>
            <w:hideMark/>
          </w:tcPr>
          <w:p w14:paraId="6C1E95FF" w14:textId="77777777" w:rsidR="006D33E3" w:rsidRPr="00B7760C" w:rsidRDefault="006D33E3" w:rsidP="004F0B88">
            <w:pPr>
              <w:widowControl/>
              <w:jc w:val="center"/>
              <w:rPr>
                <w:rFonts w:eastAsia="Arial Unicode MS"/>
                <w:color w:val="000000"/>
                <w:sz w:val="20"/>
              </w:rPr>
            </w:pPr>
          </w:p>
        </w:tc>
        <w:tc>
          <w:tcPr>
            <w:tcW w:w="981" w:type="dxa"/>
            <w:tcBorders>
              <w:top w:val="outset" w:sz="6" w:space="0" w:color="auto"/>
              <w:left w:val="outset" w:sz="6" w:space="0" w:color="auto"/>
              <w:bottom w:val="outset" w:sz="6" w:space="0" w:color="auto"/>
              <w:right w:val="outset" w:sz="6" w:space="0" w:color="auto"/>
            </w:tcBorders>
            <w:hideMark/>
          </w:tcPr>
          <w:p w14:paraId="6C6D5AC2" w14:textId="77777777" w:rsidR="006D33E3" w:rsidRPr="00B7760C" w:rsidRDefault="006D33E3" w:rsidP="004F0B88">
            <w:pPr>
              <w:widowControl/>
              <w:spacing w:before="60" w:after="60"/>
              <w:jc w:val="both"/>
              <w:rPr>
                <w:rFonts w:eastAsia="Arial Unicode MS"/>
                <w:color w:val="000000"/>
                <w:sz w:val="20"/>
              </w:rPr>
            </w:pPr>
            <w:r w:rsidRPr="00B7760C">
              <w:rPr>
                <w:color w:val="000000"/>
                <w:sz w:val="20"/>
              </w:rPr>
              <w:t>PZR 16</w:t>
            </w:r>
          </w:p>
        </w:tc>
        <w:tc>
          <w:tcPr>
            <w:tcW w:w="3969" w:type="dxa"/>
            <w:tcBorders>
              <w:top w:val="outset" w:sz="6" w:space="0" w:color="auto"/>
              <w:left w:val="outset" w:sz="6" w:space="0" w:color="auto"/>
              <w:bottom w:val="outset" w:sz="6" w:space="0" w:color="auto"/>
              <w:right w:val="outset" w:sz="6" w:space="0" w:color="auto"/>
            </w:tcBorders>
            <w:hideMark/>
          </w:tcPr>
          <w:p w14:paraId="3A3FBFE2" w14:textId="77777777" w:rsidR="006D33E3" w:rsidRPr="00B7760C" w:rsidRDefault="006D33E3" w:rsidP="00AB1DA6">
            <w:pPr>
              <w:widowControl/>
              <w:spacing w:before="60" w:after="60"/>
              <w:rPr>
                <w:rFonts w:eastAsia="Arial Unicode MS"/>
                <w:color w:val="000000"/>
                <w:sz w:val="20"/>
              </w:rPr>
            </w:pPr>
            <w:r w:rsidRPr="00B7760C">
              <w:rPr>
                <w:color w:val="000000"/>
                <w:sz w:val="20"/>
              </w:rPr>
              <w:t>Direktiva Sveta 98/58/ES z dne 20. julija 1998 o zaščiti rejnih živali (UL L 221, 8.8.1998, str. 23):</w:t>
            </w:r>
          </w:p>
          <w:p w14:paraId="3AB1213C" w14:textId="77777777" w:rsidR="006D33E3" w:rsidRPr="00B7760C" w:rsidRDefault="006D33E3" w:rsidP="00AB1DA6">
            <w:pPr>
              <w:widowControl/>
              <w:spacing w:before="60" w:after="60"/>
              <w:rPr>
                <w:rFonts w:eastAsia="Arial Unicode MS"/>
                <w:color w:val="000000"/>
                <w:sz w:val="20"/>
              </w:rPr>
            </w:pPr>
            <w:r w:rsidRPr="00B7760C">
              <w:rPr>
                <w:color w:val="000000"/>
                <w:sz w:val="20"/>
              </w:rPr>
              <w:t>Člen 4</w:t>
            </w:r>
          </w:p>
        </w:tc>
        <w:tc>
          <w:tcPr>
            <w:tcW w:w="2209" w:type="dxa"/>
            <w:tcBorders>
              <w:top w:val="outset" w:sz="6" w:space="0" w:color="auto"/>
              <w:left w:val="outset" w:sz="6" w:space="0" w:color="auto"/>
              <w:bottom w:val="outset" w:sz="6" w:space="0" w:color="auto"/>
              <w:right w:val="outset" w:sz="6" w:space="0" w:color="auto"/>
            </w:tcBorders>
            <w:hideMark/>
          </w:tcPr>
          <w:p w14:paraId="3854D65C" w14:textId="77777777" w:rsidR="006D33E3" w:rsidRPr="00B7760C" w:rsidRDefault="006D33E3" w:rsidP="004F0B88">
            <w:pPr>
              <w:widowControl/>
              <w:spacing w:before="60" w:after="60"/>
              <w:jc w:val="both"/>
              <w:rPr>
                <w:rFonts w:eastAsia="Arial Unicode MS"/>
                <w:color w:val="000000"/>
                <w:sz w:val="20"/>
              </w:rPr>
            </w:pPr>
          </w:p>
        </w:tc>
      </w:tr>
    </w:tbl>
    <w:p w14:paraId="6E5C5B56" w14:textId="77777777" w:rsidR="006D33E3" w:rsidRPr="00B7760C" w:rsidRDefault="006D33E3" w:rsidP="006D33E3">
      <w:pPr>
        <w:pStyle w:val="AmOrLang"/>
      </w:pPr>
    </w:p>
    <w:p w14:paraId="1FC7FAC5" w14:textId="77777777" w:rsidR="006D33E3" w:rsidRPr="00B7760C" w:rsidRDefault="006D33E3" w:rsidP="003663AF"/>
    <w:p w14:paraId="1E562820" w14:textId="7813D64F" w:rsidR="003663AF" w:rsidRPr="00B7760C" w:rsidRDefault="003663AF" w:rsidP="003663AF"/>
    <w:p w14:paraId="2C117A27" w14:textId="77777777" w:rsidR="006D33E3" w:rsidRPr="00B7760C" w:rsidRDefault="006D33E3" w:rsidP="003663AF">
      <w:pPr>
        <w:sectPr w:rsidR="006D33E3" w:rsidRPr="00B7760C" w:rsidSect="005915CF">
          <w:footnotePr>
            <w:numRestart w:val="eachPage"/>
          </w:footnotePr>
          <w:endnotePr>
            <w:numFmt w:val="decimal"/>
          </w:endnotePr>
          <w:pgSz w:w="16838" w:h="11906" w:orient="landscape" w:code="9"/>
          <w:pgMar w:top="1418" w:right="1134" w:bottom="1418" w:left="1418" w:header="567" w:footer="567" w:gutter="0"/>
          <w:cols w:space="720"/>
          <w:noEndnote/>
          <w:docGrid w:linePitch="326"/>
        </w:sectPr>
      </w:pPr>
    </w:p>
    <w:p w14:paraId="6A4E07FF" w14:textId="60E5C64A" w:rsidR="003663AF" w:rsidRPr="00B7760C" w:rsidRDefault="00877691" w:rsidP="003663AF">
      <w:pPr>
        <w:pStyle w:val="AMNumberTabs"/>
        <w:keepNext/>
      </w:pPr>
      <w:r w:rsidRPr="00B7760C">
        <w:t>Sprememba</w:t>
      </w:r>
      <w:r w:rsidR="003663AF" w:rsidRPr="00B7760C">
        <w:tab/>
      </w:r>
      <w:r w:rsidR="003663AF" w:rsidRPr="00B7760C">
        <w:tab/>
        <w:t>718</w:t>
      </w:r>
    </w:p>
    <w:p w14:paraId="4E95C091" w14:textId="77777777" w:rsidR="003663AF" w:rsidRPr="00B7760C" w:rsidRDefault="003663AF" w:rsidP="003663AF">
      <w:pPr>
        <w:pStyle w:val="NormalBold12b"/>
        <w:keepNext/>
      </w:pPr>
      <w:r w:rsidRPr="00B7760C">
        <w:t>Predlog uredbe</w:t>
      </w:r>
    </w:p>
    <w:p w14:paraId="620948F9" w14:textId="77777777" w:rsidR="003663AF" w:rsidRPr="00B7760C" w:rsidRDefault="003663AF" w:rsidP="003663AF">
      <w:pPr>
        <w:pStyle w:val="NormalBold"/>
        <w:keepNext/>
      </w:pPr>
      <w:r w:rsidRPr="00B7760C">
        <w:t>Priloga IV – preglednica</w:t>
      </w:r>
    </w:p>
    <w:p w14:paraId="1941718B" w14:textId="77777777" w:rsidR="003663AF" w:rsidRPr="00B7760C" w:rsidRDefault="003663AF" w:rsidP="003663AF">
      <w:pPr>
        <w:jc w:val="cente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3663AF" w:rsidRPr="00B7760C" w14:paraId="6746C2F3" w14:textId="77777777" w:rsidTr="00E804B7">
        <w:trPr>
          <w:trHeight w:val="551"/>
        </w:trPr>
        <w:tc>
          <w:tcPr>
            <w:tcW w:w="14502" w:type="dxa"/>
            <w:vAlign w:val="center"/>
            <w:hideMark/>
          </w:tcPr>
          <w:p w14:paraId="7EADA959" w14:textId="77777777" w:rsidR="003663AF" w:rsidRPr="00B7760C" w:rsidRDefault="003663AF" w:rsidP="00E804B7">
            <w:pPr>
              <w:jc w:val="center"/>
              <w:rPr>
                <w:i/>
              </w:rPr>
            </w:pPr>
            <w:r w:rsidRPr="00B7760C">
              <w:rPr>
                <w:i/>
              </w:rPr>
              <w:t>Besedilo, ki ga predlaga Komisija</w:t>
            </w:r>
          </w:p>
        </w:tc>
      </w:tr>
      <w:tr w:rsidR="003663AF" w:rsidRPr="00B7760C" w14:paraId="6249A35B" w14:textId="77777777" w:rsidTr="00E804B7">
        <w:trPr>
          <w:trHeight w:val="714"/>
        </w:trPr>
        <w:tc>
          <w:tcPr>
            <w:tcW w:w="14502" w:type="dxa"/>
            <w:vAlign w:val="center"/>
            <w:hideMark/>
          </w:tcPr>
          <w:p w14:paraId="20B1DBCA" w14:textId="77777777" w:rsidR="003663AF" w:rsidRPr="00B7760C" w:rsidRDefault="003663AF" w:rsidP="00E804B7">
            <w:pPr>
              <w:jc w:val="center"/>
              <w:rPr>
                <w:sz w:val="20"/>
              </w:rPr>
            </w:pPr>
            <w:r w:rsidRPr="00B7760C">
              <w:rPr>
                <w:sz w:val="20"/>
              </w:rPr>
              <w:t>DODELITVE DRŽAV ČLANIC ZA NEPOSREDNA PLAČILA IZ PRVEGA PODODSTAVKA ČLENA 81(1)</w:t>
            </w:r>
          </w:p>
        </w:tc>
      </w:tr>
    </w:tbl>
    <w:p w14:paraId="3E0CC522" w14:textId="77777777" w:rsidR="003663AF" w:rsidRPr="00B7760C" w:rsidRDefault="003663AF" w:rsidP="003663AF"/>
    <w:p w14:paraId="0AF3727C" w14:textId="77777777" w:rsidR="003663AF" w:rsidRPr="00B7760C" w:rsidRDefault="003663AF" w:rsidP="003663AF">
      <w:pPr>
        <w:pStyle w:val="Normal6"/>
        <w:jc w:val="right"/>
        <w:rPr>
          <w:sz w:val="20"/>
        </w:rPr>
      </w:pPr>
      <w:r w:rsidRPr="00B7760C">
        <w:rPr>
          <w:sz w:val="20"/>
        </w:rPr>
        <w:t xml:space="preserve"> (tekoče cene v EUR)</w:t>
      </w:r>
    </w:p>
    <w:tbl>
      <w:tblPr>
        <w:tblW w:w="45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965"/>
        <w:gridCol w:w="875"/>
        <w:gridCol w:w="984"/>
        <w:gridCol w:w="984"/>
        <w:gridCol w:w="1001"/>
        <w:gridCol w:w="857"/>
        <w:gridCol w:w="1126"/>
      </w:tblGrid>
      <w:tr w:rsidR="003663AF" w:rsidRPr="00B7760C" w14:paraId="19B4A092" w14:textId="77777777" w:rsidTr="00E804B7">
        <w:trPr>
          <w:cantSplit/>
          <w:trHeight w:val="255"/>
          <w:tblHeader/>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387BBD50" w14:textId="77777777" w:rsidR="003663AF" w:rsidRPr="00B7760C" w:rsidRDefault="003663AF" w:rsidP="00E804B7">
            <w:pPr>
              <w:pStyle w:val="Normal6"/>
              <w:rPr>
                <w:sz w:val="20"/>
              </w:rPr>
            </w:pPr>
            <w:r w:rsidRPr="00B7760C">
              <w:rPr>
                <w:sz w:val="20"/>
              </w:rPr>
              <w:t>Koledarsko leto</w:t>
            </w:r>
          </w:p>
        </w:tc>
        <w:tc>
          <w:tcPr>
            <w:tcW w:w="999" w:type="dxa"/>
            <w:tcBorders>
              <w:top w:val="single" w:sz="4" w:space="0" w:color="auto"/>
              <w:left w:val="single" w:sz="4" w:space="0" w:color="auto"/>
              <w:bottom w:val="single" w:sz="4" w:space="0" w:color="auto"/>
              <w:right w:val="single" w:sz="4" w:space="0" w:color="auto"/>
            </w:tcBorders>
            <w:vAlign w:val="center"/>
            <w:hideMark/>
          </w:tcPr>
          <w:p w14:paraId="7E1A7DBA" w14:textId="77777777" w:rsidR="003663AF" w:rsidRPr="00B7760C" w:rsidRDefault="003663AF" w:rsidP="00E804B7">
            <w:pPr>
              <w:pStyle w:val="Normal6"/>
              <w:rPr>
                <w:sz w:val="20"/>
              </w:rPr>
            </w:pPr>
            <w:r w:rsidRPr="00B7760C">
              <w:rPr>
                <w:sz w:val="20"/>
              </w:rPr>
              <w:t>2021</w:t>
            </w:r>
          </w:p>
        </w:tc>
        <w:tc>
          <w:tcPr>
            <w:tcW w:w="900" w:type="dxa"/>
            <w:tcBorders>
              <w:top w:val="single" w:sz="4" w:space="0" w:color="auto"/>
              <w:left w:val="single" w:sz="4" w:space="0" w:color="auto"/>
              <w:bottom w:val="single" w:sz="4" w:space="0" w:color="auto"/>
              <w:right w:val="single" w:sz="4" w:space="0" w:color="auto"/>
            </w:tcBorders>
            <w:vAlign w:val="center"/>
            <w:hideMark/>
          </w:tcPr>
          <w:p w14:paraId="59563657" w14:textId="77777777" w:rsidR="003663AF" w:rsidRPr="00B7760C" w:rsidRDefault="003663AF" w:rsidP="00E804B7">
            <w:pPr>
              <w:pStyle w:val="Normal6"/>
              <w:rPr>
                <w:sz w:val="20"/>
              </w:rPr>
            </w:pPr>
            <w:r w:rsidRPr="00B7760C">
              <w:rPr>
                <w:sz w:val="20"/>
              </w:rPr>
              <w:t>2022</w:t>
            </w:r>
          </w:p>
        </w:tc>
        <w:tc>
          <w:tcPr>
            <w:tcW w:w="1019" w:type="dxa"/>
            <w:tcBorders>
              <w:top w:val="single" w:sz="4" w:space="0" w:color="auto"/>
              <w:left w:val="single" w:sz="4" w:space="0" w:color="auto"/>
              <w:bottom w:val="single" w:sz="4" w:space="0" w:color="auto"/>
              <w:right w:val="single" w:sz="4" w:space="0" w:color="auto"/>
            </w:tcBorders>
            <w:vAlign w:val="center"/>
            <w:hideMark/>
          </w:tcPr>
          <w:p w14:paraId="5B6F857D" w14:textId="77777777" w:rsidR="003663AF" w:rsidRPr="00B7760C" w:rsidRDefault="003663AF" w:rsidP="00E804B7">
            <w:pPr>
              <w:pStyle w:val="Normal6"/>
              <w:rPr>
                <w:sz w:val="20"/>
              </w:rPr>
            </w:pPr>
            <w:r w:rsidRPr="00B7760C">
              <w:rPr>
                <w:sz w:val="20"/>
              </w:rPr>
              <w:t>2023</w:t>
            </w:r>
          </w:p>
        </w:tc>
        <w:tc>
          <w:tcPr>
            <w:tcW w:w="1019" w:type="dxa"/>
            <w:tcBorders>
              <w:top w:val="single" w:sz="4" w:space="0" w:color="auto"/>
              <w:left w:val="single" w:sz="4" w:space="0" w:color="auto"/>
              <w:bottom w:val="single" w:sz="4" w:space="0" w:color="auto"/>
              <w:right w:val="single" w:sz="4" w:space="0" w:color="auto"/>
            </w:tcBorders>
            <w:vAlign w:val="center"/>
            <w:hideMark/>
          </w:tcPr>
          <w:p w14:paraId="6060FD1A" w14:textId="77777777" w:rsidR="003663AF" w:rsidRPr="00B7760C" w:rsidRDefault="003663AF" w:rsidP="00E804B7">
            <w:pPr>
              <w:pStyle w:val="Normal6"/>
              <w:rPr>
                <w:sz w:val="20"/>
              </w:rPr>
            </w:pPr>
            <w:r w:rsidRPr="00B7760C">
              <w:rPr>
                <w:sz w:val="20"/>
              </w:rPr>
              <w:t>2024</w:t>
            </w:r>
          </w:p>
        </w:tc>
        <w:tc>
          <w:tcPr>
            <w:tcW w:w="1019" w:type="dxa"/>
            <w:tcBorders>
              <w:top w:val="single" w:sz="4" w:space="0" w:color="auto"/>
              <w:left w:val="single" w:sz="4" w:space="0" w:color="auto"/>
              <w:bottom w:val="single" w:sz="4" w:space="0" w:color="auto"/>
              <w:right w:val="single" w:sz="4" w:space="0" w:color="auto"/>
            </w:tcBorders>
            <w:vAlign w:val="center"/>
            <w:hideMark/>
          </w:tcPr>
          <w:p w14:paraId="03DAAF7B" w14:textId="77777777" w:rsidR="003663AF" w:rsidRPr="00B7760C" w:rsidRDefault="003663AF" w:rsidP="00E804B7">
            <w:pPr>
              <w:pStyle w:val="Normal6"/>
              <w:rPr>
                <w:sz w:val="20"/>
              </w:rPr>
            </w:pPr>
            <w:r w:rsidRPr="00B7760C">
              <w:rPr>
                <w:sz w:val="20"/>
              </w:rPr>
              <w:t>2025</w:t>
            </w:r>
          </w:p>
        </w:tc>
        <w:tc>
          <w:tcPr>
            <w:tcW w:w="880" w:type="dxa"/>
            <w:tcBorders>
              <w:top w:val="single" w:sz="4" w:space="0" w:color="auto"/>
              <w:left w:val="single" w:sz="4" w:space="0" w:color="auto"/>
              <w:bottom w:val="single" w:sz="4" w:space="0" w:color="auto"/>
              <w:right w:val="single" w:sz="4" w:space="0" w:color="auto"/>
            </w:tcBorders>
            <w:vAlign w:val="center"/>
            <w:hideMark/>
          </w:tcPr>
          <w:p w14:paraId="778ABDC6" w14:textId="77777777" w:rsidR="003663AF" w:rsidRPr="00B7760C" w:rsidRDefault="003663AF" w:rsidP="00E804B7">
            <w:pPr>
              <w:pStyle w:val="Normal6"/>
              <w:rPr>
                <w:sz w:val="20"/>
              </w:rPr>
            </w:pPr>
            <w:r w:rsidRPr="00B7760C">
              <w:rPr>
                <w:sz w:val="20"/>
              </w:rPr>
              <w:t>2026</w:t>
            </w:r>
          </w:p>
        </w:tc>
        <w:tc>
          <w:tcPr>
            <w:tcW w:w="1141" w:type="dxa"/>
            <w:tcBorders>
              <w:top w:val="single" w:sz="4" w:space="0" w:color="auto"/>
              <w:left w:val="single" w:sz="4" w:space="0" w:color="auto"/>
              <w:bottom w:val="single" w:sz="4" w:space="0" w:color="auto"/>
              <w:right w:val="single" w:sz="4" w:space="0" w:color="auto"/>
            </w:tcBorders>
            <w:hideMark/>
          </w:tcPr>
          <w:p w14:paraId="209F48B2" w14:textId="77777777" w:rsidR="003663AF" w:rsidRPr="00B7760C" w:rsidRDefault="003663AF" w:rsidP="00E804B7">
            <w:pPr>
              <w:pStyle w:val="Normal6"/>
              <w:rPr>
                <w:sz w:val="20"/>
              </w:rPr>
            </w:pPr>
            <w:r w:rsidRPr="00B7760C">
              <w:rPr>
                <w:sz w:val="20"/>
              </w:rPr>
              <w:t>2027 in naslednja leta</w:t>
            </w:r>
          </w:p>
        </w:tc>
      </w:tr>
      <w:tr w:rsidR="003663AF" w:rsidRPr="00B7760C" w14:paraId="11EEF76F"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4180B497" w14:textId="77777777" w:rsidR="003663AF" w:rsidRPr="00B7760C" w:rsidRDefault="003663AF" w:rsidP="00E804B7">
            <w:pPr>
              <w:pStyle w:val="Normal6"/>
              <w:rPr>
                <w:sz w:val="20"/>
              </w:rPr>
            </w:pPr>
            <w:r w:rsidRPr="00B7760C">
              <w:rPr>
                <w:sz w:val="20"/>
              </w:rPr>
              <w:t>Belgija</w:t>
            </w:r>
          </w:p>
        </w:tc>
        <w:tc>
          <w:tcPr>
            <w:tcW w:w="999" w:type="dxa"/>
            <w:tcBorders>
              <w:top w:val="single" w:sz="4" w:space="0" w:color="auto"/>
              <w:left w:val="single" w:sz="4" w:space="0" w:color="auto"/>
              <w:bottom w:val="single" w:sz="4" w:space="0" w:color="auto"/>
              <w:right w:val="single" w:sz="4" w:space="0" w:color="auto"/>
            </w:tcBorders>
            <w:vAlign w:val="center"/>
            <w:hideMark/>
          </w:tcPr>
          <w:p w14:paraId="019CDD80" w14:textId="77777777" w:rsidR="003663AF" w:rsidRPr="00B7760C" w:rsidRDefault="003663AF" w:rsidP="00E804B7">
            <w:pPr>
              <w:pStyle w:val="Normal6"/>
              <w:jc w:val="right"/>
              <w:rPr>
                <w:b/>
                <w:i/>
                <w:sz w:val="20"/>
              </w:rPr>
            </w:pPr>
            <w:r w:rsidRPr="00B7760C">
              <w:rPr>
                <w:b/>
                <w:i/>
                <w:sz w:val="20"/>
              </w:rPr>
              <w:t>485 603 954</w:t>
            </w:r>
          </w:p>
        </w:tc>
        <w:tc>
          <w:tcPr>
            <w:tcW w:w="900" w:type="dxa"/>
            <w:tcBorders>
              <w:top w:val="single" w:sz="4" w:space="0" w:color="auto"/>
              <w:left w:val="single" w:sz="4" w:space="0" w:color="auto"/>
              <w:bottom w:val="single" w:sz="4" w:space="0" w:color="auto"/>
              <w:right w:val="single" w:sz="4" w:space="0" w:color="auto"/>
            </w:tcBorders>
            <w:vAlign w:val="center"/>
            <w:hideMark/>
          </w:tcPr>
          <w:p w14:paraId="79EA2667" w14:textId="77777777" w:rsidR="003663AF" w:rsidRPr="00B7760C" w:rsidRDefault="003663AF" w:rsidP="00E804B7">
            <w:pPr>
              <w:pStyle w:val="Normal6"/>
              <w:jc w:val="right"/>
              <w:rPr>
                <w:b/>
                <w:i/>
                <w:sz w:val="20"/>
              </w:rPr>
            </w:pPr>
            <w:r w:rsidRPr="00B7760C">
              <w:rPr>
                <w:b/>
                <w:i/>
                <w:sz w:val="20"/>
              </w:rPr>
              <w:t>485 603 954</w:t>
            </w:r>
          </w:p>
        </w:tc>
        <w:tc>
          <w:tcPr>
            <w:tcW w:w="1019" w:type="dxa"/>
            <w:tcBorders>
              <w:top w:val="single" w:sz="4" w:space="0" w:color="auto"/>
              <w:left w:val="single" w:sz="4" w:space="0" w:color="auto"/>
              <w:bottom w:val="single" w:sz="4" w:space="0" w:color="auto"/>
              <w:right w:val="single" w:sz="4" w:space="0" w:color="auto"/>
            </w:tcBorders>
            <w:vAlign w:val="center"/>
            <w:hideMark/>
          </w:tcPr>
          <w:p w14:paraId="26D03262" w14:textId="77777777" w:rsidR="003663AF" w:rsidRPr="00B7760C" w:rsidRDefault="003663AF" w:rsidP="00E804B7">
            <w:pPr>
              <w:pStyle w:val="Normal6"/>
              <w:jc w:val="right"/>
              <w:rPr>
                <w:b/>
                <w:i/>
                <w:sz w:val="20"/>
              </w:rPr>
            </w:pPr>
            <w:r w:rsidRPr="00B7760C">
              <w:rPr>
                <w:b/>
                <w:i/>
                <w:sz w:val="20"/>
              </w:rPr>
              <w:t>485 603 954</w:t>
            </w:r>
          </w:p>
        </w:tc>
        <w:tc>
          <w:tcPr>
            <w:tcW w:w="1019" w:type="dxa"/>
            <w:tcBorders>
              <w:top w:val="single" w:sz="4" w:space="0" w:color="auto"/>
              <w:left w:val="single" w:sz="4" w:space="0" w:color="auto"/>
              <w:bottom w:val="single" w:sz="4" w:space="0" w:color="auto"/>
              <w:right w:val="single" w:sz="4" w:space="0" w:color="auto"/>
            </w:tcBorders>
            <w:vAlign w:val="center"/>
            <w:hideMark/>
          </w:tcPr>
          <w:p w14:paraId="1C29AD73" w14:textId="77777777" w:rsidR="003663AF" w:rsidRPr="00B7760C" w:rsidRDefault="003663AF" w:rsidP="00E804B7">
            <w:pPr>
              <w:pStyle w:val="Normal6"/>
              <w:jc w:val="right"/>
              <w:rPr>
                <w:b/>
                <w:i/>
                <w:sz w:val="20"/>
              </w:rPr>
            </w:pPr>
            <w:r w:rsidRPr="00B7760C">
              <w:rPr>
                <w:b/>
                <w:i/>
                <w:sz w:val="20"/>
              </w:rPr>
              <w:t>485 603 954</w:t>
            </w:r>
          </w:p>
        </w:tc>
        <w:tc>
          <w:tcPr>
            <w:tcW w:w="1019" w:type="dxa"/>
            <w:tcBorders>
              <w:top w:val="single" w:sz="4" w:space="0" w:color="auto"/>
              <w:left w:val="single" w:sz="4" w:space="0" w:color="auto"/>
              <w:bottom w:val="single" w:sz="4" w:space="0" w:color="auto"/>
              <w:right w:val="single" w:sz="4" w:space="0" w:color="auto"/>
            </w:tcBorders>
            <w:vAlign w:val="center"/>
            <w:hideMark/>
          </w:tcPr>
          <w:p w14:paraId="05EFD213" w14:textId="77777777" w:rsidR="003663AF" w:rsidRPr="00B7760C" w:rsidRDefault="003663AF" w:rsidP="00E804B7">
            <w:pPr>
              <w:pStyle w:val="Normal6"/>
              <w:jc w:val="right"/>
              <w:rPr>
                <w:b/>
                <w:i/>
                <w:sz w:val="20"/>
              </w:rPr>
            </w:pPr>
            <w:r w:rsidRPr="00B7760C">
              <w:rPr>
                <w:b/>
                <w:i/>
                <w:sz w:val="20"/>
              </w:rPr>
              <w:t>485 603 954</w:t>
            </w:r>
          </w:p>
        </w:tc>
        <w:tc>
          <w:tcPr>
            <w:tcW w:w="880" w:type="dxa"/>
            <w:tcBorders>
              <w:top w:val="single" w:sz="4" w:space="0" w:color="auto"/>
              <w:left w:val="single" w:sz="4" w:space="0" w:color="auto"/>
              <w:bottom w:val="single" w:sz="4" w:space="0" w:color="auto"/>
              <w:right w:val="single" w:sz="4" w:space="0" w:color="auto"/>
            </w:tcBorders>
            <w:vAlign w:val="center"/>
            <w:hideMark/>
          </w:tcPr>
          <w:p w14:paraId="5C5AC658" w14:textId="77777777" w:rsidR="003663AF" w:rsidRPr="00B7760C" w:rsidRDefault="003663AF" w:rsidP="00E804B7">
            <w:pPr>
              <w:pStyle w:val="Normal6"/>
              <w:jc w:val="right"/>
              <w:rPr>
                <w:b/>
                <w:i/>
                <w:sz w:val="20"/>
              </w:rPr>
            </w:pPr>
            <w:r w:rsidRPr="00B7760C">
              <w:rPr>
                <w:b/>
                <w:i/>
                <w:sz w:val="20"/>
              </w:rPr>
              <w:t>485 603 954</w:t>
            </w:r>
          </w:p>
        </w:tc>
        <w:tc>
          <w:tcPr>
            <w:tcW w:w="1141" w:type="dxa"/>
            <w:tcBorders>
              <w:top w:val="single" w:sz="4" w:space="0" w:color="auto"/>
              <w:left w:val="single" w:sz="4" w:space="0" w:color="auto"/>
              <w:bottom w:val="single" w:sz="4" w:space="0" w:color="auto"/>
              <w:right w:val="single" w:sz="4" w:space="0" w:color="auto"/>
            </w:tcBorders>
            <w:vAlign w:val="center"/>
            <w:hideMark/>
          </w:tcPr>
          <w:p w14:paraId="2177F497" w14:textId="77777777" w:rsidR="003663AF" w:rsidRPr="00B7760C" w:rsidRDefault="003663AF" w:rsidP="00E804B7">
            <w:pPr>
              <w:pStyle w:val="Normal6"/>
              <w:jc w:val="right"/>
              <w:rPr>
                <w:b/>
                <w:i/>
                <w:sz w:val="20"/>
              </w:rPr>
            </w:pPr>
            <w:r w:rsidRPr="00B7760C">
              <w:rPr>
                <w:b/>
                <w:i/>
                <w:sz w:val="20"/>
              </w:rPr>
              <w:t>485 603 954</w:t>
            </w:r>
          </w:p>
        </w:tc>
      </w:tr>
      <w:tr w:rsidR="003663AF" w:rsidRPr="00B7760C" w14:paraId="6B9FE25D"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1797281B" w14:textId="77777777" w:rsidR="003663AF" w:rsidRPr="00B7760C" w:rsidRDefault="003663AF" w:rsidP="00E804B7">
            <w:pPr>
              <w:pStyle w:val="Normal6"/>
              <w:rPr>
                <w:sz w:val="20"/>
              </w:rPr>
            </w:pPr>
            <w:r w:rsidRPr="00B7760C">
              <w:rPr>
                <w:sz w:val="20"/>
              </w:rPr>
              <w:t>Bolgarija</w:t>
            </w:r>
          </w:p>
        </w:tc>
        <w:tc>
          <w:tcPr>
            <w:tcW w:w="999" w:type="dxa"/>
            <w:tcBorders>
              <w:top w:val="single" w:sz="4" w:space="0" w:color="auto"/>
              <w:left w:val="single" w:sz="4" w:space="0" w:color="auto"/>
              <w:bottom w:val="single" w:sz="4" w:space="0" w:color="auto"/>
              <w:right w:val="single" w:sz="4" w:space="0" w:color="auto"/>
            </w:tcBorders>
            <w:vAlign w:val="center"/>
            <w:hideMark/>
          </w:tcPr>
          <w:p w14:paraId="1CEA51ED" w14:textId="77777777" w:rsidR="003663AF" w:rsidRPr="00B7760C" w:rsidRDefault="003663AF" w:rsidP="00E804B7">
            <w:pPr>
              <w:pStyle w:val="Normal6"/>
              <w:jc w:val="right"/>
              <w:rPr>
                <w:b/>
                <w:i/>
                <w:sz w:val="20"/>
              </w:rPr>
            </w:pPr>
            <w:r w:rsidRPr="00B7760C">
              <w:rPr>
                <w:b/>
                <w:i/>
                <w:sz w:val="20"/>
              </w:rPr>
              <w:t>776 281 570</w:t>
            </w:r>
          </w:p>
        </w:tc>
        <w:tc>
          <w:tcPr>
            <w:tcW w:w="900" w:type="dxa"/>
            <w:tcBorders>
              <w:top w:val="single" w:sz="4" w:space="0" w:color="auto"/>
              <w:left w:val="single" w:sz="4" w:space="0" w:color="auto"/>
              <w:bottom w:val="single" w:sz="4" w:space="0" w:color="auto"/>
              <w:right w:val="single" w:sz="4" w:space="0" w:color="auto"/>
            </w:tcBorders>
            <w:vAlign w:val="center"/>
            <w:hideMark/>
          </w:tcPr>
          <w:p w14:paraId="6455BAD3" w14:textId="77777777" w:rsidR="003663AF" w:rsidRPr="00B7760C" w:rsidRDefault="003663AF" w:rsidP="00E804B7">
            <w:pPr>
              <w:pStyle w:val="Normal6"/>
              <w:jc w:val="right"/>
              <w:rPr>
                <w:b/>
                <w:i/>
                <w:sz w:val="20"/>
              </w:rPr>
            </w:pPr>
            <w:r w:rsidRPr="00B7760C">
              <w:rPr>
                <w:b/>
                <w:i/>
                <w:sz w:val="20"/>
              </w:rPr>
              <w:t>784 748 620</w:t>
            </w:r>
          </w:p>
        </w:tc>
        <w:tc>
          <w:tcPr>
            <w:tcW w:w="1019" w:type="dxa"/>
            <w:tcBorders>
              <w:top w:val="single" w:sz="4" w:space="0" w:color="auto"/>
              <w:left w:val="single" w:sz="4" w:space="0" w:color="auto"/>
              <w:bottom w:val="single" w:sz="4" w:space="0" w:color="auto"/>
              <w:right w:val="single" w:sz="4" w:space="0" w:color="auto"/>
            </w:tcBorders>
            <w:vAlign w:val="center"/>
            <w:hideMark/>
          </w:tcPr>
          <w:p w14:paraId="47ED26AA" w14:textId="77777777" w:rsidR="003663AF" w:rsidRPr="00B7760C" w:rsidRDefault="003663AF" w:rsidP="00E804B7">
            <w:pPr>
              <w:pStyle w:val="Normal6"/>
              <w:jc w:val="right"/>
              <w:rPr>
                <w:b/>
                <w:i/>
                <w:sz w:val="20"/>
              </w:rPr>
            </w:pPr>
            <w:r w:rsidRPr="00B7760C">
              <w:rPr>
                <w:b/>
                <w:i/>
                <w:sz w:val="20"/>
              </w:rPr>
              <w:t>793 215 670</w:t>
            </w:r>
          </w:p>
        </w:tc>
        <w:tc>
          <w:tcPr>
            <w:tcW w:w="1019" w:type="dxa"/>
            <w:tcBorders>
              <w:top w:val="single" w:sz="4" w:space="0" w:color="auto"/>
              <w:left w:val="single" w:sz="4" w:space="0" w:color="auto"/>
              <w:bottom w:val="single" w:sz="4" w:space="0" w:color="auto"/>
              <w:right w:val="single" w:sz="4" w:space="0" w:color="auto"/>
            </w:tcBorders>
            <w:vAlign w:val="center"/>
            <w:hideMark/>
          </w:tcPr>
          <w:p w14:paraId="6FF124D1" w14:textId="77777777" w:rsidR="003663AF" w:rsidRPr="00B7760C" w:rsidRDefault="003663AF" w:rsidP="00E804B7">
            <w:pPr>
              <w:pStyle w:val="Normal6"/>
              <w:jc w:val="right"/>
              <w:rPr>
                <w:b/>
                <w:i/>
                <w:sz w:val="20"/>
              </w:rPr>
            </w:pPr>
            <w:r w:rsidRPr="00B7760C">
              <w:rPr>
                <w:b/>
                <w:i/>
                <w:sz w:val="20"/>
              </w:rPr>
              <w:t>801 682 719</w:t>
            </w:r>
          </w:p>
        </w:tc>
        <w:tc>
          <w:tcPr>
            <w:tcW w:w="1019" w:type="dxa"/>
            <w:tcBorders>
              <w:top w:val="single" w:sz="4" w:space="0" w:color="auto"/>
              <w:left w:val="single" w:sz="4" w:space="0" w:color="auto"/>
              <w:bottom w:val="single" w:sz="4" w:space="0" w:color="auto"/>
              <w:right w:val="single" w:sz="4" w:space="0" w:color="auto"/>
            </w:tcBorders>
            <w:vAlign w:val="center"/>
            <w:hideMark/>
          </w:tcPr>
          <w:p w14:paraId="111E56B2" w14:textId="77777777" w:rsidR="003663AF" w:rsidRPr="00B7760C" w:rsidRDefault="003663AF" w:rsidP="00E804B7">
            <w:pPr>
              <w:pStyle w:val="Normal6"/>
              <w:jc w:val="right"/>
              <w:rPr>
                <w:b/>
                <w:i/>
                <w:sz w:val="20"/>
              </w:rPr>
            </w:pPr>
            <w:r w:rsidRPr="00B7760C">
              <w:rPr>
                <w:b/>
                <w:i/>
                <w:sz w:val="20"/>
              </w:rPr>
              <w:t>810 149 769</w:t>
            </w:r>
          </w:p>
        </w:tc>
        <w:tc>
          <w:tcPr>
            <w:tcW w:w="880" w:type="dxa"/>
            <w:tcBorders>
              <w:top w:val="single" w:sz="4" w:space="0" w:color="auto"/>
              <w:left w:val="single" w:sz="4" w:space="0" w:color="auto"/>
              <w:bottom w:val="single" w:sz="4" w:space="0" w:color="auto"/>
              <w:right w:val="single" w:sz="4" w:space="0" w:color="auto"/>
            </w:tcBorders>
            <w:vAlign w:val="center"/>
            <w:hideMark/>
          </w:tcPr>
          <w:p w14:paraId="53F0AC60" w14:textId="77777777" w:rsidR="003663AF" w:rsidRPr="00B7760C" w:rsidRDefault="003663AF" w:rsidP="00E804B7">
            <w:pPr>
              <w:pStyle w:val="Normal6"/>
              <w:jc w:val="right"/>
              <w:rPr>
                <w:b/>
                <w:i/>
                <w:sz w:val="20"/>
              </w:rPr>
            </w:pPr>
            <w:r w:rsidRPr="00B7760C">
              <w:rPr>
                <w:b/>
                <w:i/>
                <w:sz w:val="20"/>
              </w:rPr>
              <w:t>818 616 819</w:t>
            </w:r>
          </w:p>
        </w:tc>
        <w:tc>
          <w:tcPr>
            <w:tcW w:w="1141" w:type="dxa"/>
            <w:tcBorders>
              <w:top w:val="single" w:sz="4" w:space="0" w:color="auto"/>
              <w:left w:val="single" w:sz="4" w:space="0" w:color="auto"/>
              <w:bottom w:val="single" w:sz="4" w:space="0" w:color="auto"/>
              <w:right w:val="single" w:sz="4" w:space="0" w:color="auto"/>
            </w:tcBorders>
            <w:vAlign w:val="center"/>
            <w:hideMark/>
          </w:tcPr>
          <w:p w14:paraId="5311C42D" w14:textId="77777777" w:rsidR="003663AF" w:rsidRPr="00B7760C" w:rsidRDefault="003663AF" w:rsidP="00E804B7">
            <w:pPr>
              <w:pStyle w:val="Normal6"/>
              <w:jc w:val="right"/>
              <w:rPr>
                <w:b/>
                <w:i/>
                <w:sz w:val="20"/>
              </w:rPr>
            </w:pPr>
            <w:r w:rsidRPr="00B7760C">
              <w:rPr>
                <w:b/>
                <w:i/>
                <w:sz w:val="20"/>
              </w:rPr>
              <w:t>818 616 819</w:t>
            </w:r>
          </w:p>
        </w:tc>
      </w:tr>
      <w:tr w:rsidR="003663AF" w:rsidRPr="00B7760C" w14:paraId="2F5CC8EE" w14:textId="77777777" w:rsidTr="00E804B7">
        <w:trPr>
          <w:cantSplit/>
          <w:trHeight w:val="497"/>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6FBBF8D4" w14:textId="77777777" w:rsidR="003663AF" w:rsidRPr="00B7760C" w:rsidRDefault="003663AF" w:rsidP="00E804B7">
            <w:pPr>
              <w:pStyle w:val="Normal6"/>
              <w:rPr>
                <w:sz w:val="20"/>
              </w:rPr>
            </w:pPr>
            <w:r w:rsidRPr="00B7760C">
              <w:rPr>
                <w:sz w:val="20"/>
              </w:rPr>
              <w:t>Češka</w:t>
            </w:r>
          </w:p>
        </w:tc>
        <w:tc>
          <w:tcPr>
            <w:tcW w:w="999" w:type="dxa"/>
            <w:tcBorders>
              <w:top w:val="single" w:sz="4" w:space="0" w:color="auto"/>
              <w:left w:val="single" w:sz="4" w:space="0" w:color="auto"/>
              <w:bottom w:val="single" w:sz="4" w:space="0" w:color="auto"/>
              <w:right w:val="single" w:sz="4" w:space="0" w:color="auto"/>
            </w:tcBorders>
            <w:vAlign w:val="center"/>
            <w:hideMark/>
          </w:tcPr>
          <w:p w14:paraId="1945BE5A" w14:textId="77777777" w:rsidR="003663AF" w:rsidRPr="00B7760C" w:rsidRDefault="003663AF" w:rsidP="00E804B7">
            <w:pPr>
              <w:pStyle w:val="Normal6"/>
              <w:jc w:val="right"/>
              <w:rPr>
                <w:b/>
                <w:i/>
                <w:sz w:val="20"/>
              </w:rPr>
            </w:pPr>
            <w:r w:rsidRPr="00B7760C">
              <w:rPr>
                <w:b/>
                <w:i/>
                <w:sz w:val="20"/>
              </w:rPr>
              <w:t>838 844 295</w:t>
            </w:r>
          </w:p>
        </w:tc>
        <w:tc>
          <w:tcPr>
            <w:tcW w:w="900" w:type="dxa"/>
            <w:tcBorders>
              <w:top w:val="single" w:sz="4" w:space="0" w:color="auto"/>
              <w:left w:val="single" w:sz="4" w:space="0" w:color="auto"/>
              <w:bottom w:val="single" w:sz="4" w:space="0" w:color="auto"/>
              <w:right w:val="single" w:sz="4" w:space="0" w:color="auto"/>
            </w:tcBorders>
            <w:vAlign w:val="center"/>
            <w:hideMark/>
          </w:tcPr>
          <w:p w14:paraId="23A43460" w14:textId="77777777" w:rsidR="003663AF" w:rsidRPr="00B7760C" w:rsidRDefault="003663AF" w:rsidP="00E804B7">
            <w:pPr>
              <w:pStyle w:val="Normal6"/>
              <w:jc w:val="right"/>
              <w:rPr>
                <w:b/>
                <w:i/>
                <w:sz w:val="20"/>
              </w:rPr>
            </w:pPr>
            <w:r w:rsidRPr="00B7760C">
              <w:rPr>
                <w:b/>
                <w:i/>
                <w:sz w:val="20"/>
              </w:rPr>
              <w:t>838 844 295</w:t>
            </w:r>
          </w:p>
        </w:tc>
        <w:tc>
          <w:tcPr>
            <w:tcW w:w="1019" w:type="dxa"/>
            <w:tcBorders>
              <w:top w:val="single" w:sz="4" w:space="0" w:color="auto"/>
              <w:left w:val="single" w:sz="4" w:space="0" w:color="auto"/>
              <w:bottom w:val="single" w:sz="4" w:space="0" w:color="auto"/>
              <w:right w:val="single" w:sz="4" w:space="0" w:color="auto"/>
            </w:tcBorders>
            <w:vAlign w:val="center"/>
            <w:hideMark/>
          </w:tcPr>
          <w:p w14:paraId="6D7A0AC2" w14:textId="77777777" w:rsidR="003663AF" w:rsidRPr="00B7760C" w:rsidRDefault="003663AF" w:rsidP="00E804B7">
            <w:pPr>
              <w:pStyle w:val="Normal6"/>
              <w:jc w:val="right"/>
              <w:rPr>
                <w:b/>
                <w:i/>
                <w:sz w:val="20"/>
              </w:rPr>
            </w:pPr>
            <w:r w:rsidRPr="00B7760C">
              <w:rPr>
                <w:b/>
                <w:i/>
                <w:sz w:val="20"/>
              </w:rPr>
              <w:t>838 844 295</w:t>
            </w:r>
          </w:p>
        </w:tc>
        <w:tc>
          <w:tcPr>
            <w:tcW w:w="1019" w:type="dxa"/>
            <w:tcBorders>
              <w:top w:val="single" w:sz="4" w:space="0" w:color="auto"/>
              <w:left w:val="single" w:sz="4" w:space="0" w:color="auto"/>
              <w:bottom w:val="single" w:sz="4" w:space="0" w:color="auto"/>
              <w:right w:val="single" w:sz="4" w:space="0" w:color="auto"/>
            </w:tcBorders>
            <w:vAlign w:val="center"/>
            <w:hideMark/>
          </w:tcPr>
          <w:p w14:paraId="7DFBA40B" w14:textId="77777777" w:rsidR="003663AF" w:rsidRPr="00B7760C" w:rsidRDefault="003663AF" w:rsidP="00E804B7">
            <w:pPr>
              <w:pStyle w:val="Normal6"/>
              <w:jc w:val="right"/>
              <w:rPr>
                <w:b/>
                <w:i/>
                <w:sz w:val="20"/>
              </w:rPr>
            </w:pPr>
            <w:r w:rsidRPr="00B7760C">
              <w:rPr>
                <w:b/>
                <w:i/>
                <w:sz w:val="20"/>
              </w:rPr>
              <w:t>838 844 295</w:t>
            </w:r>
          </w:p>
        </w:tc>
        <w:tc>
          <w:tcPr>
            <w:tcW w:w="1019" w:type="dxa"/>
            <w:tcBorders>
              <w:top w:val="single" w:sz="4" w:space="0" w:color="auto"/>
              <w:left w:val="single" w:sz="4" w:space="0" w:color="auto"/>
              <w:bottom w:val="single" w:sz="4" w:space="0" w:color="auto"/>
              <w:right w:val="single" w:sz="4" w:space="0" w:color="auto"/>
            </w:tcBorders>
            <w:vAlign w:val="center"/>
            <w:hideMark/>
          </w:tcPr>
          <w:p w14:paraId="39D125AB" w14:textId="77777777" w:rsidR="003663AF" w:rsidRPr="00B7760C" w:rsidRDefault="003663AF" w:rsidP="00E804B7">
            <w:pPr>
              <w:pStyle w:val="Normal6"/>
              <w:jc w:val="right"/>
              <w:rPr>
                <w:b/>
                <w:i/>
                <w:sz w:val="20"/>
              </w:rPr>
            </w:pPr>
            <w:r w:rsidRPr="00B7760C">
              <w:rPr>
                <w:b/>
                <w:i/>
                <w:sz w:val="20"/>
              </w:rPr>
              <w:t>838 844 295</w:t>
            </w:r>
          </w:p>
        </w:tc>
        <w:tc>
          <w:tcPr>
            <w:tcW w:w="880" w:type="dxa"/>
            <w:tcBorders>
              <w:top w:val="single" w:sz="4" w:space="0" w:color="auto"/>
              <w:left w:val="single" w:sz="4" w:space="0" w:color="auto"/>
              <w:bottom w:val="single" w:sz="4" w:space="0" w:color="auto"/>
              <w:right w:val="single" w:sz="4" w:space="0" w:color="auto"/>
            </w:tcBorders>
            <w:vAlign w:val="center"/>
            <w:hideMark/>
          </w:tcPr>
          <w:p w14:paraId="279EEBB6" w14:textId="77777777" w:rsidR="003663AF" w:rsidRPr="00B7760C" w:rsidRDefault="003663AF" w:rsidP="00E804B7">
            <w:pPr>
              <w:pStyle w:val="Normal6"/>
              <w:jc w:val="right"/>
              <w:rPr>
                <w:b/>
                <w:i/>
                <w:sz w:val="20"/>
              </w:rPr>
            </w:pPr>
            <w:r w:rsidRPr="00B7760C">
              <w:rPr>
                <w:b/>
                <w:i/>
                <w:sz w:val="20"/>
              </w:rPr>
              <w:t>838 844 295</w:t>
            </w:r>
          </w:p>
        </w:tc>
        <w:tc>
          <w:tcPr>
            <w:tcW w:w="1141" w:type="dxa"/>
            <w:tcBorders>
              <w:top w:val="single" w:sz="4" w:space="0" w:color="auto"/>
              <w:left w:val="single" w:sz="4" w:space="0" w:color="auto"/>
              <w:bottom w:val="single" w:sz="4" w:space="0" w:color="auto"/>
              <w:right w:val="single" w:sz="4" w:space="0" w:color="auto"/>
            </w:tcBorders>
            <w:vAlign w:val="center"/>
            <w:hideMark/>
          </w:tcPr>
          <w:p w14:paraId="16C56FC0" w14:textId="77777777" w:rsidR="003663AF" w:rsidRPr="00B7760C" w:rsidRDefault="003663AF" w:rsidP="00E804B7">
            <w:pPr>
              <w:pStyle w:val="Normal6"/>
              <w:jc w:val="right"/>
              <w:rPr>
                <w:b/>
                <w:i/>
                <w:sz w:val="20"/>
              </w:rPr>
            </w:pPr>
            <w:r w:rsidRPr="00B7760C">
              <w:rPr>
                <w:b/>
                <w:i/>
                <w:sz w:val="20"/>
              </w:rPr>
              <w:t>838 844 295</w:t>
            </w:r>
          </w:p>
        </w:tc>
      </w:tr>
      <w:tr w:rsidR="003663AF" w:rsidRPr="00B7760C" w14:paraId="082DC1F9"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1595246F" w14:textId="77777777" w:rsidR="003663AF" w:rsidRPr="00B7760C" w:rsidRDefault="003663AF" w:rsidP="00E804B7">
            <w:pPr>
              <w:pStyle w:val="Normal6"/>
              <w:rPr>
                <w:sz w:val="20"/>
              </w:rPr>
            </w:pPr>
            <w:r w:rsidRPr="00B7760C">
              <w:rPr>
                <w:sz w:val="20"/>
              </w:rPr>
              <w:t>Danska</w:t>
            </w:r>
          </w:p>
        </w:tc>
        <w:tc>
          <w:tcPr>
            <w:tcW w:w="999" w:type="dxa"/>
            <w:tcBorders>
              <w:top w:val="single" w:sz="4" w:space="0" w:color="auto"/>
              <w:left w:val="single" w:sz="4" w:space="0" w:color="auto"/>
              <w:bottom w:val="single" w:sz="4" w:space="0" w:color="auto"/>
              <w:right w:val="single" w:sz="4" w:space="0" w:color="auto"/>
            </w:tcBorders>
            <w:vAlign w:val="center"/>
            <w:hideMark/>
          </w:tcPr>
          <w:p w14:paraId="15A3853A" w14:textId="77777777" w:rsidR="003663AF" w:rsidRPr="00B7760C" w:rsidRDefault="003663AF" w:rsidP="00E804B7">
            <w:pPr>
              <w:pStyle w:val="Normal6"/>
              <w:jc w:val="right"/>
              <w:rPr>
                <w:b/>
                <w:i/>
                <w:sz w:val="20"/>
              </w:rPr>
            </w:pPr>
            <w:r w:rsidRPr="00B7760C">
              <w:rPr>
                <w:b/>
                <w:i/>
                <w:sz w:val="20"/>
              </w:rPr>
              <w:t>846 124 520</w:t>
            </w:r>
          </w:p>
        </w:tc>
        <w:tc>
          <w:tcPr>
            <w:tcW w:w="900" w:type="dxa"/>
            <w:tcBorders>
              <w:top w:val="single" w:sz="4" w:space="0" w:color="auto"/>
              <w:left w:val="single" w:sz="4" w:space="0" w:color="auto"/>
              <w:bottom w:val="single" w:sz="4" w:space="0" w:color="auto"/>
              <w:right w:val="single" w:sz="4" w:space="0" w:color="auto"/>
            </w:tcBorders>
            <w:vAlign w:val="center"/>
            <w:hideMark/>
          </w:tcPr>
          <w:p w14:paraId="3D3ABFD0" w14:textId="77777777" w:rsidR="003663AF" w:rsidRPr="00B7760C" w:rsidRDefault="003663AF" w:rsidP="00E804B7">
            <w:pPr>
              <w:pStyle w:val="Normal6"/>
              <w:jc w:val="right"/>
              <w:rPr>
                <w:b/>
                <w:i/>
                <w:sz w:val="20"/>
              </w:rPr>
            </w:pPr>
            <w:r w:rsidRPr="00B7760C">
              <w:rPr>
                <w:b/>
                <w:i/>
                <w:sz w:val="20"/>
              </w:rPr>
              <w:t>846 124 520</w:t>
            </w:r>
          </w:p>
        </w:tc>
        <w:tc>
          <w:tcPr>
            <w:tcW w:w="1019" w:type="dxa"/>
            <w:tcBorders>
              <w:top w:val="single" w:sz="4" w:space="0" w:color="auto"/>
              <w:left w:val="single" w:sz="4" w:space="0" w:color="auto"/>
              <w:bottom w:val="single" w:sz="4" w:space="0" w:color="auto"/>
              <w:right w:val="single" w:sz="4" w:space="0" w:color="auto"/>
            </w:tcBorders>
            <w:vAlign w:val="center"/>
            <w:hideMark/>
          </w:tcPr>
          <w:p w14:paraId="11DD5BD1" w14:textId="77777777" w:rsidR="003663AF" w:rsidRPr="00B7760C" w:rsidRDefault="003663AF" w:rsidP="00E804B7">
            <w:pPr>
              <w:pStyle w:val="Normal6"/>
              <w:jc w:val="right"/>
              <w:rPr>
                <w:b/>
                <w:i/>
                <w:sz w:val="20"/>
              </w:rPr>
            </w:pPr>
            <w:r w:rsidRPr="00B7760C">
              <w:rPr>
                <w:b/>
                <w:i/>
                <w:sz w:val="20"/>
              </w:rPr>
              <w:t>846 124 520</w:t>
            </w:r>
          </w:p>
        </w:tc>
        <w:tc>
          <w:tcPr>
            <w:tcW w:w="1019" w:type="dxa"/>
            <w:tcBorders>
              <w:top w:val="single" w:sz="4" w:space="0" w:color="auto"/>
              <w:left w:val="single" w:sz="4" w:space="0" w:color="auto"/>
              <w:bottom w:val="single" w:sz="4" w:space="0" w:color="auto"/>
              <w:right w:val="single" w:sz="4" w:space="0" w:color="auto"/>
            </w:tcBorders>
            <w:vAlign w:val="center"/>
            <w:hideMark/>
          </w:tcPr>
          <w:p w14:paraId="74181ED0" w14:textId="77777777" w:rsidR="003663AF" w:rsidRPr="00B7760C" w:rsidRDefault="003663AF" w:rsidP="00E804B7">
            <w:pPr>
              <w:pStyle w:val="Normal6"/>
              <w:jc w:val="right"/>
              <w:rPr>
                <w:b/>
                <w:i/>
                <w:sz w:val="20"/>
              </w:rPr>
            </w:pPr>
            <w:r w:rsidRPr="00B7760C">
              <w:rPr>
                <w:b/>
                <w:i/>
                <w:sz w:val="20"/>
              </w:rPr>
              <w:t>846 124 520</w:t>
            </w:r>
          </w:p>
        </w:tc>
        <w:tc>
          <w:tcPr>
            <w:tcW w:w="1019" w:type="dxa"/>
            <w:tcBorders>
              <w:top w:val="single" w:sz="4" w:space="0" w:color="auto"/>
              <w:left w:val="single" w:sz="4" w:space="0" w:color="auto"/>
              <w:bottom w:val="single" w:sz="4" w:space="0" w:color="auto"/>
              <w:right w:val="single" w:sz="4" w:space="0" w:color="auto"/>
            </w:tcBorders>
            <w:vAlign w:val="center"/>
            <w:hideMark/>
          </w:tcPr>
          <w:p w14:paraId="5C63131D" w14:textId="77777777" w:rsidR="003663AF" w:rsidRPr="00B7760C" w:rsidRDefault="003663AF" w:rsidP="00E804B7">
            <w:pPr>
              <w:pStyle w:val="Normal6"/>
              <w:jc w:val="right"/>
              <w:rPr>
                <w:b/>
                <w:i/>
                <w:sz w:val="20"/>
              </w:rPr>
            </w:pPr>
            <w:r w:rsidRPr="00B7760C">
              <w:rPr>
                <w:b/>
                <w:i/>
                <w:sz w:val="20"/>
              </w:rPr>
              <w:t>846 124 520</w:t>
            </w:r>
          </w:p>
        </w:tc>
        <w:tc>
          <w:tcPr>
            <w:tcW w:w="880" w:type="dxa"/>
            <w:tcBorders>
              <w:top w:val="single" w:sz="4" w:space="0" w:color="auto"/>
              <w:left w:val="single" w:sz="4" w:space="0" w:color="auto"/>
              <w:bottom w:val="single" w:sz="4" w:space="0" w:color="auto"/>
              <w:right w:val="single" w:sz="4" w:space="0" w:color="auto"/>
            </w:tcBorders>
            <w:vAlign w:val="center"/>
            <w:hideMark/>
          </w:tcPr>
          <w:p w14:paraId="5FE11B9F" w14:textId="77777777" w:rsidR="003663AF" w:rsidRPr="00B7760C" w:rsidRDefault="003663AF" w:rsidP="00E804B7">
            <w:pPr>
              <w:pStyle w:val="Normal6"/>
              <w:jc w:val="right"/>
              <w:rPr>
                <w:b/>
                <w:i/>
                <w:sz w:val="20"/>
              </w:rPr>
            </w:pPr>
            <w:r w:rsidRPr="00B7760C">
              <w:rPr>
                <w:b/>
                <w:i/>
                <w:sz w:val="20"/>
              </w:rPr>
              <w:t>846 124 520</w:t>
            </w:r>
          </w:p>
        </w:tc>
        <w:tc>
          <w:tcPr>
            <w:tcW w:w="1141" w:type="dxa"/>
            <w:tcBorders>
              <w:top w:val="single" w:sz="4" w:space="0" w:color="auto"/>
              <w:left w:val="single" w:sz="4" w:space="0" w:color="auto"/>
              <w:bottom w:val="single" w:sz="4" w:space="0" w:color="auto"/>
              <w:right w:val="single" w:sz="4" w:space="0" w:color="auto"/>
            </w:tcBorders>
            <w:vAlign w:val="center"/>
            <w:hideMark/>
          </w:tcPr>
          <w:p w14:paraId="59ED85AA" w14:textId="77777777" w:rsidR="003663AF" w:rsidRPr="00B7760C" w:rsidRDefault="003663AF" w:rsidP="00E804B7">
            <w:pPr>
              <w:pStyle w:val="Normal6"/>
              <w:jc w:val="right"/>
              <w:rPr>
                <w:b/>
                <w:i/>
                <w:sz w:val="20"/>
              </w:rPr>
            </w:pPr>
            <w:r w:rsidRPr="00B7760C">
              <w:rPr>
                <w:b/>
                <w:i/>
                <w:sz w:val="20"/>
              </w:rPr>
              <w:t>846 124 520</w:t>
            </w:r>
          </w:p>
        </w:tc>
      </w:tr>
      <w:tr w:rsidR="003663AF" w:rsidRPr="00B7760C" w14:paraId="4506A5BE"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5E77208E" w14:textId="77777777" w:rsidR="003663AF" w:rsidRPr="00B7760C" w:rsidRDefault="003663AF" w:rsidP="00E804B7">
            <w:pPr>
              <w:pStyle w:val="Normal6"/>
              <w:rPr>
                <w:sz w:val="20"/>
              </w:rPr>
            </w:pPr>
            <w:r w:rsidRPr="00B7760C">
              <w:rPr>
                <w:sz w:val="20"/>
              </w:rPr>
              <w:t>Nemčija</w:t>
            </w:r>
          </w:p>
        </w:tc>
        <w:tc>
          <w:tcPr>
            <w:tcW w:w="999" w:type="dxa"/>
            <w:tcBorders>
              <w:top w:val="single" w:sz="4" w:space="0" w:color="auto"/>
              <w:left w:val="single" w:sz="4" w:space="0" w:color="auto"/>
              <w:bottom w:val="single" w:sz="4" w:space="0" w:color="auto"/>
              <w:right w:val="single" w:sz="4" w:space="0" w:color="auto"/>
            </w:tcBorders>
            <w:vAlign w:val="center"/>
            <w:hideMark/>
          </w:tcPr>
          <w:p w14:paraId="1B28E325" w14:textId="77777777" w:rsidR="003663AF" w:rsidRPr="00B7760C" w:rsidRDefault="003663AF" w:rsidP="00E804B7">
            <w:pPr>
              <w:pStyle w:val="Normal6"/>
              <w:jc w:val="right"/>
              <w:rPr>
                <w:b/>
                <w:i/>
                <w:sz w:val="20"/>
              </w:rPr>
            </w:pPr>
            <w:r w:rsidRPr="00B7760C">
              <w:rPr>
                <w:b/>
                <w:i/>
                <w:sz w:val="20"/>
              </w:rPr>
              <w:t>4 823 107 939</w:t>
            </w:r>
          </w:p>
        </w:tc>
        <w:tc>
          <w:tcPr>
            <w:tcW w:w="900" w:type="dxa"/>
            <w:tcBorders>
              <w:top w:val="single" w:sz="4" w:space="0" w:color="auto"/>
              <w:left w:val="single" w:sz="4" w:space="0" w:color="auto"/>
              <w:bottom w:val="single" w:sz="4" w:space="0" w:color="auto"/>
              <w:right w:val="single" w:sz="4" w:space="0" w:color="auto"/>
            </w:tcBorders>
            <w:vAlign w:val="center"/>
            <w:hideMark/>
          </w:tcPr>
          <w:p w14:paraId="0A9ECA14" w14:textId="77777777" w:rsidR="003663AF" w:rsidRPr="00B7760C" w:rsidRDefault="003663AF" w:rsidP="00E804B7">
            <w:pPr>
              <w:pStyle w:val="Normal6"/>
              <w:jc w:val="right"/>
              <w:rPr>
                <w:b/>
                <w:i/>
                <w:sz w:val="20"/>
              </w:rPr>
            </w:pPr>
            <w:r w:rsidRPr="00B7760C">
              <w:rPr>
                <w:b/>
                <w:i/>
                <w:sz w:val="20"/>
              </w:rPr>
              <w:t>4 823 107 939</w:t>
            </w:r>
          </w:p>
        </w:tc>
        <w:tc>
          <w:tcPr>
            <w:tcW w:w="1019" w:type="dxa"/>
            <w:tcBorders>
              <w:top w:val="single" w:sz="4" w:space="0" w:color="auto"/>
              <w:left w:val="single" w:sz="4" w:space="0" w:color="auto"/>
              <w:bottom w:val="single" w:sz="4" w:space="0" w:color="auto"/>
              <w:right w:val="single" w:sz="4" w:space="0" w:color="auto"/>
            </w:tcBorders>
            <w:vAlign w:val="center"/>
            <w:hideMark/>
          </w:tcPr>
          <w:p w14:paraId="08BB0742" w14:textId="77777777" w:rsidR="003663AF" w:rsidRPr="00B7760C" w:rsidRDefault="003663AF" w:rsidP="00E804B7">
            <w:pPr>
              <w:pStyle w:val="Normal6"/>
              <w:jc w:val="right"/>
              <w:rPr>
                <w:b/>
                <w:i/>
                <w:sz w:val="20"/>
              </w:rPr>
            </w:pPr>
            <w:r w:rsidRPr="00B7760C">
              <w:rPr>
                <w:b/>
                <w:i/>
                <w:sz w:val="20"/>
              </w:rPr>
              <w:t>4 823 107 939</w:t>
            </w:r>
          </w:p>
        </w:tc>
        <w:tc>
          <w:tcPr>
            <w:tcW w:w="1019" w:type="dxa"/>
            <w:tcBorders>
              <w:top w:val="single" w:sz="4" w:space="0" w:color="auto"/>
              <w:left w:val="single" w:sz="4" w:space="0" w:color="auto"/>
              <w:bottom w:val="single" w:sz="4" w:space="0" w:color="auto"/>
              <w:right w:val="single" w:sz="4" w:space="0" w:color="auto"/>
            </w:tcBorders>
            <w:vAlign w:val="center"/>
            <w:hideMark/>
          </w:tcPr>
          <w:p w14:paraId="0A1225FA" w14:textId="77777777" w:rsidR="003663AF" w:rsidRPr="00B7760C" w:rsidRDefault="003663AF" w:rsidP="00E804B7">
            <w:pPr>
              <w:pStyle w:val="Normal6"/>
              <w:jc w:val="right"/>
              <w:rPr>
                <w:b/>
                <w:i/>
                <w:sz w:val="20"/>
              </w:rPr>
            </w:pPr>
            <w:r w:rsidRPr="00B7760C">
              <w:rPr>
                <w:b/>
                <w:i/>
                <w:sz w:val="20"/>
              </w:rPr>
              <w:t>4 823 107 939</w:t>
            </w:r>
          </w:p>
        </w:tc>
        <w:tc>
          <w:tcPr>
            <w:tcW w:w="1019" w:type="dxa"/>
            <w:tcBorders>
              <w:top w:val="single" w:sz="4" w:space="0" w:color="auto"/>
              <w:left w:val="single" w:sz="4" w:space="0" w:color="auto"/>
              <w:bottom w:val="single" w:sz="4" w:space="0" w:color="auto"/>
              <w:right w:val="single" w:sz="4" w:space="0" w:color="auto"/>
            </w:tcBorders>
            <w:vAlign w:val="center"/>
            <w:hideMark/>
          </w:tcPr>
          <w:p w14:paraId="7547A7BB" w14:textId="77777777" w:rsidR="003663AF" w:rsidRPr="00B7760C" w:rsidRDefault="003663AF" w:rsidP="00E804B7">
            <w:pPr>
              <w:pStyle w:val="Normal6"/>
              <w:jc w:val="right"/>
              <w:rPr>
                <w:b/>
                <w:i/>
                <w:sz w:val="20"/>
              </w:rPr>
            </w:pPr>
            <w:r w:rsidRPr="00B7760C">
              <w:rPr>
                <w:b/>
                <w:i/>
                <w:sz w:val="20"/>
              </w:rPr>
              <w:t>4 823 107939</w:t>
            </w:r>
          </w:p>
        </w:tc>
        <w:tc>
          <w:tcPr>
            <w:tcW w:w="880" w:type="dxa"/>
            <w:tcBorders>
              <w:top w:val="single" w:sz="4" w:space="0" w:color="auto"/>
              <w:left w:val="single" w:sz="4" w:space="0" w:color="auto"/>
              <w:bottom w:val="single" w:sz="4" w:space="0" w:color="auto"/>
              <w:right w:val="single" w:sz="4" w:space="0" w:color="auto"/>
            </w:tcBorders>
            <w:vAlign w:val="center"/>
            <w:hideMark/>
          </w:tcPr>
          <w:p w14:paraId="58FAAED0" w14:textId="77777777" w:rsidR="003663AF" w:rsidRPr="00B7760C" w:rsidRDefault="003663AF" w:rsidP="00E804B7">
            <w:pPr>
              <w:pStyle w:val="Normal6"/>
              <w:jc w:val="right"/>
              <w:rPr>
                <w:b/>
                <w:i/>
                <w:sz w:val="20"/>
              </w:rPr>
            </w:pPr>
            <w:r w:rsidRPr="00B7760C">
              <w:rPr>
                <w:b/>
                <w:i/>
                <w:sz w:val="20"/>
              </w:rPr>
              <w:t>4 823 107 939</w:t>
            </w:r>
          </w:p>
        </w:tc>
        <w:tc>
          <w:tcPr>
            <w:tcW w:w="1141" w:type="dxa"/>
            <w:tcBorders>
              <w:top w:val="single" w:sz="4" w:space="0" w:color="auto"/>
              <w:left w:val="single" w:sz="4" w:space="0" w:color="auto"/>
              <w:bottom w:val="single" w:sz="4" w:space="0" w:color="auto"/>
              <w:right w:val="single" w:sz="4" w:space="0" w:color="auto"/>
            </w:tcBorders>
            <w:vAlign w:val="center"/>
            <w:hideMark/>
          </w:tcPr>
          <w:p w14:paraId="24114166" w14:textId="77777777" w:rsidR="003663AF" w:rsidRPr="00B7760C" w:rsidRDefault="003663AF" w:rsidP="00E804B7">
            <w:pPr>
              <w:pStyle w:val="Normal6"/>
              <w:jc w:val="right"/>
              <w:rPr>
                <w:b/>
                <w:i/>
                <w:sz w:val="20"/>
              </w:rPr>
            </w:pPr>
            <w:r w:rsidRPr="00B7760C">
              <w:rPr>
                <w:b/>
                <w:i/>
                <w:sz w:val="20"/>
              </w:rPr>
              <w:t>4 823 107 939</w:t>
            </w:r>
          </w:p>
        </w:tc>
      </w:tr>
      <w:tr w:rsidR="003663AF" w:rsidRPr="00B7760C" w14:paraId="294B3D93"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2B115300" w14:textId="77777777" w:rsidR="003663AF" w:rsidRPr="00B7760C" w:rsidRDefault="003663AF" w:rsidP="00E804B7">
            <w:pPr>
              <w:pStyle w:val="Normal6"/>
              <w:rPr>
                <w:sz w:val="20"/>
              </w:rPr>
            </w:pPr>
            <w:r w:rsidRPr="00B7760C">
              <w:rPr>
                <w:sz w:val="20"/>
              </w:rPr>
              <w:t>Estonija</w:t>
            </w:r>
          </w:p>
        </w:tc>
        <w:tc>
          <w:tcPr>
            <w:tcW w:w="999" w:type="dxa"/>
            <w:tcBorders>
              <w:top w:val="single" w:sz="4" w:space="0" w:color="auto"/>
              <w:left w:val="single" w:sz="4" w:space="0" w:color="auto"/>
              <w:bottom w:val="single" w:sz="4" w:space="0" w:color="auto"/>
              <w:right w:val="single" w:sz="4" w:space="0" w:color="auto"/>
            </w:tcBorders>
            <w:vAlign w:val="center"/>
            <w:hideMark/>
          </w:tcPr>
          <w:p w14:paraId="52A9ECD5" w14:textId="77777777" w:rsidR="003663AF" w:rsidRPr="00B7760C" w:rsidRDefault="003663AF" w:rsidP="00E804B7">
            <w:pPr>
              <w:pStyle w:val="Normal6"/>
              <w:jc w:val="right"/>
              <w:rPr>
                <w:b/>
                <w:i/>
                <w:sz w:val="20"/>
              </w:rPr>
            </w:pPr>
            <w:r w:rsidRPr="00B7760C">
              <w:rPr>
                <w:b/>
                <w:i/>
                <w:sz w:val="20"/>
              </w:rPr>
              <w:t>167 721 513</w:t>
            </w:r>
          </w:p>
        </w:tc>
        <w:tc>
          <w:tcPr>
            <w:tcW w:w="900" w:type="dxa"/>
            <w:tcBorders>
              <w:top w:val="single" w:sz="4" w:space="0" w:color="auto"/>
              <w:left w:val="single" w:sz="4" w:space="0" w:color="auto"/>
              <w:bottom w:val="single" w:sz="4" w:space="0" w:color="auto"/>
              <w:right w:val="single" w:sz="4" w:space="0" w:color="auto"/>
            </w:tcBorders>
            <w:vAlign w:val="center"/>
            <w:hideMark/>
          </w:tcPr>
          <w:p w14:paraId="5BEF8C4E" w14:textId="77777777" w:rsidR="003663AF" w:rsidRPr="00B7760C" w:rsidRDefault="003663AF" w:rsidP="00E804B7">
            <w:pPr>
              <w:pStyle w:val="Normal6"/>
              <w:jc w:val="right"/>
              <w:rPr>
                <w:b/>
                <w:i/>
                <w:sz w:val="20"/>
              </w:rPr>
            </w:pPr>
            <w:r w:rsidRPr="00B7760C">
              <w:rPr>
                <w:b/>
                <w:i/>
                <w:sz w:val="20"/>
              </w:rPr>
              <w:t>172 667 776</w:t>
            </w:r>
          </w:p>
        </w:tc>
        <w:tc>
          <w:tcPr>
            <w:tcW w:w="1019" w:type="dxa"/>
            <w:tcBorders>
              <w:top w:val="single" w:sz="4" w:space="0" w:color="auto"/>
              <w:left w:val="single" w:sz="4" w:space="0" w:color="auto"/>
              <w:bottom w:val="single" w:sz="4" w:space="0" w:color="auto"/>
              <w:right w:val="single" w:sz="4" w:space="0" w:color="auto"/>
            </w:tcBorders>
            <w:vAlign w:val="center"/>
            <w:hideMark/>
          </w:tcPr>
          <w:p w14:paraId="0FE67FE1" w14:textId="77777777" w:rsidR="003663AF" w:rsidRPr="00B7760C" w:rsidRDefault="003663AF" w:rsidP="00E804B7">
            <w:pPr>
              <w:pStyle w:val="Normal6"/>
              <w:jc w:val="right"/>
              <w:rPr>
                <w:b/>
                <w:i/>
                <w:sz w:val="20"/>
              </w:rPr>
            </w:pPr>
            <w:r w:rsidRPr="00B7760C">
              <w:rPr>
                <w:b/>
                <w:i/>
                <w:sz w:val="20"/>
              </w:rPr>
              <w:t>177 614 039</w:t>
            </w:r>
          </w:p>
        </w:tc>
        <w:tc>
          <w:tcPr>
            <w:tcW w:w="1019" w:type="dxa"/>
            <w:tcBorders>
              <w:top w:val="single" w:sz="4" w:space="0" w:color="auto"/>
              <w:left w:val="single" w:sz="4" w:space="0" w:color="auto"/>
              <w:bottom w:val="single" w:sz="4" w:space="0" w:color="auto"/>
              <w:right w:val="single" w:sz="4" w:space="0" w:color="auto"/>
            </w:tcBorders>
            <w:vAlign w:val="center"/>
            <w:hideMark/>
          </w:tcPr>
          <w:p w14:paraId="18C491AA" w14:textId="77777777" w:rsidR="003663AF" w:rsidRPr="00B7760C" w:rsidRDefault="003663AF" w:rsidP="00E804B7">
            <w:pPr>
              <w:pStyle w:val="Normal6"/>
              <w:jc w:val="right"/>
              <w:rPr>
                <w:b/>
                <w:i/>
                <w:sz w:val="20"/>
              </w:rPr>
            </w:pPr>
            <w:r w:rsidRPr="00B7760C">
              <w:rPr>
                <w:b/>
                <w:i/>
                <w:sz w:val="20"/>
              </w:rPr>
              <w:t>182 560 302</w:t>
            </w:r>
          </w:p>
        </w:tc>
        <w:tc>
          <w:tcPr>
            <w:tcW w:w="1019" w:type="dxa"/>
            <w:tcBorders>
              <w:top w:val="single" w:sz="4" w:space="0" w:color="auto"/>
              <w:left w:val="single" w:sz="4" w:space="0" w:color="auto"/>
              <w:bottom w:val="single" w:sz="4" w:space="0" w:color="auto"/>
              <w:right w:val="single" w:sz="4" w:space="0" w:color="auto"/>
            </w:tcBorders>
            <w:vAlign w:val="center"/>
            <w:hideMark/>
          </w:tcPr>
          <w:p w14:paraId="4814DFB4" w14:textId="77777777" w:rsidR="003663AF" w:rsidRPr="00B7760C" w:rsidRDefault="003663AF" w:rsidP="00E804B7">
            <w:pPr>
              <w:pStyle w:val="Normal6"/>
              <w:jc w:val="right"/>
              <w:rPr>
                <w:b/>
                <w:i/>
                <w:sz w:val="20"/>
              </w:rPr>
            </w:pPr>
            <w:r w:rsidRPr="00B7760C">
              <w:rPr>
                <w:b/>
                <w:i/>
                <w:sz w:val="20"/>
              </w:rPr>
              <w:t>187 506 565</w:t>
            </w:r>
          </w:p>
        </w:tc>
        <w:tc>
          <w:tcPr>
            <w:tcW w:w="880" w:type="dxa"/>
            <w:tcBorders>
              <w:top w:val="single" w:sz="4" w:space="0" w:color="auto"/>
              <w:left w:val="single" w:sz="4" w:space="0" w:color="auto"/>
              <w:bottom w:val="single" w:sz="4" w:space="0" w:color="auto"/>
              <w:right w:val="single" w:sz="4" w:space="0" w:color="auto"/>
            </w:tcBorders>
            <w:vAlign w:val="center"/>
            <w:hideMark/>
          </w:tcPr>
          <w:p w14:paraId="63D6D807" w14:textId="77777777" w:rsidR="003663AF" w:rsidRPr="00B7760C" w:rsidRDefault="003663AF" w:rsidP="00E804B7">
            <w:pPr>
              <w:pStyle w:val="Normal6"/>
              <w:jc w:val="right"/>
              <w:rPr>
                <w:b/>
                <w:i/>
                <w:sz w:val="20"/>
              </w:rPr>
            </w:pPr>
            <w:r w:rsidRPr="00B7760C">
              <w:rPr>
                <w:b/>
                <w:i/>
                <w:sz w:val="20"/>
              </w:rPr>
              <w:t>192 452 828</w:t>
            </w:r>
          </w:p>
        </w:tc>
        <w:tc>
          <w:tcPr>
            <w:tcW w:w="1141" w:type="dxa"/>
            <w:tcBorders>
              <w:top w:val="single" w:sz="4" w:space="0" w:color="auto"/>
              <w:left w:val="single" w:sz="4" w:space="0" w:color="auto"/>
              <w:bottom w:val="single" w:sz="4" w:space="0" w:color="auto"/>
              <w:right w:val="single" w:sz="4" w:space="0" w:color="auto"/>
            </w:tcBorders>
            <w:vAlign w:val="center"/>
            <w:hideMark/>
          </w:tcPr>
          <w:p w14:paraId="442A6400" w14:textId="77777777" w:rsidR="003663AF" w:rsidRPr="00B7760C" w:rsidRDefault="003663AF" w:rsidP="00E804B7">
            <w:pPr>
              <w:pStyle w:val="Normal6"/>
              <w:jc w:val="right"/>
              <w:rPr>
                <w:b/>
                <w:i/>
                <w:sz w:val="20"/>
              </w:rPr>
            </w:pPr>
            <w:r w:rsidRPr="00B7760C">
              <w:rPr>
                <w:b/>
                <w:i/>
                <w:sz w:val="20"/>
              </w:rPr>
              <w:t>192 452 828</w:t>
            </w:r>
          </w:p>
        </w:tc>
      </w:tr>
      <w:tr w:rsidR="003663AF" w:rsidRPr="00B7760C" w14:paraId="2476F1DD"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4686079E" w14:textId="77777777" w:rsidR="003663AF" w:rsidRPr="00B7760C" w:rsidRDefault="003663AF" w:rsidP="00E804B7">
            <w:pPr>
              <w:pStyle w:val="Normal6"/>
              <w:rPr>
                <w:sz w:val="20"/>
              </w:rPr>
            </w:pPr>
            <w:r w:rsidRPr="00B7760C">
              <w:rPr>
                <w:sz w:val="20"/>
              </w:rPr>
              <w:t>Irska</w:t>
            </w:r>
          </w:p>
        </w:tc>
        <w:tc>
          <w:tcPr>
            <w:tcW w:w="999" w:type="dxa"/>
            <w:tcBorders>
              <w:top w:val="single" w:sz="4" w:space="0" w:color="auto"/>
              <w:left w:val="single" w:sz="4" w:space="0" w:color="auto"/>
              <w:bottom w:val="single" w:sz="4" w:space="0" w:color="auto"/>
              <w:right w:val="single" w:sz="4" w:space="0" w:color="auto"/>
            </w:tcBorders>
            <w:vAlign w:val="center"/>
            <w:hideMark/>
          </w:tcPr>
          <w:p w14:paraId="1EDF22B9" w14:textId="77777777" w:rsidR="003663AF" w:rsidRPr="00B7760C" w:rsidRDefault="003663AF" w:rsidP="00E804B7">
            <w:pPr>
              <w:pStyle w:val="Normal6"/>
              <w:jc w:val="right"/>
              <w:rPr>
                <w:b/>
                <w:i/>
                <w:sz w:val="20"/>
              </w:rPr>
            </w:pPr>
            <w:r w:rsidRPr="00B7760C">
              <w:rPr>
                <w:b/>
                <w:i/>
                <w:sz w:val="20"/>
              </w:rPr>
              <w:t>1 163 938 279</w:t>
            </w:r>
          </w:p>
        </w:tc>
        <w:tc>
          <w:tcPr>
            <w:tcW w:w="900" w:type="dxa"/>
            <w:tcBorders>
              <w:top w:val="single" w:sz="4" w:space="0" w:color="auto"/>
              <w:left w:val="single" w:sz="4" w:space="0" w:color="auto"/>
              <w:bottom w:val="single" w:sz="4" w:space="0" w:color="auto"/>
              <w:right w:val="single" w:sz="4" w:space="0" w:color="auto"/>
            </w:tcBorders>
            <w:vAlign w:val="center"/>
            <w:hideMark/>
          </w:tcPr>
          <w:p w14:paraId="7143E361" w14:textId="77777777" w:rsidR="003663AF" w:rsidRPr="00B7760C" w:rsidRDefault="003663AF" w:rsidP="00E804B7">
            <w:pPr>
              <w:pStyle w:val="Normal6"/>
              <w:jc w:val="right"/>
              <w:rPr>
                <w:b/>
                <w:i/>
                <w:sz w:val="20"/>
              </w:rPr>
            </w:pPr>
            <w:r w:rsidRPr="00B7760C">
              <w:rPr>
                <w:b/>
                <w:i/>
                <w:sz w:val="20"/>
              </w:rPr>
              <w:t>1 163 938 279</w:t>
            </w:r>
          </w:p>
        </w:tc>
        <w:tc>
          <w:tcPr>
            <w:tcW w:w="1019" w:type="dxa"/>
            <w:tcBorders>
              <w:top w:val="single" w:sz="4" w:space="0" w:color="auto"/>
              <w:left w:val="single" w:sz="4" w:space="0" w:color="auto"/>
              <w:bottom w:val="single" w:sz="4" w:space="0" w:color="auto"/>
              <w:right w:val="single" w:sz="4" w:space="0" w:color="auto"/>
            </w:tcBorders>
            <w:vAlign w:val="center"/>
            <w:hideMark/>
          </w:tcPr>
          <w:p w14:paraId="5476E7B7" w14:textId="77777777" w:rsidR="003663AF" w:rsidRPr="00B7760C" w:rsidRDefault="003663AF" w:rsidP="00E804B7">
            <w:pPr>
              <w:pStyle w:val="Normal6"/>
              <w:jc w:val="right"/>
              <w:rPr>
                <w:b/>
                <w:i/>
                <w:sz w:val="20"/>
              </w:rPr>
            </w:pPr>
            <w:r w:rsidRPr="00B7760C">
              <w:rPr>
                <w:b/>
                <w:i/>
                <w:sz w:val="20"/>
              </w:rPr>
              <w:t>1 163 938 279</w:t>
            </w:r>
          </w:p>
        </w:tc>
        <w:tc>
          <w:tcPr>
            <w:tcW w:w="1019" w:type="dxa"/>
            <w:tcBorders>
              <w:top w:val="single" w:sz="4" w:space="0" w:color="auto"/>
              <w:left w:val="single" w:sz="4" w:space="0" w:color="auto"/>
              <w:bottom w:val="single" w:sz="4" w:space="0" w:color="auto"/>
              <w:right w:val="single" w:sz="4" w:space="0" w:color="auto"/>
            </w:tcBorders>
            <w:vAlign w:val="center"/>
            <w:hideMark/>
          </w:tcPr>
          <w:p w14:paraId="70A42B79" w14:textId="77777777" w:rsidR="003663AF" w:rsidRPr="00B7760C" w:rsidRDefault="003663AF" w:rsidP="00E804B7">
            <w:pPr>
              <w:pStyle w:val="Normal6"/>
              <w:jc w:val="right"/>
              <w:rPr>
                <w:b/>
                <w:i/>
                <w:sz w:val="20"/>
              </w:rPr>
            </w:pPr>
            <w:r w:rsidRPr="00B7760C">
              <w:rPr>
                <w:b/>
                <w:i/>
                <w:sz w:val="20"/>
              </w:rPr>
              <w:t>1 163 938 279</w:t>
            </w:r>
          </w:p>
        </w:tc>
        <w:tc>
          <w:tcPr>
            <w:tcW w:w="1019" w:type="dxa"/>
            <w:tcBorders>
              <w:top w:val="single" w:sz="4" w:space="0" w:color="auto"/>
              <w:left w:val="single" w:sz="4" w:space="0" w:color="auto"/>
              <w:bottom w:val="single" w:sz="4" w:space="0" w:color="auto"/>
              <w:right w:val="single" w:sz="4" w:space="0" w:color="auto"/>
            </w:tcBorders>
            <w:vAlign w:val="center"/>
            <w:hideMark/>
          </w:tcPr>
          <w:p w14:paraId="6524B28C" w14:textId="77777777" w:rsidR="003663AF" w:rsidRPr="00B7760C" w:rsidRDefault="003663AF" w:rsidP="00E804B7">
            <w:pPr>
              <w:pStyle w:val="Normal6"/>
              <w:jc w:val="right"/>
              <w:rPr>
                <w:b/>
                <w:i/>
                <w:sz w:val="20"/>
              </w:rPr>
            </w:pPr>
            <w:r w:rsidRPr="00B7760C">
              <w:rPr>
                <w:b/>
                <w:i/>
                <w:sz w:val="20"/>
              </w:rPr>
              <w:t>1 163 938 279</w:t>
            </w:r>
          </w:p>
        </w:tc>
        <w:tc>
          <w:tcPr>
            <w:tcW w:w="880" w:type="dxa"/>
            <w:tcBorders>
              <w:top w:val="single" w:sz="4" w:space="0" w:color="auto"/>
              <w:left w:val="single" w:sz="4" w:space="0" w:color="auto"/>
              <w:bottom w:val="single" w:sz="4" w:space="0" w:color="auto"/>
              <w:right w:val="single" w:sz="4" w:space="0" w:color="auto"/>
            </w:tcBorders>
            <w:vAlign w:val="center"/>
            <w:hideMark/>
          </w:tcPr>
          <w:p w14:paraId="4BE28CC9" w14:textId="77777777" w:rsidR="003663AF" w:rsidRPr="00B7760C" w:rsidRDefault="003663AF" w:rsidP="00E804B7">
            <w:pPr>
              <w:pStyle w:val="Normal6"/>
              <w:jc w:val="right"/>
              <w:rPr>
                <w:b/>
                <w:i/>
                <w:sz w:val="20"/>
              </w:rPr>
            </w:pPr>
            <w:r w:rsidRPr="00B7760C">
              <w:rPr>
                <w:b/>
                <w:i/>
                <w:sz w:val="20"/>
              </w:rPr>
              <w:t>1 163 938 279</w:t>
            </w:r>
          </w:p>
        </w:tc>
        <w:tc>
          <w:tcPr>
            <w:tcW w:w="1141" w:type="dxa"/>
            <w:tcBorders>
              <w:top w:val="single" w:sz="4" w:space="0" w:color="auto"/>
              <w:left w:val="single" w:sz="4" w:space="0" w:color="auto"/>
              <w:bottom w:val="single" w:sz="4" w:space="0" w:color="auto"/>
              <w:right w:val="single" w:sz="4" w:space="0" w:color="auto"/>
            </w:tcBorders>
            <w:vAlign w:val="center"/>
            <w:hideMark/>
          </w:tcPr>
          <w:p w14:paraId="4D3FD263" w14:textId="77777777" w:rsidR="003663AF" w:rsidRPr="00B7760C" w:rsidRDefault="003663AF" w:rsidP="00E804B7">
            <w:pPr>
              <w:pStyle w:val="Normal6"/>
              <w:jc w:val="right"/>
              <w:rPr>
                <w:b/>
                <w:i/>
                <w:sz w:val="20"/>
              </w:rPr>
            </w:pPr>
            <w:r w:rsidRPr="00B7760C">
              <w:rPr>
                <w:b/>
                <w:i/>
                <w:sz w:val="20"/>
              </w:rPr>
              <w:t>1 163 938 279</w:t>
            </w:r>
          </w:p>
        </w:tc>
      </w:tr>
      <w:tr w:rsidR="003663AF" w:rsidRPr="00B7760C" w14:paraId="07EFAACF"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02297338" w14:textId="77777777" w:rsidR="003663AF" w:rsidRPr="00B7760C" w:rsidRDefault="003663AF" w:rsidP="00E804B7">
            <w:pPr>
              <w:pStyle w:val="Normal6"/>
              <w:rPr>
                <w:sz w:val="20"/>
              </w:rPr>
            </w:pPr>
            <w:r w:rsidRPr="00B7760C">
              <w:rPr>
                <w:sz w:val="20"/>
              </w:rPr>
              <w:t>Grčija</w:t>
            </w:r>
          </w:p>
        </w:tc>
        <w:tc>
          <w:tcPr>
            <w:tcW w:w="999" w:type="dxa"/>
            <w:tcBorders>
              <w:top w:val="single" w:sz="4" w:space="0" w:color="auto"/>
              <w:left w:val="single" w:sz="4" w:space="0" w:color="auto"/>
              <w:bottom w:val="single" w:sz="4" w:space="0" w:color="auto"/>
              <w:right w:val="single" w:sz="4" w:space="0" w:color="auto"/>
            </w:tcBorders>
            <w:vAlign w:val="center"/>
            <w:hideMark/>
          </w:tcPr>
          <w:p w14:paraId="0B35ED36" w14:textId="77777777" w:rsidR="003663AF" w:rsidRPr="00B7760C" w:rsidRDefault="003663AF" w:rsidP="00E804B7">
            <w:pPr>
              <w:pStyle w:val="Normal6"/>
              <w:jc w:val="right"/>
              <w:rPr>
                <w:b/>
                <w:i/>
                <w:sz w:val="20"/>
              </w:rPr>
            </w:pPr>
            <w:r w:rsidRPr="00B7760C">
              <w:rPr>
                <w:b/>
                <w:i/>
                <w:sz w:val="20"/>
              </w:rPr>
              <w:t>2 036 560 894</w:t>
            </w:r>
          </w:p>
        </w:tc>
        <w:tc>
          <w:tcPr>
            <w:tcW w:w="900" w:type="dxa"/>
            <w:tcBorders>
              <w:top w:val="single" w:sz="4" w:space="0" w:color="auto"/>
              <w:left w:val="single" w:sz="4" w:space="0" w:color="auto"/>
              <w:bottom w:val="single" w:sz="4" w:space="0" w:color="auto"/>
              <w:right w:val="single" w:sz="4" w:space="0" w:color="auto"/>
            </w:tcBorders>
            <w:vAlign w:val="center"/>
            <w:hideMark/>
          </w:tcPr>
          <w:p w14:paraId="2ED9D722" w14:textId="77777777" w:rsidR="003663AF" w:rsidRPr="00B7760C" w:rsidRDefault="003663AF" w:rsidP="00E804B7">
            <w:pPr>
              <w:pStyle w:val="Normal6"/>
              <w:jc w:val="right"/>
              <w:rPr>
                <w:b/>
                <w:i/>
                <w:sz w:val="20"/>
              </w:rPr>
            </w:pPr>
            <w:r w:rsidRPr="00B7760C">
              <w:rPr>
                <w:b/>
                <w:i/>
                <w:sz w:val="20"/>
              </w:rPr>
              <w:t>2 036 560 894</w:t>
            </w:r>
          </w:p>
        </w:tc>
        <w:tc>
          <w:tcPr>
            <w:tcW w:w="1019" w:type="dxa"/>
            <w:tcBorders>
              <w:top w:val="single" w:sz="4" w:space="0" w:color="auto"/>
              <w:left w:val="single" w:sz="4" w:space="0" w:color="auto"/>
              <w:bottom w:val="single" w:sz="4" w:space="0" w:color="auto"/>
              <w:right w:val="single" w:sz="4" w:space="0" w:color="auto"/>
            </w:tcBorders>
            <w:vAlign w:val="center"/>
            <w:hideMark/>
          </w:tcPr>
          <w:p w14:paraId="761F0BC1" w14:textId="77777777" w:rsidR="003663AF" w:rsidRPr="00B7760C" w:rsidRDefault="003663AF" w:rsidP="00E804B7">
            <w:pPr>
              <w:pStyle w:val="Normal6"/>
              <w:jc w:val="right"/>
              <w:rPr>
                <w:b/>
                <w:i/>
                <w:sz w:val="20"/>
              </w:rPr>
            </w:pPr>
            <w:r w:rsidRPr="00B7760C">
              <w:rPr>
                <w:b/>
                <w:i/>
                <w:sz w:val="20"/>
              </w:rPr>
              <w:t>2 036 560 894</w:t>
            </w:r>
          </w:p>
        </w:tc>
        <w:tc>
          <w:tcPr>
            <w:tcW w:w="1019" w:type="dxa"/>
            <w:tcBorders>
              <w:top w:val="single" w:sz="4" w:space="0" w:color="auto"/>
              <w:left w:val="single" w:sz="4" w:space="0" w:color="auto"/>
              <w:bottom w:val="single" w:sz="4" w:space="0" w:color="auto"/>
              <w:right w:val="single" w:sz="4" w:space="0" w:color="auto"/>
            </w:tcBorders>
            <w:vAlign w:val="center"/>
            <w:hideMark/>
          </w:tcPr>
          <w:p w14:paraId="2012E8F5" w14:textId="77777777" w:rsidR="003663AF" w:rsidRPr="00B7760C" w:rsidRDefault="003663AF" w:rsidP="00E804B7">
            <w:pPr>
              <w:pStyle w:val="Normal6"/>
              <w:jc w:val="right"/>
              <w:rPr>
                <w:b/>
                <w:i/>
                <w:sz w:val="20"/>
              </w:rPr>
            </w:pPr>
            <w:r w:rsidRPr="00B7760C">
              <w:rPr>
                <w:b/>
                <w:i/>
                <w:sz w:val="20"/>
              </w:rPr>
              <w:t>2 036 560 894</w:t>
            </w:r>
          </w:p>
        </w:tc>
        <w:tc>
          <w:tcPr>
            <w:tcW w:w="1019" w:type="dxa"/>
            <w:tcBorders>
              <w:top w:val="single" w:sz="4" w:space="0" w:color="auto"/>
              <w:left w:val="single" w:sz="4" w:space="0" w:color="auto"/>
              <w:bottom w:val="single" w:sz="4" w:space="0" w:color="auto"/>
              <w:right w:val="single" w:sz="4" w:space="0" w:color="auto"/>
            </w:tcBorders>
            <w:vAlign w:val="center"/>
            <w:hideMark/>
          </w:tcPr>
          <w:p w14:paraId="107FC836" w14:textId="77777777" w:rsidR="003663AF" w:rsidRPr="00B7760C" w:rsidRDefault="003663AF" w:rsidP="00E804B7">
            <w:pPr>
              <w:pStyle w:val="Normal6"/>
              <w:jc w:val="right"/>
              <w:rPr>
                <w:b/>
                <w:i/>
                <w:sz w:val="20"/>
              </w:rPr>
            </w:pPr>
            <w:r w:rsidRPr="00B7760C">
              <w:rPr>
                <w:b/>
                <w:i/>
                <w:sz w:val="20"/>
              </w:rPr>
              <w:t>2 036 560 894</w:t>
            </w:r>
          </w:p>
        </w:tc>
        <w:tc>
          <w:tcPr>
            <w:tcW w:w="880" w:type="dxa"/>
            <w:tcBorders>
              <w:top w:val="single" w:sz="4" w:space="0" w:color="auto"/>
              <w:left w:val="single" w:sz="4" w:space="0" w:color="auto"/>
              <w:bottom w:val="single" w:sz="4" w:space="0" w:color="auto"/>
              <w:right w:val="single" w:sz="4" w:space="0" w:color="auto"/>
            </w:tcBorders>
            <w:vAlign w:val="center"/>
            <w:hideMark/>
          </w:tcPr>
          <w:p w14:paraId="113084DB" w14:textId="77777777" w:rsidR="003663AF" w:rsidRPr="00B7760C" w:rsidRDefault="003663AF" w:rsidP="00E804B7">
            <w:pPr>
              <w:pStyle w:val="Normal6"/>
              <w:jc w:val="right"/>
              <w:rPr>
                <w:b/>
                <w:i/>
                <w:sz w:val="20"/>
              </w:rPr>
            </w:pPr>
            <w:r w:rsidRPr="00B7760C">
              <w:rPr>
                <w:b/>
                <w:i/>
                <w:sz w:val="20"/>
              </w:rPr>
              <w:t>2 036 560 894</w:t>
            </w:r>
          </w:p>
        </w:tc>
        <w:tc>
          <w:tcPr>
            <w:tcW w:w="1141" w:type="dxa"/>
            <w:tcBorders>
              <w:top w:val="single" w:sz="4" w:space="0" w:color="auto"/>
              <w:left w:val="single" w:sz="4" w:space="0" w:color="auto"/>
              <w:bottom w:val="single" w:sz="4" w:space="0" w:color="auto"/>
              <w:right w:val="single" w:sz="4" w:space="0" w:color="auto"/>
            </w:tcBorders>
            <w:vAlign w:val="center"/>
            <w:hideMark/>
          </w:tcPr>
          <w:p w14:paraId="0D6572BE" w14:textId="77777777" w:rsidR="003663AF" w:rsidRPr="00B7760C" w:rsidRDefault="003663AF" w:rsidP="00E804B7">
            <w:pPr>
              <w:pStyle w:val="Normal6"/>
              <w:jc w:val="right"/>
              <w:rPr>
                <w:b/>
                <w:i/>
                <w:sz w:val="20"/>
              </w:rPr>
            </w:pPr>
            <w:r w:rsidRPr="00B7760C">
              <w:rPr>
                <w:b/>
                <w:i/>
                <w:sz w:val="20"/>
              </w:rPr>
              <w:t>2 036 560 894</w:t>
            </w:r>
          </w:p>
        </w:tc>
      </w:tr>
      <w:tr w:rsidR="003663AF" w:rsidRPr="00B7760C" w14:paraId="650A88EB"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10787B21" w14:textId="77777777" w:rsidR="003663AF" w:rsidRPr="00B7760C" w:rsidRDefault="003663AF" w:rsidP="00E804B7">
            <w:pPr>
              <w:pStyle w:val="Normal6"/>
              <w:rPr>
                <w:sz w:val="20"/>
              </w:rPr>
            </w:pPr>
            <w:r w:rsidRPr="00B7760C">
              <w:rPr>
                <w:sz w:val="20"/>
              </w:rPr>
              <w:t>Španija</w:t>
            </w:r>
          </w:p>
        </w:tc>
        <w:tc>
          <w:tcPr>
            <w:tcW w:w="999" w:type="dxa"/>
            <w:tcBorders>
              <w:top w:val="single" w:sz="4" w:space="0" w:color="auto"/>
              <w:left w:val="single" w:sz="4" w:space="0" w:color="auto"/>
              <w:bottom w:val="single" w:sz="4" w:space="0" w:color="auto"/>
              <w:right w:val="single" w:sz="4" w:space="0" w:color="auto"/>
            </w:tcBorders>
            <w:vAlign w:val="center"/>
            <w:hideMark/>
          </w:tcPr>
          <w:p w14:paraId="79184FBE" w14:textId="77777777" w:rsidR="003663AF" w:rsidRPr="00B7760C" w:rsidRDefault="003663AF" w:rsidP="00E804B7">
            <w:pPr>
              <w:pStyle w:val="Normal6"/>
              <w:jc w:val="right"/>
              <w:rPr>
                <w:b/>
                <w:i/>
                <w:sz w:val="20"/>
              </w:rPr>
            </w:pPr>
            <w:r w:rsidRPr="00B7760C">
              <w:rPr>
                <w:b/>
                <w:i/>
                <w:sz w:val="20"/>
              </w:rPr>
              <w:t>4 768 736 743</w:t>
            </w:r>
          </w:p>
        </w:tc>
        <w:tc>
          <w:tcPr>
            <w:tcW w:w="900" w:type="dxa"/>
            <w:tcBorders>
              <w:top w:val="single" w:sz="4" w:space="0" w:color="auto"/>
              <w:left w:val="single" w:sz="4" w:space="0" w:color="auto"/>
              <w:bottom w:val="single" w:sz="4" w:space="0" w:color="auto"/>
              <w:right w:val="single" w:sz="4" w:space="0" w:color="auto"/>
            </w:tcBorders>
            <w:vAlign w:val="center"/>
            <w:hideMark/>
          </w:tcPr>
          <w:p w14:paraId="34B8130D" w14:textId="77777777" w:rsidR="003663AF" w:rsidRPr="00B7760C" w:rsidRDefault="003663AF" w:rsidP="00E804B7">
            <w:pPr>
              <w:pStyle w:val="Normal6"/>
              <w:jc w:val="right"/>
              <w:rPr>
                <w:b/>
                <w:i/>
                <w:sz w:val="20"/>
              </w:rPr>
            </w:pPr>
            <w:r w:rsidRPr="00B7760C">
              <w:rPr>
                <w:b/>
                <w:i/>
                <w:sz w:val="20"/>
              </w:rPr>
              <w:t>4 775 898 870</w:t>
            </w:r>
          </w:p>
        </w:tc>
        <w:tc>
          <w:tcPr>
            <w:tcW w:w="1019" w:type="dxa"/>
            <w:tcBorders>
              <w:top w:val="single" w:sz="4" w:space="0" w:color="auto"/>
              <w:left w:val="single" w:sz="4" w:space="0" w:color="auto"/>
              <w:bottom w:val="single" w:sz="4" w:space="0" w:color="auto"/>
              <w:right w:val="single" w:sz="4" w:space="0" w:color="auto"/>
            </w:tcBorders>
            <w:vAlign w:val="center"/>
            <w:hideMark/>
          </w:tcPr>
          <w:p w14:paraId="14BFAA46" w14:textId="77777777" w:rsidR="003663AF" w:rsidRPr="00B7760C" w:rsidRDefault="003663AF" w:rsidP="00E804B7">
            <w:pPr>
              <w:pStyle w:val="Normal6"/>
              <w:jc w:val="right"/>
              <w:rPr>
                <w:b/>
                <w:i/>
                <w:sz w:val="20"/>
              </w:rPr>
            </w:pPr>
            <w:r w:rsidRPr="00B7760C">
              <w:rPr>
                <w:b/>
                <w:i/>
                <w:sz w:val="20"/>
              </w:rPr>
              <w:t>4 783 060 997</w:t>
            </w:r>
          </w:p>
        </w:tc>
        <w:tc>
          <w:tcPr>
            <w:tcW w:w="1019" w:type="dxa"/>
            <w:tcBorders>
              <w:top w:val="single" w:sz="4" w:space="0" w:color="auto"/>
              <w:left w:val="single" w:sz="4" w:space="0" w:color="auto"/>
              <w:bottom w:val="single" w:sz="4" w:space="0" w:color="auto"/>
              <w:right w:val="single" w:sz="4" w:space="0" w:color="auto"/>
            </w:tcBorders>
            <w:vAlign w:val="center"/>
            <w:hideMark/>
          </w:tcPr>
          <w:p w14:paraId="17F3FD06" w14:textId="77777777" w:rsidR="003663AF" w:rsidRPr="00B7760C" w:rsidRDefault="003663AF" w:rsidP="00E804B7">
            <w:pPr>
              <w:pStyle w:val="Normal6"/>
              <w:jc w:val="right"/>
              <w:rPr>
                <w:b/>
                <w:i/>
                <w:sz w:val="20"/>
              </w:rPr>
            </w:pPr>
            <w:r w:rsidRPr="00B7760C">
              <w:rPr>
                <w:b/>
                <w:i/>
                <w:sz w:val="20"/>
              </w:rPr>
              <w:t>4 790 223 124</w:t>
            </w:r>
          </w:p>
        </w:tc>
        <w:tc>
          <w:tcPr>
            <w:tcW w:w="1019" w:type="dxa"/>
            <w:tcBorders>
              <w:top w:val="single" w:sz="4" w:space="0" w:color="auto"/>
              <w:left w:val="single" w:sz="4" w:space="0" w:color="auto"/>
              <w:bottom w:val="single" w:sz="4" w:space="0" w:color="auto"/>
              <w:right w:val="single" w:sz="4" w:space="0" w:color="auto"/>
            </w:tcBorders>
            <w:vAlign w:val="center"/>
            <w:hideMark/>
          </w:tcPr>
          <w:p w14:paraId="063E8E7F" w14:textId="77777777" w:rsidR="003663AF" w:rsidRPr="00B7760C" w:rsidRDefault="003663AF" w:rsidP="00E804B7">
            <w:pPr>
              <w:pStyle w:val="Normal6"/>
              <w:jc w:val="right"/>
              <w:rPr>
                <w:b/>
                <w:i/>
                <w:sz w:val="20"/>
              </w:rPr>
            </w:pPr>
            <w:r w:rsidRPr="00B7760C">
              <w:rPr>
                <w:b/>
                <w:i/>
                <w:sz w:val="20"/>
              </w:rPr>
              <w:t>4 797 385 252</w:t>
            </w:r>
          </w:p>
        </w:tc>
        <w:tc>
          <w:tcPr>
            <w:tcW w:w="880" w:type="dxa"/>
            <w:tcBorders>
              <w:top w:val="single" w:sz="4" w:space="0" w:color="auto"/>
              <w:left w:val="single" w:sz="4" w:space="0" w:color="auto"/>
              <w:bottom w:val="single" w:sz="4" w:space="0" w:color="auto"/>
              <w:right w:val="single" w:sz="4" w:space="0" w:color="auto"/>
            </w:tcBorders>
            <w:vAlign w:val="center"/>
            <w:hideMark/>
          </w:tcPr>
          <w:p w14:paraId="28ED6445" w14:textId="77777777" w:rsidR="003663AF" w:rsidRPr="00B7760C" w:rsidRDefault="003663AF" w:rsidP="00E804B7">
            <w:pPr>
              <w:pStyle w:val="Normal6"/>
              <w:jc w:val="right"/>
              <w:rPr>
                <w:b/>
                <w:i/>
                <w:sz w:val="20"/>
              </w:rPr>
            </w:pPr>
            <w:r w:rsidRPr="00B7760C">
              <w:rPr>
                <w:b/>
                <w:i/>
                <w:sz w:val="20"/>
              </w:rPr>
              <w:t>4 804 547 379</w:t>
            </w:r>
          </w:p>
        </w:tc>
        <w:tc>
          <w:tcPr>
            <w:tcW w:w="1141" w:type="dxa"/>
            <w:tcBorders>
              <w:top w:val="single" w:sz="4" w:space="0" w:color="auto"/>
              <w:left w:val="single" w:sz="4" w:space="0" w:color="auto"/>
              <w:bottom w:val="single" w:sz="4" w:space="0" w:color="auto"/>
              <w:right w:val="single" w:sz="4" w:space="0" w:color="auto"/>
            </w:tcBorders>
            <w:vAlign w:val="center"/>
            <w:hideMark/>
          </w:tcPr>
          <w:p w14:paraId="362C8581" w14:textId="77777777" w:rsidR="003663AF" w:rsidRPr="00B7760C" w:rsidRDefault="003663AF" w:rsidP="00E804B7">
            <w:pPr>
              <w:pStyle w:val="Normal6"/>
              <w:jc w:val="right"/>
              <w:rPr>
                <w:b/>
                <w:i/>
                <w:sz w:val="20"/>
              </w:rPr>
            </w:pPr>
            <w:r w:rsidRPr="00B7760C">
              <w:rPr>
                <w:b/>
                <w:i/>
                <w:sz w:val="20"/>
              </w:rPr>
              <w:t>4 804 547 379</w:t>
            </w:r>
          </w:p>
        </w:tc>
      </w:tr>
      <w:tr w:rsidR="003663AF" w:rsidRPr="00B7760C" w14:paraId="526BADE9"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60337E27" w14:textId="77777777" w:rsidR="003663AF" w:rsidRPr="00B7760C" w:rsidRDefault="003663AF" w:rsidP="00E804B7">
            <w:pPr>
              <w:pStyle w:val="Normal6"/>
              <w:rPr>
                <w:sz w:val="20"/>
              </w:rPr>
            </w:pPr>
            <w:r w:rsidRPr="00B7760C">
              <w:rPr>
                <w:sz w:val="20"/>
              </w:rPr>
              <w:t>Francija</w:t>
            </w:r>
          </w:p>
        </w:tc>
        <w:tc>
          <w:tcPr>
            <w:tcW w:w="999" w:type="dxa"/>
            <w:tcBorders>
              <w:top w:val="single" w:sz="4" w:space="0" w:color="auto"/>
              <w:left w:val="single" w:sz="4" w:space="0" w:color="auto"/>
              <w:bottom w:val="single" w:sz="4" w:space="0" w:color="auto"/>
              <w:right w:val="single" w:sz="4" w:space="0" w:color="auto"/>
            </w:tcBorders>
            <w:vAlign w:val="center"/>
            <w:hideMark/>
          </w:tcPr>
          <w:p w14:paraId="327B95C1" w14:textId="77777777" w:rsidR="003663AF" w:rsidRPr="00B7760C" w:rsidRDefault="003663AF" w:rsidP="00E804B7">
            <w:pPr>
              <w:pStyle w:val="Normal6"/>
              <w:jc w:val="right"/>
              <w:rPr>
                <w:b/>
                <w:i/>
                <w:sz w:val="20"/>
              </w:rPr>
            </w:pPr>
            <w:r w:rsidRPr="00B7760C">
              <w:rPr>
                <w:b/>
                <w:i/>
                <w:sz w:val="20"/>
              </w:rPr>
              <w:t>7 147 786 964</w:t>
            </w:r>
          </w:p>
        </w:tc>
        <w:tc>
          <w:tcPr>
            <w:tcW w:w="900" w:type="dxa"/>
            <w:tcBorders>
              <w:top w:val="single" w:sz="4" w:space="0" w:color="auto"/>
              <w:left w:val="single" w:sz="4" w:space="0" w:color="auto"/>
              <w:bottom w:val="single" w:sz="4" w:space="0" w:color="auto"/>
              <w:right w:val="single" w:sz="4" w:space="0" w:color="auto"/>
            </w:tcBorders>
            <w:vAlign w:val="center"/>
            <w:hideMark/>
          </w:tcPr>
          <w:p w14:paraId="4A2CE30E" w14:textId="77777777" w:rsidR="003663AF" w:rsidRPr="00B7760C" w:rsidRDefault="003663AF" w:rsidP="00E804B7">
            <w:pPr>
              <w:pStyle w:val="Normal6"/>
              <w:jc w:val="right"/>
              <w:rPr>
                <w:b/>
                <w:i/>
                <w:sz w:val="20"/>
              </w:rPr>
            </w:pPr>
            <w:r w:rsidRPr="00B7760C">
              <w:rPr>
                <w:b/>
                <w:i/>
                <w:sz w:val="20"/>
              </w:rPr>
              <w:t>7 147 786 964</w:t>
            </w:r>
          </w:p>
        </w:tc>
        <w:tc>
          <w:tcPr>
            <w:tcW w:w="1019" w:type="dxa"/>
            <w:tcBorders>
              <w:top w:val="single" w:sz="4" w:space="0" w:color="auto"/>
              <w:left w:val="single" w:sz="4" w:space="0" w:color="auto"/>
              <w:bottom w:val="single" w:sz="4" w:space="0" w:color="auto"/>
              <w:right w:val="single" w:sz="4" w:space="0" w:color="auto"/>
            </w:tcBorders>
            <w:vAlign w:val="center"/>
            <w:hideMark/>
          </w:tcPr>
          <w:p w14:paraId="370F770A" w14:textId="77777777" w:rsidR="003663AF" w:rsidRPr="00B7760C" w:rsidRDefault="003663AF" w:rsidP="00E804B7">
            <w:pPr>
              <w:pStyle w:val="Normal6"/>
              <w:jc w:val="right"/>
              <w:rPr>
                <w:b/>
                <w:i/>
                <w:sz w:val="20"/>
              </w:rPr>
            </w:pPr>
            <w:r w:rsidRPr="00B7760C">
              <w:rPr>
                <w:b/>
                <w:i/>
                <w:sz w:val="20"/>
              </w:rPr>
              <w:t>7 147 786 964</w:t>
            </w:r>
          </w:p>
        </w:tc>
        <w:tc>
          <w:tcPr>
            <w:tcW w:w="1019" w:type="dxa"/>
            <w:tcBorders>
              <w:top w:val="single" w:sz="4" w:space="0" w:color="auto"/>
              <w:left w:val="single" w:sz="4" w:space="0" w:color="auto"/>
              <w:bottom w:val="single" w:sz="4" w:space="0" w:color="auto"/>
              <w:right w:val="single" w:sz="4" w:space="0" w:color="auto"/>
            </w:tcBorders>
            <w:vAlign w:val="center"/>
            <w:hideMark/>
          </w:tcPr>
          <w:p w14:paraId="67568423" w14:textId="77777777" w:rsidR="003663AF" w:rsidRPr="00B7760C" w:rsidRDefault="003663AF" w:rsidP="00E804B7">
            <w:pPr>
              <w:pStyle w:val="Normal6"/>
              <w:jc w:val="right"/>
              <w:rPr>
                <w:b/>
                <w:i/>
                <w:sz w:val="20"/>
              </w:rPr>
            </w:pPr>
            <w:r w:rsidRPr="00B7760C">
              <w:rPr>
                <w:b/>
                <w:i/>
                <w:sz w:val="20"/>
              </w:rPr>
              <w:t>7 147 786 964</w:t>
            </w:r>
          </w:p>
        </w:tc>
        <w:tc>
          <w:tcPr>
            <w:tcW w:w="1019" w:type="dxa"/>
            <w:tcBorders>
              <w:top w:val="single" w:sz="4" w:space="0" w:color="auto"/>
              <w:left w:val="single" w:sz="4" w:space="0" w:color="auto"/>
              <w:bottom w:val="single" w:sz="4" w:space="0" w:color="auto"/>
              <w:right w:val="single" w:sz="4" w:space="0" w:color="auto"/>
            </w:tcBorders>
            <w:vAlign w:val="center"/>
            <w:hideMark/>
          </w:tcPr>
          <w:p w14:paraId="7D1813D2" w14:textId="77777777" w:rsidR="003663AF" w:rsidRPr="00B7760C" w:rsidRDefault="003663AF" w:rsidP="00E804B7">
            <w:pPr>
              <w:pStyle w:val="Normal6"/>
              <w:jc w:val="right"/>
              <w:rPr>
                <w:b/>
                <w:i/>
                <w:sz w:val="20"/>
              </w:rPr>
            </w:pPr>
            <w:r w:rsidRPr="00B7760C">
              <w:rPr>
                <w:b/>
                <w:i/>
                <w:sz w:val="20"/>
              </w:rPr>
              <w:t>7 147 786 964</w:t>
            </w:r>
          </w:p>
        </w:tc>
        <w:tc>
          <w:tcPr>
            <w:tcW w:w="880" w:type="dxa"/>
            <w:tcBorders>
              <w:top w:val="single" w:sz="4" w:space="0" w:color="auto"/>
              <w:left w:val="single" w:sz="4" w:space="0" w:color="auto"/>
              <w:bottom w:val="single" w:sz="4" w:space="0" w:color="auto"/>
              <w:right w:val="single" w:sz="4" w:space="0" w:color="auto"/>
            </w:tcBorders>
            <w:vAlign w:val="center"/>
            <w:hideMark/>
          </w:tcPr>
          <w:p w14:paraId="1FBD48B7" w14:textId="77777777" w:rsidR="003663AF" w:rsidRPr="00B7760C" w:rsidRDefault="003663AF" w:rsidP="00E804B7">
            <w:pPr>
              <w:pStyle w:val="Normal6"/>
              <w:jc w:val="right"/>
              <w:rPr>
                <w:b/>
                <w:i/>
                <w:sz w:val="20"/>
              </w:rPr>
            </w:pPr>
            <w:r w:rsidRPr="00B7760C">
              <w:rPr>
                <w:b/>
                <w:i/>
                <w:sz w:val="20"/>
              </w:rPr>
              <w:t>7 147 786 964</w:t>
            </w:r>
          </w:p>
        </w:tc>
        <w:tc>
          <w:tcPr>
            <w:tcW w:w="1141" w:type="dxa"/>
            <w:tcBorders>
              <w:top w:val="single" w:sz="4" w:space="0" w:color="auto"/>
              <w:left w:val="single" w:sz="4" w:space="0" w:color="auto"/>
              <w:bottom w:val="single" w:sz="4" w:space="0" w:color="auto"/>
              <w:right w:val="single" w:sz="4" w:space="0" w:color="auto"/>
            </w:tcBorders>
            <w:vAlign w:val="center"/>
            <w:hideMark/>
          </w:tcPr>
          <w:p w14:paraId="3B9B5DD6" w14:textId="77777777" w:rsidR="003663AF" w:rsidRPr="00B7760C" w:rsidRDefault="003663AF" w:rsidP="00E804B7">
            <w:pPr>
              <w:pStyle w:val="Normal6"/>
              <w:jc w:val="right"/>
              <w:rPr>
                <w:b/>
                <w:i/>
                <w:sz w:val="20"/>
              </w:rPr>
            </w:pPr>
            <w:r w:rsidRPr="00B7760C">
              <w:rPr>
                <w:b/>
                <w:i/>
                <w:sz w:val="20"/>
              </w:rPr>
              <w:t>7 147 786 964</w:t>
            </w:r>
          </w:p>
        </w:tc>
      </w:tr>
      <w:tr w:rsidR="003663AF" w:rsidRPr="00B7760C" w14:paraId="47ADC2FD"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07FBB551" w14:textId="77777777" w:rsidR="003663AF" w:rsidRPr="00B7760C" w:rsidRDefault="003663AF" w:rsidP="00E804B7">
            <w:pPr>
              <w:pStyle w:val="Normal6"/>
              <w:rPr>
                <w:sz w:val="20"/>
              </w:rPr>
            </w:pPr>
            <w:r w:rsidRPr="00B7760C">
              <w:rPr>
                <w:sz w:val="20"/>
              </w:rPr>
              <w:t>Hrvaška</w:t>
            </w:r>
          </w:p>
        </w:tc>
        <w:tc>
          <w:tcPr>
            <w:tcW w:w="999" w:type="dxa"/>
            <w:tcBorders>
              <w:top w:val="single" w:sz="4" w:space="0" w:color="auto"/>
              <w:left w:val="single" w:sz="4" w:space="0" w:color="auto"/>
              <w:bottom w:val="single" w:sz="4" w:space="0" w:color="auto"/>
              <w:right w:val="single" w:sz="4" w:space="0" w:color="auto"/>
            </w:tcBorders>
            <w:vAlign w:val="center"/>
            <w:hideMark/>
          </w:tcPr>
          <w:p w14:paraId="5E678697" w14:textId="77777777" w:rsidR="003663AF" w:rsidRPr="00B7760C" w:rsidRDefault="003663AF" w:rsidP="00E804B7">
            <w:pPr>
              <w:pStyle w:val="Normal6"/>
              <w:jc w:val="right"/>
              <w:rPr>
                <w:b/>
                <w:i/>
                <w:sz w:val="20"/>
              </w:rPr>
            </w:pPr>
            <w:r w:rsidRPr="00B7760C">
              <w:rPr>
                <w:b/>
                <w:i/>
                <w:sz w:val="20"/>
              </w:rPr>
              <w:t>344 340 000</w:t>
            </w:r>
          </w:p>
        </w:tc>
        <w:tc>
          <w:tcPr>
            <w:tcW w:w="900" w:type="dxa"/>
            <w:tcBorders>
              <w:top w:val="single" w:sz="4" w:space="0" w:color="auto"/>
              <w:left w:val="single" w:sz="4" w:space="0" w:color="auto"/>
              <w:bottom w:val="single" w:sz="4" w:space="0" w:color="auto"/>
              <w:right w:val="single" w:sz="4" w:space="0" w:color="auto"/>
            </w:tcBorders>
            <w:vAlign w:val="center"/>
            <w:hideMark/>
          </w:tcPr>
          <w:p w14:paraId="44A34877" w14:textId="77777777" w:rsidR="003663AF" w:rsidRPr="00B7760C" w:rsidRDefault="003663AF" w:rsidP="00E804B7">
            <w:pPr>
              <w:pStyle w:val="Normal6"/>
              <w:jc w:val="right"/>
              <w:rPr>
                <w:b/>
                <w:i/>
                <w:sz w:val="20"/>
              </w:rPr>
            </w:pPr>
            <w:r w:rsidRPr="00B7760C">
              <w:rPr>
                <w:b/>
                <w:i/>
                <w:sz w:val="20"/>
              </w:rPr>
              <w:t>367 711 409</w:t>
            </w:r>
          </w:p>
        </w:tc>
        <w:tc>
          <w:tcPr>
            <w:tcW w:w="1019" w:type="dxa"/>
            <w:tcBorders>
              <w:top w:val="single" w:sz="4" w:space="0" w:color="auto"/>
              <w:left w:val="single" w:sz="4" w:space="0" w:color="auto"/>
              <w:bottom w:val="single" w:sz="4" w:space="0" w:color="auto"/>
              <w:right w:val="single" w:sz="4" w:space="0" w:color="auto"/>
            </w:tcBorders>
            <w:vAlign w:val="center"/>
            <w:hideMark/>
          </w:tcPr>
          <w:p w14:paraId="471FCF80" w14:textId="77777777" w:rsidR="003663AF" w:rsidRPr="00B7760C" w:rsidRDefault="003663AF" w:rsidP="00E804B7">
            <w:pPr>
              <w:pStyle w:val="Normal6"/>
              <w:jc w:val="right"/>
              <w:rPr>
                <w:b/>
                <w:i/>
                <w:sz w:val="20"/>
              </w:rPr>
            </w:pPr>
            <w:r w:rsidRPr="00B7760C">
              <w:rPr>
                <w:b/>
                <w:i/>
                <w:sz w:val="20"/>
              </w:rPr>
              <w:t>367 711 409</w:t>
            </w:r>
          </w:p>
        </w:tc>
        <w:tc>
          <w:tcPr>
            <w:tcW w:w="1019" w:type="dxa"/>
            <w:tcBorders>
              <w:top w:val="single" w:sz="4" w:space="0" w:color="auto"/>
              <w:left w:val="single" w:sz="4" w:space="0" w:color="auto"/>
              <w:bottom w:val="single" w:sz="4" w:space="0" w:color="auto"/>
              <w:right w:val="single" w:sz="4" w:space="0" w:color="auto"/>
            </w:tcBorders>
            <w:vAlign w:val="center"/>
            <w:hideMark/>
          </w:tcPr>
          <w:p w14:paraId="2A684C46" w14:textId="77777777" w:rsidR="003663AF" w:rsidRPr="00B7760C" w:rsidRDefault="003663AF" w:rsidP="00E804B7">
            <w:pPr>
              <w:pStyle w:val="Normal6"/>
              <w:jc w:val="right"/>
              <w:rPr>
                <w:b/>
                <w:i/>
                <w:sz w:val="20"/>
              </w:rPr>
            </w:pPr>
            <w:r w:rsidRPr="00B7760C">
              <w:rPr>
                <w:b/>
                <w:i/>
                <w:sz w:val="20"/>
              </w:rPr>
              <w:t>367 711 409</w:t>
            </w:r>
          </w:p>
        </w:tc>
        <w:tc>
          <w:tcPr>
            <w:tcW w:w="1019" w:type="dxa"/>
            <w:tcBorders>
              <w:top w:val="single" w:sz="4" w:space="0" w:color="auto"/>
              <w:left w:val="single" w:sz="4" w:space="0" w:color="auto"/>
              <w:bottom w:val="single" w:sz="4" w:space="0" w:color="auto"/>
              <w:right w:val="single" w:sz="4" w:space="0" w:color="auto"/>
            </w:tcBorders>
            <w:vAlign w:val="center"/>
            <w:hideMark/>
          </w:tcPr>
          <w:p w14:paraId="7E42ED0C" w14:textId="77777777" w:rsidR="003663AF" w:rsidRPr="00B7760C" w:rsidRDefault="003663AF" w:rsidP="00E804B7">
            <w:pPr>
              <w:pStyle w:val="Normal6"/>
              <w:jc w:val="right"/>
              <w:rPr>
                <w:b/>
                <w:i/>
                <w:sz w:val="20"/>
              </w:rPr>
            </w:pPr>
            <w:r w:rsidRPr="00B7760C">
              <w:rPr>
                <w:b/>
                <w:i/>
                <w:sz w:val="20"/>
              </w:rPr>
              <w:t>367 711 409</w:t>
            </w:r>
          </w:p>
        </w:tc>
        <w:tc>
          <w:tcPr>
            <w:tcW w:w="880" w:type="dxa"/>
            <w:tcBorders>
              <w:top w:val="single" w:sz="4" w:space="0" w:color="auto"/>
              <w:left w:val="single" w:sz="4" w:space="0" w:color="auto"/>
              <w:bottom w:val="single" w:sz="4" w:space="0" w:color="auto"/>
              <w:right w:val="single" w:sz="4" w:space="0" w:color="auto"/>
            </w:tcBorders>
            <w:vAlign w:val="center"/>
            <w:hideMark/>
          </w:tcPr>
          <w:p w14:paraId="688CDA78" w14:textId="77777777" w:rsidR="003663AF" w:rsidRPr="00B7760C" w:rsidRDefault="003663AF" w:rsidP="00E804B7">
            <w:pPr>
              <w:pStyle w:val="Normal6"/>
              <w:jc w:val="right"/>
              <w:rPr>
                <w:b/>
                <w:i/>
                <w:sz w:val="20"/>
              </w:rPr>
            </w:pPr>
            <w:r w:rsidRPr="00B7760C">
              <w:rPr>
                <w:b/>
                <w:i/>
                <w:sz w:val="20"/>
              </w:rPr>
              <w:t>367 711 409</w:t>
            </w:r>
          </w:p>
        </w:tc>
        <w:tc>
          <w:tcPr>
            <w:tcW w:w="1141" w:type="dxa"/>
            <w:tcBorders>
              <w:top w:val="single" w:sz="4" w:space="0" w:color="auto"/>
              <w:left w:val="single" w:sz="4" w:space="0" w:color="auto"/>
              <w:bottom w:val="single" w:sz="4" w:space="0" w:color="auto"/>
              <w:right w:val="single" w:sz="4" w:space="0" w:color="auto"/>
            </w:tcBorders>
            <w:vAlign w:val="center"/>
            <w:hideMark/>
          </w:tcPr>
          <w:p w14:paraId="7EA62A32" w14:textId="77777777" w:rsidR="003663AF" w:rsidRPr="00B7760C" w:rsidRDefault="003663AF" w:rsidP="00E804B7">
            <w:pPr>
              <w:pStyle w:val="Normal6"/>
              <w:jc w:val="right"/>
              <w:rPr>
                <w:b/>
                <w:i/>
                <w:sz w:val="20"/>
              </w:rPr>
            </w:pPr>
            <w:r w:rsidRPr="00B7760C">
              <w:rPr>
                <w:b/>
                <w:i/>
                <w:sz w:val="20"/>
              </w:rPr>
              <w:t>367 711 409</w:t>
            </w:r>
          </w:p>
        </w:tc>
      </w:tr>
      <w:tr w:rsidR="003663AF" w:rsidRPr="00B7760C" w14:paraId="5EA7531E"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701E4371" w14:textId="77777777" w:rsidR="003663AF" w:rsidRPr="00B7760C" w:rsidRDefault="003663AF" w:rsidP="00E804B7">
            <w:pPr>
              <w:pStyle w:val="Normal6"/>
              <w:rPr>
                <w:sz w:val="20"/>
              </w:rPr>
            </w:pPr>
            <w:r w:rsidRPr="00B7760C">
              <w:rPr>
                <w:sz w:val="20"/>
              </w:rPr>
              <w:t>Italija</w:t>
            </w:r>
          </w:p>
        </w:tc>
        <w:tc>
          <w:tcPr>
            <w:tcW w:w="999" w:type="dxa"/>
            <w:tcBorders>
              <w:top w:val="single" w:sz="4" w:space="0" w:color="auto"/>
              <w:left w:val="single" w:sz="4" w:space="0" w:color="auto"/>
              <w:bottom w:val="single" w:sz="4" w:space="0" w:color="auto"/>
              <w:right w:val="single" w:sz="4" w:space="0" w:color="auto"/>
            </w:tcBorders>
            <w:vAlign w:val="center"/>
            <w:hideMark/>
          </w:tcPr>
          <w:p w14:paraId="540E3698" w14:textId="77777777" w:rsidR="003663AF" w:rsidRPr="00B7760C" w:rsidRDefault="003663AF" w:rsidP="00E804B7">
            <w:pPr>
              <w:pStyle w:val="Normal6"/>
              <w:jc w:val="right"/>
              <w:rPr>
                <w:b/>
                <w:i/>
                <w:sz w:val="20"/>
              </w:rPr>
            </w:pPr>
            <w:r w:rsidRPr="00B7760C">
              <w:rPr>
                <w:b/>
                <w:i/>
                <w:sz w:val="20"/>
              </w:rPr>
              <w:t>3 560 185 516</w:t>
            </w:r>
          </w:p>
        </w:tc>
        <w:tc>
          <w:tcPr>
            <w:tcW w:w="900" w:type="dxa"/>
            <w:tcBorders>
              <w:top w:val="single" w:sz="4" w:space="0" w:color="auto"/>
              <w:left w:val="single" w:sz="4" w:space="0" w:color="auto"/>
              <w:bottom w:val="single" w:sz="4" w:space="0" w:color="auto"/>
              <w:right w:val="single" w:sz="4" w:space="0" w:color="auto"/>
            </w:tcBorders>
            <w:vAlign w:val="center"/>
            <w:hideMark/>
          </w:tcPr>
          <w:p w14:paraId="40513877" w14:textId="77777777" w:rsidR="003663AF" w:rsidRPr="00B7760C" w:rsidRDefault="003663AF" w:rsidP="00E804B7">
            <w:pPr>
              <w:pStyle w:val="Normal6"/>
              <w:jc w:val="right"/>
              <w:rPr>
                <w:b/>
                <w:i/>
                <w:sz w:val="20"/>
              </w:rPr>
            </w:pPr>
            <w:r w:rsidRPr="00B7760C">
              <w:rPr>
                <w:b/>
                <w:i/>
                <w:sz w:val="20"/>
              </w:rPr>
              <w:t>3 560 185 516</w:t>
            </w:r>
          </w:p>
        </w:tc>
        <w:tc>
          <w:tcPr>
            <w:tcW w:w="1019" w:type="dxa"/>
            <w:tcBorders>
              <w:top w:val="single" w:sz="4" w:space="0" w:color="auto"/>
              <w:left w:val="single" w:sz="4" w:space="0" w:color="auto"/>
              <w:bottom w:val="single" w:sz="4" w:space="0" w:color="auto"/>
              <w:right w:val="single" w:sz="4" w:space="0" w:color="auto"/>
            </w:tcBorders>
            <w:vAlign w:val="center"/>
            <w:hideMark/>
          </w:tcPr>
          <w:p w14:paraId="06EFFF81" w14:textId="77777777" w:rsidR="003663AF" w:rsidRPr="00B7760C" w:rsidRDefault="003663AF" w:rsidP="00E804B7">
            <w:pPr>
              <w:pStyle w:val="Normal6"/>
              <w:jc w:val="right"/>
              <w:rPr>
                <w:b/>
                <w:i/>
                <w:sz w:val="20"/>
              </w:rPr>
            </w:pPr>
            <w:r w:rsidRPr="00B7760C">
              <w:rPr>
                <w:b/>
                <w:i/>
                <w:sz w:val="20"/>
              </w:rPr>
              <w:t>3 560 185 516</w:t>
            </w:r>
          </w:p>
        </w:tc>
        <w:tc>
          <w:tcPr>
            <w:tcW w:w="1019" w:type="dxa"/>
            <w:tcBorders>
              <w:top w:val="single" w:sz="4" w:space="0" w:color="auto"/>
              <w:left w:val="single" w:sz="4" w:space="0" w:color="auto"/>
              <w:bottom w:val="single" w:sz="4" w:space="0" w:color="auto"/>
              <w:right w:val="single" w:sz="4" w:space="0" w:color="auto"/>
            </w:tcBorders>
            <w:vAlign w:val="center"/>
            <w:hideMark/>
          </w:tcPr>
          <w:p w14:paraId="4029BC46" w14:textId="77777777" w:rsidR="003663AF" w:rsidRPr="00B7760C" w:rsidRDefault="003663AF" w:rsidP="00E804B7">
            <w:pPr>
              <w:pStyle w:val="Normal6"/>
              <w:jc w:val="right"/>
              <w:rPr>
                <w:b/>
                <w:i/>
                <w:sz w:val="20"/>
              </w:rPr>
            </w:pPr>
            <w:r w:rsidRPr="00B7760C">
              <w:rPr>
                <w:b/>
                <w:i/>
                <w:sz w:val="20"/>
              </w:rPr>
              <w:t>3 560 185 516</w:t>
            </w:r>
          </w:p>
        </w:tc>
        <w:tc>
          <w:tcPr>
            <w:tcW w:w="1019" w:type="dxa"/>
            <w:tcBorders>
              <w:top w:val="single" w:sz="4" w:space="0" w:color="auto"/>
              <w:left w:val="single" w:sz="4" w:space="0" w:color="auto"/>
              <w:bottom w:val="single" w:sz="4" w:space="0" w:color="auto"/>
              <w:right w:val="single" w:sz="4" w:space="0" w:color="auto"/>
            </w:tcBorders>
            <w:vAlign w:val="center"/>
            <w:hideMark/>
          </w:tcPr>
          <w:p w14:paraId="1C289D0D" w14:textId="77777777" w:rsidR="003663AF" w:rsidRPr="00B7760C" w:rsidRDefault="003663AF" w:rsidP="00E804B7">
            <w:pPr>
              <w:pStyle w:val="Normal6"/>
              <w:jc w:val="right"/>
              <w:rPr>
                <w:b/>
                <w:i/>
                <w:sz w:val="20"/>
              </w:rPr>
            </w:pPr>
            <w:r w:rsidRPr="00B7760C">
              <w:rPr>
                <w:b/>
                <w:i/>
                <w:sz w:val="20"/>
              </w:rPr>
              <w:t>3 560 185 516</w:t>
            </w:r>
          </w:p>
        </w:tc>
        <w:tc>
          <w:tcPr>
            <w:tcW w:w="880" w:type="dxa"/>
            <w:tcBorders>
              <w:top w:val="single" w:sz="4" w:space="0" w:color="auto"/>
              <w:left w:val="single" w:sz="4" w:space="0" w:color="auto"/>
              <w:bottom w:val="single" w:sz="4" w:space="0" w:color="auto"/>
              <w:right w:val="single" w:sz="4" w:space="0" w:color="auto"/>
            </w:tcBorders>
            <w:vAlign w:val="center"/>
            <w:hideMark/>
          </w:tcPr>
          <w:p w14:paraId="5D1DCA79" w14:textId="77777777" w:rsidR="003663AF" w:rsidRPr="00B7760C" w:rsidRDefault="003663AF" w:rsidP="00E804B7">
            <w:pPr>
              <w:pStyle w:val="Normal6"/>
              <w:jc w:val="right"/>
              <w:rPr>
                <w:b/>
                <w:i/>
                <w:sz w:val="20"/>
              </w:rPr>
            </w:pPr>
            <w:r w:rsidRPr="00B7760C">
              <w:rPr>
                <w:b/>
                <w:i/>
                <w:sz w:val="20"/>
              </w:rPr>
              <w:t>3 560 185 516</w:t>
            </w:r>
          </w:p>
        </w:tc>
        <w:tc>
          <w:tcPr>
            <w:tcW w:w="1141" w:type="dxa"/>
            <w:tcBorders>
              <w:top w:val="single" w:sz="4" w:space="0" w:color="auto"/>
              <w:left w:val="single" w:sz="4" w:space="0" w:color="auto"/>
              <w:bottom w:val="single" w:sz="4" w:space="0" w:color="auto"/>
              <w:right w:val="single" w:sz="4" w:space="0" w:color="auto"/>
            </w:tcBorders>
            <w:vAlign w:val="center"/>
            <w:hideMark/>
          </w:tcPr>
          <w:p w14:paraId="5AED5A20" w14:textId="77777777" w:rsidR="003663AF" w:rsidRPr="00B7760C" w:rsidRDefault="003663AF" w:rsidP="00E804B7">
            <w:pPr>
              <w:pStyle w:val="Normal6"/>
              <w:jc w:val="right"/>
              <w:rPr>
                <w:b/>
                <w:i/>
                <w:sz w:val="20"/>
              </w:rPr>
            </w:pPr>
            <w:r w:rsidRPr="00B7760C">
              <w:rPr>
                <w:b/>
                <w:i/>
                <w:sz w:val="20"/>
              </w:rPr>
              <w:t>3 560 185 516</w:t>
            </w:r>
          </w:p>
        </w:tc>
      </w:tr>
      <w:tr w:rsidR="003663AF" w:rsidRPr="00B7760C" w14:paraId="7C535E34"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542C8967" w14:textId="77777777" w:rsidR="003663AF" w:rsidRPr="00B7760C" w:rsidRDefault="003663AF" w:rsidP="00E804B7">
            <w:pPr>
              <w:pStyle w:val="Normal6"/>
              <w:rPr>
                <w:sz w:val="20"/>
              </w:rPr>
            </w:pPr>
            <w:r w:rsidRPr="00B7760C">
              <w:rPr>
                <w:sz w:val="20"/>
              </w:rPr>
              <w:t>Ciper</w:t>
            </w:r>
          </w:p>
        </w:tc>
        <w:tc>
          <w:tcPr>
            <w:tcW w:w="999" w:type="dxa"/>
            <w:tcBorders>
              <w:top w:val="single" w:sz="4" w:space="0" w:color="auto"/>
              <w:left w:val="single" w:sz="4" w:space="0" w:color="auto"/>
              <w:bottom w:val="single" w:sz="4" w:space="0" w:color="auto"/>
              <w:right w:val="single" w:sz="4" w:space="0" w:color="auto"/>
            </w:tcBorders>
            <w:vAlign w:val="center"/>
            <w:hideMark/>
          </w:tcPr>
          <w:p w14:paraId="4BA016A6" w14:textId="77777777" w:rsidR="003663AF" w:rsidRPr="00B7760C" w:rsidRDefault="003663AF" w:rsidP="00E804B7">
            <w:pPr>
              <w:pStyle w:val="Normal6"/>
              <w:jc w:val="right"/>
              <w:rPr>
                <w:b/>
                <w:i/>
                <w:sz w:val="20"/>
              </w:rPr>
            </w:pPr>
            <w:r w:rsidRPr="00B7760C">
              <w:rPr>
                <w:b/>
                <w:i/>
                <w:sz w:val="20"/>
              </w:rPr>
              <w:t>46 750 094</w:t>
            </w:r>
          </w:p>
        </w:tc>
        <w:tc>
          <w:tcPr>
            <w:tcW w:w="900" w:type="dxa"/>
            <w:tcBorders>
              <w:top w:val="single" w:sz="4" w:space="0" w:color="auto"/>
              <w:left w:val="single" w:sz="4" w:space="0" w:color="auto"/>
              <w:bottom w:val="single" w:sz="4" w:space="0" w:color="auto"/>
              <w:right w:val="single" w:sz="4" w:space="0" w:color="auto"/>
            </w:tcBorders>
            <w:vAlign w:val="center"/>
            <w:hideMark/>
          </w:tcPr>
          <w:p w14:paraId="5791BD2A" w14:textId="77777777" w:rsidR="003663AF" w:rsidRPr="00B7760C" w:rsidRDefault="003663AF" w:rsidP="00E804B7">
            <w:pPr>
              <w:pStyle w:val="Normal6"/>
              <w:jc w:val="right"/>
              <w:rPr>
                <w:b/>
                <w:i/>
                <w:sz w:val="20"/>
              </w:rPr>
            </w:pPr>
            <w:r w:rsidRPr="00B7760C">
              <w:rPr>
                <w:b/>
                <w:i/>
                <w:sz w:val="20"/>
              </w:rPr>
              <w:t>46 750 094</w:t>
            </w:r>
          </w:p>
        </w:tc>
        <w:tc>
          <w:tcPr>
            <w:tcW w:w="1019" w:type="dxa"/>
            <w:tcBorders>
              <w:top w:val="single" w:sz="4" w:space="0" w:color="auto"/>
              <w:left w:val="single" w:sz="4" w:space="0" w:color="auto"/>
              <w:bottom w:val="single" w:sz="4" w:space="0" w:color="auto"/>
              <w:right w:val="single" w:sz="4" w:space="0" w:color="auto"/>
            </w:tcBorders>
            <w:vAlign w:val="center"/>
            <w:hideMark/>
          </w:tcPr>
          <w:p w14:paraId="0D12CC74" w14:textId="77777777" w:rsidR="003663AF" w:rsidRPr="00B7760C" w:rsidRDefault="003663AF" w:rsidP="00E804B7">
            <w:pPr>
              <w:pStyle w:val="Normal6"/>
              <w:jc w:val="right"/>
              <w:rPr>
                <w:b/>
                <w:i/>
                <w:sz w:val="20"/>
              </w:rPr>
            </w:pPr>
            <w:r w:rsidRPr="00B7760C">
              <w:rPr>
                <w:b/>
                <w:i/>
                <w:sz w:val="20"/>
              </w:rPr>
              <w:t>46 750 094</w:t>
            </w:r>
          </w:p>
        </w:tc>
        <w:tc>
          <w:tcPr>
            <w:tcW w:w="1019" w:type="dxa"/>
            <w:tcBorders>
              <w:top w:val="single" w:sz="4" w:space="0" w:color="auto"/>
              <w:left w:val="single" w:sz="4" w:space="0" w:color="auto"/>
              <w:bottom w:val="single" w:sz="4" w:space="0" w:color="auto"/>
              <w:right w:val="single" w:sz="4" w:space="0" w:color="auto"/>
            </w:tcBorders>
            <w:vAlign w:val="center"/>
            <w:hideMark/>
          </w:tcPr>
          <w:p w14:paraId="253A299A" w14:textId="77777777" w:rsidR="003663AF" w:rsidRPr="00B7760C" w:rsidRDefault="003663AF" w:rsidP="00E804B7">
            <w:pPr>
              <w:pStyle w:val="Normal6"/>
              <w:jc w:val="right"/>
              <w:rPr>
                <w:b/>
                <w:i/>
                <w:sz w:val="20"/>
              </w:rPr>
            </w:pPr>
            <w:r w:rsidRPr="00B7760C">
              <w:rPr>
                <w:b/>
                <w:i/>
                <w:sz w:val="20"/>
              </w:rPr>
              <w:t>46 750 094</w:t>
            </w:r>
          </w:p>
        </w:tc>
        <w:tc>
          <w:tcPr>
            <w:tcW w:w="1019" w:type="dxa"/>
            <w:tcBorders>
              <w:top w:val="single" w:sz="4" w:space="0" w:color="auto"/>
              <w:left w:val="single" w:sz="4" w:space="0" w:color="auto"/>
              <w:bottom w:val="single" w:sz="4" w:space="0" w:color="auto"/>
              <w:right w:val="single" w:sz="4" w:space="0" w:color="auto"/>
            </w:tcBorders>
            <w:vAlign w:val="center"/>
            <w:hideMark/>
          </w:tcPr>
          <w:p w14:paraId="435AB9E9" w14:textId="77777777" w:rsidR="003663AF" w:rsidRPr="00B7760C" w:rsidRDefault="003663AF" w:rsidP="00E804B7">
            <w:pPr>
              <w:pStyle w:val="Normal6"/>
              <w:jc w:val="right"/>
              <w:rPr>
                <w:b/>
                <w:i/>
                <w:sz w:val="20"/>
              </w:rPr>
            </w:pPr>
            <w:r w:rsidRPr="00B7760C">
              <w:rPr>
                <w:b/>
                <w:i/>
                <w:sz w:val="20"/>
              </w:rPr>
              <w:t>46 750 094</w:t>
            </w:r>
          </w:p>
        </w:tc>
        <w:tc>
          <w:tcPr>
            <w:tcW w:w="880" w:type="dxa"/>
            <w:tcBorders>
              <w:top w:val="single" w:sz="4" w:space="0" w:color="auto"/>
              <w:left w:val="single" w:sz="4" w:space="0" w:color="auto"/>
              <w:bottom w:val="single" w:sz="4" w:space="0" w:color="auto"/>
              <w:right w:val="single" w:sz="4" w:space="0" w:color="auto"/>
            </w:tcBorders>
            <w:vAlign w:val="center"/>
            <w:hideMark/>
          </w:tcPr>
          <w:p w14:paraId="0A9AE5A2" w14:textId="77777777" w:rsidR="003663AF" w:rsidRPr="00B7760C" w:rsidRDefault="003663AF" w:rsidP="00E804B7">
            <w:pPr>
              <w:pStyle w:val="Normal6"/>
              <w:jc w:val="right"/>
              <w:rPr>
                <w:b/>
                <w:i/>
                <w:sz w:val="20"/>
              </w:rPr>
            </w:pPr>
            <w:r w:rsidRPr="00B7760C">
              <w:rPr>
                <w:b/>
                <w:i/>
                <w:sz w:val="20"/>
              </w:rPr>
              <w:t>46 750 094</w:t>
            </w:r>
          </w:p>
        </w:tc>
        <w:tc>
          <w:tcPr>
            <w:tcW w:w="1141" w:type="dxa"/>
            <w:tcBorders>
              <w:top w:val="single" w:sz="4" w:space="0" w:color="auto"/>
              <w:left w:val="single" w:sz="4" w:space="0" w:color="auto"/>
              <w:bottom w:val="single" w:sz="4" w:space="0" w:color="auto"/>
              <w:right w:val="single" w:sz="4" w:space="0" w:color="auto"/>
            </w:tcBorders>
            <w:vAlign w:val="center"/>
            <w:hideMark/>
          </w:tcPr>
          <w:p w14:paraId="73681DFD" w14:textId="77777777" w:rsidR="003663AF" w:rsidRPr="00B7760C" w:rsidRDefault="003663AF" w:rsidP="00E804B7">
            <w:pPr>
              <w:pStyle w:val="Normal6"/>
              <w:jc w:val="right"/>
              <w:rPr>
                <w:b/>
                <w:i/>
                <w:sz w:val="20"/>
              </w:rPr>
            </w:pPr>
            <w:r w:rsidRPr="00B7760C">
              <w:rPr>
                <w:b/>
                <w:i/>
                <w:sz w:val="20"/>
              </w:rPr>
              <w:t>46 750 094</w:t>
            </w:r>
          </w:p>
        </w:tc>
      </w:tr>
      <w:tr w:rsidR="003663AF" w:rsidRPr="00B7760C" w14:paraId="51000029"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2551F54A" w14:textId="77777777" w:rsidR="003663AF" w:rsidRPr="00B7760C" w:rsidRDefault="003663AF" w:rsidP="00E804B7">
            <w:pPr>
              <w:pStyle w:val="Normal6"/>
              <w:rPr>
                <w:sz w:val="20"/>
              </w:rPr>
            </w:pPr>
            <w:r w:rsidRPr="00B7760C">
              <w:rPr>
                <w:sz w:val="20"/>
              </w:rPr>
              <w:t>Latvija</w:t>
            </w:r>
          </w:p>
        </w:tc>
        <w:tc>
          <w:tcPr>
            <w:tcW w:w="999" w:type="dxa"/>
            <w:tcBorders>
              <w:top w:val="single" w:sz="4" w:space="0" w:color="auto"/>
              <w:left w:val="single" w:sz="4" w:space="0" w:color="auto"/>
              <w:bottom w:val="single" w:sz="4" w:space="0" w:color="auto"/>
              <w:right w:val="single" w:sz="4" w:space="0" w:color="auto"/>
            </w:tcBorders>
            <w:vAlign w:val="center"/>
            <w:hideMark/>
          </w:tcPr>
          <w:p w14:paraId="543BF039" w14:textId="77777777" w:rsidR="003663AF" w:rsidRPr="00B7760C" w:rsidRDefault="003663AF" w:rsidP="00E804B7">
            <w:pPr>
              <w:pStyle w:val="Normal6"/>
              <w:jc w:val="right"/>
              <w:rPr>
                <w:b/>
                <w:i/>
                <w:sz w:val="20"/>
              </w:rPr>
            </w:pPr>
            <w:r w:rsidRPr="00B7760C">
              <w:rPr>
                <w:b/>
                <w:i/>
                <w:sz w:val="20"/>
              </w:rPr>
              <w:t>299 633 591</w:t>
            </w:r>
          </w:p>
        </w:tc>
        <w:tc>
          <w:tcPr>
            <w:tcW w:w="900" w:type="dxa"/>
            <w:tcBorders>
              <w:top w:val="single" w:sz="4" w:space="0" w:color="auto"/>
              <w:left w:val="single" w:sz="4" w:space="0" w:color="auto"/>
              <w:bottom w:val="single" w:sz="4" w:space="0" w:color="auto"/>
              <w:right w:val="single" w:sz="4" w:space="0" w:color="auto"/>
            </w:tcBorders>
            <w:vAlign w:val="center"/>
            <w:hideMark/>
          </w:tcPr>
          <w:p w14:paraId="1A7B9A78" w14:textId="77777777" w:rsidR="003663AF" w:rsidRPr="00B7760C" w:rsidRDefault="003663AF" w:rsidP="00E804B7">
            <w:pPr>
              <w:pStyle w:val="Normal6"/>
              <w:jc w:val="right"/>
              <w:rPr>
                <w:b/>
                <w:i/>
                <w:sz w:val="20"/>
              </w:rPr>
            </w:pPr>
            <w:r w:rsidRPr="00B7760C">
              <w:rPr>
                <w:b/>
                <w:i/>
                <w:sz w:val="20"/>
              </w:rPr>
              <w:t>308 294 625</w:t>
            </w:r>
          </w:p>
        </w:tc>
        <w:tc>
          <w:tcPr>
            <w:tcW w:w="1019" w:type="dxa"/>
            <w:tcBorders>
              <w:top w:val="single" w:sz="4" w:space="0" w:color="auto"/>
              <w:left w:val="single" w:sz="4" w:space="0" w:color="auto"/>
              <w:bottom w:val="single" w:sz="4" w:space="0" w:color="auto"/>
              <w:right w:val="single" w:sz="4" w:space="0" w:color="auto"/>
            </w:tcBorders>
            <w:vAlign w:val="center"/>
            <w:hideMark/>
          </w:tcPr>
          <w:p w14:paraId="12E1A651" w14:textId="77777777" w:rsidR="003663AF" w:rsidRPr="00B7760C" w:rsidRDefault="003663AF" w:rsidP="00E804B7">
            <w:pPr>
              <w:pStyle w:val="Normal6"/>
              <w:jc w:val="right"/>
              <w:rPr>
                <w:b/>
                <w:i/>
                <w:sz w:val="20"/>
              </w:rPr>
            </w:pPr>
            <w:r w:rsidRPr="00B7760C">
              <w:rPr>
                <w:b/>
                <w:i/>
                <w:sz w:val="20"/>
              </w:rPr>
              <w:t>316 955 660</w:t>
            </w:r>
          </w:p>
        </w:tc>
        <w:tc>
          <w:tcPr>
            <w:tcW w:w="1019" w:type="dxa"/>
            <w:tcBorders>
              <w:top w:val="single" w:sz="4" w:space="0" w:color="auto"/>
              <w:left w:val="single" w:sz="4" w:space="0" w:color="auto"/>
              <w:bottom w:val="single" w:sz="4" w:space="0" w:color="auto"/>
              <w:right w:val="single" w:sz="4" w:space="0" w:color="auto"/>
            </w:tcBorders>
            <w:vAlign w:val="center"/>
            <w:hideMark/>
          </w:tcPr>
          <w:p w14:paraId="75B63828" w14:textId="77777777" w:rsidR="003663AF" w:rsidRPr="00B7760C" w:rsidRDefault="003663AF" w:rsidP="00E804B7">
            <w:pPr>
              <w:pStyle w:val="Normal6"/>
              <w:jc w:val="right"/>
              <w:rPr>
                <w:b/>
                <w:i/>
                <w:sz w:val="20"/>
              </w:rPr>
            </w:pPr>
            <w:r w:rsidRPr="00B7760C">
              <w:rPr>
                <w:b/>
                <w:i/>
                <w:sz w:val="20"/>
              </w:rPr>
              <w:t>325 616 694</w:t>
            </w:r>
          </w:p>
        </w:tc>
        <w:tc>
          <w:tcPr>
            <w:tcW w:w="1019" w:type="dxa"/>
            <w:tcBorders>
              <w:top w:val="single" w:sz="4" w:space="0" w:color="auto"/>
              <w:left w:val="single" w:sz="4" w:space="0" w:color="auto"/>
              <w:bottom w:val="single" w:sz="4" w:space="0" w:color="auto"/>
              <w:right w:val="single" w:sz="4" w:space="0" w:color="auto"/>
            </w:tcBorders>
            <w:vAlign w:val="center"/>
            <w:hideMark/>
          </w:tcPr>
          <w:p w14:paraId="6A95425A" w14:textId="77777777" w:rsidR="003663AF" w:rsidRPr="00B7760C" w:rsidRDefault="003663AF" w:rsidP="00E804B7">
            <w:pPr>
              <w:pStyle w:val="Normal6"/>
              <w:jc w:val="right"/>
              <w:rPr>
                <w:b/>
                <w:i/>
                <w:sz w:val="20"/>
              </w:rPr>
            </w:pPr>
            <w:r w:rsidRPr="00B7760C">
              <w:rPr>
                <w:b/>
                <w:i/>
                <w:sz w:val="20"/>
              </w:rPr>
              <w:t>334 277 729</w:t>
            </w:r>
          </w:p>
        </w:tc>
        <w:tc>
          <w:tcPr>
            <w:tcW w:w="880" w:type="dxa"/>
            <w:tcBorders>
              <w:top w:val="single" w:sz="4" w:space="0" w:color="auto"/>
              <w:left w:val="single" w:sz="4" w:space="0" w:color="auto"/>
              <w:bottom w:val="single" w:sz="4" w:space="0" w:color="auto"/>
              <w:right w:val="single" w:sz="4" w:space="0" w:color="auto"/>
            </w:tcBorders>
            <w:vAlign w:val="center"/>
            <w:hideMark/>
          </w:tcPr>
          <w:p w14:paraId="7B1F5F38" w14:textId="77777777" w:rsidR="003663AF" w:rsidRPr="00B7760C" w:rsidRDefault="003663AF" w:rsidP="00E804B7">
            <w:pPr>
              <w:pStyle w:val="Normal6"/>
              <w:jc w:val="right"/>
              <w:rPr>
                <w:b/>
                <w:i/>
                <w:sz w:val="20"/>
              </w:rPr>
            </w:pPr>
            <w:r w:rsidRPr="00B7760C">
              <w:rPr>
                <w:b/>
                <w:i/>
                <w:sz w:val="20"/>
              </w:rPr>
              <w:t>342 938 763</w:t>
            </w:r>
          </w:p>
        </w:tc>
        <w:tc>
          <w:tcPr>
            <w:tcW w:w="1141" w:type="dxa"/>
            <w:tcBorders>
              <w:top w:val="single" w:sz="4" w:space="0" w:color="auto"/>
              <w:left w:val="single" w:sz="4" w:space="0" w:color="auto"/>
              <w:bottom w:val="single" w:sz="4" w:space="0" w:color="auto"/>
              <w:right w:val="single" w:sz="4" w:space="0" w:color="auto"/>
            </w:tcBorders>
            <w:vAlign w:val="center"/>
            <w:hideMark/>
          </w:tcPr>
          <w:p w14:paraId="7D94D017" w14:textId="77777777" w:rsidR="003663AF" w:rsidRPr="00B7760C" w:rsidRDefault="003663AF" w:rsidP="00E804B7">
            <w:pPr>
              <w:pStyle w:val="Normal6"/>
              <w:jc w:val="right"/>
              <w:rPr>
                <w:b/>
                <w:i/>
                <w:sz w:val="20"/>
              </w:rPr>
            </w:pPr>
            <w:r w:rsidRPr="00B7760C">
              <w:rPr>
                <w:b/>
                <w:i/>
                <w:sz w:val="20"/>
              </w:rPr>
              <w:t>342 938 763</w:t>
            </w:r>
          </w:p>
        </w:tc>
      </w:tr>
      <w:tr w:rsidR="003663AF" w:rsidRPr="00B7760C" w14:paraId="3B39234A"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0812FDD7" w14:textId="77777777" w:rsidR="003663AF" w:rsidRPr="00B7760C" w:rsidRDefault="003663AF" w:rsidP="00E804B7">
            <w:pPr>
              <w:pStyle w:val="Normal6"/>
              <w:rPr>
                <w:sz w:val="20"/>
              </w:rPr>
            </w:pPr>
            <w:r w:rsidRPr="00B7760C">
              <w:rPr>
                <w:sz w:val="20"/>
              </w:rPr>
              <w:t>Litva</w:t>
            </w:r>
          </w:p>
        </w:tc>
        <w:tc>
          <w:tcPr>
            <w:tcW w:w="999" w:type="dxa"/>
            <w:tcBorders>
              <w:top w:val="single" w:sz="4" w:space="0" w:color="auto"/>
              <w:left w:val="single" w:sz="4" w:space="0" w:color="auto"/>
              <w:bottom w:val="single" w:sz="4" w:space="0" w:color="auto"/>
              <w:right w:val="single" w:sz="4" w:space="0" w:color="auto"/>
            </w:tcBorders>
            <w:vAlign w:val="center"/>
            <w:hideMark/>
          </w:tcPr>
          <w:p w14:paraId="5BA0C585" w14:textId="77777777" w:rsidR="003663AF" w:rsidRPr="00B7760C" w:rsidRDefault="003663AF" w:rsidP="00E804B7">
            <w:pPr>
              <w:pStyle w:val="Normal6"/>
              <w:jc w:val="right"/>
              <w:rPr>
                <w:b/>
                <w:i/>
                <w:sz w:val="20"/>
              </w:rPr>
            </w:pPr>
            <w:r w:rsidRPr="00B7760C">
              <w:rPr>
                <w:b/>
                <w:i/>
                <w:sz w:val="20"/>
              </w:rPr>
              <w:t>510 820 241</w:t>
            </w:r>
          </w:p>
        </w:tc>
        <w:tc>
          <w:tcPr>
            <w:tcW w:w="900" w:type="dxa"/>
            <w:tcBorders>
              <w:top w:val="single" w:sz="4" w:space="0" w:color="auto"/>
              <w:left w:val="single" w:sz="4" w:space="0" w:color="auto"/>
              <w:bottom w:val="single" w:sz="4" w:space="0" w:color="auto"/>
              <w:right w:val="single" w:sz="4" w:space="0" w:color="auto"/>
            </w:tcBorders>
            <w:vAlign w:val="center"/>
            <w:hideMark/>
          </w:tcPr>
          <w:p w14:paraId="41C663CC" w14:textId="77777777" w:rsidR="003663AF" w:rsidRPr="00B7760C" w:rsidRDefault="003663AF" w:rsidP="00E804B7">
            <w:pPr>
              <w:pStyle w:val="Normal6"/>
              <w:jc w:val="right"/>
              <w:rPr>
                <w:b/>
                <w:i/>
                <w:sz w:val="20"/>
              </w:rPr>
            </w:pPr>
            <w:r w:rsidRPr="00B7760C">
              <w:rPr>
                <w:b/>
                <w:i/>
                <w:sz w:val="20"/>
              </w:rPr>
              <w:t>524 732 238</w:t>
            </w:r>
          </w:p>
        </w:tc>
        <w:tc>
          <w:tcPr>
            <w:tcW w:w="1019" w:type="dxa"/>
            <w:tcBorders>
              <w:top w:val="single" w:sz="4" w:space="0" w:color="auto"/>
              <w:left w:val="single" w:sz="4" w:space="0" w:color="auto"/>
              <w:bottom w:val="single" w:sz="4" w:space="0" w:color="auto"/>
              <w:right w:val="single" w:sz="4" w:space="0" w:color="auto"/>
            </w:tcBorders>
            <w:vAlign w:val="center"/>
            <w:hideMark/>
          </w:tcPr>
          <w:p w14:paraId="72EF52D6" w14:textId="77777777" w:rsidR="003663AF" w:rsidRPr="00B7760C" w:rsidRDefault="003663AF" w:rsidP="00E804B7">
            <w:pPr>
              <w:pStyle w:val="Normal6"/>
              <w:jc w:val="right"/>
              <w:rPr>
                <w:b/>
                <w:i/>
                <w:sz w:val="20"/>
              </w:rPr>
            </w:pPr>
            <w:r w:rsidRPr="00B7760C">
              <w:rPr>
                <w:b/>
                <w:i/>
                <w:sz w:val="20"/>
              </w:rPr>
              <w:t>538 644 234</w:t>
            </w:r>
          </w:p>
        </w:tc>
        <w:tc>
          <w:tcPr>
            <w:tcW w:w="1019" w:type="dxa"/>
            <w:tcBorders>
              <w:top w:val="single" w:sz="4" w:space="0" w:color="auto"/>
              <w:left w:val="single" w:sz="4" w:space="0" w:color="auto"/>
              <w:bottom w:val="single" w:sz="4" w:space="0" w:color="auto"/>
              <w:right w:val="single" w:sz="4" w:space="0" w:color="auto"/>
            </w:tcBorders>
            <w:vAlign w:val="center"/>
            <w:hideMark/>
          </w:tcPr>
          <w:p w14:paraId="6249D1C1" w14:textId="77777777" w:rsidR="003663AF" w:rsidRPr="00B7760C" w:rsidRDefault="003663AF" w:rsidP="00E804B7">
            <w:pPr>
              <w:pStyle w:val="Normal6"/>
              <w:jc w:val="right"/>
              <w:rPr>
                <w:b/>
                <w:i/>
                <w:sz w:val="20"/>
              </w:rPr>
            </w:pPr>
            <w:r w:rsidRPr="00B7760C">
              <w:rPr>
                <w:b/>
                <w:i/>
                <w:sz w:val="20"/>
              </w:rPr>
              <w:t>552 556 230</w:t>
            </w:r>
          </w:p>
        </w:tc>
        <w:tc>
          <w:tcPr>
            <w:tcW w:w="1019" w:type="dxa"/>
            <w:tcBorders>
              <w:top w:val="single" w:sz="4" w:space="0" w:color="auto"/>
              <w:left w:val="single" w:sz="4" w:space="0" w:color="auto"/>
              <w:bottom w:val="single" w:sz="4" w:space="0" w:color="auto"/>
              <w:right w:val="single" w:sz="4" w:space="0" w:color="auto"/>
            </w:tcBorders>
            <w:vAlign w:val="center"/>
            <w:hideMark/>
          </w:tcPr>
          <w:p w14:paraId="4500B640" w14:textId="77777777" w:rsidR="003663AF" w:rsidRPr="00B7760C" w:rsidRDefault="003663AF" w:rsidP="00E804B7">
            <w:pPr>
              <w:pStyle w:val="Normal6"/>
              <w:jc w:val="right"/>
              <w:rPr>
                <w:b/>
                <w:i/>
                <w:sz w:val="20"/>
              </w:rPr>
            </w:pPr>
            <w:r w:rsidRPr="00B7760C">
              <w:rPr>
                <w:b/>
                <w:i/>
                <w:sz w:val="20"/>
              </w:rPr>
              <w:t>566 468 227</w:t>
            </w:r>
          </w:p>
        </w:tc>
        <w:tc>
          <w:tcPr>
            <w:tcW w:w="880" w:type="dxa"/>
            <w:tcBorders>
              <w:top w:val="single" w:sz="4" w:space="0" w:color="auto"/>
              <w:left w:val="single" w:sz="4" w:space="0" w:color="auto"/>
              <w:bottom w:val="single" w:sz="4" w:space="0" w:color="auto"/>
              <w:right w:val="single" w:sz="4" w:space="0" w:color="auto"/>
            </w:tcBorders>
            <w:vAlign w:val="center"/>
            <w:hideMark/>
          </w:tcPr>
          <w:p w14:paraId="475C869F" w14:textId="77777777" w:rsidR="003663AF" w:rsidRPr="00B7760C" w:rsidRDefault="003663AF" w:rsidP="00E804B7">
            <w:pPr>
              <w:pStyle w:val="Normal6"/>
              <w:jc w:val="right"/>
              <w:rPr>
                <w:b/>
                <w:i/>
                <w:sz w:val="20"/>
              </w:rPr>
            </w:pPr>
            <w:r w:rsidRPr="00B7760C">
              <w:rPr>
                <w:b/>
                <w:i/>
                <w:sz w:val="20"/>
              </w:rPr>
              <w:t>580 380 223</w:t>
            </w:r>
          </w:p>
        </w:tc>
        <w:tc>
          <w:tcPr>
            <w:tcW w:w="1141" w:type="dxa"/>
            <w:tcBorders>
              <w:top w:val="single" w:sz="4" w:space="0" w:color="auto"/>
              <w:left w:val="single" w:sz="4" w:space="0" w:color="auto"/>
              <w:bottom w:val="single" w:sz="4" w:space="0" w:color="auto"/>
              <w:right w:val="single" w:sz="4" w:space="0" w:color="auto"/>
            </w:tcBorders>
            <w:vAlign w:val="center"/>
            <w:hideMark/>
          </w:tcPr>
          <w:p w14:paraId="43A565A4" w14:textId="77777777" w:rsidR="003663AF" w:rsidRPr="00B7760C" w:rsidRDefault="003663AF" w:rsidP="00E804B7">
            <w:pPr>
              <w:pStyle w:val="Normal6"/>
              <w:jc w:val="right"/>
              <w:rPr>
                <w:b/>
                <w:i/>
                <w:sz w:val="20"/>
              </w:rPr>
            </w:pPr>
            <w:r w:rsidRPr="00B7760C">
              <w:rPr>
                <w:b/>
                <w:i/>
                <w:sz w:val="20"/>
              </w:rPr>
              <w:t>580 380 223</w:t>
            </w:r>
          </w:p>
        </w:tc>
      </w:tr>
      <w:tr w:rsidR="003663AF" w:rsidRPr="00B7760C" w14:paraId="0FB9A1D4"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1A0B9824" w14:textId="77777777" w:rsidR="003663AF" w:rsidRPr="00B7760C" w:rsidRDefault="003663AF" w:rsidP="00E804B7">
            <w:pPr>
              <w:pStyle w:val="Normal6"/>
              <w:rPr>
                <w:sz w:val="20"/>
              </w:rPr>
            </w:pPr>
            <w:r w:rsidRPr="00B7760C">
              <w:rPr>
                <w:sz w:val="20"/>
              </w:rPr>
              <w:t>Luksemburg</w:t>
            </w:r>
          </w:p>
        </w:tc>
        <w:tc>
          <w:tcPr>
            <w:tcW w:w="999" w:type="dxa"/>
            <w:tcBorders>
              <w:top w:val="single" w:sz="4" w:space="0" w:color="auto"/>
              <w:left w:val="single" w:sz="4" w:space="0" w:color="auto"/>
              <w:bottom w:val="single" w:sz="4" w:space="0" w:color="auto"/>
              <w:right w:val="single" w:sz="4" w:space="0" w:color="auto"/>
            </w:tcBorders>
            <w:vAlign w:val="center"/>
            <w:hideMark/>
          </w:tcPr>
          <w:p w14:paraId="49D850C7" w14:textId="77777777" w:rsidR="003663AF" w:rsidRPr="00B7760C" w:rsidRDefault="003663AF" w:rsidP="00E804B7">
            <w:pPr>
              <w:pStyle w:val="Normal6"/>
              <w:jc w:val="right"/>
              <w:rPr>
                <w:b/>
                <w:i/>
                <w:sz w:val="20"/>
              </w:rPr>
            </w:pPr>
            <w:r w:rsidRPr="00B7760C">
              <w:rPr>
                <w:b/>
                <w:i/>
                <w:sz w:val="20"/>
              </w:rPr>
              <w:t>32 131 019</w:t>
            </w:r>
          </w:p>
        </w:tc>
        <w:tc>
          <w:tcPr>
            <w:tcW w:w="900" w:type="dxa"/>
            <w:tcBorders>
              <w:top w:val="single" w:sz="4" w:space="0" w:color="auto"/>
              <w:left w:val="single" w:sz="4" w:space="0" w:color="auto"/>
              <w:bottom w:val="single" w:sz="4" w:space="0" w:color="auto"/>
              <w:right w:val="single" w:sz="4" w:space="0" w:color="auto"/>
            </w:tcBorders>
            <w:vAlign w:val="center"/>
            <w:hideMark/>
          </w:tcPr>
          <w:p w14:paraId="0A9FC8E0" w14:textId="77777777" w:rsidR="003663AF" w:rsidRPr="00B7760C" w:rsidRDefault="003663AF" w:rsidP="00E804B7">
            <w:pPr>
              <w:pStyle w:val="Normal6"/>
              <w:jc w:val="right"/>
              <w:rPr>
                <w:b/>
                <w:i/>
                <w:sz w:val="20"/>
              </w:rPr>
            </w:pPr>
            <w:r w:rsidRPr="00B7760C">
              <w:rPr>
                <w:b/>
                <w:i/>
                <w:sz w:val="20"/>
              </w:rPr>
              <w:t>32 131 019</w:t>
            </w:r>
          </w:p>
        </w:tc>
        <w:tc>
          <w:tcPr>
            <w:tcW w:w="1019" w:type="dxa"/>
            <w:tcBorders>
              <w:top w:val="single" w:sz="4" w:space="0" w:color="auto"/>
              <w:left w:val="single" w:sz="4" w:space="0" w:color="auto"/>
              <w:bottom w:val="single" w:sz="4" w:space="0" w:color="auto"/>
              <w:right w:val="single" w:sz="4" w:space="0" w:color="auto"/>
            </w:tcBorders>
            <w:vAlign w:val="center"/>
            <w:hideMark/>
          </w:tcPr>
          <w:p w14:paraId="2EE9E00A" w14:textId="77777777" w:rsidR="003663AF" w:rsidRPr="00B7760C" w:rsidRDefault="003663AF" w:rsidP="00E804B7">
            <w:pPr>
              <w:pStyle w:val="Normal6"/>
              <w:jc w:val="right"/>
              <w:rPr>
                <w:b/>
                <w:i/>
                <w:sz w:val="20"/>
              </w:rPr>
            </w:pPr>
            <w:r w:rsidRPr="00B7760C">
              <w:rPr>
                <w:b/>
                <w:i/>
                <w:sz w:val="20"/>
              </w:rPr>
              <w:t>32 131 019</w:t>
            </w:r>
          </w:p>
        </w:tc>
        <w:tc>
          <w:tcPr>
            <w:tcW w:w="1019" w:type="dxa"/>
            <w:tcBorders>
              <w:top w:val="single" w:sz="4" w:space="0" w:color="auto"/>
              <w:left w:val="single" w:sz="4" w:space="0" w:color="auto"/>
              <w:bottom w:val="single" w:sz="4" w:space="0" w:color="auto"/>
              <w:right w:val="single" w:sz="4" w:space="0" w:color="auto"/>
            </w:tcBorders>
            <w:vAlign w:val="center"/>
            <w:hideMark/>
          </w:tcPr>
          <w:p w14:paraId="5D44AEFB" w14:textId="77777777" w:rsidR="003663AF" w:rsidRPr="00B7760C" w:rsidRDefault="003663AF" w:rsidP="00E804B7">
            <w:pPr>
              <w:pStyle w:val="Normal6"/>
              <w:jc w:val="right"/>
              <w:rPr>
                <w:b/>
                <w:i/>
                <w:sz w:val="20"/>
              </w:rPr>
            </w:pPr>
            <w:r w:rsidRPr="00B7760C">
              <w:rPr>
                <w:b/>
                <w:i/>
                <w:sz w:val="20"/>
              </w:rPr>
              <w:t>32 131 019</w:t>
            </w:r>
          </w:p>
        </w:tc>
        <w:tc>
          <w:tcPr>
            <w:tcW w:w="1019" w:type="dxa"/>
            <w:tcBorders>
              <w:top w:val="single" w:sz="4" w:space="0" w:color="auto"/>
              <w:left w:val="single" w:sz="4" w:space="0" w:color="auto"/>
              <w:bottom w:val="single" w:sz="4" w:space="0" w:color="auto"/>
              <w:right w:val="single" w:sz="4" w:space="0" w:color="auto"/>
            </w:tcBorders>
            <w:vAlign w:val="center"/>
            <w:hideMark/>
          </w:tcPr>
          <w:p w14:paraId="2EF9BABC" w14:textId="77777777" w:rsidR="003663AF" w:rsidRPr="00B7760C" w:rsidRDefault="003663AF" w:rsidP="00E804B7">
            <w:pPr>
              <w:pStyle w:val="Normal6"/>
              <w:jc w:val="right"/>
              <w:rPr>
                <w:b/>
                <w:i/>
                <w:sz w:val="20"/>
              </w:rPr>
            </w:pPr>
            <w:r w:rsidRPr="00B7760C">
              <w:rPr>
                <w:b/>
                <w:i/>
                <w:sz w:val="20"/>
              </w:rPr>
              <w:t>32 131 019</w:t>
            </w:r>
          </w:p>
        </w:tc>
        <w:tc>
          <w:tcPr>
            <w:tcW w:w="880" w:type="dxa"/>
            <w:tcBorders>
              <w:top w:val="single" w:sz="4" w:space="0" w:color="auto"/>
              <w:left w:val="single" w:sz="4" w:space="0" w:color="auto"/>
              <w:bottom w:val="single" w:sz="4" w:space="0" w:color="auto"/>
              <w:right w:val="single" w:sz="4" w:space="0" w:color="auto"/>
            </w:tcBorders>
            <w:vAlign w:val="center"/>
            <w:hideMark/>
          </w:tcPr>
          <w:p w14:paraId="3D7D992F" w14:textId="77777777" w:rsidR="003663AF" w:rsidRPr="00B7760C" w:rsidRDefault="003663AF" w:rsidP="00E804B7">
            <w:pPr>
              <w:pStyle w:val="Normal6"/>
              <w:jc w:val="right"/>
              <w:rPr>
                <w:b/>
                <w:i/>
                <w:sz w:val="20"/>
              </w:rPr>
            </w:pPr>
            <w:r w:rsidRPr="00B7760C">
              <w:rPr>
                <w:b/>
                <w:i/>
                <w:sz w:val="20"/>
              </w:rPr>
              <w:t>32 131 019</w:t>
            </w:r>
          </w:p>
        </w:tc>
        <w:tc>
          <w:tcPr>
            <w:tcW w:w="1141" w:type="dxa"/>
            <w:tcBorders>
              <w:top w:val="single" w:sz="4" w:space="0" w:color="auto"/>
              <w:left w:val="single" w:sz="4" w:space="0" w:color="auto"/>
              <w:bottom w:val="single" w:sz="4" w:space="0" w:color="auto"/>
              <w:right w:val="single" w:sz="4" w:space="0" w:color="auto"/>
            </w:tcBorders>
            <w:vAlign w:val="center"/>
            <w:hideMark/>
          </w:tcPr>
          <w:p w14:paraId="166A8694" w14:textId="77777777" w:rsidR="003663AF" w:rsidRPr="00B7760C" w:rsidRDefault="003663AF" w:rsidP="00E804B7">
            <w:pPr>
              <w:pStyle w:val="Normal6"/>
              <w:jc w:val="right"/>
              <w:rPr>
                <w:b/>
                <w:i/>
                <w:sz w:val="20"/>
              </w:rPr>
            </w:pPr>
            <w:r w:rsidRPr="00B7760C">
              <w:rPr>
                <w:b/>
                <w:i/>
                <w:sz w:val="20"/>
              </w:rPr>
              <w:t>32 131 019</w:t>
            </w:r>
          </w:p>
        </w:tc>
      </w:tr>
      <w:tr w:rsidR="003663AF" w:rsidRPr="00B7760C" w14:paraId="182495BF"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5F81EF1F" w14:textId="77777777" w:rsidR="003663AF" w:rsidRPr="00B7760C" w:rsidRDefault="003663AF" w:rsidP="00E804B7">
            <w:pPr>
              <w:pStyle w:val="Normal6"/>
              <w:rPr>
                <w:sz w:val="20"/>
              </w:rPr>
            </w:pPr>
            <w:r w:rsidRPr="00B7760C">
              <w:rPr>
                <w:sz w:val="20"/>
              </w:rPr>
              <w:t>Madžarska</w:t>
            </w:r>
          </w:p>
        </w:tc>
        <w:tc>
          <w:tcPr>
            <w:tcW w:w="999" w:type="dxa"/>
            <w:tcBorders>
              <w:top w:val="single" w:sz="4" w:space="0" w:color="auto"/>
              <w:left w:val="single" w:sz="4" w:space="0" w:color="auto"/>
              <w:bottom w:val="single" w:sz="4" w:space="0" w:color="auto"/>
              <w:right w:val="single" w:sz="4" w:space="0" w:color="auto"/>
            </w:tcBorders>
            <w:vAlign w:val="center"/>
            <w:hideMark/>
          </w:tcPr>
          <w:p w14:paraId="16BF5F71" w14:textId="77777777" w:rsidR="003663AF" w:rsidRPr="00B7760C" w:rsidRDefault="003663AF" w:rsidP="00E804B7">
            <w:pPr>
              <w:pStyle w:val="Normal6"/>
              <w:jc w:val="right"/>
              <w:rPr>
                <w:b/>
                <w:i/>
                <w:sz w:val="20"/>
              </w:rPr>
            </w:pPr>
            <w:r w:rsidRPr="00B7760C">
              <w:rPr>
                <w:b/>
                <w:i/>
                <w:sz w:val="20"/>
              </w:rPr>
              <w:t>1 219 769 672</w:t>
            </w:r>
          </w:p>
        </w:tc>
        <w:tc>
          <w:tcPr>
            <w:tcW w:w="900" w:type="dxa"/>
            <w:tcBorders>
              <w:top w:val="single" w:sz="4" w:space="0" w:color="auto"/>
              <w:left w:val="single" w:sz="4" w:space="0" w:color="auto"/>
              <w:bottom w:val="single" w:sz="4" w:space="0" w:color="auto"/>
              <w:right w:val="single" w:sz="4" w:space="0" w:color="auto"/>
            </w:tcBorders>
            <w:vAlign w:val="center"/>
            <w:hideMark/>
          </w:tcPr>
          <w:p w14:paraId="46BD2A19" w14:textId="77777777" w:rsidR="003663AF" w:rsidRPr="00B7760C" w:rsidRDefault="003663AF" w:rsidP="00E804B7">
            <w:pPr>
              <w:pStyle w:val="Normal6"/>
              <w:jc w:val="right"/>
              <w:rPr>
                <w:b/>
                <w:i/>
                <w:sz w:val="20"/>
              </w:rPr>
            </w:pPr>
            <w:r w:rsidRPr="00B7760C">
              <w:rPr>
                <w:b/>
                <w:i/>
                <w:sz w:val="20"/>
              </w:rPr>
              <w:t>1 219 769 672</w:t>
            </w:r>
          </w:p>
        </w:tc>
        <w:tc>
          <w:tcPr>
            <w:tcW w:w="1019" w:type="dxa"/>
            <w:tcBorders>
              <w:top w:val="single" w:sz="4" w:space="0" w:color="auto"/>
              <w:left w:val="single" w:sz="4" w:space="0" w:color="auto"/>
              <w:bottom w:val="single" w:sz="4" w:space="0" w:color="auto"/>
              <w:right w:val="single" w:sz="4" w:space="0" w:color="auto"/>
            </w:tcBorders>
            <w:vAlign w:val="center"/>
            <w:hideMark/>
          </w:tcPr>
          <w:p w14:paraId="6204D5D3" w14:textId="77777777" w:rsidR="003663AF" w:rsidRPr="00B7760C" w:rsidRDefault="003663AF" w:rsidP="00E804B7">
            <w:pPr>
              <w:pStyle w:val="Normal6"/>
              <w:jc w:val="right"/>
              <w:rPr>
                <w:b/>
                <w:i/>
                <w:sz w:val="20"/>
              </w:rPr>
            </w:pPr>
            <w:r w:rsidRPr="00B7760C">
              <w:rPr>
                <w:b/>
                <w:i/>
                <w:sz w:val="20"/>
              </w:rPr>
              <w:t>1 219 769 672</w:t>
            </w:r>
          </w:p>
        </w:tc>
        <w:tc>
          <w:tcPr>
            <w:tcW w:w="1019" w:type="dxa"/>
            <w:tcBorders>
              <w:top w:val="single" w:sz="4" w:space="0" w:color="auto"/>
              <w:left w:val="single" w:sz="4" w:space="0" w:color="auto"/>
              <w:bottom w:val="single" w:sz="4" w:space="0" w:color="auto"/>
              <w:right w:val="single" w:sz="4" w:space="0" w:color="auto"/>
            </w:tcBorders>
            <w:vAlign w:val="center"/>
            <w:hideMark/>
          </w:tcPr>
          <w:p w14:paraId="6E8BEA33" w14:textId="77777777" w:rsidR="003663AF" w:rsidRPr="00B7760C" w:rsidRDefault="003663AF" w:rsidP="00E804B7">
            <w:pPr>
              <w:pStyle w:val="Normal6"/>
              <w:jc w:val="right"/>
              <w:rPr>
                <w:b/>
                <w:i/>
                <w:sz w:val="20"/>
              </w:rPr>
            </w:pPr>
            <w:r w:rsidRPr="00B7760C">
              <w:rPr>
                <w:b/>
                <w:i/>
                <w:sz w:val="20"/>
              </w:rPr>
              <w:t>1 219 769 672</w:t>
            </w:r>
          </w:p>
        </w:tc>
        <w:tc>
          <w:tcPr>
            <w:tcW w:w="1019" w:type="dxa"/>
            <w:tcBorders>
              <w:top w:val="single" w:sz="4" w:space="0" w:color="auto"/>
              <w:left w:val="single" w:sz="4" w:space="0" w:color="auto"/>
              <w:bottom w:val="single" w:sz="4" w:space="0" w:color="auto"/>
              <w:right w:val="single" w:sz="4" w:space="0" w:color="auto"/>
            </w:tcBorders>
            <w:vAlign w:val="center"/>
            <w:hideMark/>
          </w:tcPr>
          <w:p w14:paraId="08A48B9C" w14:textId="77777777" w:rsidR="003663AF" w:rsidRPr="00B7760C" w:rsidRDefault="003663AF" w:rsidP="00E804B7">
            <w:pPr>
              <w:pStyle w:val="Normal6"/>
              <w:jc w:val="right"/>
              <w:rPr>
                <w:b/>
                <w:i/>
                <w:sz w:val="20"/>
              </w:rPr>
            </w:pPr>
            <w:r w:rsidRPr="00B7760C">
              <w:rPr>
                <w:b/>
                <w:i/>
                <w:sz w:val="20"/>
              </w:rPr>
              <w:t>1 219 769 672</w:t>
            </w:r>
          </w:p>
        </w:tc>
        <w:tc>
          <w:tcPr>
            <w:tcW w:w="880" w:type="dxa"/>
            <w:tcBorders>
              <w:top w:val="single" w:sz="4" w:space="0" w:color="auto"/>
              <w:left w:val="single" w:sz="4" w:space="0" w:color="auto"/>
              <w:bottom w:val="single" w:sz="4" w:space="0" w:color="auto"/>
              <w:right w:val="single" w:sz="4" w:space="0" w:color="auto"/>
            </w:tcBorders>
            <w:vAlign w:val="center"/>
            <w:hideMark/>
          </w:tcPr>
          <w:p w14:paraId="2B8C947F" w14:textId="77777777" w:rsidR="003663AF" w:rsidRPr="00B7760C" w:rsidRDefault="003663AF" w:rsidP="00E804B7">
            <w:pPr>
              <w:pStyle w:val="Normal6"/>
              <w:jc w:val="right"/>
              <w:rPr>
                <w:b/>
                <w:i/>
                <w:sz w:val="20"/>
              </w:rPr>
            </w:pPr>
            <w:r w:rsidRPr="00B7760C">
              <w:rPr>
                <w:b/>
                <w:i/>
                <w:sz w:val="20"/>
              </w:rPr>
              <w:t>1 219 769 672</w:t>
            </w:r>
          </w:p>
        </w:tc>
        <w:tc>
          <w:tcPr>
            <w:tcW w:w="1141" w:type="dxa"/>
            <w:tcBorders>
              <w:top w:val="single" w:sz="4" w:space="0" w:color="auto"/>
              <w:left w:val="single" w:sz="4" w:space="0" w:color="auto"/>
              <w:bottom w:val="single" w:sz="4" w:space="0" w:color="auto"/>
              <w:right w:val="single" w:sz="4" w:space="0" w:color="auto"/>
            </w:tcBorders>
            <w:vAlign w:val="center"/>
            <w:hideMark/>
          </w:tcPr>
          <w:p w14:paraId="4B29A826" w14:textId="77777777" w:rsidR="003663AF" w:rsidRPr="00B7760C" w:rsidRDefault="003663AF" w:rsidP="00E804B7">
            <w:pPr>
              <w:pStyle w:val="Normal6"/>
              <w:jc w:val="right"/>
              <w:rPr>
                <w:b/>
                <w:i/>
                <w:sz w:val="20"/>
              </w:rPr>
            </w:pPr>
            <w:r w:rsidRPr="00B7760C">
              <w:rPr>
                <w:b/>
                <w:i/>
                <w:sz w:val="20"/>
              </w:rPr>
              <w:t>1 219 769 672</w:t>
            </w:r>
          </w:p>
        </w:tc>
      </w:tr>
      <w:tr w:rsidR="003663AF" w:rsidRPr="00B7760C" w14:paraId="6C85C18D"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4E916EFE" w14:textId="77777777" w:rsidR="003663AF" w:rsidRPr="00B7760C" w:rsidRDefault="003663AF" w:rsidP="00E804B7">
            <w:pPr>
              <w:pStyle w:val="Normal6"/>
              <w:rPr>
                <w:sz w:val="20"/>
              </w:rPr>
            </w:pPr>
            <w:r w:rsidRPr="00B7760C">
              <w:rPr>
                <w:sz w:val="20"/>
              </w:rPr>
              <w:t>Malta</w:t>
            </w:r>
          </w:p>
        </w:tc>
        <w:tc>
          <w:tcPr>
            <w:tcW w:w="999" w:type="dxa"/>
            <w:tcBorders>
              <w:top w:val="single" w:sz="4" w:space="0" w:color="auto"/>
              <w:left w:val="single" w:sz="4" w:space="0" w:color="auto"/>
              <w:bottom w:val="single" w:sz="4" w:space="0" w:color="auto"/>
              <w:right w:val="single" w:sz="4" w:space="0" w:color="auto"/>
            </w:tcBorders>
            <w:vAlign w:val="center"/>
            <w:hideMark/>
          </w:tcPr>
          <w:p w14:paraId="3C5BDF5D" w14:textId="77777777" w:rsidR="003663AF" w:rsidRPr="00B7760C" w:rsidRDefault="003663AF" w:rsidP="00E804B7">
            <w:pPr>
              <w:pStyle w:val="Normal6"/>
              <w:jc w:val="right"/>
              <w:rPr>
                <w:b/>
                <w:i/>
                <w:sz w:val="20"/>
              </w:rPr>
            </w:pPr>
            <w:r w:rsidRPr="00B7760C">
              <w:rPr>
                <w:b/>
                <w:i/>
                <w:sz w:val="20"/>
              </w:rPr>
              <w:t>4 507 492</w:t>
            </w:r>
          </w:p>
        </w:tc>
        <w:tc>
          <w:tcPr>
            <w:tcW w:w="900" w:type="dxa"/>
            <w:tcBorders>
              <w:top w:val="single" w:sz="4" w:space="0" w:color="auto"/>
              <w:left w:val="single" w:sz="4" w:space="0" w:color="auto"/>
              <w:bottom w:val="single" w:sz="4" w:space="0" w:color="auto"/>
              <w:right w:val="single" w:sz="4" w:space="0" w:color="auto"/>
            </w:tcBorders>
            <w:vAlign w:val="center"/>
            <w:hideMark/>
          </w:tcPr>
          <w:p w14:paraId="2B94CB80" w14:textId="77777777" w:rsidR="003663AF" w:rsidRPr="00B7760C" w:rsidRDefault="003663AF" w:rsidP="00E804B7">
            <w:pPr>
              <w:pStyle w:val="Normal6"/>
              <w:jc w:val="right"/>
              <w:rPr>
                <w:b/>
                <w:i/>
                <w:sz w:val="20"/>
              </w:rPr>
            </w:pPr>
            <w:r w:rsidRPr="00B7760C">
              <w:rPr>
                <w:b/>
                <w:i/>
                <w:sz w:val="20"/>
              </w:rPr>
              <w:t>4 507 492</w:t>
            </w:r>
          </w:p>
        </w:tc>
        <w:tc>
          <w:tcPr>
            <w:tcW w:w="1019" w:type="dxa"/>
            <w:tcBorders>
              <w:top w:val="single" w:sz="4" w:space="0" w:color="auto"/>
              <w:left w:val="single" w:sz="4" w:space="0" w:color="auto"/>
              <w:bottom w:val="single" w:sz="4" w:space="0" w:color="auto"/>
              <w:right w:val="single" w:sz="4" w:space="0" w:color="auto"/>
            </w:tcBorders>
            <w:vAlign w:val="center"/>
            <w:hideMark/>
          </w:tcPr>
          <w:p w14:paraId="064FC9BE" w14:textId="77777777" w:rsidR="003663AF" w:rsidRPr="00B7760C" w:rsidRDefault="003663AF" w:rsidP="00E804B7">
            <w:pPr>
              <w:pStyle w:val="Normal6"/>
              <w:jc w:val="right"/>
              <w:rPr>
                <w:b/>
                <w:i/>
                <w:sz w:val="20"/>
              </w:rPr>
            </w:pPr>
            <w:r w:rsidRPr="00B7760C">
              <w:rPr>
                <w:b/>
                <w:i/>
                <w:sz w:val="20"/>
              </w:rPr>
              <w:t>4 507 492</w:t>
            </w:r>
          </w:p>
        </w:tc>
        <w:tc>
          <w:tcPr>
            <w:tcW w:w="1019" w:type="dxa"/>
            <w:tcBorders>
              <w:top w:val="single" w:sz="4" w:space="0" w:color="auto"/>
              <w:left w:val="single" w:sz="4" w:space="0" w:color="auto"/>
              <w:bottom w:val="single" w:sz="4" w:space="0" w:color="auto"/>
              <w:right w:val="single" w:sz="4" w:space="0" w:color="auto"/>
            </w:tcBorders>
            <w:vAlign w:val="center"/>
            <w:hideMark/>
          </w:tcPr>
          <w:p w14:paraId="3DFB2224" w14:textId="77777777" w:rsidR="003663AF" w:rsidRPr="00B7760C" w:rsidRDefault="003663AF" w:rsidP="00E804B7">
            <w:pPr>
              <w:pStyle w:val="Normal6"/>
              <w:jc w:val="right"/>
              <w:rPr>
                <w:b/>
                <w:i/>
                <w:sz w:val="20"/>
              </w:rPr>
            </w:pPr>
            <w:r w:rsidRPr="00B7760C">
              <w:rPr>
                <w:b/>
                <w:i/>
                <w:sz w:val="20"/>
              </w:rPr>
              <w:t>4 507 492</w:t>
            </w:r>
          </w:p>
        </w:tc>
        <w:tc>
          <w:tcPr>
            <w:tcW w:w="1019" w:type="dxa"/>
            <w:tcBorders>
              <w:top w:val="single" w:sz="4" w:space="0" w:color="auto"/>
              <w:left w:val="single" w:sz="4" w:space="0" w:color="auto"/>
              <w:bottom w:val="single" w:sz="4" w:space="0" w:color="auto"/>
              <w:right w:val="single" w:sz="4" w:space="0" w:color="auto"/>
            </w:tcBorders>
            <w:vAlign w:val="center"/>
            <w:hideMark/>
          </w:tcPr>
          <w:p w14:paraId="665987AE" w14:textId="77777777" w:rsidR="003663AF" w:rsidRPr="00B7760C" w:rsidRDefault="003663AF" w:rsidP="00E804B7">
            <w:pPr>
              <w:pStyle w:val="Normal6"/>
              <w:jc w:val="right"/>
              <w:rPr>
                <w:b/>
                <w:i/>
                <w:sz w:val="20"/>
              </w:rPr>
            </w:pPr>
            <w:r w:rsidRPr="00B7760C">
              <w:rPr>
                <w:b/>
                <w:i/>
                <w:sz w:val="20"/>
              </w:rPr>
              <w:t>4 507 492</w:t>
            </w:r>
          </w:p>
        </w:tc>
        <w:tc>
          <w:tcPr>
            <w:tcW w:w="880" w:type="dxa"/>
            <w:tcBorders>
              <w:top w:val="single" w:sz="4" w:space="0" w:color="auto"/>
              <w:left w:val="single" w:sz="4" w:space="0" w:color="auto"/>
              <w:bottom w:val="single" w:sz="4" w:space="0" w:color="auto"/>
              <w:right w:val="single" w:sz="4" w:space="0" w:color="auto"/>
            </w:tcBorders>
            <w:vAlign w:val="center"/>
            <w:hideMark/>
          </w:tcPr>
          <w:p w14:paraId="13B71ECA" w14:textId="77777777" w:rsidR="003663AF" w:rsidRPr="00B7760C" w:rsidRDefault="003663AF" w:rsidP="00E804B7">
            <w:pPr>
              <w:pStyle w:val="Normal6"/>
              <w:jc w:val="right"/>
              <w:rPr>
                <w:b/>
                <w:i/>
                <w:sz w:val="20"/>
              </w:rPr>
            </w:pPr>
            <w:r w:rsidRPr="00B7760C">
              <w:rPr>
                <w:b/>
                <w:i/>
                <w:sz w:val="20"/>
              </w:rPr>
              <w:t>4 507 492</w:t>
            </w:r>
          </w:p>
        </w:tc>
        <w:tc>
          <w:tcPr>
            <w:tcW w:w="1141" w:type="dxa"/>
            <w:tcBorders>
              <w:top w:val="single" w:sz="4" w:space="0" w:color="auto"/>
              <w:left w:val="single" w:sz="4" w:space="0" w:color="auto"/>
              <w:bottom w:val="single" w:sz="4" w:space="0" w:color="auto"/>
              <w:right w:val="single" w:sz="4" w:space="0" w:color="auto"/>
            </w:tcBorders>
            <w:vAlign w:val="center"/>
            <w:hideMark/>
          </w:tcPr>
          <w:p w14:paraId="7324F988" w14:textId="77777777" w:rsidR="003663AF" w:rsidRPr="00B7760C" w:rsidRDefault="003663AF" w:rsidP="00E804B7">
            <w:pPr>
              <w:pStyle w:val="Normal6"/>
              <w:jc w:val="right"/>
              <w:rPr>
                <w:b/>
                <w:i/>
                <w:sz w:val="20"/>
              </w:rPr>
            </w:pPr>
            <w:r w:rsidRPr="00B7760C">
              <w:rPr>
                <w:b/>
                <w:i/>
                <w:sz w:val="20"/>
              </w:rPr>
              <w:t>4 507 492</w:t>
            </w:r>
          </w:p>
        </w:tc>
      </w:tr>
      <w:tr w:rsidR="003663AF" w:rsidRPr="00B7760C" w14:paraId="01FD1F65"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625F34D5" w14:textId="77777777" w:rsidR="003663AF" w:rsidRPr="00B7760C" w:rsidRDefault="003663AF" w:rsidP="00E804B7">
            <w:pPr>
              <w:pStyle w:val="Normal6"/>
              <w:rPr>
                <w:sz w:val="20"/>
              </w:rPr>
            </w:pPr>
            <w:r w:rsidRPr="00B7760C">
              <w:rPr>
                <w:sz w:val="20"/>
              </w:rPr>
              <w:t>Nizozemska</w:t>
            </w:r>
          </w:p>
        </w:tc>
        <w:tc>
          <w:tcPr>
            <w:tcW w:w="999" w:type="dxa"/>
            <w:tcBorders>
              <w:top w:val="single" w:sz="4" w:space="0" w:color="auto"/>
              <w:left w:val="single" w:sz="4" w:space="0" w:color="auto"/>
              <w:bottom w:val="single" w:sz="4" w:space="0" w:color="auto"/>
              <w:right w:val="single" w:sz="4" w:space="0" w:color="auto"/>
            </w:tcBorders>
            <w:vAlign w:val="center"/>
            <w:hideMark/>
          </w:tcPr>
          <w:p w14:paraId="797ABDE5" w14:textId="77777777" w:rsidR="003663AF" w:rsidRPr="00B7760C" w:rsidRDefault="003663AF" w:rsidP="00E804B7">
            <w:pPr>
              <w:pStyle w:val="Normal6"/>
              <w:jc w:val="right"/>
              <w:rPr>
                <w:b/>
                <w:i/>
                <w:sz w:val="20"/>
              </w:rPr>
            </w:pPr>
            <w:r w:rsidRPr="00B7760C">
              <w:rPr>
                <w:b/>
                <w:i/>
                <w:sz w:val="20"/>
              </w:rPr>
              <w:t>703 870 373</w:t>
            </w:r>
          </w:p>
        </w:tc>
        <w:tc>
          <w:tcPr>
            <w:tcW w:w="900" w:type="dxa"/>
            <w:tcBorders>
              <w:top w:val="single" w:sz="4" w:space="0" w:color="auto"/>
              <w:left w:val="single" w:sz="4" w:space="0" w:color="auto"/>
              <w:bottom w:val="single" w:sz="4" w:space="0" w:color="auto"/>
              <w:right w:val="single" w:sz="4" w:space="0" w:color="auto"/>
            </w:tcBorders>
            <w:vAlign w:val="center"/>
            <w:hideMark/>
          </w:tcPr>
          <w:p w14:paraId="74D3F752" w14:textId="77777777" w:rsidR="003663AF" w:rsidRPr="00B7760C" w:rsidRDefault="003663AF" w:rsidP="00E804B7">
            <w:pPr>
              <w:pStyle w:val="Normal6"/>
              <w:jc w:val="right"/>
              <w:rPr>
                <w:b/>
                <w:i/>
                <w:sz w:val="20"/>
              </w:rPr>
            </w:pPr>
            <w:r w:rsidRPr="00B7760C">
              <w:rPr>
                <w:b/>
                <w:i/>
                <w:sz w:val="20"/>
              </w:rPr>
              <w:t>703 870 373</w:t>
            </w:r>
          </w:p>
        </w:tc>
        <w:tc>
          <w:tcPr>
            <w:tcW w:w="1019" w:type="dxa"/>
            <w:tcBorders>
              <w:top w:val="single" w:sz="4" w:space="0" w:color="auto"/>
              <w:left w:val="single" w:sz="4" w:space="0" w:color="auto"/>
              <w:bottom w:val="single" w:sz="4" w:space="0" w:color="auto"/>
              <w:right w:val="single" w:sz="4" w:space="0" w:color="auto"/>
            </w:tcBorders>
            <w:vAlign w:val="center"/>
            <w:hideMark/>
          </w:tcPr>
          <w:p w14:paraId="02C3EBD2" w14:textId="77777777" w:rsidR="003663AF" w:rsidRPr="00B7760C" w:rsidRDefault="003663AF" w:rsidP="00E804B7">
            <w:pPr>
              <w:pStyle w:val="Normal6"/>
              <w:jc w:val="right"/>
              <w:rPr>
                <w:b/>
                <w:i/>
                <w:sz w:val="20"/>
              </w:rPr>
            </w:pPr>
            <w:r w:rsidRPr="00B7760C">
              <w:rPr>
                <w:b/>
                <w:i/>
                <w:sz w:val="20"/>
              </w:rPr>
              <w:t>703 870 373</w:t>
            </w:r>
          </w:p>
        </w:tc>
        <w:tc>
          <w:tcPr>
            <w:tcW w:w="1019" w:type="dxa"/>
            <w:tcBorders>
              <w:top w:val="single" w:sz="4" w:space="0" w:color="auto"/>
              <w:left w:val="single" w:sz="4" w:space="0" w:color="auto"/>
              <w:bottom w:val="single" w:sz="4" w:space="0" w:color="auto"/>
              <w:right w:val="single" w:sz="4" w:space="0" w:color="auto"/>
            </w:tcBorders>
            <w:vAlign w:val="center"/>
            <w:hideMark/>
          </w:tcPr>
          <w:p w14:paraId="313A817A" w14:textId="77777777" w:rsidR="003663AF" w:rsidRPr="00B7760C" w:rsidRDefault="003663AF" w:rsidP="00E804B7">
            <w:pPr>
              <w:pStyle w:val="Normal6"/>
              <w:jc w:val="right"/>
              <w:rPr>
                <w:b/>
                <w:i/>
                <w:sz w:val="20"/>
              </w:rPr>
            </w:pPr>
            <w:r w:rsidRPr="00B7760C">
              <w:rPr>
                <w:b/>
                <w:i/>
                <w:sz w:val="20"/>
              </w:rPr>
              <w:t>703 870 373</w:t>
            </w:r>
          </w:p>
        </w:tc>
        <w:tc>
          <w:tcPr>
            <w:tcW w:w="1019" w:type="dxa"/>
            <w:tcBorders>
              <w:top w:val="single" w:sz="4" w:space="0" w:color="auto"/>
              <w:left w:val="single" w:sz="4" w:space="0" w:color="auto"/>
              <w:bottom w:val="single" w:sz="4" w:space="0" w:color="auto"/>
              <w:right w:val="single" w:sz="4" w:space="0" w:color="auto"/>
            </w:tcBorders>
            <w:vAlign w:val="center"/>
            <w:hideMark/>
          </w:tcPr>
          <w:p w14:paraId="2C85E2EA" w14:textId="77777777" w:rsidR="003663AF" w:rsidRPr="00B7760C" w:rsidRDefault="003663AF" w:rsidP="00E804B7">
            <w:pPr>
              <w:pStyle w:val="Normal6"/>
              <w:jc w:val="right"/>
              <w:rPr>
                <w:b/>
                <w:i/>
                <w:sz w:val="20"/>
              </w:rPr>
            </w:pPr>
            <w:r w:rsidRPr="00B7760C">
              <w:rPr>
                <w:b/>
                <w:i/>
                <w:sz w:val="20"/>
              </w:rPr>
              <w:t>703 870 373</w:t>
            </w:r>
          </w:p>
        </w:tc>
        <w:tc>
          <w:tcPr>
            <w:tcW w:w="880" w:type="dxa"/>
            <w:tcBorders>
              <w:top w:val="single" w:sz="4" w:space="0" w:color="auto"/>
              <w:left w:val="single" w:sz="4" w:space="0" w:color="auto"/>
              <w:bottom w:val="single" w:sz="4" w:space="0" w:color="auto"/>
              <w:right w:val="single" w:sz="4" w:space="0" w:color="auto"/>
            </w:tcBorders>
            <w:vAlign w:val="center"/>
            <w:hideMark/>
          </w:tcPr>
          <w:p w14:paraId="275F0154" w14:textId="77777777" w:rsidR="003663AF" w:rsidRPr="00B7760C" w:rsidRDefault="003663AF" w:rsidP="00E804B7">
            <w:pPr>
              <w:pStyle w:val="Normal6"/>
              <w:jc w:val="right"/>
              <w:rPr>
                <w:b/>
                <w:i/>
                <w:sz w:val="20"/>
              </w:rPr>
            </w:pPr>
            <w:r w:rsidRPr="00B7760C">
              <w:rPr>
                <w:b/>
                <w:i/>
                <w:sz w:val="20"/>
              </w:rPr>
              <w:t>703 870 373</w:t>
            </w:r>
          </w:p>
        </w:tc>
        <w:tc>
          <w:tcPr>
            <w:tcW w:w="1141" w:type="dxa"/>
            <w:tcBorders>
              <w:top w:val="single" w:sz="4" w:space="0" w:color="auto"/>
              <w:left w:val="single" w:sz="4" w:space="0" w:color="auto"/>
              <w:bottom w:val="single" w:sz="4" w:space="0" w:color="auto"/>
              <w:right w:val="single" w:sz="4" w:space="0" w:color="auto"/>
            </w:tcBorders>
            <w:vAlign w:val="center"/>
            <w:hideMark/>
          </w:tcPr>
          <w:p w14:paraId="02C2B096" w14:textId="77777777" w:rsidR="003663AF" w:rsidRPr="00B7760C" w:rsidRDefault="003663AF" w:rsidP="00E804B7">
            <w:pPr>
              <w:pStyle w:val="Normal6"/>
              <w:jc w:val="right"/>
              <w:rPr>
                <w:b/>
                <w:i/>
                <w:sz w:val="20"/>
              </w:rPr>
            </w:pPr>
            <w:r w:rsidRPr="00B7760C">
              <w:rPr>
                <w:b/>
                <w:i/>
                <w:sz w:val="20"/>
              </w:rPr>
              <w:t>703 870 373</w:t>
            </w:r>
          </w:p>
        </w:tc>
      </w:tr>
      <w:tr w:rsidR="003663AF" w:rsidRPr="00B7760C" w14:paraId="6580E45B"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66AA224F" w14:textId="77777777" w:rsidR="003663AF" w:rsidRPr="00B7760C" w:rsidRDefault="003663AF" w:rsidP="00E804B7">
            <w:pPr>
              <w:pStyle w:val="Normal6"/>
              <w:rPr>
                <w:sz w:val="20"/>
              </w:rPr>
            </w:pPr>
            <w:r w:rsidRPr="00B7760C">
              <w:rPr>
                <w:sz w:val="20"/>
              </w:rPr>
              <w:t>Avstrija</w:t>
            </w:r>
          </w:p>
        </w:tc>
        <w:tc>
          <w:tcPr>
            <w:tcW w:w="999" w:type="dxa"/>
            <w:tcBorders>
              <w:top w:val="single" w:sz="4" w:space="0" w:color="auto"/>
              <w:left w:val="single" w:sz="4" w:space="0" w:color="auto"/>
              <w:bottom w:val="single" w:sz="4" w:space="0" w:color="auto"/>
              <w:right w:val="single" w:sz="4" w:space="0" w:color="auto"/>
            </w:tcBorders>
            <w:vAlign w:val="center"/>
            <w:hideMark/>
          </w:tcPr>
          <w:p w14:paraId="27F31F84" w14:textId="77777777" w:rsidR="003663AF" w:rsidRPr="00B7760C" w:rsidRDefault="003663AF" w:rsidP="00E804B7">
            <w:pPr>
              <w:pStyle w:val="Normal6"/>
              <w:jc w:val="right"/>
              <w:rPr>
                <w:b/>
                <w:i/>
                <w:sz w:val="20"/>
              </w:rPr>
            </w:pPr>
            <w:r w:rsidRPr="00B7760C">
              <w:rPr>
                <w:b/>
                <w:i/>
                <w:sz w:val="20"/>
              </w:rPr>
              <w:t>664 819 537</w:t>
            </w:r>
          </w:p>
        </w:tc>
        <w:tc>
          <w:tcPr>
            <w:tcW w:w="900" w:type="dxa"/>
            <w:tcBorders>
              <w:top w:val="single" w:sz="4" w:space="0" w:color="auto"/>
              <w:left w:val="single" w:sz="4" w:space="0" w:color="auto"/>
              <w:bottom w:val="single" w:sz="4" w:space="0" w:color="auto"/>
              <w:right w:val="single" w:sz="4" w:space="0" w:color="auto"/>
            </w:tcBorders>
            <w:vAlign w:val="center"/>
            <w:hideMark/>
          </w:tcPr>
          <w:p w14:paraId="350CCF97" w14:textId="77777777" w:rsidR="003663AF" w:rsidRPr="00B7760C" w:rsidRDefault="003663AF" w:rsidP="00E804B7">
            <w:pPr>
              <w:pStyle w:val="Normal6"/>
              <w:jc w:val="right"/>
              <w:rPr>
                <w:b/>
                <w:i/>
                <w:sz w:val="20"/>
              </w:rPr>
            </w:pPr>
            <w:r w:rsidRPr="00B7760C">
              <w:rPr>
                <w:b/>
                <w:i/>
                <w:sz w:val="20"/>
              </w:rPr>
              <w:t>664 819 537</w:t>
            </w:r>
          </w:p>
        </w:tc>
        <w:tc>
          <w:tcPr>
            <w:tcW w:w="1019" w:type="dxa"/>
            <w:tcBorders>
              <w:top w:val="single" w:sz="4" w:space="0" w:color="auto"/>
              <w:left w:val="single" w:sz="4" w:space="0" w:color="auto"/>
              <w:bottom w:val="single" w:sz="4" w:space="0" w:color="auto"/>
              <w:right w:val="single" w:sz="4" w:space="0" w:color="auto"/>
            </w:tcBorders>
            <w:vAlign w:val="center"/>
            <w:hideMark/>
          </w:tcPr>
          <w:p w14:paraId="47849604" w14:textId="77777777" w:rsidR="003663AF" w:rsidRPr="00B7760C" w:rsidRDefault="003663AF" w:rsidP="00E804B7">
            <w:pPr>
              <w:pStyle w:val="Normal6"/>
              <w:jc w:val="right"/>
              <w:rPr>
                <w:b/>
                <w:i/>
                <w:sz w:val="20"/>
              </w:rPr>
            </w:pPr>
            <w:r w:rsidRPr="00B7760C">
              <w:rPr>
                <w:b/>
                <w:i/>
                <w:sz w:val="20"/>
              </w:rPr>
              <w:t>664 819 537</w:t>
            </w:r>
          </w:p>
        </w:tc>
        <w:tc>
          <w:tcPr>
            <w:tcW w:w="1019" w:type="dxa"/>
            <w:tcBorders>
              <w:top w:val="single" w:sz="4" w:space="0" w:color="auto"/>
              <w:left w:val="single" w:sz="4" w:space="0" w:color="auto"/>
              <w:bottom w:val="single" w:sz="4" w:space="0" w:color="auto"/>
              <w:right w:val="single" w:sz="4" w:space="0" w:color="auto"/>
            </w:tcBorders>
            <w:vAlign w:val="center"/>
            <w:hideMark/>
          </w:tcPr>
          <w:p w14:paraId="447C0034" w14:textId="77777777" w:rsidR="003663AF" w:rsidRPr="00B7760C" w:rsidRDefault="003663AF" w:rsidP="00E804B7">
            <w:pPr>
              <w:pStyle w:val="Normal6"/>
              <w:jc w:val="right"/>
              <w:rPr>
                <w:b/>
                <w:i/>
                <w:sz w:val="20"/>
              </w:rPr>
            </w:pPr>
            <w:r w:rsidRPr="00B7760C">
              <w:rPr>
                <w:b/>
                <w:i/>
                <w:sz w:val="20"/>
              </w:rPr>
              <w:t>664 819 537</w:t>
            </w:r>
          </w:p>
        </w:tc>
        <w:tc>
          <w:tcPr>
            <w:tcW w:w="1019" w:type="dxa"/>
            <w:tcBorders>
              <w:top w:val="single" w:sz="4" w:space="0" w:color="auto"/>
              <w:left w:val="single" w:sz="4" w:space="0" w:color="auto"/>
              <w:bottom w:val="single" w:sz="4" w:space="0" w:color="auto"/>
              <w:right w:val="single" w:sz="4" w:space="0" w:color="auto"/>
            </w:tcBorders>
            <w:vAlign w:val="center"/>
            <w:hideMark/>
          </w:tcPr>
          <w:p w14:paraId="6420A22E" w14:textId="77777777" w:rsidR="003663AF" w:rsidRPr="00B7760C" w:rsidRDefault="003663AF" w:rsidP="00E804B7">
            <w:pPr>
              <w:pStyle w:val="Normal6"/>
              <w:jc w:val="right"/>
              <w:rPr>
                <w:b/>
                <w:i/>
                <w:sz w:val="20"/>
              </w:rPr>
            </w:pPr>
            <w:r w:rsidRPr="00B7760C">
              <w:rPr>
                <w:b/>
                <w:i/>
                <w:sz w:val="20"/>
              </w:rPr>
              <w:t>664 819 537</w:t>
            </w:r>
          </w:p>
        </w:tc>
        <w:tc>
          <w:tcPr>
            <w:tcW w:w="880" w:type="dxa"/>
            <w:tcBorders>
              <w:top w:val="single" w:sz="4" w:space="0" w:color="auto"/>
              <w:left w:val="single" w:sz="4" w:space="0" w:color="auto"/>
              <w:bottom w:val="single" w:sz="4" w:space="0" w:color="auto"/>
              <w:right w:val="single" w:sz="4" w:space="0" w:color="auto"/>
            </w:tcBorders>
            <w:vAlign w:val="center"/>
            <w:hideMark/>
          </w:tcPr>
          <w:p w14:paraId="52FAB000" w14:textId="77777777" w:rsidR="003663AF" w:rsidRPr="00B7760C" w:rsidRDefault="003663AF" w:rsidP="00E804B7">
            <w:pPr>
              <w:pStyle w:val="Normal6"/>
              <w:jc w:val="right"/>
              <w:rPr>
                <w:b/>
                <w:i/>
                <w:sz w:val="20"/>
              </w:rPr>
            </w:pPr>
            <w:r w:rsidRPr="00B7760C">
              <w:rPr>
                <w:b/>
                <w:i/>
                <w:sz w:val="20"/>
              </w:rPr>
              <w:t>664 819 537</w:t>
            </w:r>
          </w:p>
        </w:tc>
        <w:tc>
          <w:tcPr>
            <w:tcW w:w="1141" w:type="dxa"/>
            <w:tcBorders>
              <w:top w:val="single" w:sz="4" w:space="0" w:color="auto"/>
              <w:left w:val="single" w:sz="4" w:space="0" w:color="auto"/>
              <w:bottom w:val="single" w:sz="4" w:space="0" w:color="auto"/>
              <w:right w:val="single" w:sz="4" w:space="0" w:color="auto"/>
            </w:tcBorders>
            <w:vAlign w:val="center"/>
            <w:hideMark/>
          </w:tcPr>
          <w:p w14:paraId="763EE26A" w14:textId="77777777" w:rsidR="003663AF" w:rsidRPr="00B7760C" w:rsidRDefault="003663AF" w:rsidP="00E804B7">
            <w:pPr>
              <w:pStyle w:val="Normal6"/>
              <w:jc w:val="right"/>
              <w:rPr>
                <w:b/>
                <w:i/>
                <w:sz w:val="20"/>
              </w:rPr>
            </w:pPr>
            <w:r w:rsidRPr="00B7760C">
              <w:rPr>
                <w:b/>
                <w:i/>
                <w:sz w:val="20"/>
              </w:rPr>
              <w:t>664 819 537</w:t>
            </w:r>
          </w:p>
        </w:tc>
      </w:tr>
      <w:tr w:rsidR="003663AF" w:rsidRPr="00B7760C" w14:paraId="2797FB11"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1CC56DF9" w14:textId="77777777" w:rsidR="003663AF" w:rsidRPr="00B7760C" w:rsidRDefault="003663AF" w:rsidP="00E804B7">
            <w:pPr>
              <w:pStyle w:val="Normal6"/>
              <w:rPr>
                <w:sz w:val="20"/>
              </w:rPr>
            </w:pPr>
            <w:r w:rsidRPr="00B7760C">
              <w:rPr>
                <w:sz w:val="20"/>
              </w:rPr>
              <w:t>Poljska</w:t>
            </w:r>
          </w:p>
        </w:tc>
        <w:tc>
          <w:tcPr>
            <w:tcW w:w="999" w:type="dxa"/>
            <w:tcBorders>
              <w:top w:val="single" w:sz="4" w:space="0" w:color="auto"/>
              <w:left w:val="single" w:sz="4" w:space="0" w:color="auto"/>
              <w:bottom w:val="single" w:sz="4" w:space="0" w:color="auto"/>
              <w:right w:val="single" w:sz="4" w:space="0" w:color="auto"/>
            </w:tcBorders>
            <w:vAlign w:val="center"/>
            <w:hideMark/>
          </w:tcPr>
          <w:p w14:paraId="5D18A70C" w14:textId="77777777" w:rsidR="003663AF" w:rsidRPr="00B7760C" w:rsidRDefault="003663AF" w:rsidP="00E804B7">
            <w:pPr>
              <w:pStyle w:val="Normal6"/>
              <w:jc w:val="right"/>
              <w:rPr>
                <w:b/>
                <w:i/>
                <w:sz w:val="20"/>
              </w:rPr>
            </w:pPr>
            <w:r w:rsidRPr="00B7760C">
              <w:rPr>
                <w:b/>
                <w:i/>
                <w:sz w:val="20"/>
              </w:rPr>
              <w:t>2 972 977 807</w:t>
            </w:r>
          </w:p>
        </w:tc>
        <w:tc>
          <w:tcPr>
            <w:tcW w:w="900" w:type="dxa"/>
            <w:tcBorders>
              <w:top w:val="single" w:sz="4" w:space="0" w:color="auto"/>
              <w:left w:val="single" w:sz="4" w:space="0" w:color="auto"/>
              <w:bottom w:val="single" w:sz="4" w:space="0" w:color="auto"/>
              <w:right w:val="single" w:sz="4" w:space="0" w:color="auto"/>
            </w:tcBorders>
            <w:vAlign w:val="center"/>
            <w:hideMark/>
          </w:tcPr>
          <w:p w14:paraId="15CD5D0A" w14:textId="77777777" w:rsidR="003663AF" w:rsidRPr="00B7760C" w:rsidRDefault="003663AF" w:rsidP="00E804B7">
            <w:pPr>
              <w:pStyle w:val="Normal6"/>
              <w:jc w:val="right"/>
              <w:rPr>
                <w:b/>
                <w:i/>
                <w:sz w:val="20"/>
              </w:rPr>
            </w:pPr>
            <w:r w:rsidRPr="00B7760C">
              <w:rPr>
                <w:b/>
                <w:i/>
                <w:sz w:val="20"/>
              </w:rPr>
              <w:t>3 003 574 280</w:t>
            </w:r>
          </w:p>
        </w:tc>
        <w:tc>
          <w:tcPr>
            <w:tcW w:w="1019" w:type="dxa"/>
            <w:tcBorders>
              <w:top w:val="single" w:sz="4" w:space="0" w:color="auto"/>
              <w:left w:val="single" w:sz="4" w:space="0" w:color="auto"/>
              <w:bottom w:val="single" w:sz="4" w:space="0" w:color="auto"/>
              <w:right w:val="single" w:sz="4" w:space="0" w:color="auto"/>
            </w:tcBorders>
            <w:vAlign w:val="center"/>
            <w:hideMark/>
          </w:tcPr>
          <w:p w14:paraId="02770EC5" w14:textId="77777777" w:rsidR="003663AF" w:rsidRPr="00B7760C" w:rsidRDefault="003663AF" w:rsidP="00E804B7">
            <w:pPr>
              <w:pStyle w:val="Normal6"/>
              <w:jc w:val="right"/>
              <w:rPr>
                <w:b/>
                <w:i/>
                <w:sz w:val="20"/>
              </w:rPr>
            </w:pPr>
            <w:r w:rsidRPr="00B7760C">
              <w:rPr>
                <w:b/>
                <w:i/>
                <w:sz w:val="20"/>
              </w:rPr>
              <w:t>3 034 170 753</w:t>
            </w:r>
          </w:p>
        </w:tc>
        <w:tc>
          <w:tcPr>
            <w:tcW w:w="1019" w:type="dxa"/>
            <w:tcBorders>
              <w:top w:val="single" w:sz="4" w:space="0" w:color="auto"/>
              <w:left w:val="single" w:sz="4" w:space="0" w:color="auto"/>
              <w:bottom w:val="single" w:sz="4" w:space="0" w:color="auto"/>
              <w:right w:val="single" w:sz="4" w:space="0" w:color="auto"/>
            </w:tcBorders>
            <w:vAlign w:val="center"/>
            <w:hideMark/>
          </w:tcPr>
          <w:p w14:paraId="2C7E4FA5" w14:textId="77777777" w:rsidR="003663AF" w:rsidRPr="00B7760C" w:rsidRDefault="003663AF" w:rsidP="00E804B7">
            <w:pPr>
              <w:pStyle w:val="Normal6"/>
              <w:jc w:val="right"/>
              <w:rPr>
                <w:b/>
                <w:i/>
                <w:sz w:val="20"/>
              </w:rPr>
            </w:pPr>
            <w:r w:rsidRPr="00B7760C">
              <w:rPr>
                <w:b/>
                <w:i/>
                <w:sz w:val="20"/>
              </w:rPr>
              <w:t>3 064 767 227</w:t>
            </w:r>
          </w:p>
        </w:tc>
        <w:tc>
          <w:tcPr>
            <w:tcW w:w="1019" w:type="dxa"/>
            <w:tcBorders>
              <w:top w:val="single" w:sz="4" w:space="0" w:color="auto"/>
              <w:left w:val="single" w:sz="4" w:space="0" w:color="auto"/>
              <w:bottom w:val="single" w:sz="4" w:space="0" w:color="auto"/>
              <w:right w:val="single" w:sz="4" w:space="0" w:color="auto"/>
            </w:tcBorders>
            <w:vAlign w:val="center"/>
            <w:hideMark/>
          </w:tcPr>
          <w:p w14:paraId="04C229A4" w14:textId="77777777" w:rsidR="003663AF" w:rsidRPr="00B7760C" w:rsidRDefault="003663AF" w:rsidP="00E804B7">
            <w:pPr>
              <w:pStyle w:val="Normal6"/>
              <w:jc w:val="right"/>
              <w:rPr>
                <w:b/>
                <w:i/>
                <w:sz w:val="20"/>
              </w:rPr>
            </w:pPr>
            <w:r w:rsidRPr="00B7760C">
              <w:rPr>
                <w:b/>
                <w:i/>
                <w:sz w:val="20"/>
              </w:rPr>
              <w:t>3 095 363 700</w:t>
            </w:r>
          </w:p>
        </w:tc>
        <w:tc>
          <w:tcPr>
            <w:tcW w:w="880" w:type="dxa"/>
            <w:tcBorders>
              <w:top w:val="single" w:sz="4" w:space="0" w:color="auto"/>
              <w:left w:val="single" w:sz="4" w:space="0" w:color="auto"/>
              <w:bottom w:val="single" w:sz="4" w:space="0" w:color="auto"/>
              <w:right w:val="single" w:sz="4" w:space="0" w:color="auto"/>
            </w:tcBorders>
            <w:vAlign w:val="center"/>
            <w:hideMark/>
          </w:tcPr>
          <w:p w14:paraId="27C421A4" w14:textId="77777777" w:rsidR="003663AF" w:rsidRPr="00B7760C" w:rsidRDefault="003663AF" w:rsidP="00E804B7">
            <w:pPr>
              <w:pStyle w:val="Normal6"/>
              <w:jc w:val="right"/>
              <w:rPr>
                <w:b/>
                <w:i/>
                <w:sz w:val="20"/>
              </w:rPr>
            </w:pPr>
            <w:r w:rsidRPr="00B7760C">
              <w:rPr>
                <w:b/>
                <w:i/>
                <w:sz w:val="20"/>
              </w:rPr>
              <w:t>3 125 960 174</w:t>
            </w:r>
          </w:p>
        </w:tc>
        <w:tc>
          <w:tcPr>
            <w:tcW w:w="1141" w:type="dxa"/>
            <w:tcBorders>
              <w:top w:val="single" w:sz="4" w:space="0" w:color="auto"/>
              <w:left w:val="single" w:sz="4" w:space="0" w:color="auto"/>
              <w:bottom w:val="single" w:sz="4" w:space="0" w:color="auto"/>
              <w:right w:val="single" w:sz="4" w:space="0" w:color="auto"/>
            </w:tcBorders>
            <w:vAlign w:val="center"/>
            <w:hideMark/>
          </w:tcPr>
          <w:p w14:paraId="2A4B58BC" w14:textId="77777777" w:rsidR="003663AF" w:rsidRPr="00B7760C" w:rsidRDefault="003663AF" w:rsidP="00E804B7">
            <w:pPr>
              <w:pStyle w:val="Normal6"/>
              <w:jc w:val="right"/>
              <w:rPr>
                <w:b/>
                <w:i/>
                <w:sz w:val="20"/>
              </w:rPr>
            </w:pPr>
            <w:r w:rsidRPr="00B7760C">
              <w:rPr>
                <w:b/>
                <w:i/>
                <w:sz w:val="20"/>
              </w:rPr>
              <w:t>3 125 960 174</w:t>
            </w:r>
          </w:p>
        </w:tc>
      </w:tr>
      <w:tr w:rsidR="003663AF" w:rsidRPr="00B7760C" w14:paraId="62092303"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0C877BB1" w14:textId="77777777" w:rsidR="003663AF" w:rsidRPr="00B7760C" w:rsidRDefault="003663AF" w:rsidP="00E804B7">
            <w:pPr>
              <w:pStyle w:val="Normal6"/>
              <w:rPr>
                <w:sz w:val="20"/>
              </w:rPr>
            </w:pPr>
            <w:r w:rsidRPr="00B7760C">
              <w:rPr>
                <w:sz w:val="20"/>
              </w:rPr>
              <w:t>Portugalska</w:t>
            </w:r>
          </w:p>
        </w:tc>
        <w:tc>
          <w:tcPr>
            <w:tcW w:w="999" w:type="dxa"/>
            <w:tcBorders>
              <w:top w:val="single" w:sz="4" w:space="0" w:color="auto"/>
              <w:left w:val="single" w:sz="4" w:space="0" w:color="auto"/>
              <w:bottom w:val="single" w:sz="4" w:space="0" w:color="auto"/>
              <w:right w:val="single" w:sz="4" w:space="0" w:color="auto"/>
            </w:tcBorders>
            <w:vAlign w:val="center"/>
            <w:hideMark/>
          </w:tcPr>
          <w:p w14:paraId="44A0F7D6" w14:textId="77777777" w:rsidR="003663AF" w:rsidRPr="00B7760C" w:rsidRDefault="003663AF" w:rsidP="00E804B7">
            <w:pPr>
              <w:pStyle w:val="Normal6"/>
              <w:jc w:val="right"/>
              <w:rPr>
                <w:b/>
                <w:i/>
                <w:sz w:val="20"/>
              </w:rPr>
            </w:pPr>
            <w:r w:rsidRPr="00B7760C">
              <w:rPr>
                <w:b/>
                <w:i/>
                <w:sz w:val="20"/>
              </w:rPr>
              <w:t>584 824 383</w:t>
            </w:r>
          </w:p>
        </w:tc>
        <w:tc>
          <w:tcPr>
            <w:tcW w:w="900" w:type="dxa"/>
            <w:tcBorders>
              <w:top w:val="single" w:sz="4" w:space="0" w:color="auto"/>
              <w:left w:val="single" w:sz="4" w:space="0" w:color="auto"/>
              <w:bottom w:val="single" w:sz="4" w:space="0" w:color="auto"/>
              <w:right w:val="single" w:sz="4" w:space="0" w:color="auto"/>
            </w:tcBorders>
            <w:vAlign w:val="center"/>
            <w:hideMark/>
          </w:tcPr>
          <w:p w14:paraId="6E50B1F8" w14:textId="77777777" w:rsidR="003663AF" w:rsidRPr="00B7760C" w:rsidRDefault="003663AF" w:rsidP="00E804B7">
            <w:pPr>
              <w:pStyle w:val="Normal6"/>
              <w:jc w:val="right"/>
              <w:rPr>
                <w:b/>
                <w:i/>
                <w:sz w:val="20"/>
              </w:rPr>
            </w:pPr>
            <w:r w:rsidRPr="00B7760C">
              <w:rPr>
                <w:b/>
                <w:i/>
                <w:sz w:val="20"/>
              </w:rPr>
              <w:t>593 442 972</w:t>
            </w:r>
          </w:p>
        </w:tc>
        <w:tc>
          <w:tcPr>
            <w:tcW w:w="1019" w:type="dxa"/>
            <w:tcBorders>
              <w:top w:val="single" w:sz="4" w:space="0" w:color="auto"/>
              <w:left w:val="single" w:sz="4" w:space="0" w:color="auto"/>
              <w:bottom w:val="single" w:sz="4" w:space="0" w:color="auto"/>
              <w:right w:val="single" w:sz="4" w:space="0" w:color="auto"/>
            </w:tcBorders>
            <w:vAlign w:val="center"/>
            <w:hideMark/>
          </w:tcPr>
          <w:p w14:paraId="28C86025" w14:textId="77777777" w:rsidR="003663AF" w:rsidRPr="00B7760C" w:rsidRDefault="003663AF" w:rsidP="00E804B7">
            <w:pPr>
              <w:pStyle w:val="Normal6"/>
              <w:jc w:val="right"/>
              <w:rPr>
                <w:b/>
                <w:i/>
                <w:sz w:val="20"/>
              </w:rPr>
            </w:pPr>
            <w:r w:rsidRPr="00B7760C">
              <w:rPr>
                <w:b/>
                <w:i/>
                <w:sz w:val="20"/>
              </w:rPr>
              <w:t>602 061 562</w:t>
            </w:r>
          </w:p>
        </w:tc>
        <w:tc>
          <w:tcPr>
            <w:tcW w:w="1019" w:type="dxa"/>
            <w:tcBorders>
              <w:top w:val="single" w:sz="4" w:space="0" w:color="auto"/>
              <w:left w:val="single" w:sz="4" w:space="0" w:color="auto"/>
              <w:bottom w:val="single" w:sz="4" w:space="0" w:color="auto"/>
              <w:right w:val="single" w:sz="4" w:space="0" w:color="auto"/>
            </w:tcBorders>
            <w:vAlign w:val="center"/>
            <w:hideMark/>
          </w:tcPr>
          <w:p w14:paraId="2A1D3865" w14:textId="77777777" w:rsidR="003663AF" w:rsidRPr="00B7760C" w:rsidRDefault="003663AF" w:rsidP="00E804B7">
            <w:pPr>
              <w:pStyle w:val="Normal6"/>
              <w:jc w:val="right"/>
              <w:rPr>
                <w:b/>
                <w:i/>
                <w:sz w:val="20"/>
              </w:rPr>
            </w:pPr>
            <w:r w:rsidRPr="00B7760C">
              <w:rPr>
                <w:b/>
                <w:i/>
                <w:sz w:val="20"/>
              </w:rPr>
              <w:t>610 680 152</w:t>
            </w:r>
          </w:p>
        </w:tc>
        <w:tc>
          <w:tcPr>
            <w:tcW w:w="1019" w:type="dxa"/>
            <w:tcBorders>
              <w:top w:val="single" w:sz="4" w:space="0" w:color="auto"/>
              <w:left w:val="single" w:sz="4" w:space="0" w:color="auto"/>
              <w:bottom w:val="single" w:sz="4" w:space="0" w:color="auto"/>
              <w:right w:val="single" w:sz="4" w:space="0" w:color="auto"/>
            </w:tcBorders>
            <w:vAlign w:val="center"/>
            <w:hideMark/>
          </w:tcPr>
          <w:p w14:paraId="3E094313" w14:textId="77777777" w:rsidR="003663AF" w:rsidRPr="00B7760C" w:rsidRDefault="003663AF" w:rsidP="00E804B7">
            <w:pPr>
              <w:pStyle w:val="Normal6"/>
              <w:jc w:val="right"/>
              <w:rPr>
                <w:b/>
                <w:i/>
                <w:sz w:val="20"/>
              </w:rPr>
            </w:pPr>
            <w:r w:rsidRPr="00B7760C">
              <w:rPr>
                <w:b/>
                <w:i/>
                <w:sz w:val="20"/>
              </w:rPr>
              <w:t>619 298 742</w:t>
            </w:r>
          </w:p>
        </w:tc>
        <w:tc>
          <w:tcPr>
            <w:tcW w:w="880" w:type="dxa"/>
            <w:tcBorders>
              <w:top w:val="single" w:sz="4" w:space="0" w:color="auto"/>
              <w:left w:val="single" w:sz="4" w:space="0" w:color="auto"/>
              <w:bottom w:val="single" w:sz="4" w:space="0" w:color="auto"/>
              <w:right w:val="single" w:sz="4" w:space="0" w:color="auto"/>
            </w:tcBorders>
            <w:vAlign w:val="center"/>
            <w:hideMark/>
          </w:tcPr>
          <w:p w14:paraId="045EF537" w14:textId="77777777" w:rsidR="003663AF" w:rsidRPr="00B7760C" w:rsidRDefault="003663AF" w:rsidP="00E804B7">
            <w:pPr>
              <w:pStyle w:val="Normal6"/>
              <w:jc w:val="right"/>
              <w:rPr>
                <w:b/>
                <w:i/>
                <w:sz w:val="20"/>
              </w:rPr>
            </w:pPr>
            <w:r w:rsidRPr="00B7760C">
              <w:rPr>
                <w:b/>
                <w:i/>
                <w:sz w:val="20"/>
              </w:rPr>
              <w:t>627 917 332</w:t>
            </w:r>
          </w:p>
        </w:tc>
        <w:tc>
          <w:tcPr>
            <w:tcW w:w="1141" w:type="dxa"/>
            <w:tcBorders>
              <w:top w:val="single" w:sz="4" w:space="0" w:color="auto"/>
              <w:left w:val="single" w:sz="4" w:space="0" w:color="auto"/>
              <w:bottom w:val="single" w:sz="4" w:space="0" w:color="auto"/>
              <w:right w:val="single" w:sz="4" w:space="0" w:color="auto"/>
            </w:tcBorders>
            <w:vAlign w:val="center"/>
            <w:hideMark/>
          </w:tcPr>
          <w:p w14:paraId="49F1F321" w14:textId="77777777" w:rsidR="003663AF" w:rsidRPr="00B7760C" w:rsidRDefault="003663AF" w:rsidP="00E804B7">
            <w:pPr>
              <w:pStyle w:val="Normal6"/>
              <w:jc w:val="right"/>
              <w:rPr>
                <w:b/>
                <w:i/>
                <w:sz w:val="20"/>
              </w:rPr>
            </w:pPr>
            <w:r w:rsidRPr="00B7760C">
              <w:rPr>
                <w:b/>
                <w:i/>
                <w:sz w:val="20"/>
              </w:rPr>
              <w:t>627 917 332</w:t>
            </w:r>
          </w:p>
        </w:tc>
      </w:tr>
      <w:tr w:rsidR="003663AF" w:rsidRPr="00B7760C" w14:paraId="419156C5"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139104C2" w14:textId="77777777" w:rsidR="003663AF" w:rsidRPr="00B7760C" w:rsidRDefault="003663AF" w:rsidP="00E804B7">
            <w:pPr>
              <w:pStyle w:val="Normal6"/>
              <w:rPr>
                <w:sz w:val="20"/>
              </w:rPr>
            </w:pPr>
            <w:r w:rsidRPr="00B7760C">
              <w:rPr>
                <w:sz w:val="20"/>
              </w:rPr>
              <w:t>Romunija</w:t>
            </w:r>
          </w:p>
        </w:tc>
        <w:tc>
          <w:tcPr>
            <w:tcW w:w="999" w:type="dxa"/>
            <w:tcBorders>
              <w:top w:val="single" w:sz="4" w:space="0" w:color="auto"/>
              <w:left w:val="single" w:sz="4" w:space="0" w:color="auto"/>
              <w:bottom w:val="single" w:sz="4" w:space="0" w:color="auto"/>
              <w:right w:val="single" w:sz="4" w:space="0" w:color="auto"/>
            </w:tcBorders>
            <w:vAlign w:val="center"/>
            <w:hideMark/>
          </w:tcPr>
          <w:p w14:paraId="3D7031B6" w14:textId="77777777" w:rsidR="003663AF" w:rsidRPr="00B7760C" w:rsidRDefault="003663AF" w:rsidP="00E804B7">
            <w:pPr>
              <w:pStyle w:val="Normal6"/>
              <w:jc w:val="right"/>
              <w:rPr>
                <w:b/>
                <w:i/>
                <w:sz w:val="20"/>
              </w:rPr>
            </w:pPr>
            <w:r w:rsidRPr="00B7760C">
              <w:rPr>
                <w:b/>
                <w:i/>
                <w:sz w:val="20"/>
              </w:rPr>
              <w:t>1 856 172 601</w:t>
            </w:r>
          </w:p>
        </w:tc>
        <w:tc>
          <w:tcPr>
            <w:tcW w:w="900" w:type="dxa"/>
            <w:tcBorders>
              <w:top w:val="single" w:sz="4" w:space="0" w:color="auto"/>
              <w:left w:val="single" w:sz="4" w:space="0" w:color="auto"/>
              <w:bottom w:val="single" w:sz="4" w:space="0" w:color="auto"/>
              <w:right w:val="single" w:sz="4" w:space="0" w:color="auto"/>
            </w:tcBorders>
            <w:vAlign w:val="center"/>
            <w:hideMark/>
          </w:tcPr>
          <w:p w14:paraId="142FE58B" w14:textId="77777777" w:rsidR="003663AF" w:rsidRPr="00B7760C" w:rsidRDefault="003663AF" w:rsidP="00E804B7">
            <w:pPr>
              <w:pStyle w:val="Normal6"/>
              <w:jc w:val="right"/>
              <w:rPr>
                <w:b/>
                <w:i/>
                <w:sz w:val="20"/>
              </w:rPr>
            </w:pPr>
            <w:r w:rsidRPr="00B7760C">
              <w:rPr>
                <w:b/>
                <w:i/>
                <w:sz w:val="20"/>
              </w:rPr>
              <w:t>1 883 211 603</w:t>
            </w:r>
          </w:p>
        </w:tc>
        <w:tc>
          <w:tcPr>
            <w:tcW w:w="1019" w:type="dxa"/>
            <w:tcBorders>
              <w:top w:val="single" w:sz="4" w:space="0" w:color="auto"/>
              <w:left w:val="single" w:sz="4" w:space="0" w:color="auto"/>
              <w:bottom w:val="single" w:sz="4" w:space="0" w:color="auto"/>
              <w:right w:val="single" w:sz="4" w:space="0" w:color="auto"/>
            </w:tcBorders>
            <w:vAlign w:val="center"/>
            <w:hideMark/>
          </w:tcPr>
          <w:p w14:paraId="0C85B17C" w14:textId="77777777" w:rsidR="003663AF" w:rsidRPr="00B7760C" w:rsidRDefault="003663AF" w:rsidP="00E804B7">
            <w:pPr>
              <w:pStyle w:val="Normal6"/>
              <w:jc w:val="right"/>
              <w:rPr>
                <w:b/>
                <w:i/>
                <w:sz w:val="20"/>
              </w:rPr>
            </w:pPr>
            <w:r w:rsidRPr="00B7760C">
              <w:rPr>
                <w:b/>
                <w:i/>
                <w:sz w:val="20"/>
              </w:rPr>
              <w:t>1 910 250 604</w:t>
            </w:r>
          </w:p>
        </w:tc>
        <w:tc>
          <w:tcPr>
            <w:tcW w:w="1019" w:type="dxa"/>
            <w:tcBorders>
              <w:top w:val="single" w:sz="4" w:space="0" w:color="auto"/>
              <w:left w:val="single" w:sz="4" w:space="0" w:color="auto"/>
              <w:bottom w:val="single" w:sz="4" w:space="0" w:color="auto"/>
              <w:right w:val="single" w:sz="4" w:space="0" w:color="auto"/>
            </w:tcBorders>
            <w:vAlign w:val="center"/>
            <w:hideMark/>
          </w:tcPr>
          <w:p w14:paraId="7FF6870F" w14:textId="77777777" w:rsidR="003663AF" w:rsidRPr="00B7760C" w:rsidRDefault="003663AF" w:rsidP="00E804B7">
            <w:pPr>
              <w:pStyle w:val="Normal6"/>
              <w:jc w:val="right"/>
              <w:rPr>
                <w:b/>
                <w:i/>
                <w:sz w:val="20"/>
              </w:rPr>
            </w:pPr>
            <w:r w:rsidRPr="00B7760C">
              <w:rPr>
                <w:b/>
                <w:i/>
                <w:sz w:val="20"/>
              </w:rPr>
              <w:t>1 937 289 605</w:t>
            </w:r>
          </w:p>
        </w:tc>
        <w:tc>
          <w:tcPr>
            <w:tcW w:w="1019" w:type="dxa"/>
            <w:tcBorders>
              <w:top w:val="single" w:sz="4" w:space="0" w:color="auto"/>
              <w:left w:val="single" w:sz="4" w:space="0" w:color="auto"/>
              <w:bottom w:val="single" w:sz="4" w:space="0" w:color="auto"/>
              <w:right w:val="single" w:sz="4" w:space="0" w:color="auto"/>
            </w:tcBorders>
            <w:vAlign w:val="center"/>
            <w:hideMark/>
          </w:tcPr>
          <w:p w14:paraId="2FA84050" w14:textId="77777777" w:rsidR="003663AF" w:rsidRPr="00B7760C" w:rsidRDefault="003663AF" w:rsidP="00E804B7">
            <w:pPr>
              <w:pStyle w:val="Normal6"/>
              <w:jc w:val="right"/>
              <w:rPr>
                <w:b/>
                <w:i/>
                <w:sz w:val="20"/>
              </w:rPr>
            </w:pPr>
            <w:r w:rsidRPr="00B7760C">
              <w:rPr>
                <w:b/>
                <w:i/>
                <w:sz w:val="20"/>
              </w:rPr>
              <w:t>1 964 328 606</w:t>
            </w:r>
          </w:p>
        </w:tc>
        <w:tc>
          <w:tcPr>
            <w:tcW w:w="880" w:type="dxa"/>
            <w:tcBorders>
              <w:top w:val="single" w:sz="4" w:space="0" w:color="auto"/>
              <w:left w:val="single" w:sz="4" w:space="0" w:color="auto"/>
              <w:bottom w:val="single" w:sz="4" w:space="0" w:color="auto"/>
              <w:right w:val="single" w:sz="4" w:space="0" w:color="auto"/>
            </w:tcBorders>
            <w:vAlign w:val="center"/>
            <w:hideMark/>
          </w:tcPr>
          <w:p w14:paraId="64B80C43" w14:textId="77777777" w:rsidR="003663AF" w:rsidRPr="00B7760C" w:rsidRDefault="003663AF" w:rsidP="00E804B7">
            <w:pPr>
              <w:pStyle w:val="Normal6"/>
              <w:jc w:val="right"/>
              <w:rPr>
                <w:b/>
                <w:i/>
                <w:sz w:val="20"/>
              </w:rPr>
            </w:pPr>
            <w:r w:rsidRPr="00B7760C">
              <w:rPr>
                <w:b/>
                <w:i/>
                <w:sz w:val="20"/>
              </w:rPr>
              <w:t>1 991 367 607</w:t>
            </w:r>
          </w:p>
        </w:tc>
        <w:tc>
          <w:tcPr>
            <w:tcW w:w="1141" w:type="dxa"/>
            <w:tcBorders>
              <w:top w:val="single" w:sz="4" w:space="0" w:color="auto"/>
              <w:left w:val="single" w:sz="4" w:space="0" w:color="auto"/>
              <w:bottom w:val="single" w:sz="4" w:space="0" w:color="auto"/>
              <w:right w:val="single" w:sz="4" w:space="0" w:color="auto"/>
            </w:tcBorders>
            <w:vAlign w:val="center"/>
            <w:hideMark/>
          </w:tcPr>
          <w:p w14:paraId="03BB3FF5" w14:textId="77777777" w:rsidR="003663AF" w:rsidRPr="00B7760C" w:rsidRDefault="003663AF" w:rsidP="00E804B7">
            <w:pPr>
              <w:pStyle w:val="Normal6"/>
              <w:jc w:val="right"/>
              <w:rPr>
                <w:b/>
                <w:i/>
                <w:sz w:val="20"/>
              </w:rPr>
            </w:pPr>
            <w:r w:rsidRPr="00B7760C">
              <w:rPr>
                <w:b/>
                <w:i/>
                <w:sz w:val="20"/>
              </w:rPr>
              <w:t>1 991 367 607</w:t>
            </w:r>
          </w:p>
        </w:tc>
      </w:tr>
      <w:tr w:rsidR="003663AF" w:rsidRPr="00B7760C" w14:paraId="2526FCD7"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7FBAA951" w14:textId="77777777" w:rsidR="003663AF" w:rsidRPr="00B7760C" w:rsidRDefault="003663AF" w:rsidP="00E804B7">
            <w:pPr>
              <w:pStyle w:val="Normal6"/>
              <w:rPr>
                <w:sz w:val="20"/>
              </w:rPr>
            </w:pPr>
            <w:r w:rsidRPr="00B7760C">
              <w:rPr>
                <w:sz w:val="20"/>
              </w:rPr>
              <w:t>Slovenija</w:t>
            </w:r>
          </w:p>
        </w:tc>
        <w:tc>
          <w:tcPr>
            <w:tcW w:w="999" w:type="dxa"/>
            <w:tcBorders>
              <w:top w:val="single" w:sz="4" w:space="0" w:color="auto"/>
              <w:left w:val="single" w:sz="4" w:space="0" w:color="auto"/>
              <w:bottom w:val="single" w:sz="4" w:space="0" w:color="auto"/>
              <w:right w:val="single" w:sz="4" w:space="0" w:color="auto"/>
            </w:tcBorders>
            <w:vAlign w:val="center"/>
            <w:hideMark/>
          </w:tcPr>
          <w:p w14:paraId="36FE7BE4" w14:textId="77777777" w:rsidR="003663AF" w:rsidRPr="00B7760C" w:rsidRDefault="003663AF" w:rsidP="00E804B7">
            <w:pPr>
              <w:pStyle w:val="Normal6"/>
              <w:jc w:val="right"/>
              <w:rPr>
                <w:b/>
                <w:i/>
                <w:sz w:val="20"/>
              </w:rPr>
            </w:pPr>
            <w:r w:rsidRPr="00B7760C">
              <w:rPr>
                <w:b/>
                <w:i/>
                <w:sz w:val="20"/>
              </w:rPr>
              <w:t>129 052 673</w:t>
            </w:r>
          </w:p>
        </w:tc>
        <w:tc>
          <w:tcPr>
            <w:tcW w:w="900" w:type="dxa"/>
            <w:tcBorders>
              <w:top w:val="single" w:sz="4" w:space="0" w:color="auto"/>
              <w:left w:val="single" w:sz="4" w:space="0" w:color="auto"/>
              <w:bottom w:val="single" w:sz="4" w:space="0" w:color="auto"/>
              <w:right w:val="single" w:sz="4" w:space="0" w:color="auto"/>
            </w:tcBorders>
            <w:vAlign w:val="center"/>
            <w:hideMark/>
          </w:tcPr>
          <w:p w14:paraId="5BE3B038" w14:textId="77777777" w:rsidR="003663AF" w:rsidRPr="00B7760C" w:rsidRDefault="003663AF" w:rsidP="00E804B7">
            <w:pPr>
              <w:pStyle w:val="Normal6"/>
              <w:jc w:val="right"/>
              <w:rPr>
                <w:b/>
                <w:i/>
                <w:sz w:val="20"/>
              </w:rPr>
            </w:pPr>
            <w:r w:rsidRPr="00B7760C">
              <w:rPr>
                <w:b/>
                <w:i/>
                <w:sz w:val="20"/>
              </w:rPr>
              <w:t>129 052 673</w:t>
            </w:r>
          </w:p>
        </w:tc>
        <w:tc>
          <w:tcPr>
            <w:tcW w:w="1019" w:type="dxa"/>
            <w:tcBorders>
              <w:top w:val="single" w:sz="4" w:space="0" w:color="auto"/>
              <w:left w:val="single" w:sz="4" w:space="0" w:color="auto"/>
              <w:bottom w:val="single" w:sz="4" w:space="0" w:color="auto"/>
              <w:right w:val="single" w:sz="4" w:space="0" w:color="auto"/>
            </w:tcBorders>
            <w:vAlign w:val="center"/>
            <w:hideMark/>
          </w:tcPr>
          <w:p w14:paraId="48EC3EBE" w14:textId="77777777" w:rsidR="003663AF" w:rsidRPr="00B7760C" w:rsidRDefault="003663AF" w:rsidP="00E804B7">
            <w:pPr>
              <w:pStyle w:val="Normal6"/>
              <w:jc w:val="right"/>
              <w:rPr>
                <w:b/>
                <w:i/>
                <w:sz w:val="20"/>
              </w:rPr>
            </w:pPr>
            <w:r w:rsidRPr="00B7760C">
              <w:rPr>
                <w:b/>
                <w:i/>
                <w:sz w:val="20"/>
              </w:rPr>
              <w:t>129 052 673</w:t>
            </w:r>
          </w:p>
        </w:tc>
        <w:tc>
          <w:tcPr>
            <w:tcW w:w="1019" w:type="dxa"/>
            <w:tcBorders>
              <w:top w:val="single" w:sz="4" w:space="0" w:color="auto"/>
              <w:left w:val="single" w:sz="4" w:space="0" w:color="auto"/>
              <w:bottom w:val="single" w:sz="4" w:space="0" w:color="auto"/>
              <w:right w:val="single" w:sz="4" w:space="0" w:color="auto"/>
            </w:tcBorders>
            <w:vAlign w:val="center"/>
            <w:hideMark/>
          </w:tcPr>
          <w:p w14:paraId="2A2FD62B" w14:textId="77777777" w:rsidR="003663AF" w:rsidRPr="00B7760C" w:rsidRDefault="003663AF" w:rsidP="00E804B7">
            <w:pPr>
              <w:pStyle w:val="Normal6"/>
              <w:jc w:val="right"/>
              <w:rPr>
                <w:b/>
                <w:i/>
                <w:sz w:val="20"/>
              </w:rPr>
            </w:pPr>
            <w:r w:rsidRPr="00B7760C">
              <w:rPr>
                <w:b/>
                <w:i/>
                <w:sz w:val="20"/>
              </w:rPr>
              <w:t>129 052 673</w:t>
            </w:r>
          </w:p>
        </w:tc>
        <w:tc>
          <w:tcPr>
            <w:tcW w:w="1019" w:type="dxa"/>
            <w:tcBorders>
              <w:top w:val="single" w:sz="4" w:space="0" w:color="auto"/>
              <w:left w:val="single" w:sz="4" w:space="0" w:color="auto"/>
              <w:bottom w:val="single" w:sz="4" w:space="0" w:color="auto"/>
              <w:right w:val="single" w:sz="4" w:space="0" w:color="auto"/>
            </w:tcBorders>
            <w:vAlign w:val="center"/>
            <w:hideMark/>
          </w:tcPr>
          <w:p w14:paraId="0837EC9E" w14:textId="77777777" w:rsidR="003663AF" w:rsidRPr="00B7760C" w:rsidRDefault="003663AF" w:rsidP="00E804B7">
            <w:pPr>
              <w:pStyle w:val="Normal6"/>
              <w:jc w:val="right"/>
              <w:rPr>
                <w:b/>
                <w:i/>
                <w:sz w:val="20"/>
              </w:rPr>
            </w:pPr>
            <w:r w:rsidRPr="00B7760C">
              <w:rPr>
                <w:b/>
                <w:i/>
                <w:sz w:val="20"/>
              </w:rPr>
              <w:t>129 052 673</w:t>
            </w:r>
          </w:p>
        </w:tc>
        <w:tc>
          <w:tcPr>
            <w:tcW w:w="880" w:type="dxa"/>
            <w:tcBorders>
              <w:top w:val="single" w:sz="4" w:space="0" w:color="auto"/>
              <w:left w:val="single" w:sz="4" w:space="0" w:color="auto"/>
              <w:bottom w:val="single" w:sz="4" w:space="0" w:color="auto"/>
              <w:right w:val="single" w:sz="4" w:space="0" w:color="auto"/>
            </w:tcBorders>
            <w:vAlign w:val="center"/>
            <w:hideMark/>
          </w:tcPr>
          <w:p w14:paraId="647D1754" w14:textId="77777777" w:rsidR="003663AF" w:rsidRPr="00B7760C" w:rsidRDefault="003663AF" w:rsidP="00E804B7">
            <w:pPr>
              <w:pStyle w:val="Normal6"/>
              <w:jc w:val="right"/>
              <w:rPr>
                <w:b/>
                <w:i/>
                <w:sz w:val="20"/>
              </w:rPr>
            </w:pPr>
            <w:r w:rsidRPr="00B7760C">
              <w:rPr>
                <w:b/>
                <w:i/>
                <w:sz w:val="20"/>
              </w:rPr>
              <w:t>129 052 673</w:t>
            </w:r>
          </w:p>
        </w:tc>
        <w:tc>
          <w:tcPr>
            <w:tcW w:w="1141" w:type="dxa"/>
            <w:tcBorders>
              <w:top w:val="single" w:sz="4" w:space="0" w:color="auto"/>
              <w:left w:val="single" w:sz="4" w:space="0" w:color="auto"/>
              <w:bottom w:val="single" w:sz="4" w:space="0" w:color="auto"/>
              <w:right w:val="single" w:sz="4" w:space="0" w:color="auto"/>
            </w:tcBorders>
            <w:vAlign w:val="center"/>
            <w:hideMark/>
          </w:tcPr>
          <w:p w14:paraId="2DF4D89E" w14:textId="77777777" w:rsidR="003663AF" w:rsidRPr="00B7760C" w:rsidRDefault="003663AF" w:rsidP="00E804B7">
            <w:pPr>
              <w:pStyle w:val="Normal6"/>
              <w:jc w:val="right"/>
              <w:rPr>
                <w:b/>
                <w:i/>
                <w:sz w:val="20"/>
              </w:rPr>
            </w:pPr>
            <w:r w:rsidRPr="00B7760C">
              <w:rPr>
                <w:b/>
                <w:i/>
                <w:sz w:val="20"/>
              </w:rPr>
              <w:t>129 052 673</w:t>
            </w:r>
          </w:p>
        </w:tc>
      </w:tr>
      <w:tr w:rsidR="003663AF" w:rsidRPr="00B7760C" w14:paraId="789A9E52"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63BE9CF8" w14:textId="77777777" w:rsidR="003663AF" w:rsidRPr="00B7760C" w:rsidRDefault="003663AF" w:rsidP="00E804B7">
            <w:pPr>
              <w:pStyle w:val="Normal6"/>
              <w:rPr>
                <w:sz w:val="20"/>
              </w:rPr>
            </w:pPr>
            <w:r w:rsidRPr="00B7760C">
              <w:rPr>
                <w:sz w:val="20"/>
              </w:rPr>
              <w:t>Slovaška</w:t>
            </w:r>
          </w:p>
        </w:tc>
        <w:tc>
          <w:tcPr>
            <w:tcW w:w="999" w:type="dxa"/>
            <w:tcBorders>
              <w:top w:val="single" w:sz="4" w:space="0" w:color="auto"/>
              <w:left w:val="single" w:sz="4" w:space="0" w:color="auto"/>
              <w:bottom w:val="single" w:sz="4" w:space="0" w:color="auto"/>
              <w:right w:val="single" w:sz="4" w:space="0" w:color="auto"/>
            </w:tcBorders>
            <w:vAlign w:val="center"/>
            <w:hideMark/>
          </w:tcPr>
          <w:p w14:paraId="2298C045" w14:textId="77777777" w:rsidR="003663AF" w:rsidRPr="00B7760C" w:rsidRDefault="003663AF" w:rsidP="00E804B7">
            <w:pPr>
              <w:pStyle w:val="Normal6"/>
              <w:jc w:val="right"/>
              <w:rPr>
                <w:b/>
                <w:i/>
                <w:sz w:val="20"/>
              </w:rPr>
            </w:pPr>
            <w:r w:rsidRPr="00B7760C">
              <w:rPr>
                <w:b/>
                <w:i/>
                <w:sz w:val="20"/>
              </w:rPr>
              <w:t>383 806 378</w:t>
            </w:r>
          </w:p>
        </w:tc>
        <w:tc>
          <w:tcPr>
            <w:tcW w:w="900" w:type="dxa"/>
            <w:tcBorders>
              <w:top w:val="single" w:sz="4" w:space="0" w:color="auto"/>
              <w:left w:val="single" w:sz="4" w:space="0" w:color="auto"/>
              <w:bottom w:val="single" w:sz="4" w:space="0" w:color="auto"/>
              <w:right w:val="single" w:sz="4" w:space="0" w:color="auto"/>
            </w:tcBorders>
            <w:vAlign w:val="center"/>
            <w:hideMark/>
          </w:tcPr>
          <w:p w14:paraId="5914D94D" w14:textId="77777777" w:rsidR="003663AF" w:rsidRPr="00B7760C" w:rsidRDefault="003663AF" w:rsidP="00E804B7">
            <w:pPr>
              <w:pStyle w:val="Normal6"/>
              <w:jc w:val="right"/>
              <w:rPr>
                <w:b/>
                <w:i/>
                <w:sz w:val="20"/>
              </w:rPr>
            </w:pPr>
            <w:r w:rsidRPr="00B7760C">
              <w:rPr>
                <w:b/>
                <w:i/>
                <w:sz w:val="20"/>
              </w:rPr>
              <w:t>388 574 951</w:t>
            </w:r>
          </w:p>
        </w:tc>
        <w:tc>
          <w:tcPr>
            <w:tcW w:w="1019" w:type="dxa"/>
            <w:tcBorders>
              <w:top w:val="single" w:sz="4" w:space="0" w:color="auto"/>
              <w:left w:val="single" w:sz="4" w:space="0" w:color="auto"/>
              <w:bottom w:val="single" w:sz="4" w:space="0" w:color="auto"/>
              <w:right w:val="single" w:sz="4" w:space="0" w:color="auto"/>
            </w:tcBorders>
            <w:vAlign w:val="center"/>
            <w:hideMark/>
          </w:tcPr>
          <w:p w14:paraId="0FE14EB2" w14:textId="77777777" w:rsidR="003663AF" w:rsidRPr="00B7760C" w:rsidRDefault="003663AF" w:rsidP="00E804B7">
            <w:pPr>
              <w:pStyle w:val="Normal6"/>
              <w:jc w:val="right"/>
              <w:rPr>
                <w:b/>
                <w:i/>
                <w:sz w:val="20"/>
              </w:rPr>
            </w:pPr>
            <w:r w:rsidRPr="00B7760C">
              <w:rPr>
                <w:b/>
                <w:i/>
                <w:sz w:val="20"/>
              </w:rPr>
              <w:t>393 343 524</w:t>
            </w:r>
          </w:p>
        </w:tc>
        <w:tc>
          <w:tcPr>
            <w:tcW w:w="1019" w:type="dxa"/>
            <w:tcBorders>
              <w:top w:val="single" w:sz="4" w:space="0" w:color="auto"/>
              <w:left w:val="single" w:sz="4" w:space="0" w:color="auto"/>
              <w:bottom w:val="single" w:sz="4" w:space="0" w:color="auto"/>
              <w:right w:val="single" w:sz="4" w:space="0" w:color="auto"/>
            </w:tcBorders>
            <w:vAlign w:val="center"/>
            <w:hideMark/>
          </w:tcPr>
          <w:p w14:paraId="5194AF78" w14:textId="77777777" w:rsidR="003663AF" w:rsidRPr="00B7760C" w:rsidRDefault="003663AF" w:rsidP="00E804B7">
            <w:pPr>
              <w:pStyle w:val="Normal6"/>
              <w:jc w:val="right"/>
              <w:rPr>
                <w:b/>
                <w:i/>
                <w:sz w:val="20"/>
              </w:rPr>
            </w:pPr>
            <w:r w:rsidRPr="00B7760C">
              <w:rPr>
                <w:b/>
                <w:i/>
                <w:sz w:val="20"/>
              </w:rPr>
              <w:t>398 112 097</w:t>
            </w:r>
          </w:p>
        </w:tc>
        <w:tc>
          <w:tcPr>
            <w:tcW w:w="1019" w:type="dxa"/>
            <w:tcBorders>
              <w:top w:val="single" w:sz="4" w:space="0" w:color="auto"/>
              <w:left w:val="single" w:sz="4" w:space="0" w:color="auto"/>
              <w:bottom w:val="single" w:sz="4" w:space="0" w:color="auto"/>
              <w:right w:val="single" w:sz="4" w:space="0" w:color="auto"/>
            </w:tcBorders>
            <w:vAlign w:val="center"/>
            <w:hideMark/>
          </w:tcPr>
          <w:p w14:paraId="501C8042" w14:textId="77777777" w:rsidR="003663AF" w:rsidRPr="00B7760C" w:rsidRDefault="003663AF" w:rsidP="00E804B7">
            <w:pPr>
              <w:pStyle w:val="Normal6"/>
              <w:jc w:val="right"/>
              <w:rPr>
                <w:b/>
                <w:i/>
                <w:sz w:val="20"/>
              </w:rPr>
            </w:pPr>
            <w:r w:rsidRPr="00B7760C">
              <w:rPr>
                <w:b/>
                <w:i/>
                <w:sz w:val="20"/>
              </w:rPr>
              <w:t>402 880 670</w:t>
            </w:r>
          </w:p>
        </w:tc>
        <w:tc>
          <w:tcPr>
            <w:tcW w:w="880" w:type="dxa"/>
            <w:tcBorders>
              <w:top w:val="single" w:sz="4" w:space="0" w:color="auto"/>
              <w:left w:val="single" w:sz="4" w:space="0" w:color="auto"/>
              <w:bottom w:val="single" w:sz="4" w:space="0" w:color="auto"/>
              <w:right w:val="single" w:sz="4" w:space="0" w:color="auto"/>
            </w:tcBorders>
            <w:vAlign w:val="center"/>
            <w:hideMark/>
          </w:tcPr>
          <w:p w14:paraId="707152DE" w14:textId="77777777" w:rsidR="003663AF" w:rsidRPr="00B7760C" w:rsidRDefault="003663AF" w:rsidP="00E804B7">
            <w:pPr>
              <w:pStyle w:val="Normal6"/>
              <w:jc w:val="right"/>
              <w:rPr>
                <w:b/>
                <w:i/>
                <w:sz w:val="20"/>
              </w:rPr>
            </w:pPr>
            <w:r w:rsidRPr="00B7760C">
              <w:rPr>
                <w:b/>
                <w:i/>
                <w:sz w:val="20"/>
              </w:rPr>
              <w:t>407 649 243</w:t>
            </w:r>
          </w:p>
        </w:tc>
        <w:tc>
          <w:tcPr>
            <w:tcW w:w="1141" w:type="dxa"/>
            <w:tcBorders>
              <w:top w:val="single" w:sz="4" w:space="0" w:color="auto"/>
              <w:left w:val="single" w:sz="4" w:space="0" w:color="auto"/>
              <w:bottom w:val="single" w:sz="4" w:space="0" w:color="auto"/>
              <w:right w:val="single" w:sz="4" w:space="0" w:color="auto"/>
            </w:tcBorders>
            <w:vAlign w:val="center"/>
            <w:hideMark/>
          </w:tcPr>
          <w:p w14:paraId="46850842" w14:textId="77777777" w:rsidR="003663AF" w:rsidRPr="00B7760C" w:rsidRDefault="003663AF" w:rsidP="00E804B7">
            <w:pPr>
              <w:pStyle w:val="Normal6"/>
              <w:jc w:val="right"/>
              <w:rPr>
                <w:b/>
                <w:i/>
                <w:sz w:val="20"/>
              </w:rPr>
            </w:pPr>
            <w:r w:rsidRPr="00B7760C">
              <w:rPr>
                <w:b/>
                <w:i/>
                <w:sz w:val="20"/>
              </w:rPr>
              <w:t>407 649 243</w:t>
            </w:r>
          </w:p>
        </w:tc>
      </w:tr>
      <w:tr w:rsidR="003663AF" w:rsidRPr="00B7760C" w14:paraId="0EE063D9"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5EB8A187" w14:textId="77777777" w:rsidR="003663AF" w:rsidRPr="00B7760C" w:rsidRDefault="003663AF" w:rsidP="00E804B7">
            <w:pPr>
              <w:pStyle w:val="Normal6"/>
              <w:rPr>
                <w:sz w:val="20"/>
              </w:rPr>
            </w:pPr>
            <w:r w:rsidRPr="00B7760C">
              <w:rPr>
                <w:sz w:val="20"/>
              </w:rPr>
              <w:t>Finska</w:t>
            </w:r>
          </w:p>
        </w:tc>
        <w:tc>
          <w:tcPr>
            <w:tcW w:w="999" w:type="dxa"/>
            <w:tcBorders>
              <w:top w:val="single" w:sz="4" w:space="0" w:color="auto"/>
              <w:left w:val="single" w:sz="4" w:space="0" w:color="auto"/>
              <w:bottom w:val="single" w:sz="4" w:space="0" w:color="auto"/>
              <w:right w:val="single" w:sz="4" w:space="0" w:color="auto"/>
            </w:tcBorders>
            <w:vAlign w:val="center"/>
            <w:hideMark/>
          </w:tcPr>
          <w:p w14:paraId="6C19AE0D" w14:textId="77777777" w:rsidR="003663AF" w:rsidRPr="00B7760C" w:rsidRDefault="003663AF" w:rsidP="00E804B7">
            <w:pPr>
              <w:pStyle w:val="Normal6"/>
              <w:jc w:val="right"/>
              <w:rPr>
                <w:b/>
                <w:i/>
                <w:sz w:val="20"/>
              </w:rPr>
            </w:pPr>
            <w:r w:rsidRPr="00B7760C">
              <w:rPr>
                <w:b/>
                <w:i/>
                <w:sz w:val="20"/>
              </w:rPr>
              <w:t>505 999 667</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372C26" w14:textId="77777777" w:rsidR="003663AF" w:rsidRPr="00B7760C" w:rsidRDefault="003663AF" w:rsidP="00E804B7">
            <w:pPr>
              <w:pStyle w:val="Normal6"/>
              <w:jc w:val="right"/>
              <w:rPr>
                <w:b/>
                <w:i/>
                <w:sz w:val="20"/>
              </w:rPr>
            </w:pPr>
            <w:r w:rsidRPr="00B7760C">
              <w:rPr>
                <w:b/>
                <w:i/>
                <w:sz w:val="20"/>
              </w:rPr>
              <w:t>507 783 955</w:t>
            </w:r>
          </w:p>
        </w:tc>
        <w:tc>
          <w:tcPr>
            <w:tcW w:w="1019" w:type="dxa"/>
            <w:tcBorders>
              <w:top w:val="single" w:sz="4" w:space="0" w:color="auto"/>
              <w:left w:val="single" w:sz="4" w:space="0" w:color="auto"/>
              <w:bottom w:val="single" w:sz="4" w:space="0" w:color="auto"/>
              <w:right w:val="single" w:sz="4" w:space="0" w:color="auto"/>
            </w:tcBorders>
            <w:vAlign w:val="center"/>
            <w:hideMark/>
          </w:tcPr>
          <w:p w14:paraId="4FA5785C" w14:textId="77777777" w:rsidR="003663AF" w:rsidRPr="00B7760C" w:rsidRDefault="003663AF" w:rsidP="00E804B7">
            <w:pPr>
              <w:pStyle w:val="Normal6"/>
              <w:jc w:val="right"/>
              <w:rPr>
                <w:b/>
                <w:i/>
                <w:sz w:val="20"/>
              </w:rPr>
            </w:pPr>
            <w:r w:rsidRPr="00B7760C">
              <w:rPr>
                <w:b/>
                <w:i/>
                <w:sz w:val="20"/>
              </w:rPr>
              <w:t>509 568 242</w:t>
            </w:r>
          </w:p>
        </w:tc>
        <w:tc>
          <w:tcPr>
            <w:tcW w:w="1019" w:type="dxa"/>
            <w:tcBorders>
              <w:top w:val="single" w:sz="4" w:space="0" w:color="auto"/>
              <w:left w:val="single" w:sz="4" w:space="0" w:color="auto"/>
              <w:bottom w:val="single" w:sz="4" w:space="0" w:color="auto"/>
              <w:right w:val="single" w:sz="4" w:space="0" w:color="auto"/>
            </w:tcBorders>
            <w:vAlign w:val="center"/>
            <w:hideMark/>
          </w:tcPr>
          <w:p w14:paraId="1A073100" w14:textId="77777777" w:rsidR="003663AF" w:rsidRPr="00B7760C" w:rsidRDefault="003663AF" w:rsidP="00E804B7">
            <w:pPr>
              <w:pStyle w:val="Normal6"/>
              <w:jc w:val="right"/>
              <w:rPr>
                <w:b/>
                <w:i/>
                <w:sz w:val="20"/>
              </w:rPr>
            </w:pPr>
            <w:r w:rsidRPr="00B7760C">
              <w:rPr>
                <w:b/>
                <w:i/>
                <w:sz w:val="20"/>
              </w:rPr>
              <w:t>511 352 530</w:t>
            </w:r>
          </w:p>
        </w:tc>
        <w:tc>
          <w:tcPr>
            <w:tcW w:w="1019" w:type="dxa"/>
            <w:tcBorders>
              <w:top w:val="single" w:sz="4" w:space="0" w:color="auto"/>
              <w:left w:val="single" w:sz="4" w:space="0" w:color="auto"/>
              <w:bottom w:val="single" w:sz="4" w:space="0" w:color="auto"/>
              <w:right w:val="single" w:sz="4" w:space="0" w:color="auto"/>
            </w:tcBorders>
            <w:vAlign w:val="center"/>
            <w:hideMark/>
          </w:tcPr>
          <w:p w14:paraId="20EF7CBB" w14:textId="77777777" w:rsidR="003663AF" w:rsidRPr="00B7760C" w:rsidRDefault="003663AF" w:rsidP="00E804B7">
            <w:pPr>
              <w:pStyle w:val="Normal6"/>
              <w:jc w:val="right"/>
              <w:rPr>
                <w:b/>
                <w:i/>
                <w:sz w:val="20"/>
              </w:rPr>
            </w:pPr>
            <w:r w:rsidRPr="00B7760C">
              <w:rPr>
                <w:b/>
                <w:i/>
                <w:sz w:val="20"/>
              </w:rPr>
              <w:t>513 136 817</w:t>
            </w:r>
          </w:p>
        </w:tc>
        <w:tc>
          <w:tcPr>
            <w:tcW w:w="880" w:type="dxa"/>
            <w:tcBorders>
              <w:top w:val="single" w:sz="4" w:space="0" w:color="auto"/>
              <w:left w:val="single" w:sz="4" w:space="0" w:color="auto"/>
              <w:bottom w:val="single" w:sz="4" w:space="0" w:color="auto"/>
              <w:right w:val="single" w:sz="4" w:space="0" w:color="auto"/>
            </w:tcBorders>
            <w:vAlign w:val="center"/>
            <w:hideMark/>
          </w:tcPr>
          <w:p w14:paraId="1E90E076" w14:textId="77777777" w:rsidR="003663AF" w:rsidRPr="00B7760C" w:rsidRDefault="003663AF" w:rsidP="00E804B7">
            <w:pPr>
              <w:pStyle w:val="Normal6"/>
              <w:jc w:val="right"/>
              <w:rPr>
                <w:b/>
                <w:i/>
                <w:sz w:val="20"/>
              </w:rPr>
            </w:pPr>
            <w:r w:rsidRPr="00B7760C">
              <w:rPr>
                <w:b/>
                <w:i/>
                <w:sz w:val="20"/>
              </w:rPr>
              <w:t>514 921 104</w:t>
            </w:r>
          </w:p>
        </w:tc>
        <w:tc>
          <w:tcPr>
            <w:tcW w:w="1141" w:type="dxa"/>
            <w:tcBorders>
              <w:top w:val="single" w:sz="4" w:space="0" w:color="auto"/>
              <w:left w:val="single" w:sz="4" w:space="0" w:color="auto"/>
              <w:bottom w:val="single" w:sz="4" w:space="0" w:color="auto"/>
              <w:right w:val="single" w:sz="4" w:space="0" w:color="auto"/>
            </w:tcBorders>
            <w:vAlign w:val="center"/>
            <w:hideMark/>
          </w:tcPr>
          <w:p w14:paraId="36FFD021" w14:textId="77777777" w:rsidR="003663AF" w:rsidRPr="00B7760C" w:rsidRDefault="003663AF" w:rsidP="00E804B7">
            <w:pPr>
              <w:pStyle w:val="Normal6"/>
              <w:jc w:val="right"/>
              <w:rPr>
                <w:b/>
                <w:i/>
                <w:sz w:val="20"/>
              </w:rPr>
            </w:pPr>
            <w:r w:rsidRPr="00B7760C">
              <w:rPr>
                <w:b/>
                <w:i/>
                <w:sz w:val="20"/>
              </w:rPr>
              <w:t>514 921 104</w:t>
            </w:r>
          </w:p>
        </w:tc>
      </w:tr>
      <w:tr w:rsidR="003663AF" w:rsidRPr="00B7760C" w14:paraId="2A2B8D90"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516337D9" w14:textId="77777777" w:rsidR="003663AF" w:rsidRPr="00B7760C" w:rsidRDefault="003663AF" w:rsidP="00E804B7">
            <w:pPr>
              <w:pStyle w:val="Normal6"/>
              <w:rPr>
                <w:sz w:val="20"/>
              </w:rPr>
            </w:pPr>
            <w:r w:rsidRPr="00B7760C">
              <w:rPr>
                <w:sz w:val="20"/>
              </w:rPr>
              <w:t>Švedska</w:t>
            </w:r>
          </w:p>
        </w:tc>
        <w:tc>
          <w:tcPr>
            <w:tcW w:w="999" w:type="dxa"/>
            <w:tcBorders>
              <w:top w:val="single" w:sz="4" w:space="0" w:color="auto"/>
              <w:left w:val="single" w:sz="4" w:space="0" w:color="auto"/>
              <w:bottom w:val="single" w:sz="4" w:space="0" w:color="auto"/>
              <w:right w:val="single" w:sz="4" w:space="0" w:color="auto"/>
            </w:tcBorders>
            <w:vAlign w:val="center"/>
            <w:hideMark/>
          </w:tcPr>
          <w:p w14:paraId="66626CA0" w14:textId="77777777" w:rsidR="003663AF" w:rsidRPr="00B7760C" w:rsidRDefault="003663AF" w:rsidP="00E804B7">
            <w:pPr>
              <w:pStyle w:val="Normal6"/>
              <w:jc w:val="right"/>
              <w:rPr>
                <w:b/>
                <w:i/>
                <w:sz w:val="20"/>
              </w:rPr>
            </w:pPr>
            <w:r w:rsidRPr="00B7760C">
              <w:rPr>
                <w:b/>
                <w:i/>
                <w:sz w:val="20"/>
              </w:rPr>
              <w:t>672 760 909</w:t>
            </w:r>
          </w:p>
        </w:tc>
        <w:tc>
          <w:tcPr>
            <w:tcW w:w="900" w:type="dxa"/>
            <w:tcBorders>
              <w:top w:val="single" w:sz="4" w:space="0" w:color="auto"/>
              <w:left w:val="single" w:sz="4" w:space="0" w:color="auto"/>
              <w:bottom w:val="single" w:sz="4" w:space="0" w:color="auto"/>
              <w:right w:val="single" w:sz="4" w:space="0" w:color="auto"/>
            </w:tcBorders>
            <w:vAlign w:val="center"/>
            <w:hideMark/>
          </w:tcPr>
          <w:p w14:paraId="68EE2C6F" w14:textId="77777777" w:rsidR="003663AF" w:rsidRPr="00B7760C" w:rsidRDefault="003663AF" w:rsidP="00E804B7">
            <w:pPr>
              <w:pStyle w:val="Normal6"/>
              <w:jc w:val="right"/>
              <w:rPr>
                <w:b/>
                <w:i/>
                <w:sz w:val="20"/>
              </w:rPr>
            </w:pPr>
            <w:r w:rsidRPr="00B7760C">
              <w:rPr>
                <w:b/>
                <w:i/>
                <w:sz w:val="20"/>
              </w:rPr>
              <w:t>672 984 762</w:t>
            </w:r>
          </w:p>
        </w:tc>
        <w:tc>
          <w:tcPr>
            <w:tcW w:w="1019" w:type="dxa"/>
            <w:tcBorders>
              <w:top w:val="single" w:sz="4" w:space="0" w:color="auto"/>
              <w:left w:val="single" w:sz="4" w:space="0" w:color="auto"/>
              <w:bottom w:val="single" w:sz="4" w:space="0" w:color="auto"/>
              <w:right w:val="single" w:sz="4" w:space="0" w:color="auto"/>
            </w:tcBorders>
            <w:vAlign w:val="center"/>
            <w:hideMark/>
          </w:tcPr>
          <w:p w14:paraId="142B9743" w14:textId="77777777" w:rsidR="003663AF" w:rsidRPr="00B7760C" w:rsidRDefault="003663AF" w:rsidP="00E804B7">
            <w:pPr>
              <w:pStyle w:val="Normal6"/>
              <w:jc w:val="right"/>
              <w:rPr>
                <w:b/>
                <w:i/>
                <w:sz w:val="20"/>
              </w:rPr>
            </w:pPr>
            <w:r w:rsidRPr="00B7760C">
              <w:rPr>
                <w:b/>
                <w:i/>
                <w:sz w:val="20"/>
              </w:rPr>
              <w:t>673 208 615</w:t>
            </w:r>
          </w:p>
        </w:tc>
        <w:tc>
          <w:tcPr>
            <w:tcW w:w="1019" w:type="dxa"/>
            <w:tcBorders>
              <w:top w:val="single" w:sz="4" w:space="0" w:color="auto"/>
              <w:left w:val="single" w:sz="4" w:space="0" w:color="auto"/>
              <w:bottom w:val="single" w:sz="4" w:space="0" w:color="auto"/>
              <w:right w:val="single" w:sz="4" w:space="0" w:color="auto"/>
            </w:tcBorders>
            <w:vAlign w:val="center"/>
            <w:hideMark/>
          </w:tcPr>
          <w:p w14:paraId="67569F42" w14:textId="77777777" w:rsidR="003663AF" w:rsidRPr="00B7760C" w:rsidRDefault="003663AF" w:rsidP="00E804B7">
            <w:pPr>
              <w:pStyle w:val="Normal6"/>
              <w:jc w:val="right"/>
              <w:rPr>
                <w:b/>
                <w:i/>
                <w:sz w:val="20"/>
              </w:rPr>
            </w:pPr>
            <w:r w:rsidRPr="00B7760C">
              <w:rPr>
                <w:b/>
                <w:i/>
                <w:sz w:val="20"/>
              </w:rPr>
              <w:t>673 432 468</w:t>
            </w:r>
          </w:p>
        </w:tc>
        <w:tc>
          <w:tcPr>
            <w:tcW w:w="1019" w:type="dxa"/>
            <w:tcBorders>
              <w:top w:val="single" w:sz="4" w:space="0" w:color="auto"/>
              <w:left w:val="single" w:sz="4" w:space="0" w:color="auto"/>
              <w:bottom w:val="single" w:sz="4" w:space="0" w:color="auto"/>
              <w:right w:val="single" w:sz="4" w:space="0" w:color="auto"/>
            </w:tcBorders>
            <w:vAlign w:val="center"/>
            <w:hideMark/>
          </w:tcPr>
          <w:p w14:paraId="0128907B" w14:textId="77777777" w:rsidR="003663AF" w:rsidRPr="00B7760C" w:rsidRDefault="003663AF" w:rsidP="00E804B7">
            <w:pPr>
              <w:pStyle w:val="Normal6"/>
              <w:jc w:val="right"/>
              <w:rPr>
                <w:b/>
                <w:i/>
                <w:sz w:val="20"/>
              </w:rPr>
            </w:pPr>
            <w:r w:rsidRPr="00B7760C">
              <w:rPr>
                <w:b/>
                <w:i/>
                <w:sz w:val="20"/>
              </w:rPr>
              <w:t>673 656 321</w:t>
            </w:r>
          </w:p>
        </w:tc>
        <w:tc>
          <w:tcPr>
            <w:tcW w:w="880" w:type="dxa"/>
            <w:tcBorders>
              <w:top w:val="single" w:sz="4" w:space="0" w:color="auto"/>
              <w:left w:val="single" w:sz="4" w:space="0" w:color="auto"/>
              <w:bottom w:val="single" w:sz="4" w:space="0" w:color="auto"/>
              <w:right w:val="single" w:sz="4" w:space="0" w:color="auto"/>
            </w:tcBorders>
            <w:vAlign w:val="center"/>
            <w:hideMark/>
          </w:tcPr>
          <w:p w14:paraId="0C3B6892" w14:textId="77777777" w:rsidR="003663AF" w:rsidRPr="00B7760C" w:rsidRDefault="003663AF" w:rsidP="00E804B7">
            <w:pPr>
              <w:pStyle w:val="Normal6"/>
              <w:jc w:val="right"/>
              <w:rPr>
                <w:b/>
                <w:i/>
                <w:sz w:val="20"/>
              </w:rPr>
            </w:pPr>
            <w:r w:rsidRPr="00B7760C">
              <w:rPr>
                <w:b/>
                <w:i/>
                <w:sz w:val="20"/>
              </w:rPr>
              <w:t>673 880 175</w:t>
            </w:r>
          </w:p>
        </w:tc>
        <w:tc>
          <w:tcPr>
            <w:tcW w:w="1141" w:type="dxa"/>
            <w:tcBorders>
              <w:top w:val="single" w:sz="4" w:space="0" w:color="auto"/>
              <w:left w:val="single" w:sz="4" w:space="0" w:color="auto"/>
              <w:bottom w:val="single" w:sz="4" w:space="0" w:color="auto"/>
              <w:right w:val="single" w:sz="4" w:space="0" w:color="auto"/>
            </w:tcBorders>
            <w:vAlign w:val="center"/>
            <w:hideMark/>
          </w:tcPr>
          <w:p w14:paraId="5E27711F" w14:textId="77777777" w:rsidR="003663AF" w:rsidRPr="00B7760C" w:rsidRDefault="003663AF" w:rsidP="00E804B7">
            <w:pPr>
              <w:pStyle w:val="Normal6"/>
              <w:jc w:val="right"/>
              <w:rPr>
                <w:b/>
                <w:i/>
                <w:sz w:val="20"/>
              </w:rPr>
            </w:pPr>
            <w:r w:rsidRPr="00B7760C">
              <w:rPr>
                <w:b/>
                <w:i/>
                <w:sz w:val="20"/>
              </w:rPr>
              <w:t>673 880 175</w:t>
            </w:r>
          </w:p>
        </w:tc>
      </w:tr>
      <w:tr w:rsidR="003663AF" w:rsidRPr="00B7760C" w14:paraId="175C9903" w14:textId="77777777" w:rsidTr="00E804B7">
        <w:trPr>
          <w:cantSplit/>
          <w:trHeight w:val="255"/>
          <w:jc w:val="center"/>
        </w:trPr>
        <w:tc>
          <w:tcPr>
            <w:tcW w:w="7329" w:type="dxa"/>
            <w:gridSpan w:val="7"/>
            <w:tcBorders>
              <w:top w:val="single" w:sz="4" w:space="0" w:color="auto"/>
              <w:left w:val="nil"/>
              <w:bottom w:val="single" w:sz="4" w:space="0" w:color="auto"/>
              <w:right w:val="nil"/>
            </w:tcBorders>
            <w:vAlign w:val="center"/>
          </w:tcPr>
          <w:p w14:paraId="63E2A0A2" w14:textId="77777777" w:rsidR="003663AF" w:rsidRPr="00B7760C" w:rsidRDefault="003663AF" w:rsidP="00E804B7">
            <w:pPr>
              <w:rPr>
                <w:sz w:val="20"/>
              </w:rPr>
            </w:pPr>
          </w:p>
        </w:tc>
        <w:tc>
          <w:tcPr>
            <w:tcW w:w="1141" w:type="dxa"/>
            <w:tcBorders>
              <w:top w:val="single" w:sz="4" w:space="0" w:color="auto"/>
              <w:left w:val="nil"/>
              <w:bottom w:val="single" w:sz="4" w:space="0" w:color="auto"/>
              <w:right w:val="nil"/>
            </w:tcBorders>
          </w:tcPr>
          <w:p w14:paraId="08394018" w14:textId="77777777" w:rsidR="003663AF" w:rsidRPr="00B7760C" w:rsidRDefault="003663AF" w:rsidP="00E804B7">
            <w:pPr>
              <w:rPr>
                <w:sz w:val="20"/>
              </w:rPr>
            </w:pPr>
          </w:p>
        </w:tc>
      </w:tr>
    </w:tbl>
    <w:p w14:paraId="5666B5B8" w14:textId="77777777" w:rsidR="003663AF" w:rsidRPr="00B7760C" w:rsidRDefault="003663AF" w:rsidP="003663AF"/>
    <w:p w14:paraId="3D56456F" w14:textId="77777777" w:rsidR="003663AF" w:rsidRPr="00B7760C" w:rsidRDefault="003663AF" w:rsidP="003663AF"/>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3663AF" w:rsidRPr="00B7760C" w14:paraId="2BFABD9E" w14:textId="77777777" w:rsidTr="00E804B7">
        <w:trPr>
          <w:trHeight w:val="435"/>
        </w:trPr>
        <w:tc>
          <w:tcPr>
            <w:tcW w:w="14502" w:type="dxa"/>
            <w:hideMark/>
          </w:tcPr>
          <w:p w14:paraId="31B29B40" w14:textId="69F4E9F5" w:rsidR="003663AF" w:rsidRPr="00B7760C" w:rsidRDefault="00877691" w:rsidP="00E804B7">
            <w:pPr>
              <w:jc w:val="center"/>
              <w:rPr>
                <w:i/>
              </w:rPr>
            </w:pPr>
            <w:r w:rsidRPr="00B7760C">
              <w:rPr>
                <w:i/>
              </w:rPr>
              <w:t>Sprememba</w:t>
            </w:r>
          </w:p>
        </w:tc>
      </w:tr>
      <w:tr w:rsidR="003663AF" w:rsidRPr="00B7760C" w14:paraId="0A9BB38B" w14:textId="77777777" w:rsidTr="00E804B7">
        <w:trPr>
          <w:trHeight w:val="491"/>
        </w:trPr>
        <w:tc>
          <w:tcPr>
            <w:tcW w:w="14502" w:type="dxa"/>
            <w:vAlign w:val="center"/>
            <w:hideMark/>
          </w:tcPr>
          <w:p w14:paraId="4D49284B" w14:textId="77777777" w:rsidR="003663AF" w:rsidRPr="00B7760C" w:rsidRDefault="003663AF" w:rsidP="00E804B7">
            <w:pPr>
              <w:rPr>
                <w:sz w:val="20"/>
              </w:rPr>
            </w:pPr>
            <w:r w:rsidRPr="00B7760C">
              <w:rPr>
                <w:sz w:val="20"/>
              </w:rPr>
              <w:t>DODELITVE DRŽAV ČLANIC ZA NEPOSREDNA PLAČILA IZ PRVEGA PODODSTAVKA ČLENA 81(1)</w:t>
            </w:r>
          </w:p>
        </w:tc>
      </w:tr>
    </w:tbl>
    <w:p w14:paraId="12439D5C" w14:textId="77777777" w:rsidR="003663AF" w:rsidRPr="00B7760C" w:rsidRDefault="003663AF" w:rsidP="003663AF">
      <w:pPr>
        <w:pStyle w:val="Normal6"/>
        <w:rPr>
          <w:lang w:eastAsia="fr-BE"/>
        </w:rPr>
      </w:pPr>
    </w:p>
    <w:p w14:paraId="46F89F4C" w14:textId="77777777" w:rsidR="003663AF" w:rsidRPr="00B7760C" w:rsidRDefault="003663AF" w:rsidP="003663AF">
      <w:pPr>
        <w:pStyle w:val="Normal6"/>
        <w:jc w:val="right"/>
        <w:rPr>
          <w:sz w:val="20"/>
        </w:rPr>
      </w:pPr>
      <w:r w:rsidRPr="00B7760C">
        <w:rPr>
          <w:sz w:val="20"/>
        </w:rPr>
        <w:t xml:space="preserve"> (tekoče cene v EUR)</w:t>
      </w:r>
    </w:p>
    <w:tbl>
      <w:tblPr>
        <w:tblW w:w="45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921"/>
        <w:gridCol w:w="871"/>
        <w:gridCol w:w="931"/>
        <w:gridCol w:w="931"/>
        <w:gridCol w:w="931"/>
        <w:gridCol w:w="861"/>
        <w:gridCol w:w="1233"/>
      </w:tblGrid>
      <w:tr w:rsidR="003663AF" w:rsidRPr="00B7760C" w14:paraId="0CD04E0E" w14:textId="77777777" w:rsidTr="00E804B7">
        <w:trPr>
          <w:cantSplit/>
          <w:trHeight w:val="255"/>
          <w:tblHeader/>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4B040E62" w14:textId="77777777" w:rsidR="003663AF" w:rsidRPr="00B7760C" w:rsidRDefault="003663AF" w:rsidP="00E804B7">
            <w:pPr>
              <w:pStyle w:val="Normal6"/>
              <w:rPr>
                <w:sz w:val="20"/>
              </w:rPr>
            </w:pPr>
            <w:r w:rsidRPr="00B7760C">
              <w:rPr>
                <w:sz w:val="20"/>
              </w:rPr>
              <w:t>Koledarsko leto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5A8B564" w14:textId="77777777" w:rsidR="003663AF" w:rsidRPr="00B7760C" w:rsidRDefault="003663AF" w:rsidP="00E804B7">
            <w:pPr>
              <w:pStyle w:val="Normal6"/>
              <w:rPr>
                <w:sz w:val="20"/>
              </w:rPr>
            </w:pPr>
            <w:r w:rsidRPr="00B7760C">
              <w:rPr>
                <w:sz w:val="20"/>
              </w:rPr>
              <w:t>2021</w:t>
            </w:r>
          </w:p>
        </w:tc>
        <w:tc>
          <w:tcPr>
            <w:tcW w:w="1405" w:type="dxa"/>
            <w:tcBorders>
              <w:top w:val="single" w:sz="4" w:space="0" w:color="auto"/>
              <w:left w:val="single" w:sz="4" w:space="0" w:color="auto"/>
              <w:bottom w:val="single" w:sz="4" w:space="0" w:color="auto"/>
              <w:right w:val="single" w:sz="4" w:space="0" w:color="auto"/>
            </w:tcBorders>
            <w:vAlign w:val="center"/>
            <w:hideMark/>
          </w:tcPr>
          <w:p w14:paraId="6443BDD4" w14:textId="77777777" w:rsidR="003663AF" w:rsidRPr="00B7760C" w:rsidRDefault="003663AF" w:rsidP="00E804B7">
            <w:pPr>
              <w:pStyle w:val="Normal6"/>
              <w:rPr>
                <w:sz w:val="20"/>
              </w:rPr>
            </w:pPr>
            <w:r w:rsidRPr="00B7760C">
              <w:rPr>
                <w:sz w:val="20"/>
              </w:rPr>
              <w:t>2022</w:t>
            </w:r>
          </w:p>
        </w:tc>
        <w:tc>
          <w:tcPr>
            <w:tcW w:w="1591" w:type="dxa"/>
            <w:tcBorders>
              <w:top w:val="single" w:sz="4" w:space="0" w:color="auto"/>
              <w:left w:val="single" w:sz="4" w:space="0" w:color="auto"/>
              <w:bottom w:val="single" w:sz="4" w:space="0" w:color="auto"/>
              <w:right w:val="single" w:sz="4" w:space="0" w:color="auto"/>
            </w:tcBorders>
            <w:vAlign w:val="center"/>
            <w:hideMark/>
          </w:tcPr>
          <w:p w14:paraId="15D65BA3" w14:textId="77777777" w:rsidR="003663AF" w:rsidRPr="00B7760C" w:rsidRDefault="003663AF" w:rsidP="00E804B7">
            <w:pPr>
              <w:pStyle w:val="Normal6"/>
              <w:rPr>
                <w:sz w:val="20"/>
              </w:rPr>
            </w:pPr>
            <w:r w:rsidRPr="00B7760C">
              <w:rPr>
                <w:sz w:val="20"/>
              </w:rPr>
              <w:t>2023</w:t>
            </w:r>
          </w:p>
        </w:tc>
        <w:tc>
          <w:tcPr>
            <w:tcW w:w="1591" w:type="dxa"/>
            <w:tcBorders>
              <w:top w:val="single" w:sz="4" w:space="0" w:color="auto"/>
              <w:left w:val="single" w:sz="4" w:space="0" w:color="auto"/>
              <w:bottom w:val="single" w:sz="4" w:space="0" w:color="auto"/>
              <w:right w:val="single" w:sz="4" w:space="0" w:color="auto"/>
            </w:tcBorders>
            <w:vAlign w:val="center"/>
            <w:hideMark/>
          </w:tcPr>
          <w:p w14:paraId="5B864C16" w14:textId="77777777" w:rsidR="003663AF" w:rsidRPr="00B7760C" w:rsidRDefault="003663AF" w:rsidP="00E804B7">
            <w:pPr>
              <w:pStyle w:val="Normal6"/>
              <w:rPr>
                <w:sz w:val="20"/>
              </w:rPr>
            </w:pPr>
            <w:r w:rsidRPr="00B7760C">
              <w:rPr>
                <w:sz w:val="20"/>
              </w:rPr>
              <w:t>2024</w:t>
            </w:r>
          </w:p>
        </w:tc>
        <w:tc>
          <w:tcPr>
            <w:tcW w:w="1591" w:type="dxa"/>
            <w:tcBorders>
              <w:top w:val="single" w:sz="4" w:space="0" w:color="auto"/>
              <w:left w:val="single" w:sz="4" w:space="0" w:color="auto"/>
              <w:bottom w:val="single" w:sz="4" w:space="0" w:color="auto"/>
              <w:right w:val="single" w:sz="4" w:space="0" w:color="auto"/>
            </w:tcBorders>
            <w:vAlign w:val="center"/>
            <w:hideMark/>
          </w:tcPr>
          <w:p w14:paraId="4A21D9F5" w14:textId="77777777" w:rsidR="003663AF" w:rsidRPr="00B7760C" w:rsidRDefault="003663AF" w:rsidP="00E804B7">
            <w:pPr>
              <w:pStyle w:val="Normal6"/>
              <w:rPr>
                <w:sz w:val="20"/>
              </w:rPr>
            </w:pPr>
            <w:r w:rsidRPr="00B7760C">
              <w:rPr>
                <w:sz w:val="20"/>
              </w:rPr>
              <w:t>2025</w:t>
            </w:r>
          </w:p>
        </w:tc>
        <w:tc>
          <w:tcPr>
            <w:tcW w:w="1374" w:type="dxa"/>
            <w:tcBorders>
              <w:top w:val="single" w:sz="4" w:space="0" w:color="auto"/>
              <w:left w:val="single" w:sz="4" w:space="0" w:color="auto"/>
              <w:bottom w:val="single" w:sz="4" w:space="0" w:color="auto"/>
              <w:right w:val="single" w:sz="4" w:space="0" w:color="auto"/>
            </w:tcBorders>
            <w:vAlign w:val="center"/>
            <w:hideMark/>
          </w:tcPr>
          <w:p w14:paraId="0FB37069" w14:textId="77777777" w:rsidR="003663AF" w:rsidRPr="00B7760C" w:rsidRDefault="003663AF" w:rsidP="00E804B7">
            <w:pPr>
              <w:pStyle w:val="Normal6"/>
              <w:rPr>
                <w:sz w:val="20"/>
              </w:rPr>
            </w:pPr>
            <w:r w:rsidRPr="00B7760C">
              <w:rPr>
                <w:sz w:val="20"/>
              </w:rPr>
              <w:t>2026</w:t>
            </w:r>
          </w:p>
        </w:tc>
        <w:tc>
          <w:tcPr>
            <w:tcW w:w="1781" w:type="dxa"/>
            <w:tcBorders>
              <w:top w:val="single" w:sz="4" w:space="0" w:color="auto"/>
              <w:left w:val="single" w:sz="4" w:space="0" w:color="auto"/>
              <w:bottom w:val="single" w:sz="4" w:space="0" w:color="auto"/>
              <w:right w:val="single" w:sz="4" w:space="0" w:color="auto"/>
            </w:tcBorders>
            <w:hideMark/>
          </w:tcPr>
          <w:p w14:paraId="71EC2EE7" w14:textId="77777777" w:rsidR="003663AF" w:rsidRPr="00B7760C" w:rsidRDefault="003663AF" w:rsidP="00E804B7">
            <w:pPr>
              <w:pStyle w:val="Normal6"/>
              <w:rPr>
                <w:sz w:val="20"/>
              </w:rPr>
            </w:pPr>
            <w:r w:rsidRPr="00B7760C">
              <w:rPr>
                <w:sz w:val="20"/>
              </w:rPr>
              <w:t>2027 in naslednja leta</w:t>
            </w:r>
          </w:p>
        </w:tc>
      </w:tr>
      <w:tr w:rsidR="003663AF" w:rsidRPr="00B7760C" w14:paraId="158CE8E7"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2E4F258F" w14:textId="77777777" w:rsidR="003663AF" w:rsidRPr="00B7760C" w:rsidRDefault="003663AF" w:rsidP="00E804B7">
            <w:pPr>
              <w:pStyle w:val="Normal6"/>
              <w:rPr>
                <w:sz w:val="20"/>
              </w:rPr>
            </w:pPr>
            <w:r w:rsidRPr="00B7760C">
              <w:rPr>
                <w:sz w:val="20"/>
              </w:rPr>
              <w:t>Belgija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D60BAD0" w14:textId="77777777" w:rsidR="003663AF" w:rsidRPr="00B7760C" w:rsidRDefault="003663AF" w:rsidP="00E804B7">
            <w:pPr>
              <w:pStyle w:val="Normal6"/>
              <w:jc w:val="right"/>
              <w:rPr>
                <w:b/>
                <w:bCs/>
                <w:i/>
                <w:iCs/>
                <w:sz w:val="20"/>
              </w:rPr>
            </w:pPr>
            <w:r w:rsidRPr="00B7760C">
              <w:rPr>
                <w:b/>
                <w:bCs/>
                <w:i/>
                <w:iCs/>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72EB8B8F"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5155F086"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68F91D05"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37DB2893" w14:textId="77777777" w:rsidR="003663AF" w:rsidRPr="00B7760C" w:rsidRDefault="003663AF" w:rsidP="00E804B7">
            <w:pPr>
              <w:pStyle w:val="Normal6"/>
              <w:jc w:val="right"/>
              <w:rPr>
                <w:b/>
                <w:bCs/>
                <w:i/>
                <w:iCs/>
                <w:sz w:val="20"/>
              </w:rPr>
            </w:pPr>
            <w:r w:rsidRPr="00B7760C">
              <w:rPr>
                <w:b/>
                <w:bCs/>
                <w:i/>
                <w:iCs/>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6DB06E7C" w14:textId="77777777" w:rsidR="003663AF" w:rsidRPr="00B7760C" w:rsidRDefault="003663AF" w:rsidP="00E804B7">
            <w:pPr>
              <w:pStyle w:val="Normal6"/>
              <w:jc w:val="right"/>
              <w:rPr>
                <w:b/>
                <w:bCs/>
                <w:i/>
                <w:iCs/>
                <w:sz w:val="20"/>
              </w:rPr>
            </w:pPr>
            <w:r w:rsidRPr="00B7760C">
              <w:rPr>
                <w:b/>
                <w:bCs/>
                <w:i/>
                <w:iCs/>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248B7825"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37801FED"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59CFA801" w14:textId="77777777" w:rsidR="003663AF" w:rsidRPr="00B7760C" w:rsidRDefault="003663AF" w:rsidP="00E804B7">
            <w:pPr>
              <w:pStyle w:val="Normal6"/>
              <w:rPr>
                <w:sz w:val="20"/>
              </w:rPr>
            </w:pPr>
            <w:r w:rsidRPr="00B7760C">
              <w:rPr>
                <w:sz w:val="20"/>
              </w:rPr>
              <w:t>Bolgarija</w:t>
            </w:r>
          </w:p>
        </w:tc>
        <w:tc>
          <w:tcPr>
            <w:tcW w:w="1560" w:type="dxa"/>
            <w:tcBorders>
              <w:top w:val="single" w:sz="4" w:space="0" w:color="auto"/>
              <w:left w:val="single" w:sz="4" w:space="0" w:color="auto"/>
              <w:bottom w:val="single" w:sz="4" w:space="0" w:color="auto"/>
              <w:right w:val="single" w:sz="4" w:space="0" w:color="auto"/>
            </w:tcBorders>
            <w:hideMark/>
          </w:tcPr>
          <w:p w14:paraId="0E6D1026" w14:textId="77777777" w:rsidR="003663AF" w:rsidRPr="00B7760C" w:rsidRDefault="003663AF" w:rsidP="00E804B7">
            <w:pPr>
              <w:pStyle w:val="Normal6"/>
              <w:jc w:val="right"/>
              <w:rPr>
                <w:b/>
                <w:bCs/>
                <w:i/>
                <w:iCs/>
                <w:sz w:val="20"/>
              </w:rPr>
            </w:pPr>
            <w:r w:rsidRPr="00B7760C">
              <w:rPr>
                <w:b/>
                <w:bCs/>
                <w:i/>
                <w:iCs/>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091136DC"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74723A1C"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5D2C3A1C"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04BE1A6B" w14:textId="77777777" w:rsidR="003663AF" w:rsidRPr="00B7760C" w:rsidRDefault="003663AF" w:rsidP="00E804B7">
            <w:pPr>
              <w:pStyle w:val="Normal6"/>
              <w:jc w:val="right"/>
              <w:rPr>
                <w:b/>
                <w:bCs/>
                <w:i/>
                <w:iCs/>
                <w:sz w:val="20"/>
              </w:rPr>
            </w:pPr>
            <w:r w:rsidRPr="00B7760C">
              <w:rPr>
                <w:b/>
                <w:bCs/>
                <w:i/>
                <w:iCs/>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0C0830F9" w14:textId="77777777" w:rsidR="003663AF" w:rsidRPr="00B7760C" w:rsidRDefault="003663AF" w:rsidP="00E804B7">
            <w:pPr>
              <w:pStyle w:val="Normal6"/>
              <w:jc w:val="right"/>
              <w:rPr>
                <w:b/>
                <w:bCs/>
                <w:i/>
                <w:iCs/>
                <w:sz w:val="20"/>
              </w:rPr>
            </w:pPr>
            <w:r w:rsidRPr="00B7760C">
              <w:rPr>
                <w:b/>
                <w:bCs/>
                <w:i/>
                <w:iCs/>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314B797B"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744BE079" w14:textId="77777777" w:rsidTr="00E804B7">
        <w:trPr>
          <w:cantSplit/>
          <w:trHeight w:val="497"/>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4955A26F" w14:textId="77777777" w:rsidR="003663AF" w:rsidRPr="00B7760C" w:rsidRDefault="003663AF" w:rsidP="00E804B7">
            <w:pPr>
              <w:pStyle w:val="Normal6"/>
              <w:rPr>
                <w:sz w:val="20"/>
              </w:rPr>
            </w:pPr>
            <w:r w:rsidRPr="00B7760C">
              <w:rPr>
                <w:sz w:val="20"/>
              </w:rPr>
              <w:t>Češka</w:t>
            </w:r>
          </w:p>
        </w:tc>
        <w:tc>
          <w:tcPr>
            <w:tcW w:w="1560" w:type="dxa"/>
            <w:tcBorders>
              <w:top w:val="single" w:sz="4" w:space="0" w:color="auto"/>
              <w:left w:val="single" w:sz="4" w:space="0" w:color="auto"/>
              <w:bottom w:val="single" w:sz="4" w:space="0" w:color="auto"/>
              <w:right w:val="single" w:sz="4" w:space="0" w:color="auto"/>
            </w:tcBorders>
            <w:hideMark/>
          </w:tcPr>
          <w:p w14:paraId="75456645" w14:textId="77777777" w:rsidR="003663AF" w:rsidRPr="00B7760C" w:rsidRDefault="003663AF" w:rsidP="00E804B7">
            <w:pPr>
              <w:pStyle w:val="Normal6"/>
              <w:jc w:val="right"/>
              <w:rPr>
                <w:b/>
                <w:bCs/>
                <w:i/>
                <w:iCs/>
                <w:sz w:val="20"/>
              </w:rPr>
            </w:pPr>
            <w:r w:rsidRPr="00B7760C">
              <w:rPr>
                <w:b/>
                <w:bCs/>
                <w:i/>
                <w:iCs/>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02715F21"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525B246B"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0D90F5E4"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0D35EE38" w14:textId="77777777" w:rsidR="003663AF" w:rsidRPr="00B7760C" w:rsidRDefault="003663AF" w:rsidP="00E804B7">
            <w:pPr>
              <w:pStyle w:val="Normal6"/>
              <w:jc w:val="right"/>
              <w:rPr>
                <w:b/>
                <w:bCs/>
                <w:i/>
                <w:iCs/>
                <w:sz w:val="20"/>
              </w:rPr>
            </w:pPr>
            <w:r w:rsidRPr="00B7760C">
              <w:rPr>
                <w:b/>
                <w:bCs/>
                <w:i/>
                <w:iCs/>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69008B45" w14:textId="77777777" w:rsidR="003663AF" w:rsidRPr="00B7760C" w:rsidRDefault="003663AF" w:rsidP="00E804B7">
            <w:pPr>
              <w:pStyle w:val="Normal6"/>
              <w:jc w:val="right"/>
              <w:rPr>
                <w:b/>
                <w:bCs/>
                <w:i/>
                <w:iCs/>
                <w:sz w:val="20"/>
              </w:rPr>
            </w:pPr>
            <w:r w:rsidRPr="00B7760C">
              <w:rPr>
                <w:b/>
                <w:bCs/>
                <w:i/>
                <w:iCs/>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54EBC75B"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36F49581"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1DEF69CF" w14:textId="77777777" w:rsidR="003663AF" w:rsidRPr="00B7760C" w:rsidRDefault="003663AF" w:rsidP="00E804B7">
            <w:pPr>
              <w:pStyle w:val="Normal6"/>
              <w:rPr>
                <w:sz w:val="20"/>
              </w:rPr>
            </w:pPr>
            <w:r w:rsidRPr="00B7760C">
              <w:rPr>
                <w:sz w:val="20"/>
              </w:rPr>
              <w:t>Danska</w:t>
            </w:r>
          </w:p>
        </w:tc>
        <w:tc>
          <w:tcPr>
            <w:tcW w:w="1560" w:type="dxa"/>
            <w:tcBorders>
              <w:top w:val="single" w:sz="4" w:space="0" w:color="auto"/>
              <w:left w:val="single" w:sz="4" w:space="0" w:color="auto"/>
              <w:bottom w:val="single" w:sz="4" w:space="0" w:color="auto"/>
              <w:right w:val="single" w:sz="4" w:space="0" w:color="auto"/>
            </w:tcBorders>
            <w:hideMark/>
          </w:tcPr>
          <w:p w14:paraId="04BAFAC0" w14:textId="77777777" w:rsidR="003663AF" w:rsidRPr="00B7760C" w:rsidRDefault="003663AF" w:rsidP="00E804B7">
            <w:pPr>
              <w:pStyle w:val="Normal6"/>
              <w:jc w:val="right"/>
              <w:rPr>
                <w:b/>
                <w:bCs/>
                <w:i/>
                <w:iCs/>
                <w:sz w:val="20"/>
              </w:rPr>
            </w:pPr>
            <w:r w:rsidRPr="00B7760C">
              <w:rPr>
                <w:b/>
                <w:bCs/>
                <w:i/>
                <w:iCs/>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14325558"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6A00D048"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3C4346A7"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7BFA4F1A" w14:textId="77777777" w:rsidR="003663AF" w:rsidRPr="00B7760C" w:rsidRDefault="003663AF" w:rsidP="00E804B7">
            <w:pPr>
              <w:pStyle w:val="Normal6"/>
              <w:jc w:val="right"/>
              <w:rPr>
                <w:b/>
                <w:bCs/>
                <w:i/>
                <w:iCs/>
                <w:sz w:val="20"/>
              </w:rPr>
            </w:pPr>
            <w:r w:rsidRPr="00B7760C">
              <w:rPr>
                <w:b/>
                <w:bCs/>
                <w:i/>
                <w:iCs/>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4CB9A1DD" w14:textId="77777777" w:rsidR="003663AF" w:rsidRPr="00B7760C" w:rsidRDefault="003663AF" w:rsidP="00E804B7">
            <w:pPr>
              <w:pStyle w:val="Normal6"/>
              <w:jc w:val="right"/>
              <w:rPr>
                <w:b/>
                <w:bCs/>
                <w:i/>
                <w:iCs/>
                <w:sz w:val="20"/>
              </w:rPr>
            </w:pPr>
            <w:r w:rsidRPr="00B7760C">
              <w:rPr>
                <w:b/>
                <w:bCs/>
                <w:i/>
                <w:iCs/>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08837A39"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04A1081F"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60184390" w14:textId="77777777" w:rsidR="003663AF" w:rsidRPr="00B7760C" w:rsidRDefault="003663AF" w:rsidP="00E804B7">
            <w:pPr>
              <w:pStyle w:val="Normal6"/>
              <w:rPr>
                <w:sz w:val="20"/>
              </w:rPr>
            </w:pPr>
            <w:r w:rsidRPr="00B7760C">
              <w:rPr>
                <w:sz w:val="20"/>
              </w:rPr>
              <w:t>Nemčija</w:t>
            </w:r>
          </w:p>
        </w:tc>
        <w:tc>
          <w:tcPr>
            <w:tcW w:w="1560" w:type="dxa"/>
            <w:tcBorders>
              <w:top w:val="single" w:sz="4" w:space="0" w:color="auto"/>
              <w:left w:val="single" w:sz="4" w:space="0" w:color="auto"/>
              <w:bottom w:val="single" w:sz="4" w:space="0" w:color="auto"/>
              <w:right w:val="single" w:sz="4" w:space="0" w:color="auto"/>
            </w:tcBorders>
            <w:hideMark/>
          </w:tcPr>
          <w:p w14:paraId="1DE4D304" w14:textId="77777777" w:rsidR="003663AF" w:rsidRPr="00B7760C" w:rsidRDefault="003663AF" w:rsidP="00E804B7">
            <w:pPr>
              <w:pStyle w:val="Normal6"/>
              <w:jc w:val="right"/>
              <w:rPr>
                <w:b/>
                <w:bCs/>
                <w:i/>
                <w:iCs/>
                <w:sz w:val="20"/>
              </w:rPr>
            </w:pPr>
            <w:r w:rsidRPr="00B7760C">
              <w:rPr>
                <w:b/>
                <w:bCs/>
                <w:i/>
                <w:iCs/>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6E8002E9"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3FFCA945"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5AF68306"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3E0D578B" w14:textId="77777777" w:rsidR="003663AF" w:rsidRPr="00B7760C" w:rsidRDefault="003663AF" w:rsidP="00E804B7">
            <w:pPr>
              <w:pStyle w:val="Normal6"/>
              <w:jc w:val="right"/>
              <w:rPr>
                <w:b/>
                <w:bCs/>
                <w:i/>
                <w:iCs/>
                <w:sz w:val="20"/>
              </w:rPr>
            </w:pPr>
            <w:r w:rsidRPr="00B7760C">
              <w:rPr>
                <w:b/>
                <w:bCs/>
                <w:i/>
                <w:iCs/>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20E44B96" w14:textId="77777777" w:rsidR="003663AF" w:rsidRPr="00B7760C" w:rsidRDefault="003663AF" w:rsidP="00E804B7">
            <w:pPr>
              <w:pStyle w:val="Normal6"/>
              <w:jc w:val="right"/>
              <w:rPr>
                <w:b/>
                <w:bCs/>
                <w:i/>
                <w:iCs/>
                <w:sz w:val="20"/>
              </w:rPr>
            </w:pPr>
            <w:r w:rsidRPr="00B7760C">
              <w:rPr>
                <w:b/>
                <w:bCs/>
                <w:i/>
                <w:iCs/>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71347608"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67D8F78A"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30C14070" w14:textId="77777777" w:rsidR="003663AF" w:rsidRPr="00B7760C" w:rsidRDefault="003663AF" w:rsidP="00E804B7">
            <w:pPr>
              <w:pStyle w:val="Normal6"/>
              <w:rPr>
                <w:sz w:val="20"/>
              </w:rPr>
            </w:pPr>
            <w:r w:rsidRPr="00B7760C">
              <w:rPr>
                <w:sz w:val="20"/>
              </w:rPr>
              <w:t>Estonija</w:t>
            </w:r>
          </w:p>
        </w:tc>
        <w:tc>
          <w:tcPr>
            <w:tcW w:w="1560" w:type="dxa"/>
            <w:tcBorders>
              <w:top w:val="single" w:sz="4" w:space="0" w:color="auto"/>
              <w:left w:val="single" w:sz="4" w:space="0" w:color="auto"/>
              <w:bottom w:val="single" w:sz="4" w:space="0" w:color="auto"/>
              <w:right w:val="single" w:sz="4" w:space="0" w:color="auto"/>
            </w:tcBorders>
            <w:hideMark/>
          </w:tcPr>
          <w:p w14:paraId="00D1E4DA" w14:textId="77777777" w:rsidR="003663AF" w:rsidRPr="00B7760C" w:rsidRDefault="003663AF" w:rsidP="00E804B7">
            <w:pPr>
              <w:pStyle w:val="Normal6"/>
              <w:jc w:val="right"/>
              <w:rPr>
                <w:b/>
                <w:bCs/>
                <w:i/>
                <w:iCs/>
                <w:sz w:val="20"/>
              </w:rPr>
            </w:pPr>
            <w:r w:rsidRPr="00B7760C">
              <w:rPr>
                <w:b/>
                <w:bCs/>
                <w:i/>
                <w:iCs/>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0F4542B6"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6F1CE67B"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42C2E206"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4965E09D" w14:textId="77777777" w:rsidR="003663AF" w:rsidRPr="00B7760C" w:rsidRDefault="003663AF" w:rsidP="00E804B7">
            <w:pPr>
              <w:pStyle w:val="Normal6"/>
              <w:jc w:val="right"/>
              <w:rPr>
                <w:b/>
                <w:bCs/>
                <w:i/>
                <w:iCs/>
                <w:sz w:val="20"/>
              </w:rPr>
            </w:pPr>
            <w:r w:rsidRPr="00B7760C">
              <w:rPr>
                <w:b/>
                <w:bCs/>
                <w:i/>
                <w:iCs/>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6466B81B" w14:textId="77777777" w:rsidR="003663AF" w:rsidRPr="00B7760C" w:rsidRDefault="003663AF" w:rsidP="00E804B7">
            <w:pPr>
              <w:pStyle w:val="Normal6"/>
              <w:jc w:val="right"/>
              <w:rPr>
                <w:b/>
                <w:bCs/>
                <w:i/>
                <w:iCs/>
                <w:sz w:val="20"/>
              </w:rPr>
            </w:pPr>
            <w:r w:rsidRPr="00B7760C">
              <w:rPr>
                <w:b/>
                <w:bCs/>
                <w:i/>
                <w:iCs/>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53B1D22D"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697A2C82"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099D5841" w14:textId="77777777" w:rsidR="003663AF" w:rsidRPr="00B7760C" w:rsidRDefault="003663AF" w:rsidP="00E804B7">
            <w:pPr>
              <w:pStyle w:val="Normal6"/>
              <w:rPr>
                <w:sz w:val="20"/>
              </w:rPr>
            </w:pPr>
            <w:r w:rsidRPr="00B7760C">
              <w:rPr>
                <w:sz w:val="20"/>
              </w:rPr>
              <w:t>Irska</w:t>
            </w:r>
          </w:p>
        </w:tc>
        <w:tc>
          <w:tcPr>
            <w:tcW w:w="1560" w:type="dxa"/>
            <w:tcBorders>
              <w:top w:val="single" w:sz="4" w:space="0" w:color="auto"/>
              <w:left w:val="single" w:sz="4" w:space="0" w:color="auto"/>
              <w:bottom w:val="single" w:sz="4" w:space="0" w:color="auto"/>
              <w:right w:val="single" w:sz="4" w:space="0" w:color="auto"/>
            </w:tcBorders>
            <w:hideMark/>
          </w:tcPr>
          <w:p w14:paraId="744F7766" w14:textId="77777777" w:rsidR="003663AF" w:rsidRPr="00B7760C" w:rsidRDefault="003663AF" w:rsidP="00E804B7">
            <w:pPr>
              <w:pStyle w:val="Normal6"/>
              <w:jc w:val="right"/>
              <w:rPr>
                <w:b/>
                <w:bCs/>
                <w:i/>
                <w:iCs/>
                <w:sz w:val="20"/>
              </w:rPr>
            </w:pPr>
            <w:r w:rsidRPr="00B7760C">
              <w:rPr>
                <w:b/>
                <w:bCs/>
                <w:i/>
                <w:iCs/>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27A47054"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6A760C1F"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4DBBF7A6"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3F1874D8" w14:textId="77777777" w:rsidR="003663AF" w:rsidRPr="00B7760C" w:rsidRDefault="003663AF" w:rsidP="00E804B7">
            <w:pPr>
              <w:pStyle w:val="Normal6"/>
              <w:jc w:val="right"/>
              <w:rPr>
                <w:b/>
                <w:bCs/>
                <w:i/>
                <w:iCs/>
                <w:sz w:val="20"/>
              </w:rPr>
            </w:pPr>
            <w:r w:rsidRPr="00B7760C">
              <w:rPr>
                <w:b/>
                <w:bCs/>
                <w:i/>
                <w:iCs/>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28475EA2" w14:textId="77777777" w:rsidR="003663AF" w:rsidRPr="00B7760C" w:rsidRDefault="003663AF" w:rsidP="00E804B7">
            <w:pPr>
              <w:pStyle w:val="Normal6"/>
              <w:jc w:val="right"/>
              <w:rPr>
                <w:b/>
                <w:bCs/>
                <w:i/>
                <w:iCs/>
                <w:sz w:val="20"/>
              </w:rPr>
            </w:pPr>
            <w:r w:rsidRPr="00B7760C">
              <w:rPr>
                <w:b/>
                <w:bCs/>
                <w:i/>
                <w:iCs/>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5506305C"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0FA2B09B"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0F0A776F" w14:textId="77777777" w:rsidR="003663AF" w:rsidRPr="00B7760C" w:rsidRDefault="003663AF" w:rsidP="00E804B7">
            <w:pPr>
              <w:pStyle w:val="Normal6"/>
              <w:rPr>
                <w:sz w:val="20"/>
              </w:rPr>
            </w:pPr>
            <w:r w:rsidRPr="00B7760C">
              <w:rPr>
                <w:sz w:val="20"/>
              </w:rPr>
              <w:t>Grčija</w:t>
            </w:r>
          </w:p>
        </w:tc>
        <w:tc>
          <w:tcPr>
            <w:tcW w:w="1560" w:type="dxa"/>
            <w:tcBorders>
              <w:top w:val="single" w:sz="4" w:space="0" w:color="auto"/>
              <w:left w:val="single" w:sz="4" w:space="0" w:color="auto"/>
              <w:bottom w:val="single" w:sz="4" w:space="0" w:color="auto"/>
              <w:right w:val="single" w:sz="4" w:space="0" w:color="auto"/>
            </w:tcBorders>
            <w:hideMark/>
          </w:tcPr>
          <w:p w14:paraId="1F9488A3" w14:textId="77777777" w:rsidR="003663AF" w:rsidRPr="00B7760C" w:rsidRDefault="003663AF" w:rsidP="00E804B7">
            <w:pPr>
              <w:pStyle w:val="Normal6"/>
              <w:jc w:val="right"/>
              <w:rPr>
                <w:b/>
                <w:bCs/>
                <w:i/>
                <w:iCs/>
                <w:sz w:val="20"/>
              </w:rPr>
            </w:pPr>
            <w:r w:rsidRPr="00B7760C">
              <w:rPr>
                <w:b/>
                <w:bCs/>
                <w:i/>
                <w:iCs/>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204A883E"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665980BF"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12AD1181"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14854DD8" w14:textId="77777777" w:rsidR="003663AF" w:rsidRPr="00B7760C" w:rsidRDefault="003663AF" w:rsidP="00E804B7">
            <w:pPr>
              <w:pStyle w:val="Normal6"/>
              <w:jc w:val="right"/>
              <w:rPr>
                <w:b/>
                <w:bCs/>
                <w:i/>
                <w:iCs/>
                <w:sz w:val="20"/>
              </w:rPr>
            </w:pPr>
            <w:r w:rsidRPr="00B7760C">
              <w:rPr>
                <w:b/>
                <w:bCs/>
                <w:i/>
                <w:iCs/>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590811FD" w14:textId="77777777" w:rsidR="003663AF" w:rsidRPr="00B7760C" w:rsidRDefault="003663AF" w:rsidP="00E804B7">
            <w:pPr>
              <w:pStyle w:val="Normal6"/>
              <w:jc w:val="right"/>
              <w:rPr>
                <w:b/>
                <w:bCs/>
                <w:i/>
                <w:iCs/>
                <w:sz w:val="20"/>
              </w:rPr>
            </w:pPr>
            <w:r w:rsidRPr="00B7760C">
              <w:rPr>
                <w:b/>
                <w:bCs/>
                <w:i/>
                <w:iCs/>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25A6EB6E"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055BA0AA"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6F5DF562" w14:textId="77777777" w:rsidR="003663AF" w:rsidRPr="00B7760C" w:rsidRDefault="003663AF" w:rsidP="00E804B7">
            <w:pPr>
              <w:pStyle w:val="Normal6"/>
              <w:rPr>
                <w:sz w:val="20"/>
              </w:rPr>
            </w:pPr>
            <w:r w:rsidRPr="00B7760C">
              <w:rPr>
                <w:sz w:val="20"/>
              </w:rPr>
              <w:t>Španija</w:t>
            </w:r>
          </w:p>
        </w:tc>
        <w:tc>
          <w:tcPr>
            <w:tcW w:w="1560" w:type="dxa"/>
            <w:tcBorders>
              <w:top w:val="single" w:sz="4" w:space="0" w:color="auto"/>
              <w:left w:val="single" w:sz="4" w:space="0" w:color="auto"/>
              <w:bottom w:val="single" w:sz="4" w:space="0" w:color="auto"/>
              <w:right w:val="single" w:sz="4" w:space="0" w:color="auto"/>
            </w:tcBorders>
            <w:hideMark/>
          </w:tcPr>
          <w:p w14:paraId="029BB0F5" w14:textId="77777777" w:rsidR="003663AF" w:rsidRPr="00B7760C" w:rsidRDefault="003663AF" w:rsidP="00E804B7">
            <w:pPr>
              <w:pStyle w:val="Normal6"/>
              <w:jc w:val="right"/>
              <w:rPr>
                <w:b/>
                <w:bCs/>
                <w:i/>
                <w:iCs/>
                <w:sz w:val="20"/>
              </w:rPr>
            </w:pPr>
            <w:r w:rsidRPr="00B7760C">
              <w:rPr>
                <w:b/>
                <w:bCs/>
                <w:i/>
                <w:iCs/>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29E06053"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1FDC2846"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5C01C0EC"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4A53001D" w14:textId="77777777" w:rsidR="003663AF" w:rsidRPr="00B7760C" w:rsidRDefault="003663AF" w:rsidP="00E804B7">
            <w:pPr>
              <w:pStyle w:val="Normal6"/>
              <w:jc w:val="right"/>
              <w:rPr>
                <w:b/>
                <w:bCs/>
                <w:i/>
                <w:iCs/>
                <w:sz w:val="20"/>
              </w:rPr>
            </w:pPr>
            <w:r w:rsidRPr="00B7760C">
              <w:rPr>
                <w:b/>
                <w:bCs/>
                <w:i/>
                <w:iCs/>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6D384554" w14:textId="77777777" w:rsidR="003663AF" w:rsidRPr="00B7760C" w:rsidRDefault="003663AF" w:rsidP="00E804B7">
            <w:pPr>
              <w:pStyle w:val="Normal6"/>
              <w:jc w:val="right"/>
              <w:rPr>
                <w:b/>
                <w:bCs/>
                <w:i/>
                <w:iCs/>
                <w:sz w:val="20"/>
              </w:rPr>
            </w:pPr>
            <w:r w:rsidRPr="00B7760C">
              <w:rPr>
                <w:b/>
                <w:bCs/>
                <w:i/>
                <w:iCs/>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22C89DD4"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29667C57"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272F5AA6" w14:textId="77777777" w:rsidR="003663AF" w:rsidRPr="00B7760C" w:rsidRDefault="003663AF" w:rsidP="00E804B7">
            <w:pPr>
              <w:pStyle w:val="Normal6"/>
              <w:rPr>
                <w:sz w:val="20"/>
              </w:rPr>
            </w:pPr>
            <w:r w:rsidRPr="00B7760C">
              <w:rPr>
                <w:sz w:val="20"/>
              </w:rPr>
              <w:t>Francija</w:t>
            </w:r>
          </w:p>
        </w:tc>
        <w:tc>
          <w:tcPr>
            <w:tcW w:w="1560" w:type="dxa"/>
            <w:tcBorders>
              <w:top w:val="single" w:sz="4" w:space="0" w:color="auto"/>
              <w:left w:val="single" w:sz="4" w:space="0" w:color="auto"/>
              <w:bottom w:val="single" w:sz="4" w:space="0" w:color="auto"/>
              <w:right w:val="single" w:sz="4" w:space="0" w:color="auto"/>
            </w:tcBorders>
            <w:hideMark/>
          </w:tcPr>
          <w:p w14:paraId="5EB55151" w14:textId="77777777" w:rsidR="003663AF" w:rsidRPr="00B7760C" w:rsidRDefault="003663AF" w:rsidP="00E804B7">
            <w:pPr>
              <w:pStyle w:val="Normal6"/>
              <w:jc w:val="right"/>
              <w:rPr>
                <w:b/>
                <w:bCs/>
                <w:i/>
                <w:iCs/>
                <w:sz w:val="20"/>
              </w:rPr>
            </w:pPr>
            <w:r w:rsidRPr="00B7760C">
              <w:rPr>
                <w:b/>
                <w:bCs/>
                <w:i/>
                <w:iCs/>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6CFD8769"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5540B211"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2DFC17CF"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3B2A2DAD" w14:textId="77777777" w:rsidR="003663AF" w:rsidRPr="00B7760C" w:rsidRDefault="003663AF" w:rsidP="00E804B7">
            <w:pPr>
              <w:pStyle w:val="Normal6"/>
              <w:jc w:val="right"/>
              <w:rPr>
                <w:b/>
                <w:bCs/>
                <w:i/>
                <w:iCs/>
                <w:sz w:val="20"/>
              </w:rPr>
            </w:pPr>
            <w:r w:rsidRPr="00B7760C">
              <w:rPr>
                <w:b/>
                <w:bCs/>
                <w:i/>
                <w:iCs/>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5C2718A4" w14:textId="77777777" w:rsidR="003663AF" w:rsidRPr="00B7760C" w:rsidRDefault="003663AF" w:rsidP="00E804B7">
            <w:pPr>
              <w:pStyle w:val="Normal6"/>
              <w:jc w:val="right"/>
              <w:rPr>
                <w:b/>
                <w:bCs/>
                <w:i/>
                <w:iCs/>
                <w:sz w:val="20"/>
              </w:rPr>
            </w:pPr>
            <w:r w:rsidRPr="00B7760C">
              <w:rPr>
                <w:b/>
                <w:bCs/>
                <w:i/>
                <w:iCs/>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62E940C4"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4A652643"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5BBCE6FA" w14:textId="77777777" w:rsidR="003663AF" w:rsidRPr="00B7760C" w:rsidRDefault="003663AF" w:rsidP="00E804B7">
            <w:pPr>
              <w:pStyle w:val="Normal6"/>
              <w:rPr>
                <w:sz w:val="20"/>
              </w:rPr>
            </w:pPr>
            <w:r w:rsidRPr="00B7760C">
              <w:rPr>
                <w:sz w:val="20"/>
              </w:rPr>
              <w:t>Hrvaška</w:t>
            </w:r>
          </w:p>
        </w:tc>
        <w:tc>
          <w:tcPr>
            <w:tcW w:w="1560" w:type="dxa"/>
            <w:tcBorders>
              <w:top w:val="single" w:sz="4" w:space="0" w:color="auto"/>
              <w:left w:val="single" w:sz="4" w:space="0" w:color="auto"/>
              <w:bottom w:val="single" w:sz="4" w:space="0" w:color="auto"/>
              <w:right w:val="single" w:sz="4" w:space="0" w:color="auto"/>
            </w:tcBorders>
            <w:hideMark/>
          </w:tcPr>
          <w:p w14:paraId="78F5E8B2" w14:textId="77777777" w:rsidR="003663AF" w:rsidRPr="00B7760C" w:rsidRDefault="003663AF" w:rsidP="00E804B7">
            <w:pPr>
              <w:pStyle w:val="Normal6"/>
              <w:jc w:val="right"/>
              <w:rPr>
                <w:b/>
                <w:bCs/>
                <w:i/>
                <w:iCs/>
                <w:sz w:val="20"/>
              </w:rPr>
            </w:pPr>
            <w:r w:rsidRPr="00B7760C">
              <w:rPr>
                <w:b/>
                <w:bCs/>
                <w:i/>
                <w:iCs/>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0CECF9BD"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7A3591E9"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742B9812"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4775D144" w14:textId="77777777" w:rsidR="003663AF" w:rsidRPr="00B7760C" w:rsidRDefault="003663AF" w:rsidP="00E804B7">
            <w:pPr>
              <w:pStyle w:val="Normal6"/>
              <w:jc w:val="right"/>
              <w:rPr>
                <w:b/>
                <w:bCs/>
                <w:i/>
                <w:iCs/>
                <w:sz w:val="20"/>
              </w:rPr>
            </w:pPr>
            <w:r w:rsidRPr="00B7760C">
              <w:rPr>
                <w:b/>
                <w:bCs/>
                <w:i/>
                <w:iCs/>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0DE9F8BF" w14:textId="77777777" w:rsidR="003663AF" w:rsidRPr="00B7760C" w:rsidRDefault="003663AF" w:rsidP="00E804B7">
            <w:pPr>
              <w:pStyle w:val="Normal6"/>
              <w:jc w:val="right"/>
              <w:rPr>
                <w:b/>
                <w:bCs/>
                <w:i/>
                <w:iCs/>
                <w:sz w:val="20"/>
              </w:rPr>
            </w:pPr>
            <w:r w:rsidRPr="00B7760C">
              <w:rPr>
                <w:b/>
                <w:bCs/>
                <w:i/>
                <w:iCs/>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63F85F19"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7CF7C5DE"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2579AC90" w14:textId="77777777" w:rsidR="003663AF" w:rsidRPr="00B7760C" w:rsidRDefault="003663AF" w:rsidP="00E804B7">
            <w:pPr>
              <w:pStyle w:val="Normal6"/>
              <w:rPr>
                <w:sz w:val="20"/>
              </w:rPr>
            </w:pPr>
            <w:r w:rsidRPr="00B7760C">
              <w:rPr>
                <w:sz w:val="20"/>
              </w:rPr>
              <w:t>Italija</w:t>
            </w:r>
          </w:p>
        </w:tc>
        <w:tc>
          <w:tcPr>
            <w:tcW w:w="1560" w:type="dxa"/>
            <w:tcBorders>
              <w:top w:val="single" w:sz="4" w:space="0" w:color="auto"/>
              <w:left w:val="single" w:sz="4" w:space="0" w:color="auto"/>
              <w:bottom w:val="single" w:sz="4" w:space="0" w:color="auto"/>
              <w:right w:val="single" w:sz="4" w:space="0" w:color="auto"/>
            </w:tcBorders>
            <w:hideMark/>
          </w:tcPr>
          <w:p w14:paraId="47DDCA15" w14:textId="77777777" w:rsidR="003663AF" w:rsidRPr="00B7760C" w:rsidRDefault="003663AF" w:rsidP="00E804B7">
            <w:pPr>
              <w:pStyle w:val="Normal6"/>
              <w:jc w:val="right"/>
              <w:rPr>
                <w:b/>
                <w:bCs/>
                <w:i/>
                <w:iCs/>
                <w:sz w:val="20"/>
              </w:rPr>
            </w:pPr>
            <w:r w:rsidRPr="00B7760C">
              <w:rPr>
                <w:b/>
                <w:bCs/>
                <w:i/>
                <w:iCs/>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229E6332"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3150274B"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6B002F93"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012E179D" w14:textId="77777777" w:rsidR="003663AF" w:rsidRPr="00B7760C" w:rsidRDefault="003663AF" w:rsidP="00E804B7">
            <w:pPr>
              <w:pStyle w:val="Normal6"/>
              <w:jc w:val="right"/>
              <w:rPr>
                <w:b/>
                <w:bCs/>
                <w:i/>
                <w:iCs/>
                <w:sz w:val="20"/>
              </w:rPr>
            </w:pPr>
            <w:r w:rsidRPr="00B7760C">
              <w:rPr>
                <w:b/>
                <w:bCs/>
                <w:i/>
                <w:iCs/>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604C833A" w14:textId="77777777" w:rsidR="003663AF" w:rsidRPr="00B7760C" w:rsidRDefault="003663AF" w:rsidP="00E804B7">
            <w:pPr>
              <w:pStyle w:val="Normal6"/>
              <w:jc w:val="right"/>
              <w:rPr>
                <w:b/>
                <w:bCs/>
                <w:i/>
                <w:iCs/>
                <w:sz w:val="20"/>
              </w:rPr>
            </w:pPr>
            <w:r w:rsidRPr="00B7760C">
              <w:rPr>
                <w:b/>
                <w:bCs/>
                <w:i/>
                <w:iCs/>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725333D1"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68484BB2"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486EDA0C" w14:textId="77777777" w:rsidR="003663AF" w:rsidRPr="00B7760C" w:rsidRDefault="003663AF" w:rsidP="00E804B7">
            <w:pPr>
              <w:pStyle w:val="Normal6"/>
              <w:rPr>
                <w:sz w:val="20"/>
              </w:rPr>
            </w:pPr>
            <w:r w:rsidRPr="00B7760C">
              <w:rPr>
                <w:sz w:val="20"/>
              </w:rPr>
              <w:t>Ciper</w:t>
            </w:r>
          </w:p>
        </w:tc>
        <w:tc>
          <w:tcPr>
            <w:tcW w:w="1560" w:type="dxa"/>
            <w:tcBorders>
              <w:top w:val="single" w:sz="4" w:space="0" w:color="auto"/>
              <w:left w:val="single" w:sz="4" w:space="0" w:color="auto"/>
              <w:bottom w:val="single" w:sz="4" w:space="0" w:color="auto"/>
              <w:right w:val="single" w:sz="4" w:space="0" w:color="auto"/>
            </w:tcBorders>
            <w:hideMark/>
          </w:tcPr>
          <w:p w14:paraId="5FAFD6B3" w14:textId="77777777" w:rsidR="003663AF" w:rsidRPr="00B7760C" w:rsidRDefault="003663AF" w:rsidP="00E804B7">
            <w:pPr>
              <w:pStyle w:val="Normal6"/>
              <w:jc w:val="right"/>
              <w:rPr>
                <w:b/>
                <w:bCs/>
                <w:i/>
                <w:iCs/>
                <w:sz w:val="20"/>
              </w:rPr>
            </w:pPr>
            <w:r w:rsidRPr="00B7760C">
              <w:rPr>
                <w:b/>
                <w:bCs/>
                <w:i/>
                <w:iCs/>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77CC70C8"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790FAE1A"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6997089D"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623261E6" w14:textId="77777777" w:rsidR="003663AF" w:rsidRPr="00B7760C" w:rsidRDefault="003663AF" w:rsidP="00E804B7">
            <w:pPr>
              <w:pStyle w:val="Normal6"/>
              <w:jc w:val="right"/>
              <w:rPr>
                <w:b/>
                <w:bCs/>
                <w:i/>
                <w:iCs/>
                <w:sz w:val="20"/>
              </w:rPr>
            </w:pPr>
            <w:r w:rsidRPr="00B7760C">
              <w:rPr>
                <w:b/>
                <w:bCs/>
                <w:i/>
                <w:iCs/>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41E29FDA" w14:textId="77777777" w:rsidR="003663AF" w:rsidRPr="00B7760C" w:rsidRDefault="003663AF" w:rsidP="00E804B7">
            <w:pPr>
              <w:pStyle w:val="Normal6"/>
              <w:jc w:val="right"/>
              <w:rPr>
                <w:b/>
                <w:bCs/>
                <w:i/>
                <w:iCs/>
                <w:sz w:val="20"/>
              </w:rPr>
            </w:pPr>
            <w:r w:rsidRPr="00B7760C">
              <w:rPr>
                <w:b/>
                <w:bCs/>
                <w:i/>
                <w:iCs/>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2E1B4C3B"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72CAB9BD"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388CEAD1" w14:textId="77777777" w:rsidR="003663AF" w:rsidRPr="00B7760C" w:rsidRDefault="003663AF" w:rsidP="00E804B7">
            <w:pPr>
              <w:pStyle w:val="Normal6"/>
              <w:rPr>
                <w:sz w:val="20"/>
              </w:rPr>
            </w:pPr>
            <w:r w:rsidRPr="00B7760C">
              <w:rPr>
                <w:sz w:val="20"/>
              </w:rPr>
              <w:t>Latvija</w:t>
            </w:r>
          </w:p>
        </w:tc>
        <w:tc>
          <w:tcPr>
            <w:tcW w:w="1560" w:type="dxa"/>
            <w:tcBorders>
              <w:top w:val="single" w:sz="4" w:space="0" w:color="auto"/>
              <w:left w:val="single" w:sz="4" w:space="0" w:color="auto"/>
              <w:bottom w:val="single" w:sz="4" w:space="0" w:color="auto"/>
              <w:right w:val="single" w:sz="4" w:space="0" w:color="auto"/>
            </w:tcBorders>
            <w:hideMark/>
          </w:tcPr>
          <w:p w14:paraId="11193722" w14:textId="77777777" w:rsidR="003663AF" w:rsidRPr="00B7760C" w:rsidRDefault="003663AF" w:rsidP="00E804B7">
            <w:pPr>
              <w:pStyle w:val="Normal6"/>
              <w:jc w:val="right"/>
              <w:rPr>
                <w:b/>
                <w:bCs/>
                <w:i/>
                <w:iCs/>
                <w:sz w:val="20"/>
              </w:rPr>
            </w:pPr>
            <w:r w:rsidRPr="00B7760C">
              <w:rPr>
                <w:b/>
                <w:bCs/>
                <w:i/>
                <w:iCs/>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0F64D9B6"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2B00E419"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5C3B69C6"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6E55B0D6" w14:textId="77777777" w:rsidR="003663AF" w:rsidRPr="00B7760C" w:rsidRDefault="003663AF" w:rsidP="00E804B7">
            <w:pPr>
              <w:pStyle w:val="Normal6"/>
              <w:jc w:val="right"/>
              <w:rPr>
                <w:b/>
                <w:bCs/>
                <w:i/>
                <w:iCs/>
                <w:sz w:val="20"/>
              </w:rPr>
            </w:pPr>
            <w:r w:rsidRPr="00B7760C">
              <w:rPr>
                <w:b/>
                <w:bCs/>
                <w:i/>
                <w:iCs/>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686DEEC3" w14:textId="77777777" w:rsidR="003663AF" w:rsidRPr="00B7760C" w:rsidRDefault="003663AF" w:rsidP="00E804B7">
            <w:pPr>
              <w:pStyle w:val="Normal6"/>
              <w:jc w:val="right"/>
              <w:rPr>
                <w:b/>
                <w:bCs/>
                <w:i/>
                <w:iCs/>
                <w:sz w:val="20"/>
              </w:rPr>
            </w:pPr>
            <w:r w:rsidRPr="00B7760C">
              <w:rPr>
                <w:b/>
                <w:bCs/>
                <w:i/>
                <w:iCs/>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5C6D93C4"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3C5CA61C"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66448B4F" w14:textId="77777777" w:rsidR="003663AF" w:rsidRPr="00B7760C" w:rsidRDefault="003663AF" w:rsidP="00E804B7">
            <w:pPr>
              <w:pStyle w:val="Normal6"/>
              <w:rPr>
                <w:sz w:val="20"/>
              </w:rPr>
            </w:pPr>
            <w:r w:rsidRPr="00B7760C">
              <w:rPr>
                <w:sz w:val="20"/>
              </w:rPr>
              <w:t>Litva</w:t>
            </w:r>
          </w:p>
        </w:tc>
        <w:tc>
          <w:tcPr>
            <w:tcW w:w="1560" w:type="dxa"/>
            <w:tcBorders>
              <w:top w:val="single" w:sz="4" w:space="0" w:color="auto"/>
              <w:left w:val="single" w:sz="4" w:space="0" w:color="auto"/>
              <w:bottom w:val="single" w:sz="4" w:space="0" w:color="auto"/>
              <w:right w:val="single" w:sz="4" w:space="0" w:color="auto"/>
            </w:tcBorders>
            <w:hideMark/>
          </w:tcPr>
          <w:p w14:paraId="6EA13515" w14:textId="77777777" w:rsidR="003663AF" w:rsidRPr="00B7760C" w:rsidRDefault="003663AF" w:rsidP="00E804B7">
            <w:pPr>
              <w:pStyle w:val="Normal6"/>
              <w:jc w:val="right"/>
              <w:rPr>
                <w:b/>
                <w:bCs/>
                <w:i/>
                <w:iCs/>
                <w:sz w:val="20"/>
              </w:rPr>
            </w:pPr>
            <w:r w:rsidRPr="00B7760C">
              <w:rPr>
                <w:b/>
                <w:bCs/>
                <w:i/>
                <w:iCs/>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397E493C"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3CCC5E23"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0744284E"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5CCAE5AB" w14:textId="77777777" w:rsidR="003663AF" w:rsidRPr="00B7760C" w:rsidRDefault="003663AF" w:rsidP="00E804B7">
            <w:pPr>
              <w:pStyle w:val="Normal6"/>
              <w:jc w:val="right"/>
              <w:rPr>
                <w:b/>
                <w:bCs/>
                <w:i/>
                <w:iCs/>
                <w:sz w:val="20"/>
              </w:rPr>
            </w:pPr>
            <w:r w:rsidRPr="00B7760C">
              <w:rPr>
                <w:b/>
                <w:bCs/>
                <w:i/>
                <w:iCs/>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6ED9A6D6" w14:textId="77777777" w:rsidR="003663AF" w:rsidRPr="00B7760C" w:rsidRDefault="003663AF" w:rsidP="00E804B7">
            <w:pPr>
              <w:pStyle w:val="Normal6"/>
              <w:jc w:val="right"/>
              <w:rPr>
                <w:b/>
                <w:bCs/>
                <w:i/>
                <w:iCs/>
                <w:sz w:val="20"/>
              </w:rPr>
            </w:pPr>
            <w:r w:rsidRPr="00B7760C">
              <w:rPr>
                <w:b/>
                <w:bCs/>
                <w:i/>
                <w:iCs/>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2EE25827"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2BDFD64D"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495D6720" w14:textId="77777777" w:rsidR="003663AF" w:rsidRPr="00B7760C" w:rsidRDefault="003663AF" w:rsidP="00E804B7">
            <w:pPr>
              <w:pStyle w:val="Normal6"/>
              <w:rPr>
                <w:sz w:val="20"/>
              </w:rPr>
            </w:pPr>
            <w:r w:rsidRPr="00B7760C">
              <w:rPr>
                <w:sz w:val="20"/>
              </w:rPr>
              <w:t>Luksemburg</w:t>
            </w:r>
          </w:p>
        </w:tc>
        <w:tc>
          <w:tcPr>
            <w:tcW w:w="1560" w:type="dxa"/>
            <w:tcBorders>
              <w:top w:val="single" w:sz="4" w:space="0" w:color="auto"/>
              <w:left w:val="single" w:sz="4" w:space="0" w:color="auto"/>
              <w:bottom w:val="single" w:sz="4" w:space="0" w:color="auto"/>
              <w:right w:val="single" w:sz="4" w:space="0" w:color="auto"/>
            </w:tcBorders>
            <w:hideMark/>
          </w:tcPr>
          <w:p w14:paraId="1F4A0022" w14:textId="77777777" w:rsidR="003663AF" w:rsidRPr="00B7760C" w:rsidRDefault="003663AF" w:rsidP="00E804B7">
            <w:pPr>
              <w:pStyle w:val="Normal6"/>
              <w:jc w:val="right"/>
              <w:rPr>
                <w:b/>
                <w:bCs/>
                <w:i/>
                <w:iCs/>
                <w:sz w:val="20"/>
              </w:rPr>
            </w:pPr>
            <w:r w:rsidRPr="00B7760C">
              <w:rPr>
                <w:b/>
                <w:bCs/>
                <w:i/>
                <w:iCs/>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74F3D318"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48F62925"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269539CC"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45D71A48" w14:textId="77777777" w:rsidR="003663AF" w:rsidRPr="00B7760C" w:rsidRDefault="003663AF" w:rsidP="00E804B7">
            <w:pPr>
              <w:pStyle w:val="Normal6"/>
              <w:jc w:val="right"/>
              <w:rPr>
                <w:b/>
                <w:bCs/>
                <w:i/>
                <w:iCs/>
                <w:sz w:val="20"/>
              </w:rPr>
            </w:pPr>
            <w:r w:rsidRPr="00B7760C">
              <w:rPr>
                <w:b/>
                <w:bCs/>
                <w:i/>
                <w:iCs/>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68180775" w14:textId="77777777" w:rsidR="003663AF" w:rsidRPr="00B7760C" w:rsidRDefault="003663AF" w:rsidP="00E804B7">
            <w:pPr>
              <w:pStyle w:val="Normal6"/>
              <w:jc w:val="right"/>
              <w:rPr>
                <w:b/>
                <w:bCs/>
                <w:i/>
                <w:iCs/>
                <w:sz w:val="20"/>
              </w:rPr>
            </w:pPr>
            <w:r w:rsidRPr="00B7760C">
              <w:rPr>
                <w:b/>
                <w:bCs/>
                <w:i/>
                <w:iCs/>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7CE30265"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3966C71A"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452D1A52" w14:textId="77777777" w:rsidR="003663AF" w:rsidRPr="00B7760C" w:rsidRDefault="003663AF" w:rsidP="00E804B7">
            <w:pPr>
              <w:pStyle w:val="Normal6"/>
              <w:rPr>
                <w:sz w:val="20"/>
              </w:rPr>
            </w:pPr>
            <w:r w:rsidRPr="00B7760C">
              <w:rPr>
                <w:sz w:val="20"/>
              </w:rPr>
              <w:t>Madžarska</w:t>
            </w:r>
          </w:p>
        </w:tc>
        <w:tc>
          <w:tcPr>
            <w:tcW w:w="1560" w:type="dxa"/>
            <w:tcBorders>
              <w:top w:val="single" w:sz="4" w:space="0" w:color="auto"/>
              <w:left w:val="single" w:sz="4" w:space="0" w:color="auto"/>
              <w:bottom w:val="single" w:sz="4" w:space="0" w:color="auto"/>
              <w:right w:val="single" w:sz="4" w:space="0" w:color="auto"/>
            </w:tcBorders>
            <w:hideMark/>
          </w:tcPr>
          <w:p w14:paraId="6E57872A" w14:textId="77777777" w:rsidR="003663AF" w:rsidRPr="00B7760C" w:rsidRDefault="003663AF" w:rsidP="00E804B7">
            <w:pPr>
              <w:pStyle w:val="Normal6"/>
              <w:jc w:val="right"/>
              <w:rPr>
                <w:b/>
                <w:bCs/>
                <w:i/>
                <w:iCs/>
                <w:sz w:val="20"/>
              </w:rPr>
            </w:pPr>
            <w:r w:rsidRPr="00B7760C">
              <w:rPr>
                <w:b/>
                <w:bCs/>
                <w:i/>
                <w:iCs/>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2EE94C1F"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471A1076"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4DF6587B"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7EAD49CF" w14:textId="77777777" w:rsidR="003663AF" w:rsidRPr="00B7760C" w:rsidRDefault="003663AF" w:rsidP="00E804B7">
            <w:pPr>
              <w:pStyle w:val="Normal6"/>
              <w:jc w:val="right"/>
              <w:rPr>
                <w:b/>
                <w:bCs/>
                <w:i/>
                <w:iCs/>
                <w:sz w:val="20"/>
              </w:rPr>
            </w:pPr>
            <w:r w:rsidRPr="00B7760C">
              <w:rPr>
                <w:b/>
                <w:bCs/>
                <w:i/>
                <w:iCs/>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58F59650" w14:textId="77777777" w:rsidR="003663AF" w:rsidRPr="00B7760C" w:rsidRDefault="003663AF" w:rsidP="00E804B7">
            <w:pPr>
              <w:pStyle w:val="Normal6"/>
              <w:jc w:val="right"/>
              <w:rPr>
                <w:b/>
                <w:bCs/>
                <w:i/>
                <w:iCs/>
                <w:sz w:val="20"/>
              </w:rPr>
            </w:pPr>
            <w:r w:rsidRPr="00B7760C">
              <w:rPr>
                <w:b/>
                <w:bCs/>
                <w:i/>
                <w:iCs/>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60946EAD"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7D38FCB1"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36F10BA2" w14:textId="77777777" w:rsidR="003663AF" w:rsidRPr="00B7760C" w:rsidRDefault="003663AF" w:rsidP="00E804B7">
            <w:pPr>
              <w:pStyle w:val="Normal6"/>
              <w:rPr>
                <w:sz w:val="20"/>
              </w:rPr>
            </w:pPr>
            <w:r w:rsidRPr="00B7760C">
              <w:rPr>
                <w:sz w:val="20"/>
              </w:rPr>
              <w:t>Malta</w:t>
            </w:r>
          </w:p>
        </w:tc>
        <w:tc>
          <w:tcPr>
            <w:tcW w:w="1560" w:type="dxa"/>
            <w:tcBorders>
              <w:top w:val="single" w:sz="4" w:space="0" w:color="auto"/>
              <w:left w:val="single" w:sz="4" w:space="0" w:color="auto"/>
              <w:bottom w:val="single" w:sz="4" w:space="0" w:color="auto"/>
              <w:right w:val="single" w:sz="4" w:space="0" w:color="auto"/>
            </w:tcBorders>
            <w:hideMark/>
          </w:tcPr>
          <w:p w14:paraId="585821DD" w14:textId="77777777" w:rsidR="003663AF" w:rsidRPr="00B7760C" w:rsidRDefault="003663AF" w:rsidP="00E804B7">
            <w:pPr>
              <w:pStyle w:val="Normal6"/>
              <w:jc w:val="right"/>
              <w:rPr>
                <w:b/>
                <w:bCs/>
                <w:i/>
                <w:iCs/>
                <w:sz w:val="20"/>
              </w:rPr>
            </w:pPr>
            <w:r w:rsidRPr="00B7760C">
              <w:rPr>
                <w:b/>
                <w:bCs/>
                <w:i/>
                <w:iCs/>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4817F739"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5A741AAD"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333037F0"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5BDECAE7" w14:textId="77777777" w:rsidR="003663AF" w:rsidRPr="00B7760C" w:rsidRDefault="003663AF" w:rsidP="00E804B7">
            <w:pPr>
              <w:pStyle w:val="Normal6"/>
              <w:jc w:val="right"/>
              <w:rPr>
                <w:b/>
                <w:bCs/>
                <w:i/>
                <w:iCs/>
                <w:sz w:val="20"/>
              </w:rPr>
            </w:pPr>
            <w:r w:rsidRPr="00B7760C">
              <w:rPr>
                <w:b/>
                <w:bCs/>
                <w:i/>
                <w:iCs/>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0D1ADC28" w14:textId="77777777" w:rsidR="003663AF" w:rsidRPr="00B7760C" w:rsidRDefault="003663AF" w:rsidP="00E804B7">
            <w:pPr>
              <w:pStyle w:val="Normal6"/>
              <w:jc w:val="right"/>
              <w:rPr>
                <w:b/>
                <w:bCs/>
                <w:i/>
                <w:iCs/>
                <w:sz w:val="20"/>
              </w:rPr>
            </w:pPr>
            <w:r w:rsidRPr="00B7760C">
              <w:rPr>
                <w:b/>
                <w:bCs/>
                <w:i/>
                <w:iCs/>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5A7CB502"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057FBC8C"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0E4312E2" w14:textId="77777777" w:rsidR="003663AF" w:rsidRPr="00B7760C" w:rsidRDefault="003663AF" w:rsidP="00E804B7">
            <w:pPr>
              <w:pStyle w:val="Normal6"/>
              <w:rPr>
                <w:sz w:val="20"/>
              </w:rPr>
            </w:pPr>
            <w:r w:rsidRPr="00B7760C">
              <w:rPr>
                <w:sz w:val="20"/>
              </w:rPr>
              <w:t>Nizozemska</w:t>
            </w:r>
          </w:p>
        </w:tc>
        <w:tc>
          <w:tcPr>
            <w:tcW w:w="1560" w:type="dxa"/>
            <w:tcBorders>
              <w:top w:val="single" w:sz="4" w:space="0" w:color="auto"/>
              <w:left w:val="single" w:sz="4" w:space="0" w:color="auto"/>
              <w:bottom w:val="single" w:sz="4" w:space="0" w:color="auto"/>
              <w:right w:val="single" w:sz="4" w:space="0" w:color="auto"/>
            </w:tcBorders>
            <w:hideMark/>
          </w:tcPr>
          <w:p w14:paraId="3E380FE4" w14:textId="77777777" w:rsidR="003663AF" w:rsidRPr="00B7760C" w:rsidRDefault="003663AF" w:rsidP="00E804B7">
            <w:pPr>
              <w:pStyle w:val="Normal6"/>
              <w:jc w:val="right"/>
              <w:rPr>
                <w:b/>
                <w:bCs/>
                <w:i/>
                <w:iCs/>
                <w:sz w:val="20"/>
              </w:rPr>
            </w:pPr>
            <w:r w:rsidRPr="00B7760C">
              <w:rPr>
                <w:b/>
                <w:bCs/>
                <w:i/>
                <w:iCs/>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07C6629E"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60C1F122"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0B4C85DD"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11B820F7" w14:textId="77777777" w:rsidR="003663AF" w:rsidRPr="00B7760C" w:rsidRDefault="003663AF" w:rsidP="00E804B7">
            <w:pPr>
              <w:pStyle w:val="Normal6"/>
              <w:jc w:val="right"/>
              <w:rPr>
                <w:b/>
                <w:bCs/>
                <w:i/>
                <w:iCs/>
                <w:sz w:val="20"/>
              </w:rPr>
            </w:pPr>
            <w:r w:rsidRPr="00B7760C">
              <w:rPr>
                <w:b/>
                <w:bCs/>
                <w:i/>
                <w:iCs/>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5FD5679D" w14:textId="77777777" w:rsidR="003663AF" w:rsidRPr="00B7760C" w:rsidRDefault="003663AF" w:rsidP="00E804B7">
            <w:pPr>
              <w:pStyle w:val="Normal6"/>
              <w:jc w:val="right"/>
              <w:rPr>
                <w:b/>
                <w:bCs/>
                <w:i/>
                <w:iCs/>
                <w:sz w:val="20"/>
              </w:rPr>
            </w:pPr>
            <w:r w:rsidRPr="00B7760C">
              <w:rPr>
                <w:b/>
                <w:bCs/>
                <w:i/>
                <w:iCs/>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18F4E19B"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0BBB5D7F"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1070F40B" w14:textId="77777777" w:rsidR="003663AF" w:rsidRPr="00B7760C" w:rsidRDefault="003663AF" w:rsidP="00E804B7">
            <w:pPr>
              <w:pStyle w:val="Normal6"/>
              <w:rPr>
                <w:sz w:val="20"/>
              </w:rPr>
            </w:pPr>
            <w:r w:rsidRPr="00B7760C">
              <w:rPr>
                <w:sz w:val="20"/>
              </w:rPr>
              <w:t>Avstrija</w:t>
            </w:r>
          </w:p>
        </w:tc>
        <w:tc>
          <w:tcPr>
            <w:tcW w:w="1560" w:type="dxa"/>
            <w:tcBorders>
              <w:top w:val="single" w:sz="4" w:space="0" w:color="auto"/>
              <w:left w:val="single" w:sz="4" w:space="0" w:color="auto"/>
              <w:bottom w:val="single" w:sz="4" w:space="0" w:color="auto"/>
              <w:right w:val="single" w:sz="4" w:space="0" w:color="auto"/>
            </w:tcBorders>
            <w:hideMark/>
          </w:tcPr>
          <w:p w14:paraId="584F11C7" w14:textId="77777777" w:rsidR="003663AF" w:rsidRPr="00B7760C" w:rsidRDefault="003663AF" w:rsidP="00E804B7">
            <w:pPr>
              <w:pStyle w:val="Normal6"/>
              <w:jc w:val="right"/>
              <w:rPr>
                <w:b/>
                <w:bCs/>
                <w:i/>
                <w:iCs/>
                <w:sz w:val="20"/>
              </w:rPr>
            </w:pPr>
            <w:r w:rsidRPr="00B7760C">
              <w:rPr>
                <w:b/>
                <w:bCs/>
                <w:i/>
                <w:iCs/>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6C69D994"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33CCFE40"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5A429DE9"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48B0EA7B" w14:textId="77777777" w:rsidR="003663AF" w:rsidRPr="00B7760C" w:rsidRDefault="003663AF" w:rsidP="00E804B7">
            <w:pPr>
              <w:pStyle w:val="Normal6"/>
              <w:jc w:val="right"/>
              <w:rPr>
                <w:b/>
                <w:bCs/>
                <w:i/>
                <w:iCs/>
                <w:sz w:val="20"/>
              </w:rPr>
            </w:pPr>
            <w:r w:rsidRPr="00B7760C">
              <w:rPr>
                <w:b/>
                <w:bCs/>
                <w:i/>
                <w:iCs/>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46204DAB" w14:textId="77777777" w:rsidR="003663AF" w:rsidRPr="00B7760C" w:rsidRDefault="003663AF" w:rsidP="00E804B7">
            <w:pPr>
              <w:pStyle w:val="Normal6"/>
              <w:jc w:val="right"/>
              <w:rPr>
                <w:b/>
                <w:bCs/>
                <w:i/>
                <w:iCs/>
                <w:sz w:val="20"/>
              </w:rPr>
            </w:pPr>
            <w:r w:rsidRPr="00B7760C">
              <w:rPr>
                <w:b/>
                <w:bCs/>
                <w:i/>
                <w:iCs/>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605082EB"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7B23A272"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2DFE88BC" w14:textId="77777777" w:rsidR="003663AF" w:rsidRPr="00B7760C" w:rsidRDefault="003663AF" w:rsidP="00E804B7">
            <w:pPr>
              <w:pStyle w:val="Normal6"/>
              <w:rPr>
                <w:sz w:val="20"/>
              </w:rPr>
            </w:pPr>
            <w:r w:rsidRPr="00B7760C">
              <w:rPr>
                <w:sz w:val="20"/>
              </w:rPr>
              <w:t>Poljska</w:t>
            </w:r>
          </w:p>
        </w:tc>
        <w:tc>
          <w:tcPr>
            <w:tcW w:w="1560" w:type="dxa"/>
            <w:tcBorders>
              <w:top w:val="single" w:sz="4" w:space="0" w:color="auto"/>
              <w:left w:val="single" w:sz="4" w:space="0" w:color="auto"/>
              <w:bottom w:val="single" w:sz="4" w:space="0" w:color="auto"/>
              <w:right w:val="single" w:sz="4" w:space="0" w:color="auto"/>
            </w:tcBorders>
            <w:hideMark/>
          </w:tcPr>
          <w:p w14:paraId="18D06599" w14:textId="77777777" w:rsidR="003663AF" w:rsidRPr="00B7760C" w:rsidRDefault="003663AF" w:rsidP="00E804B7">
            <w:pPr>
              <w:pStyle w:val="Normal6"/>
              <w:jc w:val="right"/>
              <w:rPr>
                <w:b/>
                <w:bCs/>
                <w:i/>
                <w:iCs/>
                <w:sz w:val="20"/>
              </w:rPr>
            </w:pPr>
            <w:r w:rsidRPr="00B7760C">
              <w:rPr>
                <w:b/>
                <w:bCs/>
                <w:i/>
                <w:iCs/>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0DD65522"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728CB5D1"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1B28032C"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690E665B" w14:textId="77777777" w:rsidR="003663AF" w:rsidRPr="00B7760C" w:rsidRDefault="003663AF" w:rsidP="00E804B7">
            <w:pPr>
              <w:pStyle w:val="Normal6"/>
              <w:jc w:val="right"/>
              <w:rPr>
                <w:b/>
                <w:bCs/>
                <w:i/>
                <w:iCs/>
                <w:sz w:val="20"/>
              </w:rPr>
            </w:pPr>
            <w:r w:rsidRPr="00B7760C">
              <w:rPr>
                <w:b/>
                <w:bCs/>
                <w:i/>
                <w:iCs/>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687993D0" w14:textId="77777777" w:rsidR="003663AF" w:rsidRPr="00B7760C" w:rsidRDefault="003663AF" w:rsidP="00E804B7">
            <w:pPr>
              <w:pStyle w:val="Normal6"/>
              <w:jc w:val="right"/>
              <w:rPr>
                <w:b/>
                <w:bCs/>
                <w:i/>
                <w:iCs/>
                <w:sz w:val="20"/>
              </w:rPr>
            </w:pPr>
            <w:r w:rsidRPr="00B7760C">
              <w:rPr>
                <w:b/>
                <w:bCs/>
                <w:i/>
                <w:iCs/>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1B287BD7"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33A6D246"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211BEA39" w14:textId="77777777" w:rsidR="003663AF" w:rsidRPr="00B7760C" w:rsidRDefault="003663AF" w:rsidP="00E804B7">
            <w:pPr>
              <w:pStyle w:val="Normal6"/>
              <w:rPr>
                <w:sz w:val="20"/>
              </w:rPr>
            </w:pPr>
            <w:r w:rsidRPr="00B7760C">
              <w:rPr>
                <w:sz w:val="20"/>
              </w:rPr>
              <w:t>Portugalska</w:t>
            </w:r>
          </w:p>
        </w:tc>
        <w:tc>
          <w:tcPr>
            <w:tcW w:w="1560" w:type="dxa"/>
            <w:tcBorders>
              <w:top w:val="single" w:sz="4" w:space="0" w:color="auto"/>
              <w:left w:val="single" w:sz="4" w:space="0" w:color="auto"/>
              <w:bottom w:val="single" w:sz="4" w:space="0" w:color="auto"/>
              <w:right w:val="single" w:sz="4" w:space="0" w:color="auto"/>
            </w:tcBorders>
            <w:hideMark/>
          </w:tcPr>
          <w:p w14:paraId="46F55B75" w14:textId="77777777" w:rsidR="003663AF" w:rsidRPr="00B7760C" w:rsidRDefault="003663AF" w:rsidP="00E804B7">
            <w:pPr>
              <w:pStyle w:val="Normal6"/>
              <w:jc w:val="right"/>
              <w:rPr>
                <w:b/>
                <w:bCs/>
                <w:i/>
                <w:iCs/>
                <w:sz w:val="20"/>
              </w:rPr>
            </w:pPr>
            <w:r w:rsidRPr="00B7760C">
              <w:rPr>
                <w:b/>
                <w:bCs/>
                <w:i/>
                <w:iCs/>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4DC26DAC"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36F634FA"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1E5B3E54"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2D72D863" w14:textId="77777777" w:rsidR="003663AF" w:rsidRPr="00B7760C" w:rsidRDefault="003663AF" w:rsidP="00E804B7">
            <w:pPr>
              <w:pStyle w:val="Normal6"/>
              <w:jc w:val="right"/>
              <w:rPr>
                <w:b/>
                <w:bCs/>
                <w:i/>
                <w:iCs/>
                <w:sz w:val="20"/>
              </w:rPr>
            </w:pPr>
            <w:r w:rsidRPr="00B7760C">
              <w:rPr>
                <w:b/>
                <w:bCs/>
                <w:i/>
                <w:iCs/>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29E40676" w14:textId="77777777" w:rsidR="003663AF" w:rsidRPr="00B7760C" w:rsidRDefault="003663AF" w:rsidP="00E804B7">
            <w:pPr>
              <w:pStyle w:val="Normal6"/>
              <w:jc w:val="right"/>
              <w:rPr>
                <w:b/>
                <w:bCs/>
                <w:i/>
                <w:iCs/>
                <w:sz w:val="20"/>
              </w:rPr>
            </w:pPr>
            <w:r w:rsidRPr="00B7760C">
              <w:rPr>
                <w:b/>
                <w:bCs/>
                <w:i/>
                <w:iCs/>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2BD8B50F"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0E0263F1"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21DD8865" w14:textId="77777777" w:rsidR="003663AF" w:rsidRPr="00B7760C" w:rsidRDefault="003663AF" w:rsidP="00E804B7">
            <w:pPr>
              <w:pStyle w:val="Normal6"/>
              <w:rPr>
                <w:sz w:val="20"/>
              </w:rPr>
            </w:pPr>
            <w:r w:rsidRPr="00B7760C">
              <w:rPr>
                <w:sz w:val="20"/>
              </w:rPr>
              <w:t>Romunija</w:t>
            </w:r>
          </w:p>
        </w:tc>
        <w:tc>
          <w:tcPr>
            <w:tcW w:w="1560" w:type="dxa"/>
            <w:tcBorders>
              <w:top w:val="single" w:sz="4" w:space="0" w:color="auto"/>
              <w:left w:val="single" w:sz="4" w:space="0" w:color="auto"/>
              <w:bottom w:val="single" w:sz="4" w:space="0" w:color="auto"/>
              <w:right w:val="single" w:sz="4" w:space="0" w:color="auto"/>
            </w:tcBorders>
            <w:hideMark/>
          </w:tcPr>
          <w:p w14:paraId="4AC650AD" w14:textId="77777777" w:rsidR="003663AF" w:rsidRPr="00B7760C" w:rsidRDefault="003663AF" w:rsidP="00E804B7">
            <w:pPr>
              <w:pStyle w:val="Normal6"/>
              <w:jc w:val="right"/>
              <w:rPr>
                <w:b/>
                <w:bCs/>
                <w:i/>
                <w:iCs/>
                <w:sz w:val="20"/>
              </w:rPr>
            </w:pPr>
            <w:r w:rsidRPr="00B7760C">
              <w:rPr>
                <w:b/>
                <w:bCs/>
                <w:i/>
                <w:iCs/>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3511C95A"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066646A2"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1CB06C87"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374028F2" w14:textId="77777777" w:rsidR="003663AF" w:rsidRPr="00B7760C" w:rsidRDefault="003663AF" w:rsidP="00E804B7">
            <w:pPr>
              <w:pStyle w:val="Normal6"/>
              <w:jc w:val="right"/>
              <w:rPr>
                <w:b/>
                <w:bCs/>
                <w:i/>
                <w:iCs/>
                <w:sz w:val="20"/>
              </w:rPr>
            </w:pPr>
            <w:r w:rsidRPr="00B7760C">
              <w:rPr>
                <w:b/>
                <w:bCs/>
                <w:i/>
                <w:iCs/>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336FA4B5" w14:textId="77777777" w:rsidR="003663AF" w:rsidRPr="00B7760C" w:rsidRDefault="003663AF" w:rsidP="00E804B7">
            <w:pPr>
              <w:pStyle w:val="Normal6"/>
              <w:jc w:val="right"/>
              <w:rPr>
                <w:b/>
                <w:bCs/>
                <w:i/>
                <w:iCs/>
                <w:sz w:val="20"/>
              </w:rPr>
            </w:pPr>
            <w:r w:rsidRPr="00B7760C">
              <w:rPr>
                <w:b/>
                <w:bCs/>
                <w:i/>
                <w:iCs/>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5D0E7098"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4FA318CE"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0CC0DD89" w14:textId="77777777" w:rsidR="003663AF" w:rsidRPr="00B7760C" w:rsidRDefault="003663AF" w:rsidP="00E804B7">
            <w:pPr>
              <w:pStyle w:val="Normal6"/>
              <w:rPr>
                <w:sz w:val="20"/>
              </w:rPr>
            </w:pPr>
            <w:r w:rsidRPr="00B7760C">
              <w:rPr>
                <w:sz w:val="20"/>
              </w:rPr>
              <w:t>Slovenija</w:t>
            </w:r>
          </w:p>
        </w:tc>
        <w:tc>
          <w:tcPr>
            <w:tcW w:w="1560" w:type="dxa"/>
            <w:tcBorders>
              <w:top w:val="single" w:sz="4" w:space="0" w:color="auto"/>
              <w:left w:val="single" w:sz="4" w:space="0" w:color="auto"/>
              <w:bottom w:val="single" w:sz="4" w:space="0" w:color="auto"/>
              <w:right w:val="single" w:sz="4" w:space="0" w:color="auto"/>
            </w:tcBorders>
            <w:hideMark/>
          </w:tcPr>
          <w:p w14:paraId="5DFF8119" w14:textId="77777777" w:rsidR="003663AF" w:rsidRPr="00B7760C" w:rsidRDefault="003663AF" w:rsidP="00E804B7">
            <w:pPr>
              <w:pStyle w:val="Normal6"/>
              <w:jc w:val="right"/>
              <w:rPr>
                <w:b/>
                <w:bCs/>
                <w:i/>
                <w:iCs/>
                <w:sz w:val="20"/>
              </w:rPr>
            </w:pPr>
            <w:r w:rsidRPr="00B7760C">
              <w:rPr>
                <w:b/>
                <w:bCs/>
                <w:i/>
                <w:iCs/>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2E087BFE"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168985EF"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34E3E051"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252149A3" w14:textId="77777777" w:rsidR="003663AF" w:rsidRPr="00B7760C" w:rsidRDefault="003663AF" w:rsidP="00E804B7">
            <w:pPr>
              <w:pStyle w:val="Normal6"/>
              <w:jc w:val="right"/>
              <w:rPr>
                <w:b/>
                <w:bCs/>
                <w:i/>
                <w:iCs/>
                <w:sz w:val="20"/>
              </w:rPr>
            </w:pPr>
            <w:r w:rsidRPr="00B7760C">
              <w:rPr>
                <w:b/>
                <w:bCs/>
                <w:i/>
                <w:iCs/>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0912AD43" w14:textId="77777777" w:rsidR="003663AF" w:rsidRPr="00B7760C" w:rsidRDefault="003663AF" w:rsidP="00E804B7">
            <w:pPr>
              <w:pStyle w:val="Normal6"/>
              <w:jc w:val="right"/>
              <w:rPr>
                <w:b/>
                <w:bCs/>
                <w:i/>
                <w:iCs/>
                <w:sz w:val="20"/>
              </w:rPr>
            </w:pPr>
            <w:r w:rsidRPr="00B7760C">
              <w:rPr>
                <w:b/>
                <w:bCs/>
                <w:i/>
                <w:iCs/>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2C8D9BEA"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659A2DFA"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3EFB6489" w14:textId="77777777" w:rsidR="003663AF" w:rsidRPr="00B7760C" w:rsidRDefault="003663AF" w:rsidP="00E804B7">
            <w:pPr>
              <w:pStyle w:val="Normal6"/>
              <w:rPr>
                <w:sz w:val="20"/>
              </w:rPr>
            </w:pPr>
            <w:r w:rsidRPr="00B7760C">
              <w:rPr>
                <w:sz w:val="20"/>
              </w:rPr>
              <w:t>Slovaška</w:t>
            </w:r>
          </w:p>
        </w:tc>
        <w:tc>
          <w:tcPr>
            <w:tcW w:w="1560" w:type="dxa"/>
            <w:tcBorders>
              <w:top w:val="single" w:sz="4" w:space="0" w:color="auto"/>
              <w:left w:val="single" w:sz="4" w:space="0" w:color="auto"/>
              <w:bottom w:val="single" w:sz="4" w:space="0" w:color="auto"/>
              <w:right w:val="single" w:sz="4" w:space="0" w:color="auto"/>
            </w:tcBorders>
            <w:hideMark/>
          </w:tcPr>
          <w:p w14:paraId="4D4CC378" w14:textId="77777777" w:rsidR="003663AF" w:rsidRPr="00B7760C" w:rsidRDefault="003663AF" w:rsidP="00E804B7">
            <w:pPr>
              <w:pStyle w:val="Normal6"/>
              <w:jc w:val="right"/>
              <w:rPr>
                <w:b/>
                <w:bCs/>
                <w:i/>
                <w:iCs/>
                <w:sz w:val="20"/>
              </w:rPr>
            </w:pPr>
            <w:r w:rsidRPr="00B7760C">
              <w:rPr>
                <w:b/>
                <w:bCs/>
                <w:i/>
                <w:iCs/>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14F3BB6C"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6569D621"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28489D29"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04C1FA53" w14:textId="77777777" w:rsidR="003663AF" w:rsidRPr="00B7760C" w:rsidRDefault="003663AF" w:rsidP="00E804B7">
            <w:pPr>
              <w:pStyle w:val="Normal6"/>
              <w:jc w:val="right"/>
              <w:rPr>
                <w:b/>
                <w:bCs/>
                <w:i/>
                <w:iCs/>
                <w:sz w:val="20"/>
              </w:rPr>
            </w:pPr>
            <w:r w:rsidRPr="00B7760C">
              <w:rPr>
                <w:b/>
                <w:bCs/>
                <w:i/>
                <w:iCs/>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20AD001F" w14:textId="77777777" w:rsidR="003663AF" w:rsidRPr="00B7760C" w:rsidRDefault="003663AF" w:rsidP="00E804B7">
            <w:pPr>
              <w:pStyle w:val="Normal6"/>
              <w:jc w:val="right"/>
              <w:rPr>
                <w:b/>
                <w:bCs/>
                <w:i/>
                <w:iCs/>
                <w:sz w:val="20"/>
              </w:rPr>
            </w:pPr>
            <w:r w:rsidRPr="00B7760C">
              <w:rPr>
                <w:b/>
                <w:bCs/>
                <w:i/>
                <w:iCs/>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27EA610E"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7878AF09"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66E2AC21" w14:textId="77777777" w:rsidR="003663AF" w:rsidRPr="00B7760C" w:rsidRDefault="003663AF" w:rsidP="00E804B7">
            <w:pPr>
              <w:pStyle w:val="Normal6"/>
              <w:rPr>
                <w:sz w:val="20"/>
              </w:rPr>
            </w:pPr>
            <w:r w:rsidRPr="00B7760C">
              <w:rPr>
                <w:sz w:val="20"/>
              </w:rPr>
              <w:t>Finska</w:t>
            </w:r>
          </w:p>
        </w:tc>
        <w:tc>
          <w:tcPr>
            <w:tcW w:w="1560" w:type="dxa"/>
            <w:tcBorders>
              <w:top w:val="single" w:sz="4" w:space="0" w:color="auto"/>
              <w:left w:val="single" w:sz="4" w:space="0" w:color="auto"/>
              <w:bottom w:val="single" w:sz="4" w:space="0" w:color="auto"/>
              <w:right w:val="single" w:sz="4" w:space="0" w:color="auto"/>
            </w:tcBorders>
            <w:hideMark/>
          </w:tcPr>
          <w:p w14:paraId="20F265CD" w14:textId="77777777" w:rsidR="003663AF" w:rsidRPr="00B7760C" w:rsidRDefault="003663AF" w:rsidP="00E804B7">
            <w:pPr>
              <w:pStyle w:val="Normal6"/>
              <w:jc w:val="right"/>
              <w:rPr>
                <w:b/>
                <w:bCs/>
                <w:i/>
                <w:iCs/>
                <w:sz w:val="20"/>
              </w:rPr>
            </w:pPr>
            <w:r w:rsidRPr="00B7760C">
              <w:rPr>
                <w:b/>
                <w:bCs/>
                <w:i/>
                <w:iCs/>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0E382DF6"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1C47EA98"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0DFF93DA"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20D7C260" w14:textId="77777777" w:rsidR="003663AF" w:rsidRPr="00B7760C" w:rsidRDefault="003663AF" w:rsidP="00E804B7">
            <w:pPr>
              <w:pStyle w:val="Normal6"/>
              <w:jc w:val="right"/>
              <w:rPr>
                <w:b/>
                <w:bCs/>
                <w:i/>
                <w:iCs/>
                <w:sz w:val="20"/>
              </w:rPr>
            </w:pPr>
            <w:r w:rsidRPr="00B7760C">
              <w:rPr>
                <w:b/>
                <w:bCs/>
                <w:i/>
                <w:iCs/>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1048AEDA" w14:textId="77777777" w:rsidR="003663AF" w:rsidRPr="00B7760C" w:rsidRDefault="003663AF" w:rsidP="00E804B7">
            <w:pPr>
              <w:pStyle w:val="Normal6"/>
              <w:jc w:val="right"/>
              <w:rPr>
                <w:b/>
                <w:bCs/>
                <w:i/>
                <w:iCs/>
                <w:sz w:val="20"/>
              </w:rPr>
            </w:pPr>
            <w:r w:rsidRPr="00B7760C">
              <w:rPr>
                <w:b/>
                <w:bCs/>
                <w:i/>
                <w:iCs/>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4F6889BB"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5D8E7369"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48DFDFE2" w14:textId="77777777" w:rsidR="003663AF" w:rsidRPr="00B7760C" w:rsidRDefault="003663AF" w:rsidP="00E804B7">
            <w:pPr>
              <w:pStyle w:val="Normal6"/>
              <w:rPr>
                <w:sz w:val="20"/>
              </w:rPr>
            </w:pPr>
            <w:r w:rsidRPr="00B7760C">
              <w:rPr>
                <w:sz w:val="20"/>
              </w:rPr>
              <w:t>Švedska</w:t>
            </w:r>
          </w:p>
        </w:tc>
        <w:tc>
          <w:tcPr>
            <w:tcW w:w="1560" w:type="dxa"/>
            <w:tcBorders>
              <w:top w:val="single" w:sz="4" w:space="0" w:color="auto"/>
              <w:left w:val="single" w:sz="4" w:space="0" w:color="auto"/>
              <w:bottom w:val="single" w:sz="4" w:space="0" w:color="auto"/>
              <w:right w:val="single" w:sz="4" w:space="0" w:color="auto"/>
            </w:tcBorders>
            <w:hideMark/>
          </w:tcPr>
          <w:p w14:paraId="4F9CC56E" w14:textId="77777777" w:rsidR="003663AF" w:rsidRPr="00B7760C" w:rsidRDefault="003663AF" w:rsidP="00E804B7">
            <w:pPr>
              <w:pStyle w:val="Normal6"/>
              <w:jc w:val="right"/>
              <w:rPr>
                <w:b/>
                <w:bCs/>
                <w:i/>
                <w:iCs/>
                <w:sz w:val="20"/>
              </w:rPr>
            </w:pPr>
            <w:r w:rsidRPr="00B7760C">
              <w:rPr>
                <w:b/>
                <w:bCs/>
                <w:i/>
                <w:iCs/>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4C4EEF1E"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0B3829CB"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04A806B3"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3D15AC1D" w14:textId="77777777" w:rsidR="003663AF" w:rsidRPr="00B7760C" w:rsidRDefault="003663AF" w:rsidP="00E804B7">
            <w:pPr>
              <w:pStyle w:val="Normal6"/>
              <w:jc w:val="right"/>
              <w:rPr>
                <w:b/>
                <w:bCs/>
                <w:i/>
                <w:iCs/>
                <w:sz w:val="20"/>
              </w:rPr>
            </w:pPr>
            <w:r w:rsidRPr="00B7760C">
              <w:rPr>
                <w:b/>
                <w:bCs/>
                <w:i/>
                <w:iCs/>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03789906" w14:textId="77777777" w:rsidR="003663AF" w:rsidRPr="00B7760C" w:rsidRDefault="003663AF" w:rsidP="00E804B7">
            <w:pPr>
              <w:pStyle w:val="Normal6"/>
              <w:jc w:val="right"/>
              <w:rPr>
                <w:b/>
                <w:bCs/>
                <w:i/>
                <w:iCs/>
                <w:sz w:val="20"/>
              </w:rPr>
            </w:pPr>
            <w:r w:rsidRPr="00B7760C">
              <w:rPr>
                <w:b/>
                <w:bCs/>
                <w:i/>
                <w:iCs/>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44932F68"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7F8B678A" w14:textId="77777777" w:rsidTr="00E804B7">
        <w:trPr>
          <w:cantSplit/>
          <w:trHeight w:val="255"/>
          <w:jc w:val="center"/>
        </w:trPr>
        <w:tc>
          <w:tcPr>
            <w:tcW w:w="11442" w:type="dxa"/>
            <w:gridSpan w:val="7"/>
            <w:tcBorders>
              <w:top w:val="single" w:sz="4" w:space="0" w:color="auto"/>
              <w:left w:val="nil"/>
              <w:bottom w:val="single" w:sz="4" w:space="0" w:color="auto"/>
              <w:right w:val="nil"/>
            </w:tcBorders>
            <w:vAlign w:val="center"/>
          </w:tcPr>
          <w:p w14:paraId="3CEE59B0" w14:textId="77777777" w:rsidR="003663AF" w:rsidRPr="00B7760C" w:rsidRDefault="003663AF" w:rsidP="00E804B7">
            <w:pPr>
              <w:rPr>
                <w:sz w:val="20"/>
              </w:rPr>
            </w:pPr>
          </w:p>
        </w:tc>
        <w:tc>
          <w:tcPr>
            <w:tcW w:w="1781" w:type="dxa"/>
            <w:tcBorders>
              <w:top w:val="single" w:sz="4" w:space="0" w:color="auto"/>
              <w:left w:val="nil"/>
              <w:bottom w:val="single" w:sz="4" w:space="0" w:color="auto"/>
              <w:right w:val="nil"/>
            </w:tcBorders>
          </w:tcPr>
          <w:p w14:paraId="1EF386E9" w14:textId="77777777" w:rsidR="003663AF" w:rsidRPr="00B7760C" w:rsidRDefault="003663AF" w:rsidP="00E804B7">
            <w:pPr>
              <w:rPr>
                <w:sz w:val="20"/>
              </w:rPr>
            </w:pPr>
          </w:p>
        </w:tc>
      </w:tr>
    </w:tbl>
    <w:p w14:paraId="2210239A" w14:textId="77777777" w:rsidR="003663AF" w:rsidRPr="00B7760C" w:rsidRDefault="003663AF" w:rsidP="003663AF"/>
    <w:p w14:paraId="60329832" w14:textId="73C05D7A" w:rsidR="003663AF" w:rsidRPr="00B7760C" w:rsidRDefault="00877691" w:rsidP="003663AF">
      <w:pPr>
        <w:pStyle w:val="AMNumberTabs"/>
        <w:keepNext/>
      </w:pPr>
      <w:r w:rsidRPr="00B7760C">
        <w:t>Sprememba</w:t>
      </w:r>
      <w:r w:rsidR="003663AF" w:rsidRPr="00B7760C">
        <w:tab/>
      </w:r>
      <w:r w:rsidR="003663AF" w:rsidRPr="00B7760C">
        <w:tab/>
        <w:t>719</w:t>
      </w:r>
    </w:p>
    <w:p w14:paraId="10059A6C" w14:textId="77777777" w:rsidR="003663AF" w:rsidRPr="00B7760C" w:rsidRDefault="003663AF" w:rsidP="003663AF">
      <w:pPr>
        <w:pStyle w:val="NormalBold12b"/>
        <w:keepNext/>
      </w:pPr>
      <w:r w:rsidRPr="00B7760C">
        <w:t>Predlog uredbe</w:t>
      </w:r>
    </w:p>
    <w:p w14:paraId="4201D60F" w14:textId="77777777" w:rsidR="003663AF" w:rsidRPr="00B7760C" w:rsidRDefault="003663AF" w:rsidP="003663AF">
      <w:pPr>
        <w:pStyle w:val="NormalBold"/>
        <w:keepNext/>
      </w:pPr>
      <w:r w:rsidRPr="00B7760C">
        <w:t>Priloga V – preglednica</w:t>
      </w:r>
    </w:p>
    <w:tbl>
      <w:tblPr>
        <w:tblW w:w="0" w:type="dxa"/>
        <w:tblLayout w:type="fixed"/>
        <w:tblCellMar>
          <w:left w:w="340" w:type="dxa"/>
          <w:right w:w="340" w:type="dxa"/>
        </w:tblCellMar>
        <w:tblLook w:val="04A0" w:firstRow="1" w:lastRow="0" w:firstColumn="1" w:lastColumn="0" w:noHBand="0" w:noVBand="1"/>
      </w:tblPr>
      <w:tblGrid>
        <w:gridCol w:w="4876"/>
        <w:gridCol w:w="4876"/>
      </w:tblGrid>
      <w:tr w:rsidR="003663AF" w:rsidRPr="00B7760C" w14:paraId="060C5FCF" w14:textId="77777777" w:rsidTr="00E804B7">
        <w:tc>
          <w:tcPr>
            <w:tcW w:w="9752" w:type="dxa"/>
            <w:gridSpan w:val="2"/>
          </w:tcPr>
          <w:p w14:paraId="5B7DD976" w14:textId="77777777" w:rsidR="003663AF" w:rsidRPr="00B7760C" w:rsidRDefault="003663AF" w:rsidP="00E804B7">
            <w:pPr>
              <w:keepNext/>
            </w:pPr>
          </w:p>
        </w:tc>
      </w:tr>
      <w:tr w:rsidR="003663AF" w:rsidRPr="00B7760C" w14:paraId="397755ED" w14:textId="77777777" w:rsidTr="00E804B7">
        <w:tc>
          <w:tcPr>
            <w:tcW w:w="9752" w:type="dxa"/>
            <w:gridSpan w:val="2"/>
            <w:tcBorders>
              <w:top w:val="nil"/>
              <w:left w:val="nil"/>
              <w:bottom w:val="single" w:sz="4" w:space="0" w:color="auto"/>
              <w:right w:val="nil"/>
            </w:tcBorders>
            <w:hideMark/>
          </w:tcPr>
          <w:p w14:paraId="23C436CF" w14:textId="77777777" w:rsidR="003663AF" w:rsidRPr="00B7760C" w:rsidRDefault="003663AF" w:rsidP="00E804B7">
            <w:pPr>
              <w:pStyle w:val="ColumnHeading"/>
              <w:keepNext/>
              <w:jc w:val="left"/>
            </w:pPr>
            <w:r w:rsidRPr="00B7760C">
              <w:t>Besedilo, ki ga predlaga Komisija</w:t>
            </w:r>
          </w:p>
        </w:tc>
      </w:tr>
      <w:tr w:rsidR="003663AF" w:rsidRPr="00B7760C" w14:paraId="4CD830CC" w14:textId="77777777" w:rsidTr="00E804B7">
        <w:tc>
          <w:tcPr>
            <w:tcW w:w="9752" w:type="dxa"/>
            <w:gridSpan w:val="2"/>
            <w:tcBorders>
              <w:top w:val="single" w:sz="4" w:space="0" w:color="auto"/>
              <w:left w:val="single" w:sz="4" w:space="0" w:color="auto"/>
              <w:bottom w:val="single" w:sz="4" w:space="0" w:color="auto"/>
              <w:right w:val="single" w:sz="4" w:space="0" w:color="auto"/>
            </w:tcBorders>
            <w:hideMark/>
          </w:tcPr>
          <w:p w14:paraId="32283DD0" w14:textId="77777777" w:rsidR="003663AF" w:rsidRPr="00B7760C" w:rsidRDefault="003663AF" w:rsidP="00E804B7">
            <w:pPr>
              <w:pStyle w:val="Normal6"/>
            </w:pPr>
            <w:r w:rsidRPr="00B7760C">
              <w:t>LETNE DODELITVE DRŽAV ČLANIC ZA VRSTE INTERVENCIJ V VINSKEM SEKTORJU IZ ČLENA 82(1)</w:t>
            </w:r>
          </w:p>
        </w:tc>
      </w:tr>
      <w:tr w:rsidR="003663AF" w:rsidRPr="00B7760C" w14:paraId="3715A21A" w14:textId="77777777" w:rsidTr="00E804B7">
        <w:tc>
          <w:tcPr>
            <w:tcW w:w="4876" w:type="dxa"/>
            <w:tcBorders>
              <w:top w:val="single" w:sz="4" w:space="0" w:color="auto"/>
              <w:left w:val="single" w:sz="4" w:space="0" w:color="auto"/>
              <w:bottom w:val="single" w:sz="4" w:space="0" w:color="auto"/>
              <w:right w:val="single" w:sz="4" w:space="0" w:color="auto"/>
            </w:tcBorders>
          </w:tcPr>
          <w:p w14:paraId="1CD4F2F4" w14:textId="77777777" w:rsidR="003663AF" w:rsidRPr="00B7760C" w:rsidRDefault="003663AF" w:rsidP="00E804B7">
            <w:pPr>
              <w:pStyle w:val="Normal6"/>
            </w:pPr>
          </w:p>
        </w:tc>
        <w:tc>
          <w:tcPr>
            <w:tcW w:w="4876" w:type="dxa"/>
            <w:tcBorders>
              <w:top w:val="single" w:sz="4" w:space="0" w:color="auto"/>
              <w:left w:val="single" w:sz="4" w:space="0" w:color="auto"/>
              <w:bottom w:val="single" w:sz="4" w:space="0" w:color="auto"/>
              <w:right w:val="single" w:sz="4" w:space="0" w:color="auto"/>
            </w:tcBorders>
            <w:hideMark/>
          </w:tcPr>
          <w:p w14:paraId="3079433F" w14:textId="77777777" w:rsidR="003663AF" w:rsidRPr="00B7760C" w:rsidRDefault="003663AF" w:rsidP="00E804B7">
            <w:pPr>
              <w:jc w:val="right"/>
            </w:pPr>
            <w:r w:rsidRPr="00B7760C">
              <w:t>EUR (</w:t>
            </w:r>
            <w:r w:rsidRPr="00B7760C">
              <w:rPr>
                <w:rStyle w:val="Normal6Char"/>
                <w:sz w:val="20"/>
              </w:rPr>
              <w:t>tekoče cene)</w:t>
            </w:r>
          </w:p>
        </w:tc>
      </w:tr>
      <w:tr w:rsidR="003663AF" w:rsidRPr="00B7760C" w14:paraId="64BE453F" w14:textId="77777777" w:rsidTr="00E804B7">
        <w:tc>
          <w:tcPr>
            <w:tcW w:w="4876" w:type="dxa"/>
            <w:tcBorders>
              <w:top w:val="single" w:sz="4" w:space="0" w:color="auto"/>
              <w:left w:val="single" w:sz="4" w:space="0" w:color="auto"/>
              <w:bottom w:val="single" w:sz="4" w:space="0" w:color="auto"/>
              <w:right w:val="single" w:sz="4" w:space="0" w:color="auto"/>
            </w:tcBorders>
            <w:hideMark/>
          </w:tcPr>
          <w:p w14:paraId="53F88D98" w14:textId="77777777" w:rsidR="003663AF" w:rsidRPr="00B7760C" w:rsidRDefault="003663AF" w:rsidP="00E804B7">
            <w:pPr>
              <w:pStyle w:val="Normal6"/>
            </w:pPr>
            <w:r w:rsidRPr="00B7760C">
              <w:t>Bolgarija</w:t>
            </w:r>
          </w:p>
        </w:tc>
        <w:tc>
          <w:tcPr>
            <w:tcW w:w="4876" w:type="dxa"/>
            <w:tcBorders>
              <w:top w:val="single" w:sz="4" w:space="0" w:color="auto"/>
              <w:left w:val="single" w:sz="4" w:space="0" w:color="auto"/>
              <w:bottom w:val="single" w:sz="4" w:space="0" w:color="auto"/>
              <w:right w:val="single" w:sz="4" w:space="0" w:color="auto"/>
            </w:tcBorders>
            <w:vAlign w:val="center"/>
            <w:hideMark/>
          </w:tcPr>
          <w:p w14:paraId="015CEB5F" w14:textId="77777777" w:rsidR="003663AF" w:rsidRPr="00B7760C" w:rsidRDefault="003663AF" w:rsidP="00E804B7">
            <w:pPr>
              <w:pStyle w:val="Normal6"/>
              <w:jc w:val="right"/>
              <w:rPr>
                <w:b/>
                <w:i/>
              </w:rPr>
            </w:pPr>
            <w:r w:rsidRPr="00B7760C">
              <w:rPr>
                <w:b/>
                <w:i/>
              </w:rPr>
              <w:t>25 721 000</w:t>
            </w:r>
          </w:p>
        </w:tc>
      </w:tr>
      <w:tr w:rsidR="003663AF" w:rsidRPr="00B7760C" w14:paraId="47188065" w14:textId="77777777" w:rsidTr="00E804B7">
        <w:tc>
          <w:tcPr>
            <w:tcW w:w="4876" w:type="dxa"/>
            <w:tcBorders>
              <w:top w:val="single" w:sz="4" w:space="0" w:color="auto"/>
              <w:left w:val="single" w:sz="4" w:space="0" w:color="auto"/>
              <w:bottom w:val="single" w:sz="4" w:space="0" w:color="auto"/>
              <w:right w:val="single" w:sz="4" w:space="0" w:color="auto"/>
            </w:tcBorders>
            <w:hideMark/>
          </w:tcPr>
          <w:p w14:paraId="72736265" w14:textId="77777777" w:rsidR="003663AF" w:rsidRPr="00B7760C" w:rsidRDefault="003663AF" w:rsidP="00E804B7">
            <w:pPr>
              <w:pStyle w:val="Normal6"/>
            </w:pPr>
            <w:r w:rsidRPr="00B7760C">
              <w:t>Češka</w:t>
            </w:r>
          </w:p>
        </w:tc>
        <w:tc>
          <w:tcPr>
            <w:tcW w:w="4876" w:type="dxa"/>
            <w:tcBorders>
              <w:top w:val="single" w:sz="4" w:space="0" w:color="auto"/>
              <w:left w:val="single" w:sz="4" w:space="0" w:color="auto"/>
              <w:bottom w:val="single" w:sz="4" w:space="0" w:color="auto"/>
              <w:right w:val="single" w:sz="4" w:space="0" w:color="auto"/>
            </w:tcBorders>
            <w:vAlign w:val="center"/>
            <w:hideMark/>
          </w:tcPr>
          <w:p w14:paraId="4F92A032" w14:textId="77777777" w:rsidR="003663AF" w:rsidRPr="00B7760C" w:rsidRDefault="003663AF" w:rsidP="00E804B7">
            <w:pPr>
              <w:pStyle w:val="Normal6"/>
              <w:jc w:val="right"/>
              <w:rPr>
                <w:b/>
                <w:i/>
              </w:rPr>
            </w:pPr>
            <w:r w:rsidRPr="00B7760C">
              <w:rPr>
                <w:b/>
                <w:i/>
              </w:rPr>
              <w:t>4 954 000</w:t>
            </w:r>
          </w:p>
        </w:tc>
      </w:tr>
      <w:tr w:rsidR="003663AF" w:rsidRPr="00B7760C" w14:paraId="3D9E7254" w14:textId="77777777" w:rsidTr="00E804B7">
        <w:tc>
          <w:tcPr>
            <w:tcW w:w="4876" w:type="dxa"/>
            <w:tcBorders>
              <w:top w:val="single" w:sz="4" w:space="0" w:color="auto"/>
              <w:left w:val="single" w:sz="4" w:space="0" w:color="auto"/>
              <w:bottom w:val="single" w:sz="4" w:space="0" w:color="auto"/>
              <w:right w:val="single" w:sz="4" w:space="0" w:color="auto"/>
            </w:tcBorders>
            <w:hideMark/>
          </w:tcPr>
          <w:p w14:paraId="1202818E" w14:textId="77777777" w:rsidR="003663AF" w:rsidRPr="00B7760C" w:rsidRDefault="003663AF" w:rsidP="00E804B7">
            <w:pPr>
              <w:pStyle w:val="Normal6"/>
            </w:pPr>
            <w:r w:rsidRPr="00B7760C">
              <w:t>Nemčija</w:t>
            </w:r>
          </w:p>
        </w:tc>
        <w:tc>
          <w:tcPr>
            <w:tcW w:w="4876" w:type="dxa"/>
            <w:tcBorders>
              <w:top w:val="single" w:sz="4" w:space="0" w:color="auto"/>
              <w:left w:val="single" w:sz="4" w:space="0" w:color="auto"/>
              <w:bottom w:val="single" w:sz="4" w:space="0" w:color="auto"/>
              <w:right w:val="single" w:sz="4" w:space="0" w:color="auto"/>
            </w:tcBorders>
            <w:hideMark/>
          </w:tcPr>
          <w:p w14:paraId="0530D66B" w14:textId="77777777" w:rsidR="003663AF" w:rsidRPr="00B7760C" w:rsidRDefault="003663AF" w:rsidP="00E804B7">
            <w:pPr>
              <w:pStyle w:val="Normal6"/>
              <w:jc w:val="right"/>
              <w:rPr>
                <w:b/>
                <w:i/>
              </w:rPr>
            </w:pPr>
            <w:r w:rsidRPr="00B7760C">
              <w:rPr>
                <w:b/>
                <w:i/>
              </w:rPr>
              <w:t>37 381 000</w:t>
            </w:r>
          </w:p>
        </w:tc>
      </w:tr>
      <w:tr w:rsidR="003663AF" w:rsidRPr="00B7760C" w14:paraId="7C50A1A4" w14:textId="77777777" w:rsidTr="00E804B7">
        <w:tc>
          <w:tcPr>
            <w:tcW w:w="4876" w:type="dxa"/>
            <w:tcBorders>
              <w:top w:val="single" w:sz="4" w:space="0" w:color="auto"/>
              <w:left w:val="single" w:sz="4" w:space="0" w:color="auto"/>
              <w:bottom w:val="single" w:sz="4" w:space="0" w:color="auto"/>
              <w:right w:val="single" w:sz="4" w:space="0" w:color="auto"/>
            </w:tcBorders>
            <w:vAlign w:val="center"/>
            <w:hideMark/>
          </w:tcPr>
          <w:p w14:paraId="0294E7D9" w14:textId="77777777" w:rsidR="003663AF" w:rsidRPr="00B7760C" w:rsidRDefault="003663AF" w:rsidP="00E804B7">
            <w:pPr>
              <w:pStyle w:val="Normal6"/>
            </w:pPr>
            <w:r w:rsidRPr="00B7760C">
              <w:t>Grčija</w:t>
            </w:r>
          </w:p>
        </w:tc>
        <w:tc>
          <w:tcPr>
            <w:tcW w:w="4876" w:type="dxa"/>
            <w:tcBorders>
              <w:top w:val="single" w:sz="4" w:space="0" w:color="auto"/>
              <w:left w:val="single" w:sz="4" w:space="0" w:color="auto"/>
              <w:bottom w:val="single" w:sz="4" w:space="0" w:color="auto"/>
              <w:right w:val="single" w:sz="4" w:space="0" w:color="auto"/>
            </w:tcBorders>
            <w:vAlign w:val="center"/>
            <w:hideMark/>
          </w:tcPr>
          <w:p w14:paraId="258F0F74" w14:textId="77777777" w:rsidR="003663AF" w:rsidRPr="00B7760C" w:rsidRDefault="003663AF" w:rsidP="00E804B7">
            <w:pPr>
              <w:pStyle w:val="Normal6"/>
              <w:jc w:val="right"/>
              <w:rPr>
                <w:b/>
                <w:i/>
              </w:rPr>
            </w:pPr>
            <w:r w:rsidRPr="00B7760C">
              <w:rPr>
                <w:b/>
                <w:i/>
              </w:rPr>
              <w:t>23 030 000</w:t>
            </w:r>
          </w:p>
        </w:tc>
      </w:tr>
      <w:tr w:rsidR="003663AF" w:rsidRPr="00B7760C" w14:paraId="3CB9D6B7" w14:textId="77777777" w:rsidTr="00E804B7">
        <w:tc>
          <w:tcPr>
            <w:tcW w:w="4876" w:type="dxa"/>
            <w:tcBorders>
              <w:top w:val="single" w:sz="4" w:space="0" w:color="auto"/>
              <w:left w:val="single" w:sz="4" w:space="0" w:color="auto"/>
              <w:bottom w:val="single" w:sz="4" w:space="0" w:color="auto"/>
              <w:right w:val="single" w:sz="4" w:space="0" w:color="auto"/>
            </w:tcBorders>
            <w:vAlign w:val="center"/>
            <w:hideMark/>
          </w:tcPr>
          <w:p w14:paraId="3C5612E1" w14:textId="77777777" w:rsidR="003663AF" w:rsidRPr="00B7760C" w:rsidRDefault="003663AF" w:rsidP="00E804B7">
            <w:pPr>
              <w:pStyle w:val="Normal6"/>
            </w:pPr>
            <w:r w:rsidRPr="00B7760C">
              <w:t>Španija</w:t>
            </w:r>
          </w:p>
        </w:tc>
        <w:tc>
          <w:tcPr>
            <w:tcW w:w="4876" w:type="dxa"/>
            <w:tcBorders>
              <w:top w:val="single" w:sz="4" w:space="0" w:color="auto"/>
              <w:left w:val="single" w:sz="4" w:space="0" w:color="auto"/>
              <w:bottom w:val="single" w:sz="4" w:space="0" w:color="auto"/>
              <w:right w:val="single" w:sz="4" w:space="0" w:color="auto"/>
            </w:tcBorders>
            <w:vAlign w:val="center"/>
            <w:hideMark/>
          </w:tcPr>
          <w:p w14:paraId="4D1F16C8" w14:textId="77777777" w:rsidR="003663AF" w:rsidRPr="00B7760C" w:rsidRDefault="003663AF" w:rsidP="00E804B7">
            <w:pPr>
              <w:pStyle w:val="Normal6"/>
              <w:jc w:val="right"/>
              <w:rPr>
                <w:b/>
                <w:i/>
              </w:rPr>
            </w:pPr>
            <w:r w:rsidRPr="00B7760C">
              <w:rPr>
                <w:b/>
                <w:i/>
              </w:rPr>
              <w:t>202 147 000</w:t>
            </w:r>
          </w:p>
        </w:tc>
      </w:tr>
      <w:tr w:rsidR="003663AF" w:rsidRPr="00B7760C" w14:paraId="0F1C86EA" w14:textId="77777777" w:rsidTr="00E804B7">
        <w:tc>
          <w:tcPr>
            <w:tcW w:w="4876" w:type="dxa"/>
            <w:tcBorders>
              <w:top w:val="single" w:sz="4" w:space="0" w:color="auto"/>
              <w:left w:val="single" w:sz="4" w:space="0" w:color="auto"/>
              <w:bottom w:val="single" w:sz="4" w:space="0" w:color="auto"/>
              <w:right w:val="single" w:sz="4" w:space="0" w:color="auto"/>
            </w:tcBorders>
            <w:vAlign w:val="center"/>
            <w:hideMark/>
          </w:tcPr>
          <w:p w14:paraId="406EFF13" w14:textId="77777777" w:rsidR="003663AF" w:rsidRPr="00B7760C" w:rsidRDefault="003663AF" w:rsidP="00E804B7">
            <w:pPr>
              <w:pStyle w:val="Normal6"/>
            </w:pPr>
            <w:r w:rsidRPr="00B7760C">
              <w:t>Francija</w:t>
            </w:r>
          </w:p>
        </w:tc>
        <w:tc>
          <w:tcPr>
            <w:tcW w:w="4876" w:type="dxa"/>
            <w:tcBorders>
              <w:top w:val="single" w:sz="4" w:space="0" w:color="auto"/>
              <w:left w:val="single" w:sz="4" w:space="0" w:color="auto"/>
              <w:bottom w:val="single" w:sz="4" w:space="0" w:color="auto"/>
              <w:right w:val="single" w:sz="4" w:space="0" w:color="auto"/>
            </w:tcBorders>
            <w:vAlign w:val="center"/>
            <w:hideMark/>
          </w:tcPr>
          <w:p w14:paraId="7D3C5883" w14:textId="77777777" w:rsidR="003663AF" w:rsidRPr="00B7760C" w:rsidRDefault="003663AF" w:rsidP="00E804B7">
            <w:pPr>
              <w:pStyle w:val="Normal6"/>
              <w:jc w:val="right"/>
              <w:rPr>
                <w:b/>
                <w:i/>
              </w:rPr>
            </w:pPr>
            <w:r w:rsidRPr="00B7760C">
              <w:rPr>
                <w:b/>
                <w:i/>
              </w:rPr>
              <w:t>269 628 000</w:t>
            </w:r>
          </w:p>
        </w:tc>
      </w:tr>
      <w:tr w:rsidR="003663AF" w:rsidRPr="00B7760C" w14:paraId="6F5B4B5B" w14:textId="77777777" w:rsidTr="00E804B7">
        <w:tc>
          <w:tcPr>
            <w:tcW w:w="4876" w:type="dxa"/>
            <w:tcBorders>
              <w:top w:val="single" w:sz="4" w:space="0" w:color="auto"/>
              <w:left w:val="single" w:sz="4" w:space="0" w:color="auto"/>
              <w:bottom w:val="single" w:sz="4" w:space="0" w:color="auto"/>
              <w:right w:val="single" w:sz="4" w:space="0" w:color="auto"/>
            </w:tcBorders>
            <w:vAlign w:val="center"/>
            <w:hideMark/>
          </w:tcPr>
          <w:p w14:paraId="54707315" w14:textId="77777777" w:rsidR="003663AF" w:rsidRPr="00B7760C" w:rsidRDefault="003663AF" w:rsidP="00E804B7">
            <w:pPr>
              <w:pStyle w:val="Normal6"/>
            </w:pPr>
            <w:r w:rsidRPr="00B7760C">
              <w:t>Hrvaška</w:t>
            </w:r>
          </w:p>
        </w:tc>
        <w:tc>
          <w:tcPr>
            <w:tcW w:w="4876" w:type="dxa"/>
            <w:tcBorders>
              <w:top w:val="single" w:sz="4" w:space="0" w:color="auto"/>
              <w:left w:val="single" w:sz="4" w:space="0" w:color="auto"/>
              <w:bottom w:val="single" w:sz="4" w:space="0" w:color="auto"/>
              <w:right w:val="single" w:sz="4" w:space="0" w:color="auto"/>
            </w:tcBorders>
            <w:vAlign w:val="center"/>
            <w:hideMark/>
          </w:tcPr>
          <w:p w14:paraId="78FBCFAE" w14:textId="77777777" w:rsidR="003663AF" w:rsidRPr="00B7760C" w:rsidRDefault="003663AF" w:rsidP="00E804B7">
            <w:pPr>
              <w:pStyle w:val="Normal6"/>
              <w:jc w:val="right"/>
              <w:rPr>
                <w:b/>
                <w:i/>
              </w:rPr>
            </w:pPr>
            <w:r w:rsidRPr="00B7760C">
              <w:rPr>
                <w:b/>
                <w:i/>
              </w:rPr>
              <w:t>10 410 000</w:t>
            </w:r>
          </w:p>
        </w:tc>
      </w:tr>
      <w:tr w:rsidR="003663AF" w:rsidRPr="00B7760C" w14:paraId="1B4C62D1" w14:textId="77777777" w:rsidTr="00E804B7">
        <w:tc>
          <w:tcPr>
            <w:tcW w:w="4876" w:type="dxa"/>
            <w:tcBorders>
              <w:top w:val="single" w:sz="4" w:space="0" w:color="auto"/>
              <w:left w:val="single" w:sz="4" w:space="0" w:color="auto"/>
              <w:bottom w:val="single" w:sz="4" w:space="0" w:color="auto"/>
              <w:right w:val="single" w:sz="4" w:space="0" w:color="auto"/>
            </w:tcBorders>
            <w:vAlign w:val="center"/>
            <w:hideMark/>
          </w:tcPr>
          <w:p w14:paraId="1C66D9B9" w14:textId="77777777" w:rsidR="003663AF" w:rsidRPr="00B7760C" w:rsidRDefault="003663AF" w:rsidP="00E804B7">
            <w:pPr>
              <w:pStyle w:val="Normal6"/>
            </w:pPr>
            <w:r w:rsidRPr="00B7760C">
              <w:t>Italija</w:t>
            </w:r>
          </w:p>
        </w:tc>
        <w:tc>
          <w:tcPr>
            <w:tcW w:w="4876" w:type="dxa"/>
            <w:tcBorders>
              <w:top w:val="single" w:sz="4" w:space="0" w:color="auto"/>
              <w:left w:val="single" w:sz="4" w:space="0" w:color="auto"/>
              <w:bottom w:val="single" w:sz="4" w:space="0" w:color="auto"/>
              <w:right w:val="single" w:sz="4" w:space="0" w:color="auto"/>
            </w:tcBorders>
            <w:vAlign w:val="center"/>
            <w:hideMark/>
          </w:tcPr>
          <w:p w14:paraId="30BB44D5" w14:textId="77777777" w:rsidR="003663AF" w:rsidRPr="00B7760C" w:rsidRDefault="003663AF" w:rsidP="00E804B7">
            <w:pPr>
              <w:pStyle w:val="Normal6"/>
              <w:jc w:val="right"/>
              <w:rPr>
                <w:b/>
                <w:i/>
              </w:rPr>
            </w:pPr>
            <w:r w:rsidRPr="00B7760C">
              <w:rPr>
                <w:b/>
                <w:i/>
              </w:rPr>
              <w:t>323 883 000</w:t>
            </w:r>
          </w:p>
        </w:tc>
      </w:tr>
      <w:tr w:rsidR="003663AF" w:rsidRPr="00B7760C" w14:paraId="4C65AD11" w14:textId="77777777" w:rsidTr="00E804B7">
        <w:tc>
          <w:tcPr>
            <w:tcW w:w="4876" w:type="dxa"/>
            <w:tcBorders>
              <w:top w:val="single" w:sz="4" w:space="0" w:color="auto"/>
              <w:left w:val="single" w:sz="4" w:space="0" w:color="auto"/>
              <w:bottom w:val="single" w:sz="4" w:space="0" w:color="auto"/>
              <w:right w:val="single" w:sz="4" w:space="0" w:color="auto"/>
            </w:tcBorders>
            <w:vAlign w:val="center"/>
            <w:hideMark/>
          </w:tcPr>
          <w:p w14:paraId="5C77B1AF" w14:textId="77777777" w:rsidR="003663AF" w:rsidRPr="00B7760C" w:rsidRDefault="003663AF" w:rsidP="00E804B7">
            <w:pPr>
              <w:pStyle w:val="Normal6"/>
            </w:pPr>
            <w:r w:rsidRPr="00B7760C">
              <w:t>Ciper</w:t>
            </w:r>
          </w:p>
        </w:tc>
        <w:tc>
          <w:tcPr>
            <w:tcW w:w="4876" w:type="dxa"/>
            <w:tcBorders>
              <w:top w:val="single" w:sz="4" w:space="0" w:color="auto"/>
              <w:left w:val="single" w:sz="4" w:space="0" w:color="auto"/>
              <w:bottom w:val="single" w:sz="4" w:space="0" w:color="auto"/>
              <w:right w:val="single" w:sz="4" w:space="0" w:color="auto"/>
            </w:tcBorders>
            <w:vAlign w:val="center"/>
            <w:hideMark/>
          </w:tcPr>
          <w:p w14:paraId="76E86488" w14:textId="77777777" w:rsidR="003663AF" w:rsidRPr="00B7760C" w:rsidRDefault="003663AF" w:rsidP="00E804B7">
            <w:pPr>
              <w:pStyle w:val="Normal6"/>
              <w:jc w:val="right"/>
              <w:rPr>
                <w:b/>
                <w:i/>
              </w:rPr>
            </w:pPr>
            <w:r w:rsidRPr="00B7760C">
              <w:rPr>
                <w:b/>
                <w:i/>
              </w:rPr>
              <w:t>4 465 000</w:t>
            </w:r>
          </w:p>
        </w:tc>
      </w:tr>
      <w:tr w:rsidR="003663AF" w:rsidRPr="00B7760C" w14:paraId="3FEA5A6C" w14:textId="77777777" w:rsidTr="00E804B7">
        <w:tc>
          <w:tcPr>
            <w:tcW w:w="4876" w:type="dxa"/>
            <w:tcBorders>
              <w:top w:val="single" w:sz="4" w:space="0" w:color="auto"/>
              <w:left w:val="single" w:sz="4" w:space="0" w:color="auto"/>
              <w:bottom w:val="single" w:sz="4" w:space="0" w:color="auto"/>
              <w:right w:val="single" w:sz="4" w:space="0" w:color="auto"/>
            </w:tcBorders>
            <w:vAlign w:val="center"/>
            <w:hideMark/>
          </w:tcPr>
          <w:p w14:paraId="73AD4229" w14:textId="77777777" w:rsidR="003663AF" w:rsidRPr="00B7760C" w:rsidRDefault="003663AF" w:rsidP="00E804B7">
            <w:pPr>
              <w:pStyle w:val="Normal6"/>
            </w:pPr>
            <w:r w:rsidRPr="00B7760C">
              <w:t>Litva</w:t>
            </w:r>
          </w:p>
        </w:tc>
        <w:tc>
          <w:tcPr>
            <w:tcW w:w="4876" w:type="dxa"/>
            <w:tcBorders>
              <w:top w:val="single" w:sz="4" w:space="0" w:color="auto"/>
              <w:left w:val="single" w:sz="4" w:space="0" w:color="auto"/>
              <w:bottom w:val="single" w:sz="4" w:space="0" w:color="auto"/>
              <w:right w:val="single" w:sz="4" w:space="0" w:color="auto"/>
            </w:tcBorders>
            <w:vAlign w:val="center"/>
            <w:hideMark/>
          </w:tcPr>
          <w:p w14:paraId="58D008B1" w14:textId="77777777" w:rsidR="003663AF" w:rsidRPr="00B7760C" w:rsidRDefault="003663AF" w:rsidP="00E804B7">
            <w:pPr>
              <w:pStyle w:val="Normal6"/>
              <w:jc w:val="right"/>
              <w:rPr>
                <w:b/>
                <w:i/>
              </w:rPr>
            </w:pPr>
            <w:r w:rsidRPr="00B7760C">
              <w:rPr>
                <w:b/>
                <w:i/>
              </w:rPr>
              <w:t>43 000</w:t>
            </w:r>
          </w:p>
        </w:tc>
      </w:tr>
      <w:tr w:rsidR="003663AF" w:rsidRPr="00B7760C" w14:paraId="688535C7" w14:textId="77777777" w:rsidTr="00E804B7">
        <w:tc>
          <w:tcPr>
            <w:tcW w:w="4876" w:type="dxa"/>
            <w:tcBorders>
              <w:top w:val="single" w:sz="4" w:space="0" w:color="auto"/>
              <w:left w:val="single" w:sz="4" w:space="0" w:color="auto"/>
              <w:bottom w:val="single" w:sz="4" w:space="0" w:color="auto"/>
              <w:right w:val="single" w:sz="4" w:space="0" w:color="auto"/>
            </w:tcBorders>
            <w:vAlign w:val="center"/>
            <w:hideMark/>
          </w:tcPr>
          <w:p w14:paraId="1C9BBF32" w14:textId="77777777" w:rsidR="003663AF" w:rsidRPr="00B7760C" w:rsidRDefault="003663AF" w:rsidP="00E804B7">
            <w:pPr>
              <w:pStyle w:val="Normal6"/>
            </w:pPr>
            <w:r w:rsidRPr="00B7760C">
              <w:t>Madžarska</w:t>
            </w:r>
          </w:p>
        </w:tc>
        <w:tc>
          <w:tcPr>
            <w:tcW w:w="4876" w:type="dxa"/>
            <w:tcBorders>
              <w:top w:val="single" w:sz="4" w:space="0" w:color="auto"/>
              <w:left w:val="single" w:sz="4" w:space="0" w:color="auto"/>
              <w:bottom w:val="single" w:sz="4" w:space="0" w:color="auto"/>
              <w:right w:val="single" w:sz="4" w:space="0" w:color="auto"/>
            </w:tcBorders>
            <w:vAlign w:val="center"/>
            <w:hideMark/>
          </w:tcPr>
          <w:p w14:paraId="1E02B277" w14:textId="77777777" w:rsidR="003663AF" w:rsidRPr="00B7760C" w:rsidRDefault="003663AF" w:rsidP="00E804B7">
            <w:pPr>
              <w:pStyle w:val="Normal6"/>
              <w:jc w:val="right"/>
              <w:rPr>
                <w:b/>
                <w:i/>
              </w:rPr>
            </w:pPr>
            <w:r w:rsidRPr="00B7760C">
              <w:rPr>
                <w:b/>
                <w:i/>
              </w:rPr>
              <w:t>27 970 000</w:t>
            </w:r>
          </w:p>
        </w:tc>
      </w:tr>
      <w:tr w:rsidR="003663AF" w:rsidRPr="00B7760C" w14:paraId="3ECC7973" w14:textId="77777777" w:rsidTr="00E804B7">
        <w:tc>
          <w:tcPr>
            <w:tcW w:w="4876" w:type="dxa"/>
            <w:tcBorders>
              <w:top w:val="single" w:sz="4" w:space="0" w:color="auto"/>
              <w:left w:val="single" w:sz="4" w:space="0" w:color="auto"/>
              <w:bottom w:val="single" w:sz="4" w:space="0" w:color="auto"/>
              <w:right w:val="single" w:sz="4" w:space="0" w:color="auto"/>
            </w:tcBorders>
            <w:vAlign w:val="center"/>
            <w:hideMark/>
          </w:tcPr>
          <w:p w14:paraId="596CF61F" w14:textId="77777777" w:rsidR="003663AF" w:rsidRPr="00B7760C" w:rsidRDefault="003663AF" w:rsidP="00E804B7">
            <w:pPr>
              <w:pStyle w:val="Normal6"/>
            </w:pPr>
            <w:r w:rsidRPr="00B7760C">
              <w:t>Avstrija</w:t>
            </w:r>
          </w:p>
        </w:tc>
        <w:tc>
          <w:tcPr>
            <w:tcW w:w="4876" w:type="dxa"/>
            <w:tcBorders>
              <w:top w:val="single" w:sz="4" w:space="0" w:color="auto"/>
              <w:left w:val="single" w:sz="4" w:space="0" w:color="auto"/>
              <w:bottom w:val="single" w:sz="4" w:space="0" w:color="auto"/>
              <w:right w:val="single" w:sz="4" w:space="0" w:color="auto"/>
            </w:tcBorders>
            <w:vAlign w:val="center"/>
            <w:hideMark/>
          </w:tcPr>
          <w:p w14:paraId="442AF381" w14:textId="77777777" w:rsidR="003663AF" w:rsidRPr="00B7760C" w:rsidRDefault="003663AF" w:rsidP="00E804B7">
            <w:pPr>
              <w:pStyle w:val="Normal6"/>
              <w:jc w:val="right"/>
              <w:rPr>
                <w:b/>
                <w:i/>
              </w:rPr>
            </w:pPr>
            <w:r w:rsidRPr="00B7760C">
              <w:rPr>
                <w:b/>
                <w:i/>
              </w:rPr>
              <w:t>13 155 000</w:t>
            </w:r>
          </w:p>
        </w:tc>
      </w:tr>
      <w:tr w:rsidR="003663AF" w:rsidRPr="00B7760C" w14:paraId="6463D241" w14:textId="77777777" w:rsidTr="00E804B7">
        <w:tc>
          <w:tcPr>
            <w:tcW w:w="4876" w:type="dxa"/>
            <w:tcBorders>
              <w:top w:val="single" w:sz="4" w:space="0" w:color="auto"/>
              <w:left w:val="single" w:sz="4" w:space="0" w:color="auto"/>
              <w:bottom w:val="single" w:sz="4" w:space="0" w:color="auto"/>
              <w:right w:val="single" w:sz="4" w:space="0" w:color="auto"/>
            </w:tcBorders>
            <w:vAlign w:val="center"/>
            <w:hideMark/>
          </w:tcPr>
          <w:p w14:paraId="455C0599" w14:textId="77777777" w:rsidR="003663AF" w:rsidRPr="00B7760C" w:rsidRDefault="003663AF" w:rsidP="00E804B7">
            <w:pPr>
              <w:pStyle w:val="Normal6"/>
            </w:pPr>
            <w:r w:rsidRPr="00B7760C">
              <w:t>Portugalska</w:t>
            </w:r>
          </w:p>
        </w:tc>
        <w:tc>
          <w:tcPr>
            <w:tcW w:w="4876" w:type="dxa"/>
            <w:tcBorders>
              <w:top w:val="single" w:sz="4" w:space="0" w:color="auto"/>
              <w:left w:val="single" w:sz="4" w:space="0" w:color="auto"/>
              <w:bottom w:val="single" w:sz="4" w:space="0" w:color="auto"/>
              <w:right w:val="single" w:sz="4" w:space="0" w:color="auto"/>
            </w:tcBorders>
            <w:vAlign w:val="center"/>
            <w:hideMark/>
          </w:tcPr>
          <w:p w14:paraId="764F89BB" w14:textId="77777777" w:rsidR="003663AF" w:rsidRPr="00B7760C" w:rsidRDefault="003663AF" w:rsidP="00E804B7">
            <w:pPr>
              <w:pStyle w:val="Normal6"/>
              <w:jc w:val="right"/>
              <w:rPr>
                <w:b/>
                <w:i/>
              </w:rPr>
            </w:pPr>
            <w:r w:rsidRPr="00B7760C">
              <w:rPr>
                <w:b/>
                <w:i/>
              </w:rPr>
              <w:t>62 670 000</w:t>
            </w:r>
          </w:p>
        </w:tc>
      </w:tr>
      <w:tr w:rsidR="003663AF" w:rsidRPr="00B7760C" w14:paraId="6A8B2253" w14:textId="77777777" w:rsidTr="00E804B7">
        <w:tc>
          <w:tcPr>
            <w:tcW w:w="4876" w:type="dxa"/>
            <w:tcBorders>
              <w:top w:val="single" w:sz="4" w:space="0" w:color="auto"/>
              <w:left w:val="single" w:sz="4" w:space="0" w:color="auto"/>
              <w:bottom w:val="single" w:sz="4" w:space="0" w:color="auto"/>
              <w:right w:val="single" w:sz="4" w:space="0" w:color="auto"/>
            </w:tcBorders>
            <w:vAlign w:val="center"/>
            <w:hideMark/>
          </w:tcPr>
          <w:p w14:paraId="6485E340" w14:textId="77777777" w:rsidR="003663AF" w:rsidRPr="00B7760C" w:rsidRDefault="003663AF" w:rsidP="00E804B7">
            <w:pPr>
              <w:pStyle w:val="Normal6"/>
            </w:pPr>
            <w:r w:rsidRPr="00B7760C">
              <w:t>Romunija</w:t>
            </w:r>
          </w:p>
        </w:tc>
        <w:tc>
          <w:tcPr>
            <w:tcW w:w="4876" w:type="dxa"/>
            <w:tcBorders>
              <w:top w:val="single" w:sz="4" w:space="0" w:color="auto"/>
              <w:left w:val="single" w:sz="4" w:space="0" w:color="auto"/>
              <w:bottom w:val="single" w:sz="4" w:space="0" w:color="auto"/>
              <w:right w:val="single" w:sz="4" w:space="0" w:color="auto"/>
            </w:tcBorders>
            <w:vAlign w:val="center"/>
            <w:hideMark/>
          </w:tcPr>
          <w:p w14:paraId="7F6BEDB5" w14:textId="77777777" w:rsidR="003663AF" w:rsidRPr="00B7760C" w:rsidRDefault="003663AF" w:rsidP="00E804B7">
            <w:pPr>
              <w:pStyle w:val="Normal6"/>
              <w:jc w:val="right"/>
              <w:rPr>
                <w:b/>
                <w:i/>
              </w:rPr>
            </w:pPr>
            <w:r w:rsidRPr="00B7760C">
              <w:rPr>
                <w:b/>
                <w:i/>
              </w:rPr>
              <w:t>45 844 000</w:t>
            </w:r>
          </w:p>
        </w:tc>
      </w:tr>
      <w:tr w:rsidR="003663AF" w:rsidRPr="00B7760C" w14:paraId="27938D0B" w14:textId="77777777" w:rsidTr="00E804B7">
        <w:tc>
          <w:tcPr>
            <w:tcW w:w="4876" w:type="dxa"/>
            <w:tcBorders>
              <w:top w:val="single" w:sz="4" w:space="0" w:color="auto"/>
              <w:left w:val="single" w:sz="4" w:space="0" w:color="auto"/>
              <w:bottom w:val="single" w:sz="4" w:space="0" w:color="auto"/>
              <w:right w:val="single" w:sz="4" w:space="0" w:color="auto"/>
            </w:tcBorders>
            <w:vAlign w:val="center"/>
            <w:hideMark/>
          </w:tcPr>
          <w:p w14:paraId="76B0C7CE" w14:textId="77777777" w:rsidR="003663AF" w:rsidRPr="00B7760C" w:rsidRDefault="003663AF" w:rsidP="00E804B7">
            <w:pPr>
              <w:pStyle w:val="Normal6"/>
            </w:pPr>
            <w:r w:rsidRPr="00B7760C">
              <w:t>Slovenija</w:t>
            </w:r>
          </w:p>
        </w:tc>
        <w:tc>
          <w:tcPr>
            <w:tcW w:w="4876" w:type="dxa"/>
            <w:tcBorders>
              <w:top w:val="single" w:sz="4" w:space="0" w:color="auto"/>
              <w:left w:val="single" w:sz="4" w:space="0" w:color="auto"/>
              <w:bottom w:val="single" w:sz="4" w:space="0" w:color="auto"/>
              <w:right w:val="single" w:sz="4" w:space="0" w:color="auto"/>
            </w:tcBorders>
            <w:vAlign w:val="center"/>
            <w:hideMark/>
          </w:tcPr>
          <w:p w14:paraId="76EE1B20" w14:textId="77777777" w:rsidR="003663AF" w:rsidRPr="00B7760C" w:rsidRDefault="003663AF" w:rsidP="00E804B7">
            <w:pPr>
              <w:pStyle w:val="Normal6"/>
              <w:jc w:val="right"/>
              <w:rPr>
                <w:b/>
                <w:i/>
              </w:rPr>
            </w:pPr>
            <w:r w:rsidRPr="00B7760C">
              <w:rPr>
                <w:b/>
                <w:i/>
              </w:rPr>
              <w:t>4 849 000</w:t>
            </w:r>
          </w:p>
        </w:tc>
      </w:tr>
      <w:tr w:rsidR="003663AF" w:rsidRPr="00B7760C" w14:paraId="092DA653" w14:textId="77777777" w:rsidTr="00E804B7">
        <w:tc>
          <w:tcPr>
            <w:tcW w:w="4876" w:type="dxa"/>
            <w:tcBorders>
              <w:top w:val="single" w:sz="4" w:space="0" w:color="auto"/>
              <w:left w:val="single" w:sz="4" w:space="0" w:color="auto"/>
              <w:bottom w:val="single" w:sz="4" w:space="0" w:color="auto"/>
              <w:right w:val="single" w:sz="4" w:space="0" w:color="auto"/>
            </w:tcBorders>
            <w:vAlign w:val="center"/>
            <w:hideMark/>
          </w:tcPr>
          <w:p w14:paraId="6296A08E" w14:textId="77777777" w:rsidR="003663AF" w:rsidRPr="00B7760C" w:rsidRDefault="003663AF" w:rsidP="00E804B7">
            <w:pPr>
              <w:pStyle w:val="Normal6"/>
            </w:pPr>
            <w:r w:rsidRPr="00B7760C">
              <w:t>Slovaška</w:t>
            </w:r>
          </w:p>
        </w:tc>
        <w:tc>
          <w:tcPr>
            <w:tcW w:w="4876" w:type="dxa"/>
            <w:tcBorders>
              <w:top w:val="single" w:sz="4" w:space="0" w:color="auto"/>
              <w:left w:val="single" w:sz="4" w:space="0" w:color="auto"/>
              <w:bottom w:val="single" w:sz="4" w:space="0" w:color="auto"/>
              <w:right w:val="single" w:sz="4" w:space="0" w:color="auto"/>
            </w:tcBorders>
            <w:vAlign w:val="center"/>
            <w:hideMark/>
          </w:tcPr>
          <w:p w14:paraId="479A6551" w14:textId="77777777" w:rsidR="003663AF" w:rsidRPr="00B7760C" w:rsidRDefault="003663AF" w:rsidP="00E804B7">
            <w:pPr>
              <w:pStyle w:val="Normal6"/>
              <w:jc w:val="right"/>
              <w:rPr>
                <w:b/>
                <w:i/>
              </w:rPr>
            </w:pPr>
            <w:r w:rsidRPr="00B7760C">
              <w:rPr>
                <w:b/>
                <w:i/>
              </w:rPr>
              <w:t>4 887 000</w:t>
            </w:r>
          </w:p>
        </w:tc>
      </w:tr>
      <w:tr w:rsidR="003663AF" w:rsidRPr="00B7760C" w14:paraId="28A98D70" w14:textId="77777777" w:rsidTr="00E804B7">
        <w:tc>
          <w:tcPr>
            <w:tcW w:w="9752" w:type="dxa"/>
            <w:gridSpan w:val="2"/>
            <w:tcBorders>
              <w:top w:val="single" w:sz="4" w:space="0" w:color="auto"/>
              <w:left w:val="nil"/>
              <w:bottom w:val="single" w:sz="4" w:space="0" w:color="auto"/>
              <w:right w:val="nil"/>
            </w:tcBorders>
            <w:hideMark/>
          </w:tcPr>
          <w:p w14:paraId="37528616" w14:textId="77777777" w:rsidR="003663AF" w:rsidRPr="00B7760C" w:rsidRDefault="003663AF" w:rsidP="00E804B7">
            <w:pPr>
              <w:pStyle w:val="ColumnHeading"/>
              <w:keepNext/>
              <w:jc w:val="left"/>
            </w:pPr>
          </w:p>
          <w:p w14:paraId="73EEBBDA" w14:textId="35CF0CBA" w:rsidR="003663AF" w:rsidRPr="00B7760C" w:rsidRDefault="00877691" w:rsidP="00E804B7">
            <w:pPr>
              <w:pStyle w:val="ColumnHeading"/>
              <w:keepNext/>
              <w:jc w:val="left"/>
            </w:pPr>
            <w:r w:rsidRPr="00B7760C">
              <w:t>Sprememba</w:t>
            </w:r>
          </w:p>
        </w:tc>
      </w:tr>
      <w:tr w:rsidR="003663AF" w:rsidRPr="00B7760C" w14:paraId="2486459E" w14:textId="77777777" w:rsidTr="00E804B7">
        <w:tc>
          <w:tcPr>
            <w:tcW w:w="9752" w:type="dxa"/>
            <w:gridSpan w:val="2"/>
            <w:tcBorders>
              <w:top w:val="single" w:sz="4" w:space="0" w:color="auto"/>
              <w:left w:val="single" w:sz="4" w:space="0" w:color="auto"/>
              <w:bottom w:val="single" w:sz="4" w:space="0" w:color="auto"/>
              <w:right w:val="single" w:sz="4" w:space="0" w:color="auto"/>
            </w:tcBorders>
            <w:hideMark/>
          </w:tcPr>
          <w:p w14:paraId="0BA3C341" w14:textId="77777777" w:rsidR="003663AF" w:rsidRPr="00B7760C" w:rsidRDefault="003663AF" w:rsidP="00E804B7">
            <w:pPr>
              <w:pStyle w:val="Normal6"/>
            </w:pPr>
            <w:r w:rsidRPr="00B7760C">
              <w:t>LETNE DODELITVE DRŽAV ČLANIC ZA VRSTE INTERVENCIJ V VINSKEM SEKTORJU IZ ČLENA 82(1)</w:t>
            </w:r>
          </w:p>
        </w:tc>
      </w:tr>
      <w:tr w:rsidR="003663AF" w:rsidRPr="00B7760C" w14:paraId="073D455D" w14:textId="77777777" w:rsidTr="00E804B7">
        <w:tc>
          <w:tcPr>
            <w:tcW w:w="4876" w:type="dxa"/>
            <w:tcBorders>
              <w:top w:val="single" w:sz="4" w:space="0" w:color="auto"/>
              <w:left w:val="single" w:sz="4" w:space="0" w:color="auto"/>
              <w:bottom w:val="single" w:sz="4" w:space="0" w:color="auto"/>
              <w:right w:val="single" w:sz="4" w:space="0" w:color="auto"/>
            </w:tcBorders>
          </w:tcPr>
          <w:p w14:paraId="4E29904B" w14:textId="77777777" w:rsidR="003663AF" w:rsidRPr="00B7760C" w:rsidRDefault="003663AF" w:rsidP="00E804B7">
            <w:pPr>
              <w:pStyle w:val="Normal6"/>
            </w:pPr>
          </w:p>
        </w:tc>
        <w:tc>
          <w:tcPr>
            <w:tcW w:w="4876" w:type="dxa"/>
            <w:tcBorders>
              <w:top w:val="single" w:sz="4" w:space="0" w:color="auto"/>
              <w:left w:val="single" w:sz="4" w:space="0" w:color="auto"/>
              <w:bottom w:val="single" w:sz="4" w:space="0" w:color="auto"/>
              <w:right w:val="single" w:sz="4" w:space="0" w:color="auto"/>
            </w:tcBorders>
            <w:hideMark/>
          </w:tcPr>
          <w:p w14:paraId="2B917B8B" w14:textId="77777777" w:rsidR="003663AF" w:rsidRPr="00B7760C" w:rsidRDefault="003663AF" w:rsidP="00E804B7">
            <w:pPr>
              <w:pStyle w:val="Normal6"/>
              <w:jc w:val="right"/>
            </w:pPr>
            <w:r w:rsidRPr="00B7760C">
              <w:t>EUR (tekoče cene)</w:t>
            </w:r>
          </w:p>
        </w:tc>
      </w:tr>
      <w:tr w:rsidR="003663AF" w:rsidRPr="00B7760C" w14:paraId="41C8FD65" w14:textId="77777777" w:rsidTr="00E804B7">
        <w:tc>
          <w:tcPr>
            <w:tcW w:w="4876" w:type="dxa"/>
            <w:tcBorders>
              <w:top w:val="single" w:sz="4" w:space="0" w:color="auto"/>
              <w:left w:val="single" w:sz="4" w:space="0" w:color="auto"/>
              <w:bottom w:val="single" w:sz="4" w:space="0" w:color="auto"/>
              <w:right w:val="single" w:sz="4" w:space="0" w:color="auto"/>
            </w:tcBorders>
            <w:hideMark/>
          </w:tcPr>
          <w:p w14:paraId="549AA74C" w14:textId="77777777" w:rsidR="003663AF" w:rsidRPr="00B7760C" w:rsidRDefault="003663AF" w:rsidP="00E804B7">
            <w:pPr>
              <w:pStyle w:val="Normal6"/>
            </w:pPr>
            <w:r w:rsidRPr="00B7760C">
              <w:t>Bolgarija</w:t>
            </w:r>
          </w:p>
        </w:tc>
        <w:tc>
          <w:tcPr>
            <w:tcW w:w="4876" w:type="dxa"/>
            <w:tcBorders>
              <w:top w:val="single" w:sz="4" w:space="0" w:color="auto"/>
              <w:left w:val="single" w:sz="4" w:space="0" w:color="auto"/>
              <w:bottom w:val="single" w:sz="4" w:space="0" w:color="auto"/>
              <w:right w:val="single" w:sz="4" w:space="0" w:color="auto"/>
            </w:tcBorders>
            <w:vAlign w:val="center"/>
            <w:hideMark/>
          </w:tcPr>
          <w:p w14:paraId="4C10F662" w14:textId="77777777" w:rsidR="003663AF" w:rsidRPr="00B7760C" w:rsidRDefault="003663AF" w:rsidP="00E804B7">
            <w:pPr>
              <w:pStyle w:val="Normal6"/>
              <w:jc w:val="right"/>
              <w:rPr>
                <w:b/>
                <w:i/>
              </w:rPr>
            </w:pPr>
            <w:r w:rsidRPr="00B7760C">
              <w:rPr>
                <w:b/>
                <w:i/>
              </w:rPr>
              <w:t>X</w:t>
            </w:r>
          </w:p>
        </w:tc>
      </w:tr>
      <w:tr w:rsidR="003663AF" w:rsidRPr="00B7760C" w14:paraId="6864D437" w14:textId="77777777" w:rsidTr="00E804B7">
        <w:tc>
          <w:tcPr>
            <w:tcW w:w="4876" w:type="dxa"/>
            <w:tcBorders>
              <w:top w:val="single" w:sz="4" w:space="0" w:color="auto"/>
              <w:left w:val="single" w:sz="4" w:space="0" w:color="auto"/>
              <w:bottom w:val="single" w:sz="4" w:space="0" w:color="auto"/>
              <w:right w:val="single" w:sz="4" w:space="0" w:color="auto"/>
            </w:tcBorders>
            <w:hideMark/>
          </w:tcPr>
          <w:p w14:paraId="56ADE5D4" w14:textId="77777777" w:rsidR="003663AF" w:rsidRPr="00B7760C" w:rsidRDefault="003663AF" w:rsidP="00E804B7">
            <w:pPr>
              <w:pStyle w:val="Normal6"/>
            </w:pPr>
            <w:r w:rsidRPr="00B7760C">
              <w:t>Češka</w:t>
            </w:r>
          </w:p>
        </w:tc>
        <w:tc>
          <w:tcPr>
            <w:tcW w:w="4876" w:type="dxa"/>
            <w:tcBorders>
              <w:top w:val="single" w:sz="4" w:space="0" w:color="auto"/>
              <w:left w:val="single" w:sz="4" w:space="0" w:color="auto"/>
              <w:bottom w:val="single" w:sz="4" w:space="0" w:color="auto"/>
              <w:right w:val="single" w:sz="4" w:space="0" w:color="auto"/>
            </w:tcBorders>
            <w:vAlign w:val="center"/>
            <w:hideMark/>
          </w:tcPr>
          <w:p w14:paraId="6856E38F" w14:textId="77777777" w:rsidR="003663AF" w:rsidRPr="00B7760C" w:rsidRDefault="003663AF" w:rsidP="00E804B7">
            <w:pPr>
              <w:pStyle w:val="Normal6"/>
              <w:jc w:val="right"/>
              <w:rPr>
                <w:b/>
                <w:i/>
              </w:rPr>
            </w:pPr>
            <w:r w:rsidRPr="00B7760C">
              <w:rPr>
                <w:b/>
                <w:i/>
              </w:rPr>
              <w:t>X</w:t>
            </w:r>
          </w:p>
        </w:tc>
      </w:tr>
      <w:tr w:rsidR="003663AF" w:rsidRPr="00B7760C" w14:paraId="7CF25F9C" w14:textId="77777777" w:rsidTr="00E804B7">
        <w:tc>
          <w:tcPr>
            <w:tcW w:w="4876" w:type="dxa"/>
            <w:tcBorders>
              <w:top w:val="single" w:sz="4" w:space="0" w:color="auto"/>
              <w:left w:val="single" w:sz="4" w:space="0" w:color="auto"/>
              <w:bottom w:val="single" w:sz="4" w:space="0" w:color="auto"/>
              <w:right w:val="single" w:sz="4" w:space="0" w:color="auto"/>
            </w:tcBorders>
            <w:hideMark/>
          </w:tcPr>
          <w:p w14:paraId="7F2E3810" w14:textId="77777777" w:rsidR="003663AF" w:rsidRPr="00B7760C" w:rsidRDefault="003663AF" w:rsidP="00E804B7">
            <w:pPr>
              <w:pStyle w:val="Normal6"/>
            </w:pPr>
            <w:r w:rsidRPr="00B7760C">
              <w:t>Nemčija</w:t>
            </w:r>
          </w:p>
        </w:tc>
        <w:tc>
          <w:tcPr>
            <w:tcW w:w="4876" w:type="dxa"/>
            <w:tcBorders>
              <w:top w:val="single" w:sz="4" w:space="0" w:color="auto"/>
              <w:left w:val="single" w:sz="4" w:space="0" w:color="auto"/>
              <w:bottom w:val="single" w:sz="4" w:space="0" w:color="auto"/>
              <w:right w:val="single" w:sz="4" w:space="0" w:color="auto"/>
            </w:tcBorders>
            <w:hideMark/>
          </w:tcPr>
          <w:p w14:paraId="2B29C835" w14:textId="77777777" w:rsidR="003663AF" w:rsidRPr="00B7760C" w:rsidRDefault="003663AF" w:rsidP="00E804B7">
            <w:pPr>
              <w:pStyle w:val="Normal6"/>
              <w:jc w:val="right"/>
              <w:rPr>
                <w:b/>
                <w:i/>
              </w:rPr>
            </w:pPr>
            <w:r w:rsidRPr="00B7760C">
              <w:rPr>
                <w:b/>
                <w:i/>
              </w:rPr>
              <w:t>X</w:t>
            </w:r>
          </w:p>
        </w:tc>
      </w:tr>
      <w:tr w:rsidR="003663AF" w:rsidRPr="00B7760C" w14:paraId="5420862A" w14:textId="77777777" w:rsidTr="00E804B7">
        <w:tc>
          <w:tcPr>
            <w:tcW w:w="4876" w:type="dxa"/>
            <w:tcBorders>
              <w:top w:val="single" w:sz="4" w:space="0" w:color="auto"/>
              <w:left w:val="single" w:sz="4" w:space="0" w:color="auto"/>
              <w:bottom w:val="single" w:sz="4" w:space="0" w:color="auto"/>
              <w:right w:val="single" w:sz="4" w:space="0" w:color="auto"/>
            </w:tcBorders>
            <w:vAlign w:val="center"/>
            <w:hideMark/>
          </w:tcPr>
          <w:p w14:paraId="794AD303" w14:textId="77777777" w:rsidR="003663AF" w:rsidRPr="00B7760C" w:rsidRDefault="003663AF" w:rsidP="00E804B7">
            <w:pPr>
              <w:pStyle w:val="Normal6"/>
            </w:pPr>
            <w:r w:rsidRPr="00B7760C">
              <w:t>Grčija</w:t>
            </w:r>
          </w:p>
        </w:tc>
        <w:tc>
          <w:tcPr>
            <w:tcW w:w="4876" w:type="dxa"/>
            <w:tcBorders>
              <w:top w:val="single" w:sz="4" w:space="0" w:color="auto"/>
              <w:left w:val="single" w:sz="4" w:space="0" w:color="auto"/>
              <w:bottom w:val="single" w:sz="4" w:space="0" w:color="auto"/>
              <w:right w:val="single" w:sz="4" w:space="0" w:color="auto"/>
            </w:tcBorders>
            <w:vAlign w:val="center"/>
            <w:hideMark/>
          </w:tcPr>
          <w:p w14:paraId="468E174C" w14:textId="77777777" w:rsidR="003663AF" w:rsidRPr="00B7760C" w:rsidRDefault="003663AF" w:rsidP="00E804B7">
            <w:pPr>
              <w:pStyle w:val="Normal6"/>
              <w:jc w:val="right"/>
              <w:rPr>
                <w:b/>
                <w:i/>
              </w:rPr>
            </w:pPr>
            <w:r w:rsidRPr="00B7760C">
              <w:rPr>
                <w:b/>
                <w:i/>
              </w:rPr>
              <w:t>X</w:t>
            </w:r>
          </w:p>
        </w:tc>
      </w:tr>
      <w:tr w:rsidR="003663AF" w:rsidRPr="00B7760C" w14:paraId="57F69C72" w14:textId="77777777" w:rsidTr="00E804B7">
        <w:tc>
          <w:tcPr>
            <w:tcW w:w="4876" w:type="dxa"/>
            <w:tcBorders>
              <w:top w:val="single" w:sz="4" w:space="0" w:color="auto"/>
              <w:left w:val="single" w:sz="4" w:space="0" w:color="auto"/>
              <w:bottom w:val="single" w:sz="4" w:space="0" w:color="auto"/>
              <w:right w:val="single" w:sz="4" w:space="0" w:color="auto"/>
            </w:tcBorders>
            <w:vAlign w:val="center"/>
            <w:hideMark/>
          </w:tcPr>
          <w:p w14:paraId="7EC7E500" w14:textId="77777777" w:rsidR="003663AF" w:rsidRPr="00B7760C" w:rsidRDefault="003663AF" w:rsidP="00E804B7">
            <w:pPr>
              <w:pStyle w:val="Normal6"/>
            </w:pPr>
            <w:r w:rsidRPr="00B7760C">
              <w:t>Španija</w:t>
            </w:r>
          </w:p>
        </w:tc>
        <w:tc>
          <w:tcPr>
            <w:tcW w:w="4876" w:type="dxa"/>
            <w:tcBorders>
              <w:top w:val="single" w:sz="4" w:space="0" w:color="auto"/>
              <w:left w:val="single" w:sz="4" w:space="0" w:color="auto"/>
              <w:bottom w:val="single" w:sz="4" w:space="0" w:color="auto"/>
              <w:right w:val="single" w:sz="4" w:space="0" w:color="auto"/>
            </w:tcBorders>
            <w:vAlign w:val="center"/>
            <w:hideMark/>
          </w:tcPr>
          <w:p w14:paraId="55A938D8" w14:textId="77777777" w:rsidR="003663AF" w:rsidRPr="00B7760C" w:rsidRDefault="003663AF" w:rsidP="00E804B7">
            <w:pPr>
              <w:pStyle w:val="Normal6"/>
              <w:jc w:val="right"/>
              <w:rPr>
                <w:b/>
                <w:i/>
              </w:rPr>
            </w:pPr>
            <w:r w:rsidRPr="00B7760C">
              <w:rPr>
                <w:b/>
                <w:i/>
              </w:rPr>
              <w:t>X</w:t>
            </w:r>
          </w:p>
        </w:tc>
      </w:tr>
      <w:tr w:rsidR="003663AF" w:rsidRPr="00B7760C" w14:paraId="6A2385FD" w14:textId="77777777" w:rsidTr="00E804B7">
        <w:tc>
          <w:tcPr>
            <w:tcW w:w="4876" w:type="dxa"/>
            <w:tcBorders>
              <w:top w:val="single" w:sz="4" w:space="0" w:color="auto"/>
              <w:left w:val="single" w:sz="4" w:space="0" w:color="auto"/>
              <w:bottom w:val="single" w:sz="4" w:space="0" w:color="auto"/>
              <w:right w:val="single" w:sz="4" w:space="0" w:color="auto"/>
            </w:tcBorders>
            <w:vAlign w:val="center"/>
            <w:hideMark/>
          </w:tcPr>
          <w:p w14:paraId="2ADCA36C" w14:textId="77777777" w:rsidR="003663AF" w:rsidRPr="00B7760C" w:rsidRDefault="003663AF" w:rsidP="00E804B7">
            <w:pPr>
              <w:pStyle w:val="Normal6"/>
            </w:pPr>
            <w:r w:rsidRPr="00B7760C">
              <w:t>Francija</w:t>
            </w:r>
          </w:p>
        </w:tc>
        <w:tc>
          <w:tcPr>
            <w:tcW w:w="4876" w:type="dxa"/>
            <w:tcBorders>
              <w:top w:val="single" w:sz="4" w:space="0" w:color="auto"/>
              <w:left w:val="single" w:sz="4" w:space="0" w:color="auto"/>
              <w:bottom w:val="single" w:sz="4" w:space="0" w:color="auto"/>
              <w:right w:val="single" w:sz="4" w:space="0" w:color="auto"/>
            </w:tcBorders>
            <w:vAlign w:val="center"/>
            <w:hideMark/>
          </w:tcPr>
          <w:p w14:paraId="6D763030" w14:textId="77777777" w:rsidR="003663AF" w:rsidRPr="00B7760C" w:rsidRDefault="003663AF" w:rsidP="00E804B7">
            <w:pPr>
              <w:pStyle w:val="Normal6"/>
              <w:jc w:val="right"/>
              <w:rPr>
                <w:b/>
                <w:i/>
              </w:rPr>
            </w:pPr>
            <w:r w:rsidRPr="00B7760C">
              <w:rPr>
                <w:b/>
                <w:i/>
              </w:rPr>
              <w:t>X</w:t>
            </w:r>
          </w:p>
        </w:tc>
      </w:tr>
      <w:tr w:rsidR="003663AF" w:rsidRPr="00B7760C" w14:paraId="44E0BCEA" w14:textId="77777777" w:rsidTr="00E804B7">
        <w:tc>
          <w:tcPr>
            <w:tcW w:w="4876" w:type="dxa"/>
            <w:tcBorders>
              <w:top w:val="single" w:sz="4" w:space="0" w:color="auto"/>
              <w:left w:val="single" w:sz="4" w:space="0" w:color="auto"/>
              <w:bottom w:val="single" w:sz="4" w:space="0" w:color="auto"/>
              <w:right w:val="single" w:sz="4" w:space="0" w:color="auto"/>
            </w:tcBorders>
            <w:vAlign w:val="center"/>
            <w:hideMark/>
          </w:tcPr>
          <w:p w14:paraId="6FD8321E" w14:textId="77777777" w:rsidR="003663AF" w:rsidRPr="00B7760C" w:rsidRDefault="003663AF" w:rsidP="00E804B7">
            <w:pPr>
              <w:pStyle w:val="Normal6"/>
            </w:pPr>
            <w:r w:rsidRPr="00B7760C">
              <w:t>Hrvaška</w:t>
            </w:r>
          </w:p>
        </w:tc>
        <w:tc>
          <w:tcPr>
            <w:tcW w:w="4876" w:type="dxa"/>
            <w:tcBorders>
              <w:top w:val="single" w:sz="4" w:space="0" w:color="auto"/>
              <w:left w:val="single" w:sz="4" w:space="0" w:color="auto"/>
              <w:bottom w:val="single" w:sz="4" w:space="0" w:color="auto"/>
              <w:right w:val="single" w:sz="4" w:space="0" w:color="auto"/>
            </w:tcBorders>
            <w:vAlign w:val="center"/>
            <w:hideMark/>
          </w:tcPr>
          <w:p w14:paraId="5407A8BA" w14:textId="77777777" w:rsidR="003663AF" w:rsidRPr="00B7760C" w:rsidRDefault="003663AF" w:rsidP="00E804B7">
            <w:pPr>
              <w:pStyle w:val="Normal6"/>
              <w:jc w:val="right"/>
              <w:rPr>
                <w:b/>
                <w:i/>
              </w:rPr>
            </w:pPr>
            <w:r w:rsidRPr="00B7760C">
              <w:rPr>
                <w:b/>
                <w:i/>
              </w:rPr>
              <w:t>X</w:t>
            </w:r>
          </w:p>
        </w:tc>
      </w:tr>
      <w:tr w:rsidR="003663AF" w:rsidRPr="00B7760C" w14:paraId="55533E8F" w14:textId="77777777" w:rsidTr="00E804B7">
        <w:tc>
          <w:tcPr>
            <w:tcW w:w="4876" w:type="dxa"/>
            <w:tcBorders>
              <w:top w:val="single" w:sz="4" w:space="0" w:color="auto"/>
              <w:left w:val="single" w:sz="4" w:space="0" w:color="auto"/>
              <w:bottom w:val="single" w:sz="4" w:space="0" w:color="auto"/>
              <w:right w:val="single" w:sz="4" w:space="0" w:color="auto"/>
            </w:tcBorders>
            <w:vAlign w:val="center"/>
            <w:hideMark/>
          </w:tcPr>
          <w:p w14:paraId="7CBC3293" w14:textId="77777777" w:rsidR="003663AF" w:rsidRPr="00B7760C" w:rsidRDefault="003663AF" w:rsidP="00E804B7">
            <w:pPr>
              <w:pStyle w:val="Normal6"/>
            </w:pPr>
            <w:r w:rsidRPr="00B7760C">
              <w:t>Italija</w:t>
            </w:r>
          </w:p>
        </w:tc>
        <w:tc>
          <w:tcPr>
            <w:tcW w:w="4876" w:type="dxa"/>
            <w:tcBorders>
              <w:top w:val="single" w:sz="4" w:space="0" w:color="auto"/>
              <w:left w:val="single" w:sz="4" w:space="0" w:color="auto"/>
              <w:bottom w:val="single" w:sz="4" w:space="0" w:color="auto"/>
              <w:right w:val="single" w:sz="4" w:space="0" w:color="auto"/>
            </w:tcBorders>
            <w:vAlign w:val="center"/>
            <w:hideMark/>
          </w:tcPr>
          <w:p w14:paraId="5AED1BE0" w14:textId="77777777" w:rsidR="003663AF" w:rsidRPr="00B7760C" w:rsidRDefault="003663AF" w:rsidP="00E804B7">
            <w:pPr>
              <w:pStyle w:val="Normal6"/>
              <w:jc w:val="right"/>
              <w:rPr>
                <w:b/>
                <w:i/>
              </w:rPr>
            </w:pPr>
            <w:r w:rsidRPr="00B7760C">
              <w:rPr>
                <w:b/>
                <w:i/>
              </w:rPr>
              <w:t>X</w:t>
            </w:r>
          </w:p>
        </w:tc>
      </w:tr>
      <w:tr w:rsidR="003663AF" w:rsidRPr="00B7760C" w14:paraId="54E78282" w14:textId="77777777" w:rsidTr="00E804B7">
        <w:tc>
          <w:tcPr>
            <w:tcW w:w="4876" w:type="dxa"/>
            <w:tcBorders>
              <w:top w:val="single" w:sz="4" w:space="0" w:color="auto"/>
              <w:left w:val="single" w:sz="4" w:space="0" w:color="auto"/>
              <w:bottom w:val="single" w:sz="4" w:space="0" w:color="auto"/>
              <w:right w:val="single" w:sz="4" w:space="0" w:color="auto"/>
            </w:tcBorders>
            <w:vAlign w:val="center"/>
            <w:hideMark/>
          </w:tcPr>
          <w:p w14:paraId="7593DA26" w14:textId="77777777" w:rsidR="003663AF" w:rsidRPr="00B7760C" w:rsidRDefault="003663AF" w:rsidP="00E804B7">
            <w:pPr>
              <w:pStyle w:val="Normal6"/>
            </w:pPr>
            <w:r w:rsidRPr="00B7760C">
              <w:t>Ciper</w:t>
            </w:r>
          </w:p>
        </w:tc>
        <w:tc>
          <w:tcPr>
            <w:tcW w:w="4876" w:type="dxa"/>
            <w:tcBorders>
              <w:top w:val="single" w:sz="4" w:space="0" w:color="auto"/>
              <w:left w:val="single" w:sz="4" w:space="0" w:color="auto"/>
              <w:bottom w:val="single" w:sz="4" w:space="0" w:color="auto"/>
              <w:right w:val="single" w:sz="4" w:space="0" w:color="auto"/>
            </w:tcBorders>
            <w:vAlign w:val="center"/>
            <w:hideMark/>
          </w:tcPr>
          <w:p w14:paraId="4424DAB7" w14:textId="77777777" w:rsidR="003663AF" w:rsidRPr="00B7760C" w:rsidRDefault="003663AF" w:rsidP="00E804B7">
            <w:pPr>
              <w:pStyle w:val="Normal6"/>
              <w:jc w:val="right"/>
              <w:rPr>
                <w:b/>
                <w:i/>
              </w:rPr>
            </w:pPr>
            <w:r w:rsidRPr="00B7760C">
              <w:rPr>
                <w:b/>
                <w:i/>
              </w:rPr>
              <w:t>X</w:t>
            </w:r>
          </w:p>
        </w:tc>
      </w:tr>
      <w:tr w:rsidR="003663AF" w:rsidRPr="00B7760C" w14:paraId="18D340C8" w14:textId="77777777" w:rsidTr="00E804B7">
        <w:tc>
          <w:tcPr>
            <w:tcW w:w="4876" w:type="dxa"/>
            <w:tcBorders>
              <w:top w:val="single" w:sz="4" w:space="0" w:color="auto"/>
              <w:left w:val="single" w:sz="4" w:space="0" w:color="auto"/>
              <w:bottom w:val="single" w:sz="4" w:space="0" w:color="auto"/>
              <w:right w:val="single" w:sz="4" w:space="0" w:color="auto"/>
            </w:tcBorders>
            <w:vAlign w:val="center"/>
            <w:hideMark/>
          </w:tcPr>
          <w:p w14:paraId="5086A1DF" w14:textId="77777777" w:rsidR="003663AF" w:rsidRPr="00B7760C" w:rsidRDefault="003663AF" w:rsidP="00E804B7">
            <w:pPr>
              <w:pStyle w:val="Normal6"/>
            </w:pPr>
            <w:r w:rsidRPr="00B7760C">
              <w:t>Litva</w:t>
            </w:r>
          </w:p>
        </w:tc>
        <w:tc>
          <w:tcPr>
            <w:tcW w:w="4876" w:type="dxa"/>
            <w:tcBorders>
              <w:top w:val="single" w:sz="4" w:space="0" w:color="auto"/>
              <w:left w:val="single" w:sz="4" w:space="0" w:color="auto"/>
              <w:bottom w:val="single" w:sz="4" w:space="0" w:color="auto"/>
              <w:right w:val="single" w:sz="4" w:space="0" w:color="auto"/>
            </w:tcBorders>
            <w:vAlign w:val="center"/>
            <w:hideMark/>
          </w:tcPr>
          <w:p w14:paraId="57FCD063" w14:textId="77777777" w:rsidR="003663AF" w:rsidRPr="00B7760C" w:rsidRDefault="003663AF" w:rsidP="00E804B7">
            <w:pPr>
              <w:pStyle w:val="Normal6"/>
              <w:jc w:val="right"/>
              <w:rPr>
                <w:b/>
                <w:i/>
              </w:rPr>
            </w:pPr>
            <w:r w:rsidRPr="00B7760C">
              <w:rPr>
                <w:b/>
                <w:i/>
              </w:rPr>
              <w:t>X</w:t>
            </w:r>
          </w:p>
        </w:tc>
      </w:tr>
      <w:tr w:rsidR="003663AF" w:rsidRPr="00B7760C" w14:paraId="45D07D69" w14:textId="77777777" w:rsidTr="00E804B7">
        <w:tc>
          <w:tcPr>
            <w:tcW w:w="4876" w:type="dxa"/>
            <w:tcBorders>
              <w:top w:val="single" w:sz="4" w:space="0" w:color="auto"/>
              <w:left w:val="single" w:sz="4" w:space="0" w:color="auto"/>
              <w:bottom w:val="single" w:sz="4" w:space="0" w:color="auto"/>
              <w:right w:val="single" w:sz="4" w:space="0" w:color="auto"/>
            </w:tcBorders>
            <w:vAlign w:val="center"/>
            <w:hideMark/>
          </w:tcPr>
          <w:p w14:paraId="7B68F1D3" w14:textId="77777777" w:rsidR="003663AF" w:rsidRPr="00B7760C" w:rsidRDefault="003663AF" w:rsidP="00E804B7">
            <w:pPr>
              <w:pStyle w:val="Normal6"/>
            </w:pPr>
            <w:r w:rsidRPr="00B7760C">
              <w:t>Madžarska</w:t>
            </w:r>
          </w:p>
        </w:tc>
        <w:tc>
          <w:tcPr>
            <w:tcW w:w="4876" w:type="dxa"/>
            <w:tcBorders>
              <w:top w:val="single" w:sz="4" w:space="0" w:color="auto"/>
              <w:left w:val="single" w:sz="4" w:space="0" w:color="auto"/>
              <w:bottom w:val="single" w:sz="4" w:space="0" w:color="auto"/>
              <w:right w:val="single" w:sz="4" w:space="0" w:color="auto"/>
            </w:tcBorders>
            <w:vAlign w:val="center"/>
            <w:hideMark/>
          </w:tcPr>
          <w:p w14:paraId="04121C33" w14:textId="77777777" w:rsidR="003663AF" w:rsidRPr="00B7760C" w:rsidRDefault="003663AF" w:rsidP="00E804B7">
            <w:pPr>
              <w:pStyle w:val="Normal6"/>
              <w:jc w:val="right"/>
              <w:rPr>
                <w:b/>
                <w:i/>
              </w:rPr>
            </w:pPr>
            <w:r w:rsidRPr="00B7760C">
              <w:rPr>
                <w:b/>
                <w:i/>
              </w:rPr>
              <w:t>X</w:t>
            </w:r>
          </w:p>
        </w:tc>
      </w:tr>
      <w:tr w:rsidR="003663AF" w:rsidRPr="00B7760C" w14:paraId="50F805C7" w14:textId="77777777" w:rsidTr="00E804B7">
        <w:tc>
          <w:tcPr>
            <w:tcW w:w="4876" w:type="dxa"/>
            <w:tcBorders>
              <w:top w:val="single" w:sz="4" w:space="0" w:color="auto"/>
              <w:left w:val="single" w:sz="4" w:space="0" w:color="auto"/>
              <w:bottom w:val="single" w:sz="4" w:space="0" w:color="auto"/>
              <w:right w:val="single" w:sz="4" w:space="0" w:color="auto"/>
            </w:tcBorders>
            <w:vAlign w:val="center"/>
            <w:hideMark/>
          </w:tcPr>
          <w:p w14:paraId="6A67F76A" w14:textId="77777777" w:rsidR="003663AF" w:rsidRPr="00B7760C" w:rsidRDefault="003663AF" w:rsidP="00E804B7">
            <w:pPr>
              <w:pStyle w:val="Normal6"/>
            </w:pPr>
            <w:r w:rsidRPr="00B7760C">
              <w:t>Avstrija</w:t>
            </w:r>
          </w:p>
        </w:tc>
        <w:tc>
          <w:tcPr>
            <w:tcW w:w="4876" w:type="dxa"/>
            <w:tcBorders>
              <w:top w:val="single" w:sz="4" w:space="0" w:color="auto"/>
              <w:left w:val="single" w:sz="4" w:space="0" w:color="auto"/>
              <w:bottom w:val="single" w:sz="4" w:space="0" w:color="auto"/>
              <w:right w:val="single" w:sz="4" w:space="0" w:color="auto"/>
            </w:tcBorders>
            <w:vAlign w:val="center"/>
            <w:hideMark/>
          </w:tcPr>
          <w:p w14:paraId="318B8848" w14:textId="77777777" w:rsidR="003663AF" w:rsidRPr="00B7760C" w:rsidRDefault="003663AF" w:rsidP="00E804B7">
            <w:pPr>
              <w:pStyle w:val="Normal6"/>
              <w:jc w:val="right"/>
              <w:rPr>
                <w:b/>
                <w:i/>
              </w:rPr>
            </w:pPr>
            <w:r w:rsidRPr="00B7760C">
              <w:rPr>
                <w:b/>
                <w:i/>
              </w:rPr>
              <w:t>X</w:t>
            </w:r>
          </w:p>
        </w:tc>
      </w:tr>
      <w:tr w:rsidR="003663AF" w:rsidRPr="00B7760C" w14:paraId="79D3AEBF" w14:textId="77777777" w:rsidTr="00E804B7">
        <w:tc>
          <w:tcPr>
            <w:tcW w:w="4876" w:type="dxa"/>
            <w:tcBorders>
              <w:top w:val="single" w:sz="4" w:space="0" w:color="auto"/>
              <w:left w:val="single" w:sz="4" w:space="0" w:color="auto"/>
              <w:bottom w:val="single" w:sz="4" w:space="0" w:color="auto"/>
              <w:right w:val="single" w:sz="4" w:space="0" w:color="auto"/>
            </w:tcBorders>
            <w:vAlign w:val="center"/>
            <w:hideMark/>
          </w:tcPr>
          <w:p w14:paraId="5602720B" w14:textId="77777777" w:rsidR="003663AF" w:rsidRPr="00B7760C" w:rsidRDefault="003663AF" w:rsidP="00E804B7">
            <w:pPr>
              <w:pStyle w:val="Normal6"/>
            </w:pPr>
            <w:r w:rsidRPr="00B7760C">
              <w:t>Portugalska</w:t>
            </w:r>
          </w:p>
        </w:tc>
        <w:tc>
          <w:tcPr>
            <w:tcW w:w="4876" w:type="dxa"/>
            <w:tcBorders>
              <w:top w:val="single" w:sz="4" w:space="0" w:color="auto"/>
              <w:left w:val="single" w:sz="4" w:space="0" w:color="auto"/>
              <w:bottom w:val="single" w:sz="4" w:space="0" w:color="auto"/>
              <w:right w:val="single" w:sz="4" w:space="0" w:color="auto"/>
            </w:tcBorders>
            <w:vAlign w:val="center"/>
            <w:hideMark/>
          </w:tcPr>
          <w:p w14:paraId="36DDE62A" w14:textId="77777777" w:rsidR="003663AF" w:rsidRPr="00B7760C" w:rsidRDefault="003663AF" w:rsidP="00E804B7">
            <w:pPr>
              <w:pStyle w:val="Normal6"/>
              <w:jc w:val="right"/>
              <w:rPr>
                <w:b/>
                <w:i/>
              </w:rPr>
            </w:pPr>
            <w:r w:rsidRPr="00B7760C">
              <w:rPr>
                <w:b/>
                <w:i/>
              </w:rPr>
              <w:t>X</w:t>
            </w:r>
          </w:p>
        </w:tc>
      </w:tr>
      <w:tr w:rsidR="003663AF" w:rsidRPr="00B7760C" w14:paraId="258C1754" w14:textId="77777777" w:rsidTr="00E804B7">
        <w:tc>
          <w:tcPr>
            <w:tcW w:w="4876" w:type="dxa"/>
            <w:tcBorders>
              <w:top w:val="single" w:sz="4" w:space="0" w:color="auto"/>
              <w:left w:val="single" w:sz="4" w:space="0" w:color="auto"/>
              <w:bottom w:val="single" w:sz="4" w:space="0" w:color="auto"/>
              <w:right w:val="single" w:sz="4" w:space="0" w:color="auto"/>
            </w:tcBorders>
            <w:vAlign w:val="center"/>
            <w:hideMark/>
          </w:tcPr>
          <w:p w14:paraId="48E3DF41" w14:textId="77777777" w:rsidR="003663AF" w:rsidRPr="00B7760C" w:rsidRDefault="003663AF" w:rsidP="00E804B7">
            <w:pPr>
              <w:pStyle w:val="Normal6"/>
            </w:pPr>
            <w:r w:rsidRPr="00B7760C">
              <w:t>Romunija</w:t>
            </w:r>
          </w:p>
        </w:tc>
        <w:tc>
          <w:tcPr>
            <w:tcW w:w="4876" w:type="dxa"/>
            <w:tcBorders>
              <w:top w:val="single" w:sz="4" w:space="0" w:color="auto"/>
              <w:left w:val="single" w:sz="4" w:space="0" w:color="auto"/>
              <w:bottom w:val="single" w:sz="4" w:space="0" w:color="auto"/>
              <w:right w:val="single" w:sz="4" w:space="0" w:color="auto"/>
            </w:tcBorders>
            <w:vAlign w:val="center"/>
            <w:hideMark/>
          </w:tcPr>
          <w:p w14:paraId="68F8A2D8" w14:textId="77777777" w:rsidR="003663AF" w:rsidRPr="00B7760C" w:rsidRDefault="003663AF" w:rsidP="00E804B7">
            <w:pPr>
              <w:pStyle w:val="Normal6"/>
              <w:jc w:val="right"/>
              <w:rPr>
                <w:b/>
                <w:i/>
              </w:rPr>
            </w:pPr>
            <w:r w:rsidRPr="00B7760C">
              <w:rPr>
                <w:b/>
                <w:i/>
              </w:rPr>
              <w:t>X</w:t>
            </w:r>
          </w:p>
        </w:tc>
      </w:tr>
      <w:tr w:rsidR="003663AF" w:rsidRPr="00B7760C" w14:paraId="284D4CBB" w14:textId="77777777" w:rsidTr="00E804B7">
        <w:tc>
          <w:tcPr>
            <w:tcW w:w="4876" w:type="dxa"/>
            <w:tcBorders>
              <w:top w:val="single" w:sz="4" w:space="0" w:color="auto"/>
              <w:left w:val="single" w:sz="4" w:space="0" w:color="auto"/>
              <w:bottom w:val="single" w:sz="4" w:space="0" w:color="auto"/>
              <w:right w:val="single" w:sz="4" w:space="0" w:color="auto"/>
            </w:tcBorders>
            <w:vAlign w:val="center"/>
            <w:hideMark/>
          </w:tcPr>
          <w:p w14:paraId="0A67C9B6" w14:textId="77777777" w:rsidR="003663AF" w:rsidRPr="00B7760C" w:rsidRDefault="003663AF" w:rsidP="00E804B7">
            <w:pPr>
              <w:pStyle w:val="Normal6"/>
            </w:pPr>
            <w:r w:rsidRPr="00B7760C">
              <w:t>Slovenija</w:t>
            </w:r>
          </w:p>
        </w:tc>
        <w:tc>
          <w:tcPr>
            <w:tcW w:w="4876" w:type="dxa"/>
            <w:tcBorders>
              <w:top w:val="single" w:sz="4" w:space="0" w:color="auto"/>
              <w:left w:val="single" w:sz="4" w:space="0" w:color="auto"/>
              <w:bottom w:val="single" w:sz="4" w:space="0" w:color="auto"/>
              <w:right w:val="single" w:sz="4" w:space="0" w:color="auto"/>
            </w:tcBorders>
            <w:vAlign w:val="center"/>
            <w:hideMark/>
          </w:tcPr>
          <w:p w14:paraId="4AB1F693" w14:textId="77777777" w:rsidR="003663AF" w:rsidRPr="00B7760C" w:rsidRDefault="003663AF" w:rsidP="00E804B7">
            <w:pPr>
              <w:pStyle w:val="Normal6"/>
              <w:jc w:val="right"/>
              <w:rPr>
                <w:b/>
                <w:i/>
              </w:rPr>
            </w:pPr>
            <w:r w:rsidRPr="00B7760C">
              <w:rPr>
                <w:b/>
                <w:i/>
              </w:rPr>
              <w:t>X</w:t>
            </w:r>
          </w:p>
        </w:tc>
      </w:tr>
      <w:tr w:rsidR="003663AF" w:rsidRPr="00B7760C" w14:paraId="52DA4C4F" w14:textId="77777777" w:rsidTr="00E804B7">
        <w:tc>
          <w:tcPr>
            <w:tcW w:w="4876" w:type="dxa"/>
            <w:tcBorders>
              <w:top w:val="single" w:sz="4" w:space="0" w:color="auto"/>
              <w:left w:val="single" w:sz="4" w:space="0" w:color="auto"/>
              <w:bottom w:val="single" w:sz="4" w:space="0" w:color="auto"/>
              <w:right w:val="single" w:sz="4" w:space="0" w:color="auto"/>
            </w:tcBorders>
            <w:vAlign w:val="center"/>
            <w:hideMark/>
          </w:tcPr>
          <w:p w14:paraId="388567EB" w14:textId="77777777" w:rsidR="003663AF" w:rsidRPr="00B7760C" w:rsidRDefault="003663AF" w:rsidP="00E804B7">
            <w:pPr>
              <w:pStyle w:val="Normal6"/>
            </w:pPr>
            <w:r w:rsidRPr="00B7760C">
              <w:t>Slovaška</w:t>
            </w:r>
          </w:p>
        </w:tc>
        <w:tc>
          <w:tcPr>
            <w:tcW w:w="4876" w:type="dxa"/>
            <w:tcBorders>
              <w:top w:val="single" w:sz="4" w:space="0" w:color="auto"/>
              <w:left w:val="single" w:sz="4" w:space="0" w:color="auto"/>
              <w:bottom w:val="single" w:sz="4" w:space="0" w:color="auto"/>
              <w:right w:val="single" w:sz="4" w:space="0" w:color="auto"/>
            </w:tcBorders>
            <w:vAlign w:val="center"/>
            <w:hideMark/>
          </w:tcPr>
          <w:p w14:paraId="70F06EDF" w14:textId="77777777" w:rsidR="003663AF" w:rsidRPr="00B7760C" w:rsidRDefault="003663AF" w:rsidP="00E804B7">
            <w:pPr>
              <w:pStyle w:val="Normal6"/>
              <w:jc w:val="right"/>
              <w:rPr>
                <w:b/>
                <w:i/>
              </w:rPr>
            </w:pPr>
            <w:r w:rsidRPr="00B7760C">
              <w:rPr>
                <w:b/>
                <w:i/>
              </w:rPr>
              <w:t>X</w:t>
            </w:r>
          </w:p>
        </w:tc>
      </w:tr>
    </w:tbl>
    <w:p w14:paraId="1BAE50BD" w14:textId="77777777" w:rsidR="003663AF" w:rsidRPr="00B7760C" w:rsidRDefault="003663AF" w:rsidP="003663AF"/>
    <w:p w14:paraId="095C1491" w14:textId="77777777" w:rsidR="003663AF" w:rsidRPr="00B7760C" w:rsidRDefault="003663AF" w:rsidP="003663AF">
      <w:pPr>
        <w:sectPr w:rsidR="003663AF" w:rsidRPr="00B7760C" w:rsidSect="005915CF">
          <w:footnotePr>
            <w:numRestart w:val="eachPage"/>
          </w:footnotePr>
          <w:endnotePr>
            <w:numFmt w:val="decimal"/>
          </w:endnotePr>
          <w:pgSz w:w="11906" w:h="16838" w:code="9"/>
          <w:pgMar w:top="1418" w:right="1418" w:bottom="1134" w:left="1418" w:header="567" w:footer="567" w:gutter="0"/>
          <w:cols w:space="720"/>
          <w:noEndnote/>
          <w:docGrid w:linePitch="326"/>
        </w:sectPr>
      </w:pPr>
    </w:p>
    <w:p w14:paraId="2C8DB11B" w14:textId="63281BB4" w:rsidR="003663AF" w:rsidRPr="00B7760C" w:rsidRDefault="00877691" w:rsidP="003663AF">
      <w:pPr>
        <w:pStyle w:val="AMNumberTabs"/>
        <w:keepNext/>
      </w:pPr>
      <w:r w:rsidRPr="00B7760C">
        <w:t>Sprememba</w:t>
      </w:r>
      <w:r w:rsidR="003663AF" w:rsidRPr="00B7760C">
        <w:tab/>
      </w:r>
      <w:r w:rsidR="003663AF" w:rsidRPr="00B7760C">
        <w:tab/>
        <w:t>720</w:t>
      </w:r>
    </w:p>
    <w:p w14:paraId="52D015A6" w14:textId="77777777" w:rsidR="003663AF" w:rsidRPr="00B7760C" w:rsidRDefault="003663AF" w:rsidP="003663AF">
      <w:pPr>
        <w:pStyle w:val="NormalBold12b"/>
        <w:keepNext/>
      </w:pPr>
      <w:r w:rsidRPr="00B7760C">
        <w:t>Predlog uredbe</w:t>
      </w:r>
    </w:p>
    <w:p w14:paraId="13DB6E07" w14:textId="77777777" w:rsidR="003663AF" w:rsidRPr="00B7760C" w:rsidRDefault="003663AF" w:rsidP="003663AF">
      <w:pPr>
        <w:pStyle w:val="NormalBold"/>
        <w:keepNext/>
      </w:pPr>
      <w:r w:rsidRPr="00B7760C">
        <w:t>Priloga VI – preglednica</w:t>
      </w:r>
    </w:p>
    <w:p w14:paraId="6418CB85" w14:textId="77777777" w:rsidR="003663AF" w:rsidRPr="00B7760C" w:rsidRDefault="003663AF" w:rsidP="003663AF"/>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Look w:val="04A0" w:firstRow="1" w:lastRow="0" w:firstColumn="1" w:lastColumn="0" w:noHBand="0" w:noVBand="1"/>
      </w:tblPr>
      <w:tblGrid>
        <w:gridCol w:w="14623"/>
      </w:tblGrid>
      <w:tr w:rsidR="003663AF" w:rsidRPr="00B7760C" w14:paraId="3348DE6C" w14:textId="77777777" w:rsidTr="00E804B7">
        <w:trPr>
          <w:trHeight w:val="326"/>
        </w:trPr>
        <w:tc>
          <w:tcPr>
            <w:tcW w:w="14623" w:type="dxa"/>
            <w:tcBorders>
              <w:top w:val="nil"/>
              <w:left w:val="nil"/>
              <w:bottom w:val="nil"/>
              <w:right w:val="nil"/>
            </w:tcBorders>
            <w:hideMark/>
          </w:tcPr>
          <w:p w14:paraId="2644AA60" w14:textId="77777777" w:rsidR="003663AF" w:rsidRPr="00B7760C" w:rsidRDefault="003663AF" w:rsidP="00E804B7">
            <w:pPr>
              <w:keepNext/>
              <w:spacing w:after="240"/>
              <w:jc w:val="center"/>
              <w:rPr>
                <w:i/>
              </w:rPr>
            </w:pPr>
            <w:r w:rsidRPr="00B7760C">
              <w:rPr>
                <w:i/>
              </w:rPr>
              <w:t>Besedilo, ki ga predlaga Komisija</w:t>
            </w:r>
          </w:p>
        </w:tc>
      </w:tr>
      <w:tr w:rsidR="003663AF" w:rsidRPr="00B7760C" w14:paraId="732E5EAE" w14:textId="77777777" w:rsidTr="00E804B7">
        <w:trPr>
          <w:trHeight w:val="373"/>
        </w:trPr>
        <w:tc>
          <w:tcPr>
            <w:tcW w:w="14623" w:type="dxa"/>
            <w:tcBorders>
              <w:top w:val="nil"/>
              <w:left w:val="nil"/>
              <w:bottom w:val="nil"/>
              <w:right w:val="dotted" w:sz="4" w:space="0" w:color="auto"/>
            </w:tcBorders>
            <w:hideMark/>
          </w:tcPr>
          <w:p w14:paraId="0D899BE5" w14:textId="77777777" w:rsidR="003663AF" w:rsidRPr="00B7760C" w:rsidRDefault="003663AF" w:rsidP="00E804B7">
            <w:pPr>
              <w:pStyle w:val="Normal6"/>
            </w:pPr>
            <w:r w:rsidRPr="00B7760C">
              <w:rPr>
                <w:sz w:val="20"/>
              </w:rPr>
              <w:t>DODELITVE DRŽAV ČLANIC ZA BOMBAŽ IZ DRUGEGA PODODSTAVKA ČLENA 81(1)</w:t>
            </w:r>
          </w:p>
        </w:tc>
      </w:tr>
      <w:tr w:rsidR="003663AF" w:rsidRPr="00B7760C" w14:paraId="0EFD4B24" w14:textId="77777777" w:rsidTr="00E804B7">
        <w:trPr>
          <w:trHeight w:val="373"/>
        </w:trPr>
        <w:tc>
          <w:tcPr>
            <w:tcW w:w="14623" w:type="dxa"/>
            <w:tcBorders>
              <w:top w:val="nil"/>
              <w:left w:val="nil"/>
              <w:bottom w:val="nil"/>
              <w:right w:val="dotted" w:sz="4" w:space="0" w:color="auto"/>
            </w:tcBorders>
            <w:hideMark/>
          </w:tcPr>
          <w:p w14:paraId="54F325C8" w14:textId="77777777" w:rsidR="003663AF" w:rsidRPr="00B7760C" w:rsidRDefault="003663AF" w:rsidP="00E804B7">
            <w:pPr>
              <w:pStyle w:val="Normal6"/>
              <w:jc w:val="right"/>
              <w:rPr>
                <w:sz w:val="20"/>
              </w:rPr>
            </w:pPr>
            <w:r w:rsidRPr="00B7760C">
              <w:rPr>
                <w:sz w:val="20"/>
              </w:rPr>
              <w:t>(tekoče cene v EUR)</w:t>
            </w:r>
          </w:p>
        </w:tc>
      </w:tr>
    </w:tbl>
    <w:p w14:paraId="2638639F" w14:textId="77777777" w:rsidR="003663AF" w:rsidRPr="00B7760C" w:rsidRDefault="003663AF" w:rsidP="003663AF"/>
    <w:tbl>
      <w:tblPr>
        <w:tblW w:w="45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926"/>
        <w:gridCol w:w="876"/>
        <w:gridCol w:w="937"/>
        <w:gridCol w:w="937"/>
        <w:gridCol w:w="937"/>
        <w:gridCol w:w="865"/>
        <w:gridCol w:w="1238"/>
      </w:tblGrid>
      <w:tr w:rsidR="003663AF" w:rsidRPr="00B7760C" w14:paraId="6472FD8D"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5C527F6F" w14:textId="77777777" w:rsidR="003663AF" w:rsidRPr="00B7760C" w:rsidRDefault="003663AF" w:rsidP="00E804B7">
            <w:pPr>
              <w:pStyle w:val="Normal6"/>
              <w:rPr>
                <w:sz w:val="20"/>
              </w:rPr>
            </w:pPr>
            <w:r w:rsidRPr="00B7760C">
              <w:rPr>
                <w:sz w:val="20"/>
              </w:rPr>
              <w:t>Koledarsko leto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3EFB9C3" w14:textId="77777777" w:rsidR="003663AF" w:rsidRPr="00B7760C" w:rsidRDefault="003663AF" w:rsidP="00E804B7">
            <w:pPr>
              <w:pStyle w:val="Normal6"/>
              <w:rPr>
                <w:sz w:val="20"/>
              </w:rPr>
            </w:pPr>
            <w:r w:rsidRPr="00B7760C">
              <w:rPr>
                <w:sz w:val="20"/>
              </w:rPr>
              <w:t>2021</w:t>
            </w:r>
          </w:p>
        </w:tc>
        <w:tc>
          <w:tcPr>
            <w:tcW w:w="1405" w:type="dxa"/>
            <w:tcBorders>
              <w:top w:val="single" w:sz="4" w:space="0" w:color="auto"/>
              <w:left w:val="single" w:sz="4" w:space="0" w:color="auto"/>
              <w:bottom w:val="single" w:sz="4" w:space="0" w:color="auto"/>
              <w:right w:val="single" w:sz="4" w:space="0" w:color="auto"/>
            </w:tcBorders>
            <w:vAlign w:val="center"/>
            <w:hideMark/>
          </w:tcPr>
          <w:p w14:paraId="7EB65204" w14:textId="77777777" w:rsidR="003663AF" w:rsidRPr="00B7760C" w:rsidRDefault="003663AF" w:rsidP="00E804B7">
            <w:pPr>
              <w:pStyle w:val="Normal6"/>
              <w:rPr>
                <w:sz w:val="20"/>
              </w:rPr>
            </w:pPr>
            <w:r w:rsidRPr="00B7760C">
              <w:rPr>
                <w:sz w:val="20"/>
              </w:rPr>
              <w:t>2022</w:t>
            </w:r>
          </w:p>
        </w:tc>
        <w:tc>
          <w:tcPr>
            <w:tcW w:w="1591" w:type="dxa"/>
            <w:tcBorders>
              <w:top w:val="single" w:sz="4" w:space="0" w:color="auto"/>
              <w:left w:val="single" w:sz="4" w:space="0" w:color="auto"/>
              <w:bottom w:val="single" w:sz="4" w:space="0" w:color="auto"/>
              <w:right w:val="single" w:sz="4" w:space="0" w:color="auto"/>
            </w:tcBorders>
            <w:vAlign w:val="center"/>
            <w:hideMark/>
          </w:tcPr>
          <w:p w14:paraId="33755E09" w14:textId="77777777" w:rsidR="003663AF" w:rsidRPr="00B7760C" w:rsidRDefault="003663AF" w:rsidP="00E804B7">
            <w:pPr>
              <w:pStyle w:val="Normal6"/>
              <w:rPr>
                <w:sz w:val="20"/>
              </w:rPr>
            </w:pPr>
            <w:r w:rsidRPr="00B7760C">
              <w:rPr>
                <w:sz w:val="20"/>
              </w:rPr>
              <w:t>2023</w:t>
            </w:r>
          </w:p>
        </w:tc>
        <w:tc>
          <w:tcPr>
            <w:tcW w:w="1591" w:type="dxa"/>
            <w:tcBorders>
              <w:top w:val="single" w:sz="4" w:space="0" w:color="auto"/>
              <w:left w:val="single" w:sz="4" w:space="0" w:color="auto"/>
              <w:bottom w:val="single" w:sz="4" w:space="0" w:color="auto"/>
              <w:right w:val="single" w:sz="4" w:space="0" w:color="auto"/>
            </w:tcBorders>
            <w:vAlign w:val="center"/>
            <w:hideMark/>
          </w:tcPr>
          <w:p w14:paraId="38A55F67" w14:textId="77777777" w:rsidR="003663AF" w:rsidRPr="00B7760C" w:rsidRDefault="003663AF" w:rsidP="00E804B7">
            <w:pPr>
              <w:pStyle w:val="Normal6"/>
              <w:rPr>
                <w:sz w:val="20"/>
              </w:rPr>
            </w:pPr>
            <w:r w:rsidRPr="00B7760C">
              <w:rPr>
                <w:sz w:val="20"/>
              </w:rPr>
              <w:t>2024</w:t>
            </w:r>
          </w:p>
        </w:tc>
        <w:tc>
          <w:tcPr>
            <w:tcW w:w="1591" w:type="dxa"/>
            <w:tcBorders>
              <w:top w:val="single" w:sz="4" w:space="0" w:color="auto"/>
              <w:left w:val="single" w:sz="4" w:space="0" w:color="auto"/>
              <w:bottom w:val="single" w:sz="4" w:space="0" w:color="auto"/>
              <w:right w:val="single" w:sz="4" w:space="0" w:color="auto"/>
            </w:tcBorders>
            <w:vAlign w:val="center"/>
            <w:hideMark/>
          </w:tcPr>
          <w:p w14:paraId="3B49CDFB" w14:textId="77777777" w:rsidR="003663AF" w:rsidRPr="00B7760C" w:rsidRDefault="003663AF" w:rsidP="00E804B7">
            <w:pPr>
              <w:pStyle w:val="Normal6"/>
              <w:rPr>
                <w:sz w:val="20"/>
              </w:rPr>
            </w:pPr>
            <w:r w:rsidRPr="00B7760C">
              <w:rPr>
                <w:sz w:val="20"/>
              </w:rPr>
              <w:t>2025</w:t>
            </w:r>
          </w:p>
        </w:tc>
        <w:tc>
          <w:tcPr>
            <w:tcW w:w="1374" w:type="dxa"/>
            <w:tcBorders>
              <w:top w:val="single" w:sz="4" w:space="0" w:color="auto"/>
              <w:left w:val="single" w:sz="4" w:space="0" w:color="auto"/>
              <w:bottom w:val="single" w:sz="4" w:space="0" w:color="auto"/>
              <w:right w:val="single" w:sz="4" w:space="0" w:color="auto"/>
            </w:tcBorders>
            <w:vAlign w:val="center"/>
            <w:hideMark/>
          </w:tcPr>
          <w:p w14:paraId="196FEEAD" w14:textId="77777777" w:rsidR="003663AF" w:rsidRPr="00B7760C" w:rsidRDefault="003663AF" w:rsidP="00E804B7">
            <w:pPr>
              <w:pStyle w:val="Normal6"/>
              <w:rPr>
                <w:sz w:val="20"/>
              </w:rPr>
            </w:pPr>
            <w:r w:rsidRPr="00B7760C">
              <w:rPr>
                <w:sz w:val="20"/>
              </w:rPr>
              <w:t>2026</w:t>
            </w:r>
          </w:p>
        </w:tc>
        <w:tc>
          <w:tcPr>
            <w:tcW w:w="1781" w:type="dxa"/>
            <w:tcBorders>
              <w:top w:val="single" w:sz="4" w:space="0" w:color="auto"/>
              <w:left w:val="single" w:sz="4" w:space="0" w:color="auto"/>
              <w:bottom w:val="single" w:sz="4" w:space="0" w:color="auto"/>
              <w:right w:val="single" w:sz="4" w:space="0" w:color="auto"/>
            </w:tcBorders>
            <w:hideMark/>
          </w:tcPr>
          <w:p w14:paraId="76242A2D" w14:textId="77777777" w:rsidR="003663AF" w:rsidRPr="00B7760C" w:rsidRDefault="003663AF" w:rsidP="00E804B7">
            <w:pPr>
              <w:pStyle w:val="Normal6"/>
              <w:rPr>
                <w:sz w:val="20"/>
              </w:rPr>
            </w:pPr>
            <w:r w:rsidRPr="00B7760C">
              <w:rPr>
                <w:sz w:val="20"/>
              </w:rPr>
              <w:t>2027 in naslednja leta</w:t>
            </w:r>
          </w:p>
        </w:tc>
      </w:tr>
      <w:tr w:rsidR="003663AF" w:rsidRPr="00B7760C" w14:paraId="58B99482"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2A75F825" w14:textId="77777777" w:rsidR="003663AF" w:rsidRPr="00B7760C" w:rsidRDefault="003663AF" w:rsidP="00E804B7">
            <w:pPr>
              <w:pStyle w:val="Normal6"/>
              <w:rPr>
                <w:sz w:val="20"/>
              </w:rPr>
            </w:pPr>
            <w:r w:rsidRPr="00B7760C">
              <w:rPr>
                <w:sz w:val="20"/>
              </w:rPr>
              <w:t>Bolgarija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ABD68D4" w14:textId="77777777" w:rsidR="003663AF" w:rsidRPr="00B7760C" w:rsidRDefault="003663AF" w:rsidP="00E804B7">
            <w:pPr>
              <w:pStyle w:val="Normal6"/>
              <w:jc w:val="right"/>
              <w:rPr>
                <w:b/>
                <w:bCs/>
                <w:i/>
                <w:iCs/>
                <w:sz w:val="20"/>
              </w:rPr>
            </w:pPr>
            <w:r w:rsidRPr="00B7760C">
              <w:rPr>
                <w:b/>
                <w:bCs/>
                <w:i/>
                <w:iCs/>
                <w:sz w:val="20"/>
              </w:rPr>
              <w:t>2 509 615</w:t>
            </w:r>
          </w:p>
        </w:tc>
        <w:tc>
          <w:tcPr>
            <w:tcW w:w="1405" w:type="dxa"/>
            <w:tcBorders>
              <w:top w:val="single" w:sz="4" w:space="0" w:color="auto"/>
              <w:left w:val="single" w:sz="4" w:space="0" w:color="auto"/>
              <w:bottom w:val="single" w:sz="4" w:space="0" w:color="auto"/>
              <w:right w:val="single" w:sz="4" w:space="0" w:color="auto"/>
            </w:tcBorders>
            <w:vAlign w:val="center"/>
            <w:hideMark/>
          </w:tcPr>
          <w:p w14:paraId="1F6B4823" w14:textId="77777777" w:rsidR="003663AF" w:rsidRPr="00B7760C" w:rsidRDefault="003663AF" w:rsidP="00E804B7">
            <w:pPr>
              <w:pStyle w:val="Normal6"/>
              <w:jc w:val="right"/>
              <w:rPr>
                <w:b/>
                <w:bCs/>
                <w:i/>
                <w:iCs/>
                <w:sz w:val="20"/>
              </w:rPr>
            </w:pPr>
            <w:r w:rsidRPr="00B7760C">
              <w:rPr>
                <w:b/>
                <w:bCs/>
                <w:i/>
                <w:iCs/>
                <w:sz w:val="20"/>
              </w:rPr>
              <w:t>2 509 615</w:t>
            </w:r>
          </w:p>
        </w:tc>
        <w:tc>
          <w:tcPr>
            <w:tcW w:w="1591" w:type="dxa"/>
            <w:tcBorders>
              <w:top w:val="single" w:sz="4" w:space="0" w:color="auto"/>
              <w:left w:val="single" w:sz="4" w:space="0" w:color="auto"/>
              <w:bottom w:val="single" w:sz="4" w:space="0" w:color="auto"/>
              <w:right w:val="single" w:sz="4" w:space="0" w:color="auto"/>
            </w:tcBorders>
            <w:vAlign w:val="center"/>
            <w:hideMark/>
          </w:tcPr>
          <w:p w14:paraId="71BB2640" w14:textId="77777777" w:rsidR="003663AF" w:rsidRPr="00B7760C" w:rsidRDefault="003663AF" w:rsidP="00E804B7">
            <w:pPr>
              <w:pStyle w:val="Normal6"/>
              <w:jc w:val="right"/>
              <w:rPr>
                <w:b/>
                <w:bCs/>
                <w:i/>
                <w:iCs/>
                <w:sz w:val="20"/>
              </w:rPr>
            </w:pPr>
            <w:r w:rsidRPr="00B7760C">
              <w:rPr>
                <w:b/>
                <w:bCs/>
                <w:i/>
                <w:iCs/>
                <w:sz w:val="20"/>
              </w:rPr>
              <w:t>2 509 615</w:t>
            </w:r>
          </w:p>
        </w:tc>
        <w:tc>
          <w:tcPr>
            <w:tcW w:w="1591" w:type="dxa"/>
            <w:tcBorders>
              <w:top w:val="single" w:sz="4" w:space="0" w:color="auto"/>
              <w:left w:val="single" w:sz="4" w:space="0" w:color="auto"/>
              <w:bottom w:val="single" w:sz="4" w:space="0" w:color="auto"/>
              <w:right w:val="single" w:sz="4" w:space="0" w:color="auto"/>
            </w:tcBorders>
            <w:vAlign w:val="center"/>
            <w:hideMark/>
          </w:tcPr>
          <w:p w14:paraId="33B766A7" w14:textId="77777777" w:rsidR="003663AF" w:rsidRPr="00B7760C" w:rsidRDefault="003663AF" w:rsidP="00E804B7">
            <w:pPr>
              <w:pStyle w:val="Normal6"/>
              <w:jc w:val="right"/>
              <w:rPr>
                <w:b/>
                <w:bCs/>
                <w:i/>
                <w:iCs/>
                <w:sz w:val="20"/>
              </w:rPr>
            </w:pPr>
            <w:r w:rsidRPr="00B7760C">
              <w:rPr>
                <w:b/>
                <w:bCs/>
                <w:i/>
                <w:iCs/>
                <w:sz w:val="20"/>
              </w:rPr>
              <w:t>2 509 615</w:t>
            </w:r>
          </w:p>
        </w:tc>
        <w:tc>
          <w:tcPr>
            <w:tcW w:w="1591" w:type="dxa"/>
            <w:tcBorders>
              <w:top w:val="single" w:sz="4" w:space="0" w:color="auto"/>
              <w:left w:val="single" w:sz="4" w:space="0" w:color="auto"/>
              <w:bottom w:val="single" w:sz="4" w:space="0" w:color="auto"/>
              <w:right w:val="single" w:sz="4" w:space="0" w:color="auto"/>
            </w:tcBorders>
            <w:vAlign w:val="center"/>
            <w:hideMark/>
          </w:tcPr>
          <w:p w14:paraId="1DE9E2D2" w14:textId="77777777" w:rsidR="003663AF" w:rsidRPr="00B7760C" w:rsidRDefault="003663AF" w:rsidP="00E804B7">
            <w:pPr>
              <w:pStyle w:val="Normal6"/>
              <w:jc w:val="right"/>
              <w:rPr>
                <w:b/>
                <w:bCs/>
                <w:i/>
                <w:iCs/>
                <w:sz w:val="20"/>
              </w:rPr>
            </w:pPr>
            <w:r w:rsidRPr="00B7760C">
              <w:rPr>
                <w:b/>
                <w:bCs/>
                <w:i/>
                <w:iCs/>
                <w:sz w:val="20"/>
              </w:rPr>
              <w:t>2 509 615</w:t>
            </w:r>
          </w:p>
        </w:tc>
        <w:tc>
          <w:tcPr>
            <w:tcW w:w="1374" w:type="dxa"/>
            <w:tcBorders>
              <w:top w:val="single" w:sz="4" w:space="0" w:color="auto"/>
              <w:left w:val="single" w:sz="4" w:space="0" w:color="auto"/>
              <w:bottom w:val="single" w:sz="4" w:space="0" w:color="auto"/>
              <w:right w:val="single" w:sz="4" w:space="0" w:color="auto"/>
            </w:tcBorders>
            <w:vAlign w:val="center"/>
            <w:hideMark/>
          </w:tcPr>
          <w:p w14:paraId="30AF5713" w14:textId="77777777" w:rsidR="003663AF" w:rsidRPr="00B7760C" w:rsidRDefault="003663AF" w:rsidP="00E804B7">
            <w:pPr>
              <w:pStyle w:val="Normal6"/>
              <w:jc w:val="right"/>
              <w:rPr>
                <w:b/>
                <w:bCs/>
                <w:i/>
                <w:iCs/>
                <w:sz w:val="20"/>
              </w:rPr>
            </w:pPr>
            <w:r w:rsidRPr="00B7760C">
              <w:rPr>
                <w:b/>
                <w:bCs/>
                <w:i/>
                <w:iCs/>
                <w:sz w:val="20"/>
              </w:rPr>
              <w:t>2 509 615</w:t>
            </w:r>
          </w:p>
        </w:tc>
        <w:tc>
          <w:tcPr>
            <w:tcW w:w="1781" w:type="dxa"/>
            <w:tcBorders>
              <w:top w:val="single" w:sz="4" w:space="0" w:color="auto"/>
              <w:left w:val="single" w:sz="4" w:space="0" w:color="auto"/>
              <w:bottom w:val="single" w:sz="4" w:space="0" w:color="auto"/>
              <w:right w:val="single" w:sz="4" w:space="0" w:color="auto"/>
            </w:tcBorders>
            <w:vAlign w:val="center"/>
            <w:hideMark/>
          </w:tcPr>
          <w:p w14:paraId="51AC4400" w14:textId="77777777" w:rsidR="003663AF" w:rsidRPr="00B7760C" w:rsidRDefault="003663AF" w:rsidP="00E804B7">
            <w:pPr>
              <w:pStyle w:val="Normal6"/>
              <w:jc w:val="right"/>
              <w:rPr>
                <w:b/>
                <w:bCs/>
                <w:i/>
                <w:iCs/>
                <w:sz w:val="20"/>
              </w:rPr>
            </w:pPr>
            <w:r w:rsidRPr="00B7760C">
              <w:rPr>
                <w:b/>
                <w:bCs/>
                <w:i/>
                <w:iCs/>
                <w:sz w:val="20"/>
              </w:rPr>
              <w:t>2 509 615</w:t>
            </w:r>
          </w:p>
        </w:tc>
      </w:tr>
      <w:tr w:rsidR="003663AF" w:rsidRPr="00B7760C" w14:paraId="596428BF"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62831744" w14:textId="77777777" w:rsidR="003663AF" w:rsidRPr="00B7760C" w:rsidRDefault="003663AF" w:rsidP="00E804B7">
            <w:pPr>
              <w:pStyle w:val="Normal6"/>
              <w:rPr>
                <w:sz w:val="20"/>
              </w:rPr>
            </w:pPr>
            <w:r w:rsidRPr="00B7760C">
              <w:rPr>
                <w:sz w:val="20"/>
              </w:rPr>
              <w:t>Grčija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A2075F3" w14:textId="77777777" w:rsidR="003663AF" w:rsidRPr="00B7760C" w:rsidRDefault="003663AF" w:rsidP="00E804B7">
            <w:pPr>
              <w:pStyle w:val="Normal6"/>
              <w:jc w:val="right"/>
              <w:rPr>
                <w:b/>
                <w:bCs/>
                <w:i/>
                <w:iCs/>
                <w:sz w:val="20"/>
              </w:rPr>
            </w:pPr>
            <w:r w:rsidRPr="00B7760C">
              <w:rPr>
                <w:b/>
                <w:bCs/>
                <w:i/>
                <w:iCs/>
                <w:sz w:val="20"/>
              </w:rPr>
              <w:t>180 532 000</w:t>
            </w:r>
          </w:p>
        </w:tc>
        <w:tc>
          <w:tcPr>
            <w:tcW w:w="1405" w:type="dxa"/>
            <w:tcBorders>
              <w:top w:val="single" w:sz="4" w:space="0" w:color="auto"/>
              <w:left w:val="single" w:sz="4" w:space="0" w:color="auto"/>
              <w:bottom w:val="single" w:sz="4" w:space="0" w:color="auto"/>
              <w:right w:val="single" w:sz="4" w:space="0" w:color="auto"/>
            </w:tcBorders>
            <w:vAlign w:val="center"/>
            <w:hideMark/>
          </w:tcPr>
          <w:p w14:paraId="2A59DAD9" w14:textId="77777777" w:rsidR="003663AF" w:rsidRPr="00B7760C" w:rsidRDefault="003663AF" w:rsidP="00E804B7">
            <w:pPr>
              <w:pStyle w:val="Normal6"/>
              <w:jc w:val="right"/>
              <w:rPr>
                <w:b/>
                <w:bCs/>
                <w:i/>
                <w:iCs/>
                <w:sz w:val="20"/>
              </w:rPr>
            </w:pPr>
            <w:r w:rsidRPr="00B7760C">
              <w:rPr>
                <w:b/>
                <w:bCs/>
                <w:i/>
                <w:iCs/>
                <w:sz w:val="20"/>
              </w:rPr>
              <w:t>180 532 000</w:t>
            </w:r>
          </w:p>
        </w:tc>
        <w:tc>
          <w:tcPr>
            <w:tcW w:w="1591" w:type="dxa"/>
            <w:tcBorders>
              <w:top w:val="single" w:sz="4" w:space="0" w:color="auto"/>
              <w:left w:val="single" w:sz="4" w:space="0" w:color="auto"/>
              <w:bottom w:val="single" w:sz="4" w:space="0" w:color="auto"/>
              <w:right w:val="single" w:sz="4" w:space="0" w:color="auto"/>
            </w:tcBorders>
            <w:vAlign w:val="center"/>
            <w:hideMark/>
          </w:tcPr>
          <w:p w14:paraId="542D7C11" w14:textId="77777777" w:rsidR="003663AF" w:rsidRPr="00B7760C" w:rsidRDefault="003663AF" w:rsidP="00E804B7">
            <w:pPr>
              <w:pStyle w:val="Normal6"/>
              <w:jc w:val="right"/>
              <w:rPr>
                <w:b/>
                <w:bCs/>
                <w:i/>
                <w:iCs/>
                <w:sz w:val="20"/>
              </w:rPr>
            </w:pPr>
            <w:r w:rsidRPr="00B7760C">
              <w:rPr>
                <w:b/>
                <w:bCs/>
                <w:i/>
                <w:iCs/>
                <w:sz w:val="20"/>
              </w:rPr>
              <w:t>180 532 000</w:t>
            </w:r>
          </w:p>
        </w:tc>
        <w:tc>
          <w:tcPr>
            <w:tcW w:w="1591" w:type="dxa"/>
            <w:tcBorders>
              <w:top w:val="single" w:sz="4" w:space="0" w:color="auto"/>
              <w:left w:val="single" w:sz="4" w:space="0" w:color="auto"/>
              <w:bottom w:val="single" w:sz="4" w:space="0" w:color="auto"/>
              <w:right w:val="single" w:sz="4" w:space="0" w:color="auto"/>
            </w:tcBorders>
            <w:vAlign w:val="center"/>
            <w:hideMark/>
          </w:tcPr>
          <w:p w14:paraId="6FFD6BB8" w14:textId="77777777" w:rsidR="003663AF" w:rsidRPr="00B7760C" w:rsidRDefault="003663AF" w:rsidP="00E804B7">
            <w:pPr>
              <w:pStyle w:val="Normal6"/>
              <w:jc w:val="right"/>
              <w:rPr>
                <w:b/>
                <w:bCs/>
                <w:i/>
                <w:iCs/>
                <w:sz w:val="20"/>
              </w:rPr>
            </w:pPr>
            <w:r w:rsidRPr="00B7760C">
              <w:rPr>
                <w:b/>
                <w:bCs/>
                <w:i/>
                <w:iCs/>
                <w:sz w:val="20"/>
              </w:rPr>
              <w:t>180 532 000</w:t>
            </w:r>
          </w:p>
        </w:tc>
        <w:tc>
          <w:tcPr>
            <w:tcW w:w="1591" w:type="dxa"/>
            <w:tcBorders>
              <w:top w:val="single" w:sz="4" w:space="0" w:color="auto"/>
              <w:left w:val="single" w:sz="4" w:space="0" w:color="auto"/>
              <w:bottom w:val="single" w:sz="4" w:space="0" w:color="auto"/>
              <w:right w:val="single" w:sz="4" w:space="0" w:color="auto"/>
            </w:tcBorders>
            <w:vAlign w:val="center"/>
            <w:hideMark/>
          </w:tcPr>
          <w:p w14:paraId="681A5FFC" w14:textId="77777777" w:rsidR="003663AF" w:rsidRPr="00B7760C" w:rsidRDefault="003663AF" w:rsidP="00E804B7">
            <w:pPr>
              <w:pStyle w:val="Normal6"/>
              <w:jc w:val="right"/>
              <w:rPr>
                <w:b/>
                <w:bCs/>
                <w:i/>
                <w:iCs/>
                <w:sz w:val="20"/>
              </w:rPr>
            </w:pPr>
            <w:r w:rsidRPr="00B7760C">
              <w:rPr>
                <w:b/>
                <w:bCs/>
                <w:i/>
                <w:iCs/>
                <w:sz w:val="20"/>
              </w:rPr>
              <w:t>180 532 000</w:t>
            </w:r>
          </w:p>
        </w:tc>
        <w:tc>
          <w:tcPr>
            <w:tcW w:w="1374" w:type="dxa"/>
            <w:tcBorders>
              <w:top w:val="single" w:sz="4" w:space="0" w:color="auto"/>
              <w:left w:val="single" w:sz="4" w:space="0" w:color="auto"/>
              <w:bottom w:val="single" w:sz="4" w:space="0" w:color="auto"/>
              <w:right w:val="single" w:sz="4" w:space="0" w:color="auto"/>
            </w:tcBorders>
            <w:vAlign w:val="center"/>
            <w:hideMark/>
          </w:tcPr>
          <w:p w14:paraId="56E14759" w14:textId="77777777" w:rsidR="003663AF" w:rsidRPr="00B7760C" w:rsidRDefault="003663AF" w:rsidP="00E804B7">
            <w:pPr>
              <w:pStyle w:val="Normal6"/>
              <w:jc w:val="right"/>
              <w:rPr>
                <w:b/>
                <w:bCs/>
                <w:i/>
                <w:iCs/>
                <w:sz w:val="20"/>
              </w:rPr>
            </w:pPr>
            <w:r w:rsidRPr="00B7760C">
              <w:rPr>
                <w:b/>
                <w:bCs/>
                <w:i/>
                <w:iCs/>
                <w:sz w:val="20"/>
              </w:rPr>
              <w:t>180 532 000</w:t>
            </w:r>
          </w:p>
        </w:tc>
        <w:tc>
          <w:tcPr>
            <w:tcW w:w="1781" w:type="dxa"/>
            <w:tcBorders>
              <w:top w:val="single" w:sz="4" w:space="0" w:color="auto"/>
              <w:left w:val="single" w:sz="4" w:space="0" w:color="auto"/>
              <w:bottom w:val="single" w:sz="4" w:space="0" w:color="auto"/>
              <w:right w:val="single" w:sz="4" w:space="0" w:color="auto"/>
            </w:tcBorders>
            <w:vAlign w:val="center"/>
            <w:hideMark/>
          </w:tcPr>
          <w:p w14:paraId="1B7B0464" w14:textId="77777777" w:rsidR="003663AF" w:rsidRPr="00B7760C" w:rsidRDefault="003663AF" w:rsidP="00E804B7">
            <w:pPr>
              <w:pStyle w:val="Normal6"/>
              <w:jc w:val="right"/>
              <w:rPr>
                <w:b/>
                <w:bCs/>
                <w:i/>
                <w:iCs/>
                <w:sz w:val="20"/>
              </w:rPr>
            </w:pPr>
            <w:r w:rsidRPr="00B7760C">
              <w:rPr>
                <w:b/>
                <w:bCs/>
                <w:i/>
                <w:iCs/>
                <w:sz w:val="20"/>
              </w:rPr>
              <w:t>180 532 000</w:t>
            </w:r>
          </w:p>
        </w:tc>
      </w:tr>
      <w:tr w:rsidR="003663AF" w:rsidRPr="00B7760C" w14:paraId="455F97CB"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727C1EF8" w14:textId="77777777" w:rsidR="003663AF" w:rsidRPr="00B7760C" w:rsidRDefault="003663AF" w:rsidP="00E804B7">
            <w:pPr>
              <w:pStyle w:val="Normal6"/>
              <w:rPr>
                <w:sz w:val="20"/>
              </w:rPr>
            </w:pPr>
            <w:r w:rsidRPr="00B7760C">
              <w:rPr>
                <w:sz w:val="20"/>
              </w:rPr>
              <w:t>Španija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EBD0C67" w14:textId="77777777" w:rsidR="003663AF" w:rsidRPr="00B7760C" w:rsidRDefault="003663AF" w:rsidP="00E804B7">
            <w:pPr>
              <w:pStyle w:val="Normal6"/>
              <w:jc w:val="right"/>
              <w:rPr>
                <w:b/>
                <w:bCs/>
                <w:i/>
                <w:iCs/>
                <w:sz w:val="20"/>
              </w:rPr>
            </w:pPr>
            <w:r w:rsidRPr="00B7760C">
              <w:rPr>
                <w:b/>
                <w:bCs/>
                <w:i/>
                <w:iCs/>
                <w:sz w:val="20"/>
              </w:rPr>
              <w:t>58 565 040</w:t>
            </w:r>
          </w:p>
        </w:tc>
        <w:tc>
          <w:tcPr>
            <w:tcW w:w="1405" w:type="dxa"/>
            <w:tcBorders>
              <w:top w:val="single" w:sz="4" w:space="0" w:color="auto"/>
              <w:left w:val="single" w:sz="4" w:space="0" w:color="auto"/>
              <w:bottom w:val="single" w:sz="4" w:space="0" w:color="auto"/>
              <w:right w:val="single" w:sz="4" w:space="0" w:color="auto"/>
            </w:tcBorders>
            <w:vAlign w:val="center"/>
            <w:hideMark/>
          </w:tcPr>
          <w:p w14:paraId="55918C15" w14:textId="77777777" w:rsidR="003663AF" w:rsidRPr="00B7760C" w:rsidRDefault="003663AF" w:rsidP="00E804B7">
            <w:pPr>
              <w:pStyle w:val="Normal6"/>
              <w:jc w:val="right"/>
              <w:rPr>
                <w:b/>
                <w:bCs/>
                <w:i/>
                <w:iCs/>
                <w:sz w:val="20"/>
              </w:rPr>
            </w:pPr>
            <w:r w:rsidRPr="00B7760C">
              <w:rPr>
                <w:b/>
                <w:bCs/>
                <w:i/>
                <w:iCs/>
                <w:sz w:val="20"/>
              </w:rPr>
              <w:t>58 565 040</w:t>
            </w:r>
          </w:p>
        </w:tc>
        <w:tc>
          <w:tcPr>
            <w:tcW w:w="1591" w:type="dxa"/>
            <w:tcBorders>
              <w:top w:val="single" w:sz="4" w:space="0" w:color="auto"/>
              <w:left w:val="single" w:sz="4" w:space="0" w:color="auto"/>
              <w:bottom w:val="single" w:sz="4" w:space="0" w:color="auto"/>
              <w:right w:val="single" w:sz="4" w:space="0" w:color="auto"/>
            </w:tcBorders>
            <w:vAlign w:val="center"/>
            <w:hideMark/>
          </w:tcPr>
          <w:p w14:paraId="4BB7D21A" w14:textId="77777777" w:rsidR="003663AF" w:rsidRPr="00B7760C" w:rsidRDefault="003663AF" w:rsidP="00E804B7">
            <w:pPr>
              <w:pStyle w:val="Normal6"/>
              <w:jc w:val="right"/>
              <w:rPr>
                <w:b/>
                <w:bCs/>
                <w:i/>
                <w:iCs/>
                <w:sz w:val="20"/>
              </w:rPr>
            </w:pPr>
            <w:r w:rsidRPr="00B7760C">
              <w:rPr>
                <w:b/>
                <w:bCs/>
                <w:i/>
                <w:iCs/>
                <w:sz w:val="20"/>
              </w:rPr>
              <w:t>58 565 040</w:t>
            </w:r>
          </w:p>
        </w:tc>
        <w:tc>
          <w:tcPr>
            <w:tcW w:w="1591" w:type="dxa"/>
            <w:tcBorders>
              <w:top w:val="single" w:sz="4" w:space="0" w:color="auto"/>
              <w:left w:val="single" w:sz="4" w:space="0" w:color="auto"/>
              <w:bottom w:val="single" w:sz="4" w:space="0" w:color="auto"/>
              <w:right w:val="single" w:sz="4" w:space="0" w:color="auto"/>
            </w:tcBorders>
            <w:vAlign w:val="center"/>
            <w:hideMark/>
          </w:tcPr>
          <w:p w14:paraId="66040C6E" w14:textId="77777777" w:rsidR="003663AF" w:rsidRPr="00B7760C" w:rsidRDefault="003663AF" w:rsidP="00E804B7">
            <w:pPr>
              <w:pStyle w:val="Normal6"/>
              <w:jc w:val="right"/>
              <w:rPr>
                <w:b/>
                <w:bCs/>
                <w:i/>
                <w:iCs/>
                <w:sz w:val="20"/>
              </w:rPr>
            </w:pPr>
            <w:r w:rsidRPr="00B7760C">
              <w:rPr>
                <w:b/>
                <w:bCs/>
                <w:i/>
                <w:iCs/>
                <w:sz w:val="20"/>
              </w:rPr>
              <w:t>58 565 040</w:t>
            </w:r>
          </w:p>
        </w:tc>
        <w:tc>
          <w:tcPr>
            <w:tcW w:w="1591" w:type="dxa"/>
            <w:tcBorders>
              <w:top w:val="single" w:sz="4" w:space="0" w:color="auto"/>
              <w:left w:val="single" w:sz="4" w:space="0" w:color="auto"/>
              <w:bottom w:val="single" w:sz="4" w:space="0" w:color="auto"/>
              <w:right w:val="single" w:sz="4" w:space="0" w:color="auto"/>
            </w:tcBorders>
            <w:vAlign w:val="center"/>
            <w:hideMark/>
          </w:tcPr>
          <w:p w14:paraId="445DC1C2" w14:textId="77777777" w:rsidR="003663AF" w:rsidRPr="00B7760C" w:rsidRDefault="003663AF" w:rsidP="00E804B7">
            <w:pPr>
              <w:pStyle w:val="Normal6"/>
              <w:jc w:val="right"/>
              <w:rPr>
                <w:b/>
                <w:bCs/>
                <w:i/>
                <w:iCs/>
                <w:sz w:val="20"/>
              </w:rPr>
            </w:pPr>
            <w:r w:rsidRPr="00B7760C">
              <w:rPr>
                <w:b/>
                <w:bCs/>
                <w:i/>
                <w:iCs/>
                <w:sz w:val="20"/>
              </w:rPr>
              <w:t>58 565 040</w:t>
            </w:r>
          </w:p>
        </w:tc>
        <w:tc>
          <w:tcPr>
            <w:tcW w:w="1374" w:type="dxa"/>
            <w:tcBorders>
              <w:top w:val="single" w:sz="4" w:space="0" w:color="auto"/>
              <w:left w:val="single" w:sz="4" w:space="0" w:color="auto"/>
              <w:bottom w:val="single" w:sz="4" w:space="0" w:color="auto"/>
              <w:right w:val="single" w:sz="4" w:space="0" w:color="auto"/>
            </w:tcBorders>
            <w:vAlign w:val="center"/>
            <w:hideMark/>
          </w:tcPr>
          <w:p w14:paraId="5BDF1B99" w14:textId="77777777" w:rsidR="003663AF" w:rsidRPr="00B7760C" w:rsidRDefault="003663AF" w:rsidP="00E804B7">
            <w:pPr>
              <w:pStyle w:val="Normal6"/>
              <w:jc w:val="right"/>
              <w:rPr>
                <w:b/>
                <w:bCs/>
                <w:i/>
                <w:iCs/>
                <w:sz w:val="20"/>
              </w:rPr>
            </w:pPr>
            <w:r w:rsidRPr="00B7760C">
              <w:rPr>
                <w:b/>
                <w:bCs/>
                <w:i/>
                <w:iCs/>
                <w:sz w:val="20"/>
              </w:rPr>
              <w:t>58 565 040</w:t>
            </w:r>
          </w:p>
        </w:tc>
        <w:tc>
          <w:tcPr>
            <w:tcW w:w="1781" w:type="dxa"/>
            <w:tcBorders>
              <w:top w:val="single" w:sz="4" w:space="0" w:color="auto"/>
              <w:left w:val="single" w:sz="4" w:space="0" w:color="auto"/>
              <w:bottom w:val="single" w:sz="4" w:space="0" w:color="auto"/>
              <w:right w:val="single" w:sz="4" w:space="0" w:color="auto"/>
            </w:tcBorders>
            <w:vAlign w:val="center"/>
            <w:hideMark/>
          </w:tcPr>
          <w:p w14:paraId="19329A8B" w14:textId="77777777" w:rsidR="003663AF" w:rsidRPr="00B7760C" w:rsidRDefault="003663AF" w:rsidP="00E804B7">
            <w:pPr>
              <w:pStyle w:val="Normal6"/>
              <w:jc w:val="right"/>
              <w:rPr>
                <w:b/>
                <w:bCs/>
                <w:i/>
                <w:iCs/>
                <w:sz w:val="20"/>
              </w:rPr>
            </w:pPr>
            <w:r w:rsidRPr="00B7760C">
              <w:rPr>
                <w:b/>
                <w:bCs/>
                <w:i/>
                <w:iCs/>
                <w:sz w:val="20"/>
              </w:rPr>
              <w:t>58 565 040</w:t>
            </w:r>
          </w:p>
        </w:tc>
      </w:tr>
      <w:tr w:rsidR="003663AF" w:rsidRPr="00B7760C" w14:paraId="226860A1"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7F4F23A7" w14:textId="77777777" w:rsidR="003663AF" w:rsidRPr="00B7760C" w:rsidRDefault="003663AF" w:rsidP="00E804B7">
            <w:pPr>
              <w:pStyle w:val="Normal6"/>
              <w:rPr>
                <w:sz w:val="20"/>
              </w:rPr>
            </w:pPr>
            <w:r w:rsidRPr="00B7760C">
              <w:rPr>
                <w:sz w:val="20"/>
              </w:rPr>
              <w:t>Portugalska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A17C6DD" w14:textId="77777777" w:rsidR="003663AF" w:rsidRPr="00B7760C" w:rsidRDefault="003663AF" w:rsidP="00E804B7">
            <w:pPr>
              <w:pStyle w:val="Normal6"/>
              <w:jc w:val="right"/>
              <w:rPr>
                <w:b/>
                <w:bCs/>
                <w:i/>
                <w:iCs/>
                <w:sz w:val="20"/>
              </w:rPr>
            </w:pPr>
            <w:r w:rsidRPr="00B7760C">
              <w:rPr>
                <w:b/>
                <w:bCs/>
                <w:i/>
                <w:iCs/>
                <w:sz w:val="20"/>
              </w:rPr>
              <w:t>174 239</w:t>
            </w:r>
          </w:p>
        </w:tc>
        <w:tc>
          <w:tcPr>
            <w:tcW w:w="1405" w:type="dxa"/>
            <w:tcBorders>
              <w:top w:val="single" w:sz="4" w:space="0" w:color="auto"/>
              <w:left w:val="single" w:sz="4" w:space="0" w:color="auto"/>
              <w:bottom w:val="single" w:sz="4" w:space="0" w:color="auto"/>
              <w:right w:val="single" w:sz="4" w:space="0" w:color="auto"/>
            </w:tcBorders>
            <w:vAlign w:val="center"/>
            <w:hideMark/>
          </w:tcPr>
          <w:p w14:paraId="1D34D63E" w14:textId="77777777" w:rsidR="003663AF" w:rsidRPr="00B7760C" w:rsidRDefault="003663AF" w:rsidP="00E804B7">
            <w:pPr>
              <w:pStyle w:val="Normal6"/>
              <w:jc w:val="right"/>
              <w:rPr>
                <w:b/>
                <w:bCs/>
                <w:i/>
                <w:iCs/>
                <w:sz w:val="20"/>
              </w:rPr>
            </w:pPr>
            <w:r w:rsidRPr="00B7760C">
              <w:rPr>
                <w:b/>
                <w:bCs/>
                <w:i/>
                <w:iCs/>
                <w:sz w:val="20"/>
              </w:rPr>
              <w:t>174 239</w:t>
            </w:r>
          </w:p>
        </w:tc>
        <w:tc>
          <w:tcPr>
            <w:tcW w:w="1591" w:type="dxa"/>
            <w:tcBorders>
              <w:top w:val="single" w:sz="4" w:space="0" w:color="auto"/>
              <w:left w:val="single" w:sz="4" w:space="0" w:color="auto"/>
              <w:bottom w:val="single" w:sz="4" w:space="0" w:color="auto"/>
              <w:right w:val="single" w:sz="4" w:space="0" w:color="auto"/>
            </w:tcBorders>
            <w:vAlign w:val="center"/>
            <w:hideMark/>
          </w:tcPr>
          <w:p w14:paraId="0F0BC6B8" w14:textId="77777777" w:rsidR="003663AF" w:rsidRPr="00B7760C" w:rsidRDefault="003663AF" w:rsidP="00E804B7">
            <w:pPr>
              <w:pStyle w:val="Normal6"/>
              <w:jc w:val="right"/>
              <w:rPr>
                <w:b/>
                <w:bCs/>
                <w:i/>
                <w:iCs/>
                <w:sz w:val="20"/>
              </w:rPr>
            </w:pPr>
            <w:r w:rsidRPr="00B7760C">
              <w:rPr>
                <w:b/>
                <w:bCs/>
                <w:i/>
                <w:iCs/>
                <w:sz w:val="20"/>
              </w:rPr>
              <w:t>174 239</w:t>
            </w:r>
          </w:p>
        </w:tc>
        <w:tc>
          <w:tcPr>
            <w:tcW w:w="1591" w:type="dxa"/>
            <w:tcBorders>
              <w:top w:val="single" w:sz="4" w:space="0" w:color="auto"/>
              <w:left w:val="single" w:sz="4" w:space="0" w:color="auto"/>
              <w:bottom w:val="single" w:sz="4" w:space="0" w:color="auto"/>
              <w:right w:val="single" w:sz="4" w:space="0" w:color="auto"/>
            </w:tcBorders>
            <w:vAlign w:val="center"/>
            <w:hideMark/>
          </w:tcPr>
          <w:p w14:paraId="51D32B2D" w14:textId="77777777" w:rsidR="003663AF" w:rsidRPr="00B7760C" w:rsidRDefault="003663AF" w:rsidP="00E804B7">
            <w:pPr>
              <w:pStyle w:val="Normal6"/>
              <w:jc w:val="right"/>
              <w:rPr>
                <w:b/>
                <w:bCs/>
                <w:i/>
                <w:iCs/>
                <w:sz w:val="20"/>
              </w:rPr>
            </w:pPr>
            <w:r w:rsidRPr="00B7760C">
              <w:rPr>
                <w:b/>
                <w:bCs/>
                <w:i/>
                <w:iCs/>
                <w:sz w:val="20"/>
              </w:rPr>
              <w:t>174 239</w:t>
            </w:r>
          </w:p>
        </w:tc>
        <w:tc>
          <w:tcPr>
            <w:tcW w:w="1591" w:type="dxa"/>
            <w:tcBorders>
              <w:top w:val="single" w:sz="4" w:space="0" w:color="auto"/>
              <w:left w:val="single" w:sz="4" w:space="0" w:color="auto"/>
              <w:bottom w:val="single" w:sz="4" w:space="0" w:color="auto"/>
              <w:right w:val="single" w:sz="4" w:space="0" w:color="auto"/>
            </w:tcBorders>
            <w:vAlign w:val="center"/>
            <w:hideMark/>
          </w:tcPr>
          <w:p w14:paraId="2D2C4F3D" w14:textId="77777777" w:rsidR="003663AF" w:rsidRPr="00B7760C" w:rsidRDefault="003663AF" w:rsidP="00E804B7">
            <w:pPr>
              <w:pStyle w:val="Normal6"/>
              <w:jc w:val="right"/>
              <w:rPr>
                <w:b/>
                <w:bCs/>
                <w:i/>
                <w:iCs/>
                <w:sz w:val="20"/>
              </w:rPr>
            </w:pPr>
            <w:r w:rsidRPr="00B7760C">
              <w:rPr>
                <w:b/>
                <w:bCs/>
                <w:i/>
                <w:iCs/>
                <w:sz w:val="20"/>
              </w:rPr>
              <w:t>174 239</w:t>
            </w:r>
          </w:p>
        </w:tc>
        <w:tc>
          <w:tcPr>
            <w:tcW w:w="1374" w:type="dxa"/>
            <w:tcBorders>
              <w:top w:val="single" w:sz="4" w:space="0" w:color="auto"/>
              <w:left w:val="single" w:sz="4" w:space="0" w:color="auto"/>
              <w:bottom w:val="single" w:sz="4" w:space="0" w:color="auto"/>
              <w:right w:val="single" w:sz="4" w:space="0" w:color="auto"/>
            </w:tcBorders>
            <w:vAlign w:val="center"/>
            <w:hideMark/>
          </w:tcPr>
          <w:p w14:paraId="17E8B499" w14:textId="77777777" w:rsidR="003663AF" w:rsidRPr="00B7760C" w:rsidRDefault="003663AF" w:rsidP="00E804B7">
            <w:pPr>
              <w:pStyle w:val="Normal6"/>
              <w:jc w:val="right"/>
              <w:rPr>
                <w:b/>
                <w:bCs/>
                <w:i/>
                <w:iCs/>
                <w:sz w:val="20"/>
              </w:rPr>
            </w:pPr>
            <w:r w:rsidRPr="00B7760C">
              <w:rPr>
                <w:b/>
                <w:bCs/>
                <w:i/>
                <w:iCs/>
                <w:sz w:val="20"/>
              </w:rPr>
              <w:t>174 239</w:t>
            </w:r>
          </w:p>
        </w:tc>
        <w:tc>
          <w:tcPr>
            <w:tcW w:w="1781" w:type="dxa"/>
            <w:tcBorders>
              <w:top w:val="single" w:sz="4" w:space="0" w:color="auto"/>
              <w:left w:val="single" w:sz="4" w:space="0" w:color="auto"/>
              <w:bottom w:val="single" w:sz="4" w:space="0" w:color="auto"/>
              <w:right w:val="single" w:sz="4" w:space="0" w:color="auto"/>
            </w:tcBorders>
            <w:vAlign w:val="center"/>
            <w:hideMark/>
          </w:tcPr>
          <w:p w14:paraId="55651877" w14:textId="77777777" w:rsidR="003663AF" w:rsidRPr="00B7760C" w:rsidRDefault="003663AF" w:rsidP="00E804B7">
            <w:pPr>
              <w:pStyle w:val="Normal6"/>
              <w:jc w:val="right"/>
              <w:rPr>
                <w:b/>
                <w:bCs/>
                <w:i/>
                <w:iCs/>
                <w:sz w:val="20"/>
              </w:rPr>
            </w:pPr>
            <w:r w:rsidRPr="00B7760C">
              <w:rPr>
                <w:b/>
                <w:bCs/>
                <w:i/>
                <w:iCs/>
                <w:sz w:val="20"/>
              </w:rPr>
              <w:t>174 239</w:t>
            </w:r>
          </w:p>
        </w:tc>
      </w:tr>
      <w:tr w:rsidR="003663AF" w:rsidRPr="00B7760C" w14:paraId="42F05D84" w14:textId="77777777" w:rsidTr="00E804B7">
        <w:trPr>
          <w:cantSplit/>
          <w:trHeight w:val="255"/>
          <w:jc w:val="center"/>
        </w:trPr>
        <w:tc>
          <w:tcPr>
            <w:tcW w:w="11442" w:type="dxa"/>
            <w:gridSpan w:val="7"/>
            <w:tcBorders>
              <w:top w:val="single" w:sz="4" w:space="0" w:color="auto"/>
              <w:left w:val="nil"/>
              <w:bottom w:val="single" w:sz="4" w:space="0" w:color="auto"/>
              <w:right w:val="nil"/>
            </w:tcBorders>
            <w:vAlign w:val="center"/>
          </w:tcPr>
          <w:p w14:paraId="194FBA56" w14:textId="77777777" w:rsidR="003663AF" w:rsidRPr="00B7760C" w:rsidRDefault="003663AF" w:rsidP="00E804B7">
            <w:pPr>
              <w:rPr>
                <w:sz w:val="20"/>
              </w:rPr>
            </w:pPr>
          </w:p>
        </w:tc>
        <w:tc>
          <w:tcPr>
            <w:tcW w:w="1781" w:type="dxa"/>
            <w:tcBorders>
              <w:top w:val="single" w:sz="4" w:space="0" w:color="auto"/>
              <w:left w:val="nil"/>
              <w:bottom w:val="single" w:sz="4" w:space="0" w:color="auto"/>
              <w:right w:val="nil"/>
            </w:tcBorders>
          </w:tcPr>
          <w:p w14:paraId="22AC3169" w14:textId="77777777" w:rsidR="003663AF" w:rsidRPr="00B7760C" w:rsidRDefault="003663AF" w:rsidP="00E804B7">
            <w:pPr>
              <w:rPr>
                <w:sz w:val="20"/>
              </w:rPr>
            </w:pPr>
          </w:p>
        </w:tc>
      </w:tr>
    </w:tbl>
    <w:p w14:paraId="1A4058AA" w14:textId="77777777" w:rsidR="003663AF" w:rsidRPr="00B7760C" w:rsidRDefault="003663AF" w:rsidP="003663AF"/>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Look w:val="04A0" w:firstRow="1" w:lastRow="0" w:firstColumn="1" w:lastColumn="0" w:noHBand="0" w:noVBand="1"/>
      </w:tblPr>
      <w:tblGrid>
        <w:gridCol w:w="14623"/>
      </w:tblGrid>
      <w:tr w:rsidR="003663AF" w:rsidRPr="00B7760C" w14:paraId="67252BB8" w14:textId="77777777" w:rsidTr="00E804B7">
        <w:trPr>
          <w:trHeight w:val="326"/>
        </w:trPr>
        <w:tc>
          <w:tcPr>
            <w:tcW w:w="14623" w:type="dxa"/>
            <w:tcBorders>
              <w:top w:val="nil"/>
              <w:left w:val="nil"/>
              <w:bottom w:val="nil"/>
              <w:right w:val="nil"/>
            </w:tcBorders>
            <w:hideMark/>
          </w:tcPr>
          <w:p w14:paraId="31961EB7" w14:textId="14BBA3F5" w:rsidR="003663AF" w:rsidRPr="00B7760C" w:rsidRDefault="00877691" w:rsidP="00E804B7">
            <w:pPr>
              <w:keepNext/>
              <w:spacing w:after="240"/>
              <w:jc w:val="center"/>
              <w:rPr>
                <w:i/>
              </w:rPr>
            </w:pPr>
            <w:r w:rsidRPr="00B7760C">
              <w:rPr>
                <w:i/>
              </w:rPr>
              <w:t>Sprememba</w:t>
            </w:r>
          </w:p>
        </w:tc>
      </w:tr>
      <w:tr w:rsidR="003663AF" w:rsidRPr="00B7760C" w14:paraId="7CB79421" w14:textId="77777777" w:rsidTr="00E804B7">
        <w:trPr>
          <w:trHeight w:val="373"/>
        </w:trPr>
        <w:tc>
          <w:tcPr>
            <w:tcW w:w="14623" w:type="dxa"/>
            <w:tcBorders>
              <w:top w:val="nil"/>
              <w:left w:val="nil"/>
              <w:bottom w:val="nil"/>
              <w:right w:val="dotted" w:sz="4" w:space="0" w:color="auto"/>
            </w:tcBorders>
            <w:hideMark/>
          </w:tcPr>
          <w:p w14:paraId="180B1880" w14:textId="77777777" w:rsidR="003663AF" w:rsidRPr="00B7760C" w:rsidRDefault="003663AF" w:rsidP="00E804B7">
            <w:pPr>
              <w:pStyle w:val="Normal6"/>
            </w:pPr>
            <w:r w:rsidRPr="00B7760C">
              <w:rPr>
                <w:sz w:val="20"/>
              </w:rPr>
              <w:t>DODELITVE DRŽAV ČLANIC ZA BOMBAŽ IZ DRUGEGA PODODSTAVKA ČLENA 81(1)</w:t>
            </w:r>
          </w:p>
        </w:tc>
      </w:tr>
      <w:tr w:rsidR="003663AF" w:rsidRPr="00B7760C" w14:paraId="78BBC0B0" w14:textId="77777777" w:rsidTr="00E804B7">
        <w:trPr>
          <w:trHeight w:val="373"/>
        </w:trPr>
        <w:tc>
          <w:tcPr>
            <w:tcW w:w="14623" w:type="dxa"/>
            <w:tcBorders>
              <w:top w:val="nil"/>
              <w:left w:val="nil"/>
              <w:bottom w:val="nil"/>
              <w:right w:val="dotted" w:sz="4" w:space="0" w:color="auto"/>
            </w:tcBorders>
            <w:hideMark/>
          </w:tcPr>
          <w:p w14:paraId="29BAA795" w14:textId="77777777" w:rsidR="003663AF" w:rsidRPr="00B7760C" w:rsidRDefault="003663AF" w:rsidP="00E804B7">
            <w:pPr>
              <w:pStyle w:val="Normal6"/>
              <w:jc w:val="right"/>
              <w:rPr>
                <w:sz w:val="20"/>
              </w:rPr>
            </w:pPr>
            <w:r w:rsidRPr="00B7760C">
              <w:rPr>
                <w:sz w:val="20"/>
              </w:rPr>
              <w:t>(tekoče cene v EUR)</w:t>
            </w:r>
          </w:p>
        </w:tc>
      </w:tr>
    </w:tbl>
    <w:p w14:paraId="55DC1DAB" w14:textId="77777777" w:rsidR="003663AF" w:rsidRPr="00B7760C" w:rsidRDefault="003663AF" w:rsidP="003663AF">
      <w:pPr>
        <w:pStyle w:val="Normal6"/>
        <w:jc w:val="right"/>
        <w:rPr>
          <w:sz w:val="20"/>
        </w:rPr>
      </w:pPr>
    </w:p>
    <w:tbl>
      <w:tblPr>
        <w:tblW w:w="45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926"/>
        <w:gridCol w:w="876"/>
        <w:gridCol w:w="937"/>
        <w:gridCol w:w="937"/>
        <w:gridCol w:w="937"/>
        <w:gridCol w:w="865"/>
        <w:gridCol w:w="1238"/>
      </w:tblGrid>
      <w:tr w:rsidR="003663AF" w:rsidRPr="00B7760C" w14:paraId="5915A6BF"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786AFB2A" w14:textId="77777777" w:rsidR="003663AF" w:rsidRPr="00B7760C" w:rsidRDefault="003663AF" w:rsidP="00E804B7">
            <w:pPr>
              <w:pStyle w:val="Normal6"/>
              <w:rPr>
                <w:sz w:val="20"/>
              </w:rPr>
            </w:pPr>
            <w:r w:rsidRPr="00B7760C">
              <w:rPr>
                <w:sz w:val="20"/>
              </w:rPr>
              <w:t>Koledarsko leto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B32767D" w14:textId="77777777" w:rsidR="003663AF" w:rsidRPr="00B7760C" w:rsidRDefault="003663AF" w:rsidP="00E804B7">
            <w:pPr>
              <w:pStyle w:val="Normal6"/>
              <w:rPr>
                <w:sz w:val="20"/>
              </w:rPr>
            </w:pPr>
            <w:r w:rsidRPr="00B7760C">
              <w:rPr>
                <w:sz w:val="20"/>
              </w:rPr>
              <w:t>2021</w:t>
            </w:r>
          </w:p>
        </w:tc>
        <w:tc>
          <w:tcPr>
            <w:tcW w:w="1405" w:type="dxa"/>
            <w:tcBorders>
              <w:top w:val="single" w:sz="4" w:space="0" w:color="auto"/>
              <w:left w:val="single" w:sz="4" w:space="0" w:color="auto"/>
              <w:bottom w:val="single" w:sz="4" w:space="0" w:color="auto"/>
              <w:right w:val="single" w:sz="4" w:space="0" w:color="auto"/>
            </w:tcBorders>
            <w:vAlign w:val="center"/>
            <w:hideMark/>
          </w:tcPr>
          <w:p w14:paraId="19F8798C" w14:textId="77777777" w:rsidR="003663AF" w:rsidRPr="00B7760C" w:rsidRDefault="003663AF" w:rsidP="00E804B7">
            <w:pPr>
              <w:pStyle w:val="Normal6"/>
              <w:rPr>
                <w:sz w:val="20"/>
              </w:rPr>
            </w:pPr>
            <w:r w:rsidRPr="00B7760C">
              <w:rPr>
                <w:sz w:val="20"/>
              </w:rPr>
              <w:t>2022</w:t>
            </w:r>
          </w:p>
        </w:tc>
        <w:tc>
          <w:tcPr>
            <w:tcW w:w="1591" w:type="dxa"/>
            <w:tcBorders>
              <w:top w:val="single" w:sz="4" w:space="0" w:color="auto"/>
              <w:left w:val="single" w:sz="4" w:space="0" w:color="auto"/>
              <w:bottom w:val="single" w:sz="4" w:space="0" w:color="auto"/>
              <w:right w:val="single" w:sz="4" w:space="0" w:color="auto"/>
            </w:tcBorders>
            <w:vAlign w:val="center"/>
            <w:hideMark/>
          </w:tcPr>
          <w:p w14:paraId="6C5BA50E" w14:textId="77777777" w:rsidR="003663AF" w:rsidRPr="00B7760C" w:rsidRDefault="003663AF" w:rsidP="00E804B7">
            <w:pPr>
              <w:pStyle w:val="Normal6"/>
              <w:rPr>
                <w:sz w:val="20"/>
              </w:rPr>
            </w:pPr>
            <w:r w:rsidRPr="00B7760C">
              <w:rPr>
                <w:sz w:val="20"/>
              </w:rPr>
              <w:t>2023</w:t>
            </w:r>
          </w:p>
        </w:tc>
        <w:tc>
          <w:tcPr>
            <w:tcW w:w="1591" w:type="dxa"/>
            <w:tcBorders>
              <w:top w:val="single" w:sz="4" w:space="0" w:color="auto"/>
              <w:left w:val="single" w:sz="4" w:space="0" w:color="auto"/>
              <w:bottom w:val="single" w:sz="4" w:space="0" w:color="auto"/>
              <w:right w:val="single" w:sz="4" w:space="0" w:color="auto"/>
            </w:tcBorders>
            <w:vAlign w:val="center"/>
            <w:hideMark/>
          </w:tcPr>
          <w:p w14:paraId="12D808F1" w14:textId="77777777" w:rsidR="003663AF" w:rsidRPr="00B7760C" w:rsidRDefault="003663AF" w:rsidP="00E804B7">
            <w:pPr>
              <w:pStyle w:val="Normal6"/>
              <w:rPr>
                <w:sz w:val="20"/>
              </w:rPr>
            </w:pPr>
            <w:r w:rsidRPr="00B7760C">
              <w:rPr>
                <w:sz w:val="20"/>
              </w:rPr>
              <w:t>2024</w:t>
            </w:r>
          </w:p>
        </w:tc>
        <w:tc>
          <w:tcPr>
            <w:tcW w:w="1591" w:type="dxa"/>
            <w:tcBorders>
              <w:top w:val="single" w:sz="4" w:space="0" w:color="auto"/>
              <w:left w:val="single" w:sz="4" w:space="0" w:color="auto"/>
              <w:bottom w:val="single" w:sz="4" w:space="0" w:color="auto"/>
              <w:right w:val="single" w:sz="4" w:space="0" w:color="auto"/>
            </w:tcBorders>
            <w:vAlign w:val="center"/>
            <w:hideMark/>
          </w:tcPr>
          <w:p w14:paraId="04DBCCF6" w14:textId="77777777" w:rsidR="003663AF" w:rsidRPr="00B7760C" w:rsidRDefault="003663AF" w:rsidP="00E804B7">
            <w:pPr>
              <w:pStyle w:val="Normal6"/>
              <w:rPr>
                <w:sz w:val="20"/>
              </w:rPr>
            </w:pPr>
            <w:r w:rsidRPr="00B7760C">
              <w:rPr>
                <w:sz w:val="20"/>
              </w:rPr>
              <w:t>2025</w:t>
            </w:r>
          </w:p>
        </w:tc>
        <w:tc>
          <w:tcPr>
            <w:tcW w:w="1374" w:type="dxa"/>
            <w:tcBorders>
              <w:top w:val="single" w:sz="4" w:space="0" w:color="auto"/>
              <w:left w:val="single" w:sz="4" w:space="0" w:color="auto"/>
              <w:bottom w:val="single" w:sz="4" w:space="0" w:color="auto"/>
              <w:right w:val="single" w:sz="4" w:space="0" w:color="auto"/>
            </w:tcBorders>
            <w:vAlign w:val="center"/>
            <w:hideMark/>
          </w:tcPr>
          <w:p w14:paraId="7F52B0D0" w14:textId="77777777" w:rsidR="003663AF" w:rsidRPr="00B7760C" w:rsidRDefault="003663AF" w:rsidP="00E804B7">
            <w:pPr>
              <w:pStyle w:val="Normal6"/>
              <w:rPr>
                <w:sz w:val="20"/>
              </w:rPr>
            </w:pPr>
            <w:r w:rsidRPr="00B7760C">
              <w:rPr>
                <w:sz w:val="20"/>
              </w:rPr>
              <w:t>2026</w:t>
            </w:r>
          </w:p>
        </w:tc>
        <w:tc>
          <w:tcPr>
            <w:tcW w:w="1781" w:type="dxa"/>
            <w:tcBorders>
              <w:top w:val="single" w:sz="4" w:space="0" w:color="auto"/>
              <w:left w:val="single" w:sz="4" w:space="0" w:color="auto"/>
              <w:bottom w:val="single" w:sz="4" w:space="0" w:color="auto"/>
              <w:right w:val="single" w:sz="4" w:space="0" w:color="auto"/>
            </w:tcBorders>
            <w:hideMark/>
          </w:tcPr>
          <w:p w14:paraId="2256054A" w14:textId="77777777" w:rsidR="003663AF" w:rsidRPr="00B7760C" w:rsidRDefault="003663AF" w:rsidP="00E804B7">
            <w:pPr>
              <w:pStyle w:val="Normal6"/>
              <w:rPr>
                <w:sz w:val="20"/>
              </w:rPr>
            </w:pPr>
            <w:r w:rsidRPr="00B7760C">
              <w:rPr>
                <w:sz w:val="20"/>
              </w:rPr>
              <w:t>2027 in naslednja leta</w:t>
            </w:r>
          </w:p>
        </w:tc>
      </w:tr>
      <w:tr w:rsidR="003663AF" w:rsidRPr="00B7760C" w14:paraId="7A5F38DB"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2EAAD670" w14:textId="77777777" w:rsidR="003663AF" w:rsidRPr="00B7760C" w:rsidRDefault="003663AF" w:rsidP="00E804B7">
            <w:pPr>
              <w:pStyle w:val="Normal6"/>
              <w:rPr>
                <w:sz w:val="20"/>
              </w:rPr>
            </w:pPr>
            <w:r w:rsidRPr="00B7760C">
              <w:rPr>
                <w:sz w:val="20"/>
              </w:rPr>
              <w:t>Bolgarija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AF1537D" w14:textId="77777777" w:rsidR="003663AF" w:rsidRPr="00B7760C" w:rsidRDefault="003663AF" w:rsidP="00E804B7">
            <w:pPr>
              <w:pStyle w:val="Normal6"/>
              <w:jc w:val="right"/>
              <w:rPr>
                <w:b/>
                <w:bCs/>
                <w:i/>
                <w:iCs/>
                <w:sz w:val="20"/>
              </w:rPr>
            </w:pPr>
            <w:r w:rsidRPr="00B7760C">
              <w:rPr>
                <w:b/>
                <w:bCs/>
                <w:i/>
                <w:iCs/>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471CC338"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357A08E5"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25B412F5"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08480BB6" w14:textId="77777777" w:rsidR="003663AF" w:rsidRPr="00B7760C" w:rsidRDefault="003663AF" w:rsidP="00E804B7">
            <w:pPr>
              <w:pStyle w:val="Normal6"/>
              <w:jc w:val="right"/>
              <w:rPr>
                <w:b/>
                <w:bCs/>
                <w:i/>
                <w:iCs/>
                <w:sz w:val="20"/>
              </w:rPr>
            </w:pPr>
            <w:r w:rsidRPr="00B7760C">
              <w:rPr>
                <w:b/>
                <w:bCs/>
                <w:i/>
                <w:iCs/>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4EF5FC44" w14:textId="77777777" w:rsidR="003663AF" w:rsidRPr="00B7760C" w:rsidRDefault="003663AF" w:rsidP="00E804B7">
            <w:pPr>
              <w:pStyle w:val="Normal6"/>
              <w:jc w:val="right"/>
              <w:rPr>
                <w:b/>
                <w:bCs/>
                <w:i/>
                <w:iCs/>
                <w:sz w:val="20"/>
              </w:rPr>
            </w:pPr>
            <w:r w:rsidRPr="00B7760C">
              <w:rPr>
                <w:b/>
                <w:bCs/>
                <w:i/>
                <w:iCs/>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4DDB8A8E"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2C294EE4"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32153081" w14:textId="77777777" w:rsidR="003663AF" w:rsidRPr="00B7760C" w:rsidRDefault="003663AF" w:rsidP="00E804B7">
            <w:pPr>
              <w:pStyle w:val="Normal6"/>
              <w:rPr>
                <w:sz w:val="20"/>
              </w:rPr>
            </w:pPr>
            <w:r w:rsidRPr="00B7760C">
              <w:rPr>
                <w:sz w:val="20"/>
              </w:rPr>
              <w:t>Grčija</w:t>
            </w:r>
          </w:p>
        </w:tc>
        <w:tc>
          <w:tcPr>
            <w:tcW w:w="1560" w:type="dxa"/>
            <w:tcBorders>
              <w:top w:val="single" w:sz="4" w:space="0" w:color="auto"/>
              <w:left w:val="single" w:sz="4" w:space="0" w:color="auto"/>
              <w:bottom w:val="single" w:sz="4" w:space="0" w:color="auto"/>
              <w:right w:val="single" w:sz="4" w:space="0" w:color="auto"/>
            </w:tcBorders>
            <w:hideMark/>
          </w:tcPr>
          <w:p w14:paraId="71F2A3F2" w14:textId="77777777" w:rsidR="003663AF" w:rsidRPr="00B7760C" w:rsidRDefault="003663AF" w:rsidP="00E804B7">
            <w:pPr>
              <w:pStyle w:val="Normal6"/>
              <w:jc w:val="right"/>
              <w:rPr>
                <w:b/>
                <w:bCs/>
                <w:i/>
                <w:iCs/>
                <w:sz w:val="20"/>
              </w:rPr>
            </w:pPr>
            <w:r w:rsidRPr="00B7760C">
              <w:rPr>
                <w:b/>
                <w:bCs/>
                <w:i/>
                <w:iCs/>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04886803"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000B008D"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4120E34F"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25BD2F7C" w14:textId="77777777" w:rsidR="003663AF" w:rsidRPr="00B7760C" w:rsidRDefault="003663AF" w:rsidP="00E804B7">
            <w:pPr>
              <w:pStyle w:val="Normal6"/>
              <w:jc w:val="right"/>
              <w:rPr>
                <w:b/>
                <w:bCs/>
                <w:i/>
                <w:iCs/>
                <w:sz w:val="20"/>
              </w:rPr>
            </w:pPr>
            <w:r w:rsidRPr="00B7760C">
              <w:rPr>
                <w:b/>
                <w:bCs/>
                <w:i/>
                <w:iCs/>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65D36ABB" w14:textId="77777777" w:rsidR="003663AF" w:rsidRPr="00B7760C" w:rsidRDefault="003663AF" w:rsidP="00E804B7">
            <w:pPr>
              <w:pStyle w:val="Normal6"/>
              <w:jc w:val="right"/>
              <w:rPr>
                <w:b/>
                <w:bCs/>
                <w:i/>
                <w:iCs/>
                <w:sz w:val="20"/>
              </w:rPr>
            </w:pPr>
            <w:r w:rsidRPr="00B7760C">
              <w:rPr>
                <w:b/>
                <w:bCs/>
                <w:i/>
                <w:iCs/>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7AB27B18"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5BF7DB1F"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47C44E61" w14:textId="77777777" w:rsidR="003663AF" w:rsidRPr="00B7760C" w:rsidRDefault="003663AF" w:rsidP="00E804B7">
            <w:pPr>
              <w:pStyle w:val="Normal6"/>
              <w:rPr>
                <w:sz w:val="20"/>
              </w:rPr>
            </w:pPr>
            <w:r w:rsidRPr="00B7760C">
              <w:rPr>
                <w:sz w:val="20"/>
              </w:rPr>
              <w:t>Španija</w:t>
            </w:r>
          </w:p>
        </w:tc>
        <w:tc>
          <w:tcPr>
            <w:tcW w:w="1560" w:type="dxa"/>
            <w:tcBorders>
              <w:top w:val="single" w:sz="4" w:space="0" w:color="auto"/>
              <w:left w:val="single" w:sz="4" w:space="0" w:color="auto"/>
              <w:bottom w:val="single" w:sz="4" w:space="0" w:color="auto"/>
              <w:right w:val="single" w:sz="4" w:space="0" w:color="auto"/>
            </w:tcBorders>
            <w:hideMark/>
          </w:tcPr>
          <w:p w14:paraId="50FFB900" w14:textId="77777777" w:rsidR="003663AF" w:rsidRPr="00B7760C" w:rsidRDefault="003663AF" w:rsidP="00E804B7">
            <w:pPr>
              <w:pStyle w:val="Normal6"/>
              <w:jc w:val="right"/>
              <w:rPr>
                <w:b/>
                <w:bCs/>
                <w:i/>
                <w:iCs/>
                <w:sz w:val="20"/>
              </w:rPr>
            </w:pPr>
            <w:r w:rsidRPr="00B7760C">
              <w:rPr>
                <w:b/>
                <w:bCs/>
                <w:i/>
                <w:iCs/>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7D692610"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45E637B0"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2BF328CA"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2A709CA9" w14:textId="77777777" w:rsidR="003663AF" w:rsidRPr="00B7760C" w:rsidRDefault="003663AF" w:rsidP="00E804B7">
            <w:pPr>
              <w:pStyle w:val="Normal6"/>
              <w:jc w:val="right"/>
              <w:rPr>
                <w:b/>
                <w:bCs/>
                <w:i/>
                <w:iCs/>
                <w:sz w:val="20"/>
              </w:rPr>
            </w:pPr>
            <w:r w:rsidRPr="00B7760C">
              <w:rPr>
                <w:b/>
                <w:bCs/>
                <w:i/>
                <w:iCs/>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3D36B99D" w14:textId="77777777" w:rsidR="003663AF" w:rsidRPr="00B7760C" w:rsidRDefault="003663AF" w:rsidP="00E804B7">
            <w:pPr>
              <w:pStyle w:val="Normal6"/>
              <w:jc w:val="right"/>
              <w:rPr>
                <w:b/>
                <w:bCs/>
                <w:i/>
                <w:iCs/>
                <w:sz w:val="20"/>
              </w:rPr>
            </w:pPr>
            <w:r w:rsidRPr="00B7760C">
              <w:rPr>
                <w:b/>
                <w:bCs/>
                <w:i/>
                <w:iCs/>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777B9B0B"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323C435E"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4E9E2447" w14:textId="77777777" w:rsidR="003663AF" w:rsidRPr="00B7760C" w:rsidRDefault="003663AF" w:rsidP="00E804B7">
            <w:pPr>
              <w:pStyle w:val="Normal6"/>
              <w:rPr>
                <w:sz w:val="20"/>
              </w:rPr>
            </w:pPr>
            <w:r w:rsidRPr="00B7760C">
              <w:rPr>
                <w:sz w:val="20"/>
              </w:rPr>
              <w:t>Portugalska</w:t>
            </w:r>
          </w:p>
        </w:tc>
        <w:tc>
          <w:tcPr>
            <w:tcW w:w="1560" w:type="dxa"/>
            <w:tcBorders>
              <w:top w:val="single" w:sz="4" w:space="0" w:color="auto"/>
              <w:left w:val="single" w:sz="4" w:space="0" w:color="auto"/>
              <w:bottom w:val="single" w:sz="4" w:space="0" w:color="auto"/>
              <w:right w:val="single" w:sz="4" w:space="0" w:color="auto"/>
            </w:tcBorders>
            <w:hideMark/>
          </w:tcPr>
          <w:p w14:paraId="23E2A6D7" w14:textId="77777777" w:rsidR="003663AF" w:rsidRPr="00B7760C" w:rsidRDefault="003663AF" w:rsidP="00E804B7">
            <w:pPr>
              <w:pStyle w:val="Normal6"/>
              <w:jc w:val="right"/>
              <w:rPr>
                <w:b/>
                <w:bCs/>
                <w:i/>
                <w:iCs/>
                <w:sz w:val="20"/>
              </w:rPr>
            </w:pPr>
            <w:r w:rsidRPr="00B7760C">
              <w:rPr>
                <w:b/>
                <w:bCs/>
                <w:i/>
                <w:iCs/>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492740ED"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01F28E22"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51434D25"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1DF37763" w14:textId="77777777" w:rsidR="003663AF" w:rsidRPr="00B7760C" w:rsidRDefault="003663AF" w:rsidP="00E804B7">
            <w:pPr>
              <w:pStyle w:val="Normal6"/>
              <w:jc w:val="right"/>
              <w:rPr>
                <w:b/>
                <w:bCs/>
                <w:i/>
                <w:iCs/>
                <w:sz w:val="20"/>
              </w:rPr>
            </w:pPr>
            <w:r w:rsidRPr="00B7760C">
              <w:rPr>
                <w:b/>
                <w:bCs/>
                <w:i/>
                <w:iCs/>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2037CD82" w14:textId="77777777" w:rsidR="003663AF" w:rsidRPr="00B7760C" w:rsidRDefault="003663AF" w:rsidP="00E804B7">
            <w:pPr>
              <w:pStyle w:val="Normal6"/>
              <w:jc w:val="right"/>
              <w:rPr>
                <w:b/>
                <w:bCs/>
                <w:i/>
                <w:iCs/>
                <w:sz w:val="20"/>
              </w:rPr>
            </w:pPr>
            <w:r w:rsidRPr="00B7760C">
              <w:rPr>
                <w:b/>
                <w:bCs/>
                <w:i/>
                <w:iCs/>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17D3C514"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13636D4D" w14:textId="77777777" w:rsidTr="00E804B7">
        <w:trPr>
          <w:cantSplit/>
          <w:trHeight w:val="255"/>
          <w:jc w:val="center"/>
        </w:trPr>
        <w:tc>
          <w:tcPr>
            <w:tcW w:w="11442" w:type="dxa"/>
            <w:gridSpan w:val="7"/>
            <w:tcBorders>
              <w:top w:val="single" w:sz="4" w:space="0" w:color="auto"/>
              <w:left w:val="nil"/>
              <w:bottom w:val="single" w:sz="4" w:space="0" w:color="auto"/>
              <w:right w:val="nil"/>
            </w:tcBorders>
            <w:vAlign w:val="center"/>
          </w:tcPr>
          <w:p w14:paraId="4CF14257" w14:textId="77777777" w:rsidR="003663AF" w:rsidRPr="00B7760C" w:rsidRDefault="003663AF" w:rsidP="00E804B7">
            <w:pPr>
              <w:rPr>
                <w:sz w:val="20"/>
              </w:rPr>
            </w:pPr>
          </w:p>
        </w:tc>
        <w:tc>
          <w:tcPr>
            <w:tcW w:w="1781" w:type="dxa"/>
            <w:tcBorders>
              <w:top w:val="single" w:sz="4" w:space="0" w:color="auto"/>
              <w:left w:val="nil"/>
              <w:bottom w:val="single" w:sz="4" w:space="0" w:color="auto"/>
              <w:right w:val="nil"/>
            </w:tcBorders>
          </w:tcPr>
          <w:p w14:paraId="5E8AF199" w14:textId="77777777" w:rsidR="003663AF" w:rsidRPr="00B7760C" w:rsidRDefault="003663AF" w:rsidP="00E804B7">
            <w:pPr>
              <w:rPr>
                <w:sz w:val="20"/>
              </w:rPr>
            </w:pPr>
          </w:p>
        </w:tc>
      </w:tr>
    </w:tbl>
    <w:p w14:paraId="6864D9F8" w14:textId="77777777" w:rsidR="003663AF" w:rsidRPr="00B7760C" w:rsidRDefault="003663AF" w:rsidP="003663AF"/>
    <w:p w14:paraId="000AE560" w14:textId="7D8DA021" w:rsidR="003663AF" w:rsidRPr="00B7760C" w:rsidRDefault="00877691" w:rsidP="003663AF">
      <w:pPr>
        <w:pStyle w:val="AMNumberTabs"/>
        <w:keepNext/>
      </w:pPr>
      <w:r w:rsidRPr="00B7760C">
        <w:t>Sprememba</w:t>
      </w:r>
      <w:r w:rsidR="003663AF" w:rsidRPr="00B7760C">
        <w:tab/>
      </w:r>
      <w:r w:rsidR="003663AF" w:rsidRPr="00B7760C">
        <w:tab/>
        <w:t>721</w:t>
      </w:r>
    </w:p>
    <w:p w14:paraId="3D0E4507" w14:textId="77777777" w:rsidR="003663AF" w:rsidRPr="00B7760C" w:rsidRDefault="003663AF" w:rsidP="003663AF">
      <w:pPr>
        <w:pStyle w:val="NormalBold12b"/>
        <w:keepNext/>
      </w:pPr>
      <w:r w:rsidRPr="00B7760C">
        <w:t>Predlog uredbe</w:t>
      </w:r>
    </w:p>
    <w:p w14:paraId="677AFD60" w14:textId="77777777" w:rsidR="003663AF" w:rsidRPr="00B7760C" w:rsidRDefault="003663AF" w:rsidP="003663AF">
      <w:pPr>
        <w:pStyle w:val="NormalBold"/>
        <w:keepNext/>
      </w:pPr>
      <w:r w:rsidRPr="00B7760C">
        <w:t>Priloga VII – preglednica</w:t>
      </w:r>
    </w:p>
    <w:p w14:paraId="74573F90" w14:textId="77777777" w:rsidR="003663AF" w:rsidRPr="00B7760C" w:rsidRDefault="003663AF" w:rsidP="003663AF"/>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3663AF" w:rsidRPr="00B7760C" w14:paraId="5886F8E9" w14:textId="77777777" w:rsidTr="00E804B7">
        <w:tc>
          <w:tcPr>
            <w:tcW w:w="14502" w:type="dxa"/>
            <w:hideMark/>
          </w:tcPr>
          <w:p w14:paraId="522E6289" w14:textId="77777777" w:rsidR="003663AF" w:rsidRPr="00B7760C" w:rsidRDefault="003663AF" w:rsidP="00E804B7">
            <w:pPr>
              <w:pStyle w:val="ColumnHeading"/>
            </w:pPr>
            <w:r w:rsidRPr="00B7760C">
              <w:t>Besedilo, ki ga predlaga Komisija</w:t>
            </w:r>
          </w:p>
        </w:tc>
      </w:tr>
      <w:tr w:rsidR="003663AF" w:rsidRPr="00B7760C" w14:paraId="430F624B" w14:textId="77777777" w:rsidTr="00E804B7">
        <w:tc>
          <w:tcPr>
            <w:tcW w:w="14502" w:type="dxa"/>
            <w:hideMark/>
          </w:tcPr>
          <w:p w14:paraId="4D07E600" w14:textId="77777777" w:rsidR="003663AF" w:rsidRPr="00B7760C" w:rsidRDefault="003663AF" w:rsidP="00E804B7">
            <w:pPr>
              <w:pStyle w:val="ColumnHeading"/>
              <w:jc w:val="left"/>
            </w:pPr>
            <w:r w:rsidRPr="00B7760C">
              <w:rPr>
                <w:sz w:val="20"/>
              </w:rPr>
              <w:t>DODELITVE DRŽAV ČLANIC ZA NEPOSREDNA PLAČILA BREZ BOMBAŽA IN PRED PRENOSOM ZGORNJE MEJE IZ PRVEGA PODODSTAVKA ČLENA 81(1)</w:t>
            </w:r>
          </w:p>
        </w:tc>
      </w:tr>
    </w:tbl>
    <w:p w14:paraId="403ABE59" w14:textId="77777777" w:rsidR="003663AF" w:rsidRPr="00B7760C" w:rsidRDefault="003663AF" w:rsidP="003663AF">
      <w:pPr>
        <w:pStyle w:val="Normal6"/>
        <w:jc w:val="right"/>
        <w:rPr>
          <w:rFonts w:eastAsia="Arial Unicode MS"/>
          <w:sz w:val="20"/>
        </w:rPr>
      </w:pPr>
      <w:r w:rsidRPr="00B7760C">
        <w:rPr>
          <w:sz w:val="20"/>
        </w:rPr>
        <w:t>(tekoče cene v EUR)</w:t>
      </w:r>
    </w:p>
    <w:tbl>
      <w:tblPr>
        <w:tblW w:w="45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968"/>
        <w:gridCol w:w="877"/>
        <w:gridCol w:w="986"/>
        <w:gridCol w:w="986"/>
        <w:gridCol w:w="986"/>
        <w:gridCol w:w="859"/>
        <w:gridCol w:w="1127"/>
      </w:tblGrid>
      <w:tr w:rsidR="003663AF" w:rsidRPr="00B7760C" w14:paraId="57B1EFBA" w14:textId="77777777" w:rsidTr="00E804B7">
        <w:trPr>
          <w:cantSplit/>
          <w:trHeight w:val="255"/>
          <w:tblHeader/>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28A533C6" w14:textId="77777777" w:rsidR="003663AF" w:rsidRPr="00B7760C" w:rsidRDefault="003663AF" w:rsidP="00E804B7">
            <w:pPr>
              <w:pStyle w:val="Normal6"/>
              <w:rPr>
                <w:sz w:val="20"/>
              </w:rPr>
            </w:pPr>
            <w:r w:rsidRPr="00B7760C">
              <w:rPr>
                <w:sz w:val="20"/>
              </w:rPr>
              <w:t>Koledarsko leto</w:t>
            </w:r>
          </w:p>
        </w:tc>
        <w:tc>
          <w:tcPr>
            <w:tcW w:w="999" w:type="dxa"/>
            <w:tcBorders>
              <w:top w:val="single" w:sz="4" w:space="0" w:color="auto"/>
              <w:left w:val="single" w:sz="4" w:space="0" w:color="auto"/>
              <w:bottom w:val="single" w:sz="4" w:space="0" w:color="auto"/>
              <w:right w:val="single" w:sz="4" w:space="0" w:color="auto"/>
            </w:tcBorders>
            <w:vAlign w:val="center"/>
            <w:hideMark/>
          </w:tcPr>
          <w:p w14:paraId="64C00BCB" w14:textId="77777777" w:rsidR="003663AF" w:rsidRPr="00B7760C" w:rsidRDefault="003663AF" w:rsidP="00E804B7">
            <w:pPr>
              <w:pStyle w:val="Normal6"/>
              <w:rPr>
                <w:sz w:val="20"/>
              </w:rPr>
            </w:pPr>
            <w:r w:rsidRPr="00B7760C">
              <w:rPr>
                <w:sz w:val="20"/>
              </w:rPr>
              <w:t>2021</w:t>
            </w:r>
          </w:p>
        </w:tc>
        <w:tc>
          <w:tcPr>
            <w:tcW w:w="900" w:type="dxa"/>
            <w:tcBorders>
              <w:top w:val="single" w:sz="4" w:space="0" w:color="auto"/>
              <w:left w:val="single" w:sz="4" w:space="0" w:color="auto"/>
              <w:bottom w:val="single" w:sz="4" w:space="0" w:color="auto"/>
              <w:right w:val="single" w:sz="4" w:space="0" w:color="auto"/>
            </w:tcBorders>
            <w:vAlign w:val="center"/>
            <w:hideMark/>
          </w:tcPr>
          <w:p w14:paraId="369154EC" w14:textId="77777777" w:rsidR="003663AF" w:rsidRPr="00B7760C" w:rsidRDefault="003663AF" w:rsidP="00E804B7">
            <w:pPr>
              <w:pStyle w:val="Normal6"/>
              <w:rPr>
                <w:sz w:val="20"/>
              </w:rPr>
            </w:pPr>
            <w:r w:rsidRPr="00B7760C">
              <w:rPr>
                <w:sz w:val="20"/>
              </w:rPr>
              <w:t>2022</w:t>
            </w:r>
          </w:p>
        </w:tc>
        <w:tc>
          <w:tcPr>
            <w:tcW w:w="1019" w:type="dxa"/>
            <w:tcBorders>
              <w:top w:val="single" w:sz="4" w:space="0" w:color="auto"/>
              <w:left w:val="single" w:sz="4" w:space="0" w:color="auto"/>
              <w:bottom w:val="single" w:sz="4" w:space="0" w:color="auto"/>
              <w:right w:val="single" w:sz="4" w:space="0" w:color="auto"/>
            </w:tcBorders>
            <w:vAlign w:val="center"/>
            <w:hideMark/>
          </w:tcPr>
          <w:p w14:paraId="0073A3FA" w14:textId="77777777" w:rsidR="003663AF" w:rsidRPr="00B7760C" w:rsidRDefault="003663AF" w:rsidP="00E804B7">
            <w:pPr>
              <w:pStyle w:val="Normal6"/>
              <w:rPr>
                <w:sz w:val="20"/>
              </w:rPr>
            </w:pPr>
            <w:r w:rsidRPr="00B7760C">
              <w:rPr>
                <w:sz w:val="20"/>
              </w:rPr>
              <w:t>2023</w:t>
            </w:r>
          </w:p>
        </w:tc>
        <w:tc>
          <w:tcPr>
            <w:tcW w:w="1019" w:type="dxa"/>
            <w:tcBorders>
              <w:top w:val="single" w:sz="4" w:space="0" w:color="auto"/>
              <w:left w:val="single" w:sz="4" w:space="0" w:color="auto"/>
              <w:bottom w:val="single" w:sz="4" w:space="0" w:color="auto"/>
              <w:right w:val="single" w:sz="4" w:space="0" w:color="auto"/>
            </w:tcBorders>
            <w:vAlign w:val="center"/>
            <w:hideMark/>
          </w:tcPr>
          <w:p w14:paraId="6F6650CF" w14:textId="77777777" w:rsidR="003663AF" w:rsidRPr="00B7760C" w:rsidRDefault="003663AF" w:rsidP="00E804B7">
            <w:pPr>
              <w:pStyle w:val="Normal6"/>
              <w:rPr>
                <w:sz w:val="20"/>
              </w:rPr>
            </w:pPr>
            <w:r w:rsidRPr="00B7760C">
              <w:rPr>
                <w:sz w:val="20"/>
              </w:rPr>
              <w:t>2024</w:t>
            </w:r>
          </w:p>
        </w:tc>
        <w:tc>
          <w:tcPr>
            <w:tcW w:w="1019" w:type="dxa"/>
            <w:tcBorders>
              <w:top w:val="single" w:sz="4" w:space="0" w:color="auto"/>
              <w:left w:val="single" w:sz="4" w:space="0" w:color="auto"/>
              <w:bottom w:val="single" w:sz="4" w:space="0" w:color="auto"/>
              <w:right w:val="single" w:sz="4" w:space="0" w:color="auto"/>
            </w:tcBorders>
            <w:vAlign w:val="center"/>
            <w:hideMark/>
          </w:tcPr>
          <w:p w14:paraId="43370EBC" w14:textId="77777777" w:rsidR="003663AF" w:rsidRPr="00B7760C" w:rsidRDefault="003663AF" w:rsidP="00E804B7">
            <w:pPr>
              <w:pStyle w:val="Normal6"/>
              <w:rPr>
                <w:sz w:val="20"/>
              </w:rPr>
            </w:pPr>
            <w:r w:rsidRPr="00B7760C">
              <w:rPr>
                <w:sz w:val="20"/>
              </w:rPr>
              <w:t>2025</w:t>
            </w:r>
          </w:p>
        </w:tc>
        <w:tc>
          <w:tcPr>
            <w:tcW w:w="880" w:type="dxa"/>
            <w:tcBorders>
              <w:top w:val="single" w:sz="4" w:space="0" w:color="auto"/>
              <w:left w:val="single" w:sz="4" w:space="0" w:color="auto"/>
              <w:bottom w:val="single" w:sz="4" w:space="0" w:color="auto"/>
              <w:right w:val="single" w:sz="4" w:space="0" w:color="auto"/>
            </w:tcBorders>
            <w:vAlign w:val="center"/>
            <w:hideMark/>
          </w:tcPr>
          <w:p w14:paraId="323D1924" w14:textId="77777777" w:rsidR="003663AF" w:rsidRPr="00B7760C" w:rsidRDefault="003663AF" w:rsidP="00E804B7">
            <w:pPr>
              <w:pStyle w:val="Normal6"/>
              <w:rPr>
                <w:sz w:val="20"/>
              </w:rPr>
            </w:pPr>
            <w:r w:rsidRPr="00B7760C">
              <w:rPr>
                <w:sz w:val="20"/>
              </w:rPr>
              <w:t>2026</w:t>
            </w:r>
          </w:p>
        </w:tc>
        <w:tc>
          <w:tcPr>
            <w:tcW w:w="1141" w:type="dxa"/>
            <w:tcBorders>
              <w:top w:val="single" w:sz="4" w:space="0" w:color="auto"/>
              <w:left w:val="single" w:sz="4" w:space="0" w:color="auto"/>
              <w:bottom w:val="single" w:sz="4" w:space="0" w:color="auto"/>
              <w:right w:val="single" w:sz="4" w:space="0" w:color="auto"/>
            </w:tcBorders>
            <w:hideMark/>
          </w:tcPr>
          <w:p w14:paraId="6CFA418F" w14:textId="77777777" w:rsidR="003663AF" w:rsidRPr="00B7760C" w:rsidRDefault="003663AF" w:rsidP="00E804B7">
            <w:pPr>
              <w:pStyle w:val="Normal6"/>
              <w:rPr>
                <w:sz w:val="20"/>
              </w:rPr>
            </w:pPr>
            <w:r w:rsidRPr="00B7760C">
              <w:rPr>
                <w:sz w:val="20"/>
              </w:rPr>
              <w:t>2027 in naslednja leta</w:t>
            </w:r>
          </w:p>
        </w:tc>
      </w:tr>
      <w:tr w:rsidR="003663AF" w:rsidRPr="00B7760C" w14:paraId="11B87EAB"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6046983F" w14:textId="77777777" w:rsidR="003663AF" w:rsidRPr="00B7760C" w:rsidRDefault="003663AF" w:rsidP="00E804B7">
            <w:pPr>
              <w:pStyle w:val="Normal6"/>
              <w:rPr>
                <w:sz w:val="20"/>
              </w:rPr>
            </w:pPr>
            <w:r w:rsidRPr="00B7760C">
              <w:rPr>
                <w:sz w:val="20"/>
              </w:rPr>
              <w:t>Belgija</w:t>
            </w:r>
          </w:p>
        </w:tc>
        <w:tc>
          <w:tcPr>
            <w:tcW w:w="999" w:type="dxa"/>
            <w:tcBorders>
              <w:top w:val="single" w:sz="4" w:space="0" w:color="auto"/>
              <w:left w:val="single" w:sz="4" w:space="0" w:color="auto"/>
              <w:bottom w:val="single" w:sz="4" w:space="0" w:color="auto"/>
              <w:right w:val="single" w:sz="4" w:space="0" w:color="auto"/>
            </w:tcBorders>
            <w:vAlign w:val="center"/>
            <w:hideMark/>
          </w:tcPr>
          <w:p w14:paraId="0F4B9563" w14:textId="77777777" w:rsidR="003663AF" w:rsidRPr="00B7760C" w:rsidRDefault="003663AF" w:rsidP="00E804B7">
            <w:pPr>
              <w:pStyle w:val="Normal6"/>
              <w:jc w:val="right"/>
              <w:rPr>
                <w:b/>
                <w:bCs/>
                <w:i/>
                <w:iCs/>
                <w:sz w:val="20"/>
              </w:rPr>
            </w:pPr>
            <w:r w:rsidRPr="00B7760C">
              <w:rPr>
                <w:b/>
                <w:bCs/>
                <w:i/>
                <w:iCs/>
                <w:sz w:val="20"/>
              </w:rPr>
              <w:t>485 603 954</w:t>
            </w:r>
          </w:p>
        </w:tc>
        <w:tc>
          <w:tcPr>
            <w:tcW w:w="900" w:type="dxa"/>
            <w:tcBorders>
              <w:top w:val="single" w:sz="4" w:space="0" w:color="auto"/>
              <w:left w:val="single" w:sz="4" w:space="0" w:color="auto"/>
              <w:bottom w:val="single" w:sz="4" w:space="0" w:color="auto"/>
              <w:right w:val="single" w:sz="4" w:space="0" w:color="auto"/>
            </w:tcBorders>
            <w:vAlign w:val="center"/>
            <w:hideMark/>
          </w:tcPr>
          <w:p w14:paraId="61AEAB0A" w14:textId="77777777" w:rsidR="003663AF" w:rsidRPr="00B7760C" w:rsidRDefault="003663AF" w:rsidP="00E804B7">
            <w:pPr>
              <w:pStyle w:val="Normal6"/>
              <w:jc w:val="right"/>
              <w:rPr>
                <w:b/>
                <w:bCs/>
                <w:i/>
                <w:iCs/>
                <w:sz w:val="20"/>
              </w:rPr>
            </w:pPr>
            <w:r w:rsidRPr="00B7760C">
              <w:rPr>
                <w:b/>
                <w:bCs/>
                <w:i/>
                <w:iCs/>
                <w:sz w:val="20"/>
              </w:rPr>
              <w:t>485 603 954</w:t>
            </w:r>
          </w:p>
        </w:tc>
        <w:tc>
          <w:tcPr>
            <w:tcW w:w="1019" w:type="dxa"/>
            <w:tcBorders>
              <w:top w:val="single" w:sz="4" w:space="0" w:color="auto"/>
              <w:left w:val="single" w:sz="4" w:space="0" w:color="auto"/>
              <w:bottom w:val="single" w:sz="4" w:space="0" w:color="auto"/>
              <w:right w:val="single" w:sz="4" w:space="0" w:color="auto"/>
            </w:tcBorders>
            <w:vAlign w:val="center"/>
            <w:hideMark/>
          </w:tcPr>
          <w:p w14:paraId="04E481B1" w14:textId="77777777" w:rsidR="003663AF" w:rsidRPr="00B7760C" w:rsidRDefault="003663AF" w:rsidP="00E804B7">
            <w:pPr>
              <w:pStyle w:val="Normal6"/>
              <w:jc w:val="right"/>
              <w:rPr>
                <w:b/>
                <w:bCs/>
                <w:i/>
                <w:iCs/>
                <w:sz w:val="20"/>
              </w:rPr>
            </w:pPr>
            <w:r w:rsidRPr="00B7760C">
              <w:rPr>
                <w:b/>
                <w:bCs/>
                <w:i/>
                <w:iCs/>
                <w:sz w:val="20"/>
              </w:rPr>
              <w:t>485 603 954</w:t>
            </w:r>
          </w:p>
        </w:tc>
        <w:tc>
          <w:tcPr>
            <w:tcW w:w="1019" w:type="dxa"/>
            <w:tcBorders>
              <w:top w:val="single" w:sz="4" w:space="0" w:color="auto"/>
              <w:left w:val="single" w:sz="4" w:space="0" w:color="auto"/>
              <w:bottom w:val="single" w:sz="4" w:space="0" w:color="auto"/>
              <w:right w:val="single" w:sz="4" w:space="0" w:color="auto"/>
            </w:tcBorders>
            <w:vAlign w:val="center"/>
            <w:hideMark/>
          </w:tcPr>
          <w:p w14:paraId="4D501BB9" w14:textId="77777777" w:rsidR="003663AF" w:rsidRPr="00B7760C" w:rsidRDefault="003663AF" w:rsidP="00E804B7">
            <w:pPr>
              <w:pStyle w:val="Normal6"/>
              <w:jc w:val="right"/>
              <w:rPr>
                <w:b/>
                <w:bCs/>
                <w:i/>
                <w:iCs/>
                <w:sz w:val="20"/>
              </w:rPr>
            </w:pPr>
            <w:r w:rsidRPr="00B7760C">
              <w:rPr>
                <w:b/>
                <w:bCs/>
                <w:i/>
                <w:iCs/>
                <w:sz w:val="20"/>
              </w:rPr>
              <w:t>485 603 954</w:t>
            </w:r>
          </w:p>
        </w:tc>
        <w:tc>
          <w:tcPr>
            <w:tcW w:w="1019" w:type="dxa"/>
            <w:tcBorders>
              <w:top w:val="single" w:sz="4" w:space="0" w:color="auto"/>
              <w:left w:val="single" w:sz="4" w:space="0" w:color="auto"/>
              <w:bottom w:val="single" w:sz="4" w:space="0" w:color="auto"/>
              <w:right w:val="single" w:sz="4" w:space="0" w:color="auto"/>
            </w:tcBorders>
            <w:vAlign w:val="center"/>
            <w:hideMark/>
          </w:tcPr>
          <w:p w14:paraId="1544596F" w14:textId="77777777" w:rsidR="003663AF" w:rsidRPr="00B7760C" w:rsidRDefault="003663AF" w:rsidP="00E804B7">
            <w:pPr>
              <w:pStyle w:val="Normal6"/>
              <w:jc w:val="right"/>
              <w:rPr>
                <w:b/>
                <w:bCs/>
                <w:i/>
                <w:iCs/>
                <w:sz w:val="20"/>
              </w:rPr>
            </w:pPr>
            <w:r w:rsidRPr="00B7760C">
              <w:rPr>
                <w:b/>
                <w:bCs/>
                <w:i/>
                <w:iCs/>
                <w:sz w:val="20"/>
              </w:rPr>
              <w:t>485 603 954</w:t>
            </w:r>
          </w:p>
        </w:tc>
        <w:tc>
          <w:tcPr>
            <w:tcW w:w="880" w:type="dxa"/>
            <w:tcBorders>
              <w:top w:val="single" w:sz="4" w:space="0" w:color="auto"/>
              <w:left w:val="single" w:sz="4" w:space="0" w:color="auto"/>
              <w:bottom w:val="single" w:sz="4" w:space="0" w:color="auto"/>
              <w:right w:val="single" w:sz="4" w:space="0" w:color="auto"/>
            </w:tcBorders>
            <w:vAlign w:val="center"/>
            <w:hideMark/>
          </w:tcPr>
          <w:p w14:paraId="7A27A6E7" w14:textId="77777777" w:rsidR="003663AF" w:rsidRPr="00B7760C" w:rsidRDefault="003663AF" w:rsidP="00E804B7">
            <w:pPr>
              <w:pStyle w:val="Normal6"/>
              <w:jc w:val="right"/>
              <w:rPr>
                <w:b/>
                <w:bCs/>
                <w:i/>
                <w:iCs/>
                <w:sz w:val="20"/>
              </w:rPr>
            </w:pPr>
            <w:r w:rsidRPr="00B7760C">
              <w:rPr>
                <w:b/>
                <w:bCs/>
                <w:i/>
                <w:iCs/>
                <w:sz w:val="20"/>
              </w:rPr>
              <w:t>485 603 954</w:t>
            </w:r>
          </w:p>
        </w:tc>
        <w:tc>
          <w:tcPr>
            <w:tcW w:w="1141" w:type="dxa"/>
            <w:tcBorders>
              <w:top w:val="single" w:sz="4" w:space="0" w:color="auto"/>
              <w:left w:val="single" w:sz="4" w:space="0" w:color="auto"/>
              <w:bottom w:val="single" w:sz="4" w:space="0" w:color="auto"/>
              <w:right w:val="single" w:sz="4" w:space="0" w:color="auto"/>
            </w:tcBorders>
            <w:vAlign w:val="center"/>
            <w:hideMark/>
          </w:tcPr>
          <w:p w14:paraId="5E3AD2DE" w14:textId="77777777" w:rsidR="003663AF" w:rsidRPr="00B7760C" w:rsidRDefault="003663AF" w:rsidP="00E804B7">
            <w:pPr>
              <w:pStyle w:val="Normal6"/>
              <w:jc w:val="right"/>
              <w:rPr>
                <w:b/>
                <w:bCs/>
                <w:i/>
                <w:iCs/>
                <w:sz w:val="20"/>
              </w:rPr>
            </w:pPr>
            <w:r w:rsidRPr="00B7760C">
              <w:rPr>
                <w:b/>
                <w:bCs/>
                <w:i/>
                <w:iCs/>
                <w:sz w:val="20"/>
              </w:rPr>
              <w:t>485 603 954</w:t>
            </w:r>
          </w:p>
        </w:tc>
      </w:tr>
      <w:tr w:rsidR="003663AF" w:rsidRPr="00B7760C" w14:paraId="77DDCE87"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6DE02ECD" w14:textId="77777777" w:rsidR="003663AF" w:rsidRPr="00B7760C" w:rsidRDefault="003663AF" w:rsidP="00E804B7">
            <w:pPr>
              <w:pStyle w:val="Normal6"/>
              <w:rPr>
                <w:sz w:val="20"/>
              </w:rPr>
            </w:pPr>
            <w:r w:rsidRPr="00B7760C">
              <w:rPr>
                <w:sz w:val="20"/>
              </w:rPr>
              <w:t>Bolgarija</w:t>
            </w:r>
          </w:p>
        </w:tc>
        <w:tc>
          <w:tcPr>
            <w:tcW w:w="999" w:type="dxa"/>
            <w:tcBorders>
              <w:top w:val="single" w:sz="4" w:space="0" w:color="auto"/>
              <w:left w:val="single" w:sz="4" w:space="0" w:color="auto"/>
              <w:bottom w:val="single" w:sz="4" w:space="0" w:color="auto"/>
              <w:right w:val="single" w:sz="4" w:space="0" w:color="auto"/>
            </w:tcBorders>
            <w:vAlign w:val="center"/>
            <w:hideMark/>
          </w:tcPr>
          <w:p w14:paraId="4C704FA7" w14:textId="77777777" w:rsidR="003663AF" w:rsidRPr="00B7760C" w:rsidRDefault="003663AF" w:rsidP="00E804B7">
            <w:pPr>
              <w:pStyle w:val="Normal6"/>
              <w:jc w:val="right"/>
              <w:rPr>
                <w:b/>
                <w:bCs/>
                <w:i/>
                <w:iCs/>
                <w:sz w:val="20"/>
              </w:rPr>
            </w:pPr>
            <w:r w:rsidRPr="00B7760C">
              <w:rPr>
                <w:b/>
                <w:bCs/>
                <w:i/>
                <w:iCs/>
                <w:sz w:val="20"/>
              </w:rPr>
              <w:t>773 771 955</w:t>
            </w:r>
          </w:p>
        </w:tc>
        <w:tc>
          <w:tcPr>
            <w:tcW w:w="900" w:type="dxa"/>
            <w:tcBorders>
              <w:top w:val="single" w:sz="4" w:space="0" w:color="auto"/>
              <w:left w:val="single" w:sz="4" w:space="0" w:color="auto"/>
              <w:bottom w:val="single" w:sz="4" w:space="0" w:color="auto"/>
              <w:right w:val="single" w:sz="4" w:space="0" w:color="auto"/>
            </w:tcBorders>
            <w:vAlign w:val="center"/>
            <w:hideMark/>
          </w:tcPr>
          <w:p w14:paraId="0BACAA24" w14:textId="77777777" w:rsidR="003663AF" w:rsidRPr="00B7760C" w:rsidRDefault="003663AF" w:rsidP="00E804B7">
            <w:pPr>
              <w:pStyle w:val="Normal6"/>
              <w:jc w:val="right"/>
              <w:rPr>
                <w:b/>
                <w:bCs/>
                <w:i/>
                <w:iCs/>
                <w:sz w:val="20"/>
              </w:rPr>
            </w:pPr>
            <w:r w:rsidRPr="00B7760C">
              <w:rPr>
                <w:b/>
                <w:bCs/>
                <w:i/>
                <w:iCs/>
                <w:sz w:val="20"/>
              </w:rPr>
              <w:t>782 239 005</w:t>
            </w:r>
          </w:p>
        </w:tc>
        <w:tc>
          <w:tcPr>
            <w:tcW w:w="1019" w:type="dxa"/>
            <w:tcBorders>
              <w:top w:val="single" w:sz="4" w:space="0" w:color="auto"/>
              <w:left w:val="single" w:sz="4" w:space="0" w:color="auto"/>
              <w:bottom w:val="single" w:sz="4" w:space="0" w:color="auto"/>
              <w:right w:val="single" w:sz="4" w:space="0" w:color="auto"/>
            </w:tcBorders>
            <w:vAlign w:val="center"/>
            <w:hideMark/>
          </w:tcPr>
          <w:p w14:paraId="7A07CCD7" w14:textId="77777777" w:rsidR="003663AF" w:rsidRPr="00B7760C" w:rsidRDefault="003663AF" w:rsidP="00E804B7">
            <w:pPr>
              <w:pStyle w:val="Normal6"/>
              <w:jc w:val="right"/>
              <w:rPr>
                <w:b/>
                <w:bCs/>
                <w:i/>
                <w:iCs/>
                <w:sz w:val="20"/>
              </w:rPr>
            </w:pPr>
            <w:r w:rsidRPr="00B7760C">
              <w:rPr>
                <w:b/>
                <w:bCs/>
                <w:i/>
                <w:iCs/>
                <w:sz w:val="20"/>
              </w:rPr>
              <w:t>790 706 055</w:t>
            </w:r>
          </w:p>
        </w:tc>
        <w:tc>
          <w:tcPr>
            <w:tcW w:w="1019" w:type="dxa"/>
            <w:tcBorders>
              <w:top w:val="single" w:sz="4" w:space="0" w:color="auto"/>
              <w:left w:val="single" w:sz="4" w:space="0" w:color="auto"/>
              <w:bottom w:val="single" w:sz="4" w:space="0" w:color="auto"/>
              <w:right w:val="single" w:sz="4" w:space="0" w:color="auto"/>
            </w:tcBorders>
            <w:vAlign w:val="center"/>
            <w:hideMark/>
          </w:tcPr>
          <w:p w14:paraId="184A42ED" w14:textId="77777777" w:rsidR="003663AF" w:rsidRPr="00B7760C" w:rsidRDefault="003663AF" w:rsidP="00E804B7">
            <w:pPr>
              <w:pStyle w:val="Normal6"/>
              <w:jc w:val="right"/>
              <w:rPr>
                <w:b/>
                <w:bCs/>
                <w:i/>
                <w:iCs/>
                <w:sz w:val="20"/>
              </w:rPr>
            </w:pPr>
            <w:r w:rsidRPr="00B7760C">
              <w:rPr>
                <w:b/>
                <w:bCs/>
                <w:i/>
                <w:iCs/>
                <w:sz w:val="20"/>
              </w:rPr>
              <w:t>799 173 104</w:t>
            </w:r>
          </w:p>
        </w:tc>
        <w:tc>
          <w:tcPr>
            <w:tcW w:w="1019" w:type="dxa"/>
            <w:tcBorders>
              <w:top w:val="single" w:sz="4" w:space="0" w:color="auto"/>
              <w:left w:val="single" w:sz="4" w:space="0" w:color="auto"/>
              <w:bottom w:val="single" w:sz="4" w:space="0" w:color="auto"/>
              <w:right w:val="single" w:sz="4" w:space="0" w:color="auto"/>
            </w:tcBorders>
            <w:vAlign w:val="center"/>
            <w:hideMark/>
          </w:tcPr>
          <w:p w14:paraId="73F64A72" w14:textId="77777777" w:rsidR="003663AF" w:rsidRPr="00B7760C" w:rsidRDefault="003663AF" w:rsidP="00E804B7">
            <w:pPr>
              <w:pStyle w:val="Normal6"/>
              <w:jc w:val="right"/>
              <w:rPr>
                <w:b/>
                <w:bCs/>
                <w:i/>
                <w:iCs/>
                <w:sz w:val="20"/>
              </w:rPr>
            </w:pPr>
            <w:r w:rsidRPr="00B7760C">
              <w:rPr>
                <w:b/>
                <w:bCs/>
                <w:i/>
                <w:iCs/>
                <w:sz w:val="20"/>
              </w:rPr>
              <w:t>807 640 154</w:t>
            </w:r>
          </w:p>
        </w:tc>
        <w:tc>
          <w:tcPr>
            <w:tcW w:w="880" w:type="dxa"/>
            <w:tcBorders>
              <w:top w:val="single" w:sz="4" w:space="0" w:color="auto"/>
              <w:left w:val="single" w:sz="4" w:space="0" w:color="auto"/>
              <w:bottom w:val="single" w:sz="4" w:space="0" w:color="auto"/>
              <w:right w:val="single" w:sz="4" w:space="0" w:color="auto"/>
            </w:tcBorders>
            <w:vAlign w:val="center"/>
            <w:hideMark/>
          </w:tcPr>
          <w:p w14:paraId="4A92FB23" w14:textId="77777777" w:rsidR="003663AF" w:rsidRPr="00B7760C" w:rsidRDefault="003663AF" w:rsidP="00E804B7">
            <w:pPr>
              <w:pStyle w:val="Normal6"/>
              <w:jc w:val="right"/>
              <w:rPr>
                <w:b/>
                <w:bCs/>
                <w:i/>
                <w:iCs/>
                <w:sz w:val="20"/>
              </w:rPr>
            </w:pPr>
            <w:r w:rsidRPr="00B7760C">
              <w:rPr>
                <w:b/>
                <w:bCs/>
                <w:i/>
                <w:iCs/>
                <w:sz w:val="20"/>
              </w:rPr>
              <w:t>816 107 204</w:t>
            </w:r>
          </w:p>
        </w:tc>
        <w:tc>
          <w:tcPr>
            <w:tcW w:w="1141" w:type="dxa"/>
            <w:tcBorders>
              <w:top w:val="single" w:sz="4" w:space="0" w:color="auto"/>
              <w:left w:val="single" w:sz="4" w:space="0" w:color="auto"/>
              <w:bottom w:val="single" w:sz="4" w:space="0" w:color="auto"/>
              <w:right w:val="single" w:sz="4" w:space="0" w:color="auto"/>
            </w:tcBorders>
            <w:vAlign w:val="center"/>
            <w:hideMark/>
          </w:tcPr>
          <w:p w14:paraId="03B95425" w14:textId="77777777" w:rsidR="003663AF" w:rsidRPr="00B7760C" w:rsidRDefault="003663AF" w:rsidP="00E804B7">
            <w:pPr>
              <w:pStyle w:val="Normal6"/>
              <w:jc w:val="right"/>
              <w:rPr>
                <w:b/>
                <w:bCs/>
                <w:i/>
                <w:iCs/>
                <w:sz w:val="20"/>
              </w:rPr>
            </w:pPr>
            <w:r w:rsidRPr="00B7760C">
              <w:rPr>
                <w:b/>
                <w:bCs/>
                <w:i/>
                <w:iCs/>
                <w:sz w:val="20"/>
              </w:rPr>
              <w:t>816 107 204</w:t>
            </w:r>
          </w:p>
        </w:tc>
      </w:tr>
      <w:tr w:rsidR="003663AF" w:rsidRPr="00B7760C" w14:paraId="0410809F" w14:textId="77777777" w:rsidTr="00E804B7">
        <w:trPr>
          <w:cantSplit/>
          <w:trHeight w:val="497"/>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13490F00" w14:textId="77777777" w:rsidR="003663AF" w:rsidRPr="00B7760C" w:rsidRDefault="003663AF" w:rsidP="00E804B7">
            <w:pPr>
              <w:pStyle w:val="Normal6"/>
              <w:rPr>
                <w:sz w:val="20"/>
              </w:rPr>
            </w:pPr>
            <w:r w:rsidRPr="00B7760C">
              <w:rPr>
                <w:sz w:val="20"/>
              </w:rPr>
              <w:t>Češka</w:t>
            </w:r>
          </w:p>
        </w:tc>
        <w:tc>
          <w:tcPr>
            <w:tcW w:w="999" w:type="dxa"/>
            <w:tcBorders>
              <w:top w:val="single" w:sz="4" w:space="0" w:color="auto"/>
              <w:left w:val="single" w:sz="4" w:space="0" w:color="auto"/>
              <w:bottom w:val="single" w:sz="4" w:space="0" w:color="auto"/>
              <w:right w:val="single" w:sz="4" w:space="0" w:color="auto"/>
            </w:tcBorders>
            <w:vAlign w:val="center"/>
            <w:hideMark/>
          </w:tcPr>
          <w:p w14:paraId="74D13383" w14:textId="77777777" w:rsidR="003663AF" w:rsidRPr="00B7760C" w:rsidRDefault="003663AF" w:rsidP="00E804B7">
            <w:pPr>
              <w:pStyle w:val="Normal6"/>
              <w:jc w:val="right"/>
              <w:rPr>
                <w:b/>
                <w:i/>
                <w:sz w:val="20"/>
              </w:rPr>
            </w:pPr>
            <w:r w:rsidRPr="00B7760C">
              <w:rPr>
                <w:b/>
                <w:i/>
                <w:sz w:val="20"/>
              </w:rPr>
              <w:t>838 844 295</w:t>
            </w:r>
          </w:p>
        </w:tc>
        <w:tc>
          <w:tcPr>
            <w:tcW w:w="900" w:type="dxa"/>
            <w:tcBorders>
              <w:top w:val="single" w:sz="4" w:space="0" w:color="auto"/>
              <w:left w:val="single" w:sz="4" w:space="0" w:color="auto"/>
              <w:bottom w:val="single" w:sz="4" w:space="0" w:color="auto"/>
              <w:right w:val="single" w:sz="4" w:space="0" w:color="auto"/>
            </w:tcBorders>
            <w:vAlign w:val="center"/>
            <w:hideMark/>
          </w:tcPr>
          <w:p w14:paraId="18B2117E" w14:textId="77777777" w:rsidR="003663AF" w:rsidRPr="00B7760C" w:rsidRDefault="003663AF" w:rsidP="00E804B7">
            <w:pPr>
              <w:pStyle w:val="Normal6"/>
              <w:jc w:val="right"/>
              <w:rPr>
                <w:b/>
                <w:i/>
                <w:sz w:val="20"/>
              </w:rPr>
            </w:pPr>
            <w:r w:rsidRPr="00B7760C">
              <w:rPr>
                <w:b/>
                <w:i/>
                <w:sz w:val="20"/>
              </w:rPr>
              <w:t>838 844 295</w:t>
            </w:r>
          </w:p>
        </w:tc>
        <w:tc>
          <w:tcPr>
            <w:tcW w:w="1019" w:type="dxa"/>
            <w:tcBorders>
              <w:top w:val="single" w:sz="4" w:space="0" w:color="auto"/>
              <w:left w:val="single" w:sz="4" w:space="0" w:color="auto"/>
              <w:bottom w:val="single" w:sz="4" w:space="0" w:color="auto"/>
              <w:right w:val="single" w:sz="4" w:space="0" w:color="auto"/>
            </w:tcBorders>
            <w:vAlign w:val="center"/>
            <w:hideMark/>
          </w:tcPr>
          <w:p w14:paraId="0255CDA4" w14:textId="77777777" w:rsidR="003663AF" w:rsidRPr="00B7760C" w:rsidRDefault="003663AF" w:rsidP="00E804B7">
            <w:pPr>
              <w:pStyle w:val="Normal6"/>
              <w:jc w:val="right"/>
              <w:rPr>
                <w:b/>
                <w:i/>
                <w:sz w:val="20"/>
              </w:rPr>
            </w:pPr>
            <w:r w:rsidRPr="00B7760C">
              <w:rPr>
                <w:b/>
                <w:i/>
                <w:sz w:val="20"/>
              </w:rPr>
              <w:t>838 844 295</w:t>
            </w:r>
          </w:p>
        </w:tc>
        <w:tc>
          <w:tcPr>
            <w:tcW w:w="1019" w:type="dxa"/>
            <w:tcBorders>
              <w:top w:val="single" w:sz="4" w:space="0" w:color="auto"/>
              <w:left w:val="single" w:sz="4" w:space="0" w:color="auto"/>
              <w:bottom w:val="single" w:sz="4" w:space="0" w:color="auto"/>
              <w:right w:val="single" w:sz="4" w:space="0" w:color="auto"/>
            </w:tcBorders>
            <w:vAlign w:val="center"/>
            <w:hideMark/>
          </w:tcPr>
          <w:p w14:paraId="30BECF44" w14:textId="77777777" w:rsidR="003663AF" w:rsidRPr="00B7760C" w:rsidRDefault="003663AF" w:rsidP="00E804B7">
            <w:pPr>
              <w:pStyle w:val="Normal6"/>
              <w:jc w:val="right"/>
              <w:rPr>
                <w:b/>
                <w:i/>
                <w:sz w:val="20"/>
              </w:rPr>
            </w:pPr>
            <w:r w:rsidRPr="00B7760C">
              <w:rPr>
                <w:b/>
                <w:i/>
                <w:sz w:val="20"/>
              </w:rPr>
              <w:t>838 844 295</w:t>
            </w:r>
          </w:p>
        </w:tc>
        <w:tc>
          <w:tcPr>
            <w:tcW w:w="1019" w:type="dxa"/>
            <w:tcBorders>
              <w:top w:val="single" w:sz="4" w:space="0" w:color="auto"/>
              <w:left w:val="single" w:sz="4" w:space="0" w:color="auto"/>
              <w:bottom w:val="single" w:sz="4" w:space="0" w:color="auto"/>
              <w:right w:val="single" w:sz="4" w:space="0" w:color="auto"/>
            </w:tcBorders>
            <w:vAlign w:val="center"/>
            <w:hideMark/>
          </w:tcPr>
          <w:p w14:paraId="23223082" w14:textId="77777777" w:rsidR="003663AF" w:rsidRPr="00B7760C" w:rsidRDefault="003663AF" w:rsidP="00E804B7">
            <w:pPr>
              <w:pStyle w:val="Normal6"/>
              <w:jc w:val="right"/>
              <w:rPr>
                <w:b/>
                <w:i/>
                <w:sz w:val="20"/>
              </w:rPr>
            </w:pPr>
            <w:r w:rsidRPr="00B7760C">
              <w:rPr>
                <w:b/>
                <w:i/>
                <w:sz w:val="20"/>
              </w:rPr>
              <w:t>838 844 295</w:t>
            </w:r>
          </w:p>
        </w:tc>
        <w:tc>
          <w:tcPr>
            <w:tcW w:w="880" w:type="dxa"/>
            <w:tcBorders>
              <w:top w:val="single" w:sz="4" w:space="0" w:color="auto"/>
              <w:left w:val="single" w:sz="4" w:space="0" w:color="auto"/>
              <w:bottom w:val="single" w:sz="4" w:space="0" w:color="auto"/>
              <w:right w:val="single" w:sz="4" w:space="0" w:color="auto"/>
            </w:tcBorders>
            <w:vAlign w:val="center"/>
            <w:hideMark/>
          </w:tcPr>
          <w:p w14:paraId="71ABBCAC" w14:textId="77777777" w:rsidR="003663AF" w:rsidRPr="00B7760C" w:rsidRDefault="003663AF" w:rsidP="00E804B7">
            <w:pPr>
              <w:pStyle w:val="Normal6"/>
              <w:jc w:val="right"/>
              <w:rPr>
                <w:b/>
                <w:i/>
                <w:sz w:val="20"/>
              </w:rPr>
            </w:pPr>
            <w:r w:rsidRPr="00B7760C">
              <w:rPr>
                <w:b/>
                <w:i/>
                <w:sz w:val="20"/>
              </w:rPr>
              <w:t>838 844 295</w:t>
            </w:r>
          </w:p>
        </w:tc>
        <w:tc>
          <w:tcPr>
            <w:tcW w:w="1141" w:type="dxa"/>
            <w:tcBorders>
              <w:top w:val="single" w:sz="4" w:space="0" w:color="auto"/>
              <w:left w:val="single" w:sz="4" w:space="0" w:color="auto"/>
              <w:bottom w:val="single" w:sz="4" w:space="0" w:color="auto"/>
              <w:right w:val="single" w:sz="4" w:space="0" w:color="auto"/>
            </w:tcBorders>
            <w:vAlign w:val="center"/>
            <w:hideMark/>
          </w:tcPr>
          <w:p w14:paraId="6471FD55" w14:textId="77777777" w:rsidR="003663AF" w:rsidRPr="00B7760C" w:rsidRDefault="003663AF" w:rsidP="00E804B7">
            <w:pPr>
              <w:pStyle w:val="Normal6"/>
              <w:jc w:val="right"/>
              <w:rPr>
                <w:b/>
                <w:i/>
                <w:sz w:val="20"/>
              </w:rPr>
            </w:pPr>
            <w:r w:rsidRPr="00B7760C">
              <w:rPr>
                <w:b/>
                <w:i/>
                <w:sz w:val="20"/>
              </w:rPr>
              <w:t>838 844 295</w:t>
            </w:r>
          </w:p>
        </w:tc>
      </w:tr>
      <w:tr w:rsidR="003663AF" w:rsidRPr="00B7760C" w14:paraId="69D027A1"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082305F8" w14:textId="77777777" w:rsidR="003663AF" w:rsidRPr="00B7760C" w:rsidRDefault="003663AF" w:rsidP="00E804B7">
            <w:pPr>
              <w:pStyle w:val="Normal6"/>
              <w:rPr>
                <w:sz w:val="20"/>
              </w:rPr>
            </w:pPr>
            <w:r w:rsidRPr="00B7760C">
              <w:rPr>
                <w:sz w:val="20"/>
              </w:rPr>
              <w:t>Danska</w:t>
            </w:r>
          </w:p>
        </w:tc>
        <w:tc>
          <w:tcPr>
            <w:tcW w:w="999" w:type="dxa"/>
            <w:tcBorders>
              <w:top w:val="single" w:sz="4" w:space="0" w:color="auto"/>
              <w:left w:val="single" w:sz="4" w:space="0" w:color="auto"/>
              <w:bottom w:val="single" w:sz="4" w:space="0" w:color="auto"/>
              <w:right w:val="single" w:sz="4" w:space="0" w:color="auto"/>
            </w:tcBorders>
            <w:vAlign w:val="center"/>
            <w:hideMark/>
          </w:tcPr>
          <w:p w14:paraId="42A8A308" w14:textId="77777777" w:rsidR="003663AF" w:rsidRPr="00B7760C" w:rsidRDefault="003663AF" w:rsidP="00E804B7">
            <w:pPr>
              <w:pStyle w:val="Normal6"/>
              <w:jc w:val="right"/>
              <w:rPr>
                <w:b/>
                <w:i/>
                <w:sz w:val="20"/>
              </w:rPr>
            </w:pPr>
            <w:r w:rsidRPr="00B7760C">
              <w:rPr>
                <w:b/>
                <w:i/>
                <w:sz w:val="20"/>
              </w:rPr>
              <w:t>846 124 520</w:t>
            </w:r>
          </w:p>
        </w:tc>
        <w:tc>
          <w:tcPr>
            <w:tcW w:w="900" w:type="dxa"/>
            <w:tcBorders>
              <w:top w:val="single" w:sz="4" w:space="0" w:color="auto"/>
              <w:left w:val="single" w:sz="4" w:space="0" w:color="auto"/>
              <w:bottom w:val="single" w:sz="4" w:space="0" w:color="auto"/>
              <w:right w:val="single" w:sz="4" w:space="0" w:color="auto"/>
            </w:tcBorders>
            <w:vAlign w:val="center"/>
            <w:hideMark/>
          </w:tcPr>
          <w:p w14:paraId="5A833CA0" w14:textId="77777777" w:rsidR="003663AF" w:rsidRPr="00B7760C" w:rsidRDefault="003663AF" w:rsidP="00E804B7">
            <w:pPr>
              <w:pStyle w:val="Normal6"/>
              <w:jc w:val="right"/>
              <w:rPr>
                <w:b/>
                <w:i/>
                <w:sz w:val="20"/>
              </w:rPr>
            </w:pPr>
            <w:r w:rsidRPr="00B7760C">
              <w:rPr>
                <w:b/>
                <w:i/>
                <w:sz w:val="20"/>
              </w:rPr>
              <w:t>846 124 520</w:t>
            </w:r>
          </w:p>
        </w:tc>
        <w:tc>
          <w:tcPr>
            <w:tcW w:w="1019" w:type="dxa"/>
            <w:tcBorders>
              <w:top w:val="single" w:sz="4" w:space="0" w:color="auto"/>
              <w:left w:val="single" w:sz="4" w:space="0" w:color="auto"/>
              <w:bottom w:val="single" w:sz="4" w:space="0" w:color="auto"/>
              <w:right w:val="single" w:sz="4" w:space="0" w:color="auto"/>
            </w:tcBorders>
            <w:vAlign w:val="center"/>
            <w:hideMark/>
          </w:tcPr>
          <w:p w14:paraId="77B9B457" w14:textId="77777777" w:rsidR="003663AF" w:rsidRPr="00B7760C" w:rsidRDefault="003663AF" w:rsidP="00E804B7">
            <w:pPr>
              <w:pStyle w:val="Normal6"/>
              <w:jc w:val="right"/>
              <w:rPr>
                <w:b/>
                <w:i/>
                <w:sz w:val="20"/>
              </w:rPr>
            </w:pPr>
            <w:r w:rsidRPr="00B7760C">
              <w:rPr>
                <w:b/>
                <w:i/>
                <w:sz w:val="20"/>
              </w:rPr>
              <w:t>846 124 520</w:t>
            </w:r>
          </w:p>
        </w:tc>
        <w:tc>
          <w:tcPr>
            <w:tcW w:w="1019" w:type="dxa"/>
            <w:tcBorders>
              <w:top w:val="single" w:sz="4" w:space="0" w:color="auto"/>
              <w:left w:val="single" w:sz="4" w:space="0" w:color="auto"/>
              <w:bottom w:val="single" w:sz="4" w:space="0" w:color="auto"/>
              <w:right w:val="single" w:sz="4" w:space="0" w:color="auto"/>
            </w:tcBorders>
            <w:vAlign w:val="center"/>
            <w:hideMark/>
          </w:tcPr>
          <w:p w14:paraId="2A48753A" w14:textId="77777777" w:rsidR="003663AF" w:rsidRPr="00B7760C" w:rsidRDefault="003663AF" w:rsidP="00E804B7">
            <w:pPr>
              <w:pStyle w:val="Normal6"/>
              <w:jc w:val="right"/>
              <w:rPr>
                <w:b/>
                <w:i/>
                <w:sz w:val="20"/>
              </w:rPr>
            </w:pPr>
            <w:r w:rsidRPr="00B7760C">
              <w:rPr>
                <w:b/>
                <w:i/>
                <w:sz w:val="20"/>
              </w:rPr>
              <w:t>846 124 520</w:t>
            </w:r>
          </w:p>
        </w:tc>
        <w:tc>
          <w:tcPr>
            <w:tcW w:w="1019" w:type="dxa"/>
            <w:tcBorders>
              <w:top w:val="single" w:sz="4" w:space="0" w:color="auto"/>
              <w:left w:val="single" w:sz="4" w:space="0" w:color="auto"/>
              <w:bottom w:val="single" w:sz="4" w:space="0" w:color="auto"/>
              <w:right w:val="single" w:sz="4" w:space="0" w:color="auto"/>
            </w:tcBorders>
            <w:vAlign w:val="center"/>
            <w:hideMark/>
          </w:tcPr>
          <w:p w14:paraId="38C60338" w14:textId="77777777" w:rsidR="003663AF" w:rsidRPr="00B7760C" w:rsidRDefault="003663AF" w:rsidP="00E804B7">
            <w:pPr>
              <w:pStyle w:val="Normal6"/>
              <w:jc w:val="right"/>
              <w:rPr>
                <w:b/>
                <w:i/>
                <w:sz w:val="20"/>
              </w:rPr>
            </w:pPr>
            <w:r w:rsidRPr="00B7760C">
              <w:rPr>
                <w:b/>
                <w:i/>
                <w:sz w:val="20"/>
              </w:rPr>
              <w:t>846 124 520</w:t>
            </w:r>
          </w:p>
        </w:tc>
        <w:tc>
          <w:tcPr>
            <w:tcW w:w="880" w:type="dxa"/>
            <w:tcBorders>
              <w:top w:val="single" w:sz="4" w:space="0" w:color="auto"/>
              <w:left w:val="single" w:sz="4" w:space="0" w:color="auto"/>
              <w:bottom w:val="single" w:sz="4" w:space="0" w:color="auto"/>
              <w:right w:val="single" w:sz="4" w:space="0" w:color="auto"/>
            </w:tcBorders>
            <w:vAlign w:val="center"/>
            <w:hideMark/>
          </w:tcPr>
          <w:p w14:paraId="1F764A52" w14:textId="77777777" w:rsidR="003663AF" w:rsidRPr="00B7760C" w:rsidRDefault="003663AF" w:rsidP="00E804B7">
            <w:pPr>
              <w:pStyle w:val="Normal6"/>
              <w:jc w:val="right"/>
              <w:rPr>
                <w:b/>
                <w:i/>
                <w:sz w:val="20"/>
              </w:rPr>
            </w:pPr>
            <w:r w:rsidRPr="00B7760C">
              <w:rPr>
                <w:b/>
                <w:i/>
                <w:sz w:val="20"/>
              </w:rPr>
              <w:t>846 124 520</w:t>
            </w:r>
          </w:p>
        </w:tc>
        <w:tc>
          <w:tcPr>
            <w:tcW w:w="1141" w:type="dxa"/>
            <w:tcBorders>
              <w:top w:val="single" w:sz="4" w:space="0" w:color="auto"/>
              <w:left w:val="single" w:sz="4" w:space="0" w:color="auto"/>
              <w:bottom w:val="single" w:sz="4" w:space="0" w:color="auto"/>
              <w:right w:val="single" w:sz="4" w:space="0" w:color="auto"/>
            </w:tcBorders>
            <w:vAlign w:val="center"/>
            <w:hideMark/>
          </w:tcPr>
          <w:p w14:paraId="180DF080" w14:textId="77777777" w:rsidR="003663AF" w:rsidRPr="00B7760C" w:rsidRDefault="003663AF" w:rsidP="00E804B7">
            <w:pPr>
              <w:pStyle w:val="Normal6"/>
              <w:jc w:val="right"/>
              <w:rPr>
                <w:b/>
                <w:i/>
                <w:sz w:val="20"/>
              </w:rPr>
            </w:pPr>
            <w:r w:rsidRPr="00B7760C">
              <w:rPr>
                <w:b/>
                <w:i/>
                <w:sz w:val="20"/>
              </w:rPr>
              <w:t>846 124 520</w:t>
            </w:r>
          </w:p>
        </w:tc>
      </w:tr>
      <w:tr w:rsidR="003663AF" w:rsidRPr="00B7760C" w14:paraId="3FECE173"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718D301D" w14:textId="77777777" w:rsidR="003663AF" w:rsidRPr="00B7760C" w:rsidRDefault="003663AF" w:rsidP="00E804B7">
            <w:pPr>
              <w:pStyle w:val="Normal6"/>
              <w:rPr>
                <w:sz w:val="20"/>
              </w:rPr>
            </w:pPr>
            <w:r w:rsidRPr="00B7760C">
              <w:rPr>
                <w:sz w:val="20"/>
              </w:rPr>
              <w:t>Nemčija</w:t>
            </w:r>
          </w:p>
        </w:tc>
        <w:tc>
          <w:tcPr>
            <w:tcW w:w="999" w:type="dxa"/>
            <w:tcBorders>
              <w:top w:val="single" w:sz="4" w:space="0" w:color="auto"/>
              <w:left w:val="single" w:sz="4" w:space="0" w:color="auto"/>
              <w:bottom w:val="single" w:sz="4" w:space="0" w:color="auto"/>
              <w:right w:val="single" w:sz="4" w:space="0" w:color="auto"/>
            </w:tcBorders>
            <w:vAlign w:val="center"/>
            <w:hideMark/>
          </w:tcPr>
          <w:p w14:paraId="507BC690" w14:textId="77777777" w:rsidR="003663AF" w:rsidRPr="00B7760C" w:rsidRDefault="003663AF" w:rsidP="00E804B7">
            <w:pPr>
              <w:pStyle w:val="Normal6"/>
              <w:jc w:val="right"/>
              <w:rPr>
                <w:b/>
                <w:i/>
                <w:sz w:val="20"/>
              </w:rPr>
            </w:pPr>
            <w:r w:rsidRPr="00B7760C">
              <w:rPr>
                <w:b/>
                <w:i/>
                <w:sz w:val="20"/>
              </w:rPr>
              <w:t>4 823 107 939</w:t>
            </w:r>
          </w:p>
        </w:tc>
        <w:tc>
          <w:tcPr>
            <w:tcW w:w="900" w:type="dxa"/>
            <w:tcBorders>
              <w:top w:val="single" w:sz="4" w:space="0" w:color="auto"/>
              <w:left w:val="single" w:sz="4" w:space="0" w:color="auto"/>
              <w:bottom w:val="single" w:sz="4" w:space="0" w:color="auto"/>
              <w:right w:val="single" w:sz="4" w:space="0" w:color="auto"/>
            </w:tcBorders>
            <w:vAlign w:val="center"/>
            <w:hideMark/>
          </w:tcPr>
          <w:p w14:paraId="377D703C" w14:textId="77777777" w:rsidR="003663AF" w:rsidRPr="00B7760C" w:rsidRDefault="003663AF" w:rsidP="00E804B7">
            <w:pPr>
              <w:pStyle w:val="Normal6"/>
              <w:jc w:val="right"/>
              <w:rPr>
                <w:b/>
                <w:i/>
                <w:sz w:val="20"/>
              </w:rPr>
            </w:pPr>
            <w:r w:rsidRPr="00B7760C">
              <w:rPr>
                <w:b/>
                <w:i/>
                <w:sz w:val="20"/>
              </w:rPr>
              <w:t>4 823 107 939</w:t>
            </w:r>
          </w:p>
        </w:tc>
        <w:tc>
          <w:tcPr>
            <w:tcW w:w="1019" w:type="dxa"/>
            <w:tcBorders>
              <w:top w:val="single" w:sz="4" w:space="0" w:color="auto"/>
              <w:left w:val="single" w:sz="4" w:space="0" w:color="auto"/>
              <w:bottom w:val="single" w:sz="4" w:space="0" w:color="auto"/>
              <w:right w:val="single" w:sz="4" w:space="0" w:color="auto"/>
            </w:tcBorders>
            <w:vAlign w:val="center"/>
            <w:hideMark/>
          </w:tcPr>
          <w:p w14:paraId="6247732E" w14:textId="77777777" w:rsidR="003663AF" w:rsidRPr="00B7760C" w:rsidRDefault="003663AF" w:rsidP="00E804B7">
            <w:pPr>
              <w:pStyle w:val="Normal6"/>
              <w:jc w:val="right"/>
              <w:rPr>
                <w:b/>
                <w:i/>
                <w:sz w:val="20"/>
              </w:rPr>
            </w:pPr>
            <w:r w:rsidRPr="00B7760C">
              <w:rPr>
                <w:b/>
                <w:i/>
                <w:sz w:val="20"/>
              </w:rPr>
              <w:t>4 823 107 939</w:t>
            </w:r>
          </w:p>
        </w:tc>
        <w:tc>
          <w:tcPr>
            <w:tcW w:w="1019" w:type="dxa"/>
            <w:tcBorders>
              <w:top w:val="single" w:sz="4" w:space="0" w:color="auto"/>
              <w:left w:val="single" w:sz="4" w:space="0" w:color="auto"/>
              <w:bottom w:val="single" w:sz="4" w:space="0" w:color="auto"/>
              <w:right w:val="single" w:sz="4" w:space="0" w:color="auto"/>
            </w:tcBorders>
            <w:vAlign w:val="center"/>
            <w:hideMark/>
          </w:tcPr>
          <w:p w14:paraId="6A1A8D31" w14:textId="77777777" w:rsidR="003663AF" w:rsidRPr="00B7760C" w:rsidRDefault="003663AF" w:rsidP="00E804B7">
            <w:pPr>
              <w:pStyle w:val="Normal6"/>
              <w:jc w:val="right"/>
              <w:rPr>
                <w:b/>
                <w:i/>
                <w:sz w:val="20"/>
              </w:rPr>
            </w:pPr>
            <w:r w:rsidRPr="00B7760C">
              <w:rPr>
                <w:b/>
                <w:i/>
                <w:sz w:val="20"/>
              </w:rPr>
              <w:t>4 823 107 939</w:t>
            </w:r>
          </w:p>
        </w:tc>
        <w:tc>
          <w:tcPr>
            <w:tcW w:w="1019" w:type="dxa"/>
            <w:tcBorders>
              <w:top w:val="single" w:sz="4" w:space="0" w:color="auto"/>
              <w:left w:val="single" w:sz="4" w:space="0" w:color="auto"/>
              <w:bottom w:val="single" w:sz="4" w:space="0" w:color="auto"/>
              <w:right w:val="single" w:sz="4" w:space="0" w:color="auto"/>
            </w:tcBorders>
            <w:vAlign w:val="center"/>
            <w:hideMark/>
          </w:tcPr>
          <w:p w14:paraId="17A776B5" w14:textId="77777777" w:rsidR="003663AF" w:rsidRPr="00B7760C" w:rsidRDefault="003663AF" w:rsidP="00E804B7">
            <w:pPr>
              <w:pStyle w:val="Normal6"/>
              <w:jc w:val="right"/>
              <w:rPr>
                <w:b/>
                <w:i/>
                <w:sz w:val="20"/>
              </w:rPr>
            </w:pPr>
            <w:r w:rsidRPr="00B7760C">
              <w:rPr>
                <w:b/>
                <w:i/>
                <w:sz w:val="20"/>
              </w:rPr>
              <w:t>4 823 107 939</w:t>
            </w:r>
          </w:p>
        </w:tc>
        <w:tc>
          <w:tcPr>
            <w:tcW w:w="880" w:type="dxa"/>
            <w:tcBorders>
              <w:top w:val="single" w:sz="4" w:space="0" w:color="auto"/>
              <w:left w:val="single" w:sz="4" w:space="0" w:color="auto"/>
              <w:bottom w:val="single" w:sz="4" w:space="0" w:color="auto"/>
              <w:right w:val="single" w:sz="4" w:space="0" w:color="auto"/>
            </w:tcBorders>
            <w:vAlign w:val="center"/>
            <w:hideMark/>
          </w:tcPr>
          <w:p w14:paraId="0E81B26F" w14:textId="77777777" w:rsidR="003663AF" w:rsidRPr="00B7760C" w:rsidRDefault="003663AF" w:rsidP="00E804B7">
            <w:pPr>
              <w:pStyle w:val="Normal6"/>
              <w:jc w:val="right"/>
              <w:rPr>
                <w:b/>
                <w:i/>
                <w:sz w:val="20"/>
              </w:rPr>
            </w:pPr>
            <w:r w:rsidRPr="00B7760C">
              <w:rPr>
                <w:b/>
                <w:i/>
                <w:sz w:val="20"/>
              </w:rPr>
              <w:t>4 823 107 939</w:t>
            </w:r>
          </w:p>
        </w:tc>
        <w:tc>
          <w:tcPr>
            <w:tcW w:w="1141" w:type="dxa"/>
            <w:tcBorders>
              <w:top w:val="single" w:sz="4" w:space="0" w:color="auto"/>
              <w:left w:val="single" w:sz="4" w:space="0" w:color="auto"/>
              <w:bottom w:val="single" w:sz="4" w:space="0" w:color="auto"/>
              <w:right w:val="single" w:sz="4" w:space="0" w:color="auto"/>
            </w:tcBorders>
            <w:vAlign w:val="center"/>
            <w:hideMark/>
          </w:tcPr>
          <w:p w14:paraId="20A6F40A" w14:textId="77777777" w:rsidR="003663AF" w:rsidRPr="00B7760C" w:rsidRDefault="003663AF" w:rsidP="00E804B7">
            <w:pPr>
              <w:pStyle w:val="Normal6"/>
              <w:jc w:val="right"/>
              <w:rPr>
                <w:b/>
                <w:i/>
                <w:sz w:val="20"/>
              </w:rPr>
            </w:pPr>
            <w:r w:rsidRPr="00B7760C">
              <w:rPr>
                <w:b/>
                <w:i/>
                <w:sz w:val="20"/>
              </w:rPr>
              <w:t>4 823 107 939</w:t>
            </w:r>
          </w:p>
        </w:tc>
      </w:tr>
      <w:tr w:rsidR="003663AF" w:rsidRPr="00B7760C" w14:paraId="1BDCE622"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7D91CCFE" w14:textId="77777777" w:rsidR="003663AF" w:rsidRPr="00B7760C" w:rsidRDefault="003663AF" w:rsidP="00E804B7">
            <w:pPr>
              <w:pStyle w:val="Normal6"/>
              <w:rPr>
                <w:sz w:val="20"/>
              </w:rPr>
            </w:pPr>
            <w:r w:rsidRPr="00B7760C">
              <w:rPr>
                <w:sz w:val="20"/>
              </w:rPr>
              <w:t>Estonija</w:t>
            </w:r>
          </w:p>
        </w:tc>
        <w:tc>
          <w:tcPr>
            <w:tcW w:w="999" w:type="dxa"/>
            <w:tcBorders>
              <w:top w:val="single" w:sz="4" w:space="0" w:color="auto"/>
              <w:left w:val="single" w:sz="4" w:space="0" w:color="auto"/>
              <w:bottom w:val="single" w:sz="4" w:space="0" w:color="auto"/>
              <w:right w:val="single" w:sz="4" w:space="0" w:color="auto"/>
            </w:tcBorders>
            <w:vAlign w:val="center"/>
            <w:hideMark/>
          </w:tcPr>
          <w:p w14:paraId="5D7232C5" w14:textId="77777777" w:rsidR="003663AF" w:rsidRPr="00B7760C" w:rsidRDefault="003663AF" w:rsidP="00E804B7">
            <w:pPr>
              <w:pStyle w:val="Normal6"/>
              <w:jc w:val="right"/>
              <w:rPr>
                <w:b/>
                <w:i/>
                <w:sz w:val="20"/>
              </w:rPr>
            </w:pPr>
            <w:r w:rsidRPr="00B7760C">
              <w:rPr>
                <w:b/>
                <w:i/>
                <w:sz w:val="20"/>
              </w:rPr>
              <w:t>167 721 513</w:t>
            </w:r>
          </w:p>
        </w:tc>
        <w:tc>
          <w:tcPr>
            <w:tcW w:w="900" w:type="dxa"/>
            <w:tcBorders>
              <w:top w:val="single" w:sz="4" w:space="0" w:color="auto"/>
              <w:left w:val="single" w:sz="4" w:space="0" w:color="auto"/>
              <w:bottom w:val="single" w:sz="4" w:space="0" w:color="auto"/>
              <w:right w:val="single" w:sz="4" w:space="0" w:color="auto"/>
            </w:tcBorders>
            <w:vAlign w:val="center"/>
            <w:hideMark/>
          </w:tcPr>
          <w:p w14:paraId="01128B35" w14:textId="77777777" w:rsidR="003663AF" w:rsidRPr="00B7760C" w:rsidRDefault="003663AF" w:rsidP="00E804B7">
            <w:pPr>
              <w:pStyle w:val="Normal6"/>
              <w:jc w:val="right"/>
              <w:rPr>
                <w:b/>
                <w:i/>
                <w:sz w:val="20"/>
              </w:rPr>
            </w:pPr>
            <w:r w:rsidRPr="00B7760C">
              <w:rPr>
                <w:b/>
                <w:i/>
                <w:sz w:val="20"/>
              </w:rPr>
              <w:t>172 667 776</w:t>
            </w:r>
          </w:p>
        </w:tc>
        <w:tc>
          <w:tcPr>
            <w:tcW w:w="1019" w:type="dxa"/>
            <w:tcBorders>
              <w:top w:val="single" w:sz="4" w:space="0" w:color="auto"/>
              <w:left w:val="single" w:sz="4" w:space="0" w:color="auto"/>
              <w:bottom w:val="single" w:sz="4" w:space="0" w:color="auto"/>
              <w:right w:val="single" w:sz="4" w:space="0" w:color="auto"/>
            </w:tcBorders>
            <w:vAlign w:val="center"/>
            <w:hideMark/>
          </w:tcPr>
          <w:p w14:paraId="3F73295A" w14:textId="77777777" w:rsidR="003663AF" w:rsidRPr="00B7760C" w:rsidRDefault="003663AF" w:rsidP="00E804B7">
            <w:pPr>
              <w:pStyle w:val="Normal6"/>
              <w:jc w:val="right"/>
              <w:rPr>
                <w:b/>
                <w:i/>
                <w:sz w:val="20"/>
              </w:rPr>
            </w:pPr>
            <w:r w:rsidRPr="00B7760C">
              <w:rPr>
                <w:b/>
                <w:i/>
                <w:sz w:val="20"/>
              </w:rPr>
              <w:t>177 614 039</w:t>
            </w:r>
          </w:p>
        </w:tc>
        <w:tc>
          <w:tcPr>
            <w:tcW w:w="1019" w:type="dxa"/>
            <w:tcBorders>
              <w:top w:val="single" w:sz="4" w:space="0" w:color="auto"/>
              <w:left w:val="single" w:sz="4" w:space="0" w:color="auto"/>
              <w:bottom w:val="single" w:sz="4" w:space="0" w:color="auto"/>
              <w:right w:val="single" w:sz="4" w:space="0" w:color="auto"/>
            </w:tcBorders>
            <w:vAlign w:val="center"/>
            <w:hideMark/>
          </w:tcPr>
          <w:p w14:paraId="400624E8" w14:textId="77777777" w:rsidR="003663AF" w:rsidRPr="00B7760C" w:rsidRDefault="003663AF" w:rsidP="00E804B7">
            <w:pPr>
              <w:pStyle w:val="Normal6"/>
              <w:jc w:val="right"/>
              <w:rPr>
                <w:b/>
                <w:i/>
                <w:sz w:val="20"/>
              </w:rPr>
            </w:pPr>
            <w:r w:rsidRPr="00B7760C">
              <w:rPr>
                <w:b/>
                <w:i/>
                <w:sz w:val="20"/>
              </w:rPr>
              <w:t>182 560 302</w:t>
            </w:r>
          </w:p>
        </w:tc>
        <w:tc>
          <w:tcPr>
            <w:tcW w:w="1019" w:type="dxa"/>
            <w:tcBorders>
              <w:top w:val="single" w:sz="4" w:space="0" w:color="auto"/>
              <w:left w:val="single" w:sz="4" w:space="0" w:color="auto"/>
              <w:bottom w:val="single" w:sz="4" w:space="0" w:color="auto"/>
              <w:right w:val="single" w:sz="4" w:space="0" w:color="auto"/>
            </w:tcBorders>
            <w:vAlign w:val="center"/>
            <w:hideMark/>
          </w:tcPr>
          <w:p w14:paraId="46C2BAF6" w14:textId="77777777" w:rsidR="003663AF" w:rsidRPr="00B7760C" w:rsidRDefault="003663AF" w:rsidP="00E804B7">
            <w:pPr>
              <w:pStyle w:val="Normal6"/>
              <w:jc w:val="right"/>
              <w:rPr>
                <w:b/>
                <w:i/>
                <w:sz w:val="20"/>
              </w:rPr>
            </w:pPr>
            <w:r w:rsidRPr="00B7760C">
              <w:rPr>
                <w:b/>
                <w:i/>
                <w:sz w:val="20"/>
              </w:rPr>
              <w:t>187 506 565</w:t>
            </w:r>
          </w:p>
        </w:tc>
        <w:tc>
          <w:tcPr>
            <w:tcW w:w="880" w:type="dxa"/>
            <w:tcBorders>
              <w:top w:val="single" w:sz="4" w:space="0" w:color="auto"/>
              <w:left w:val="single" w:sz="4" w:space="0" w:color="auto"/>
              <w:bottom w:val="single" w:sz="4" w:space="0" w:color="auto"/>
              <w:right w:val="single" w:sz="4" w:space="0" w:color="auto"/>
            </w:tcBorders>
            <w:vAlign w:val="center"/>
            <w:hideMark/>
          </w:tcPr>
          <w:p w14:paraId="378B51AD" w14:textId="77777777" w:rsidR="003663AF" w:rsidRPr="00B7760C" w:rsidRDefault="003663AF" w:rsidP="00E804B7">
            <w:pPr>
              <w:pStyle w:val="Normal6"/>
              <w:jc w:val="right"/>
              <w:rPr>
                <w:b/>
                <w:i/>
                <w:sz w:val="20"/>
              </w:rPr>
            </w:pPr>
            <w:r w:rsidRPr="00B7760C">
              <w:rPr>
                <w:b/>
                <w:i/>
                <w:sz w:val="20"/>
              </w:rPr>
              <w:t>192 452 828</w:t>
            </w:r>
          </w:p>
        </w:tc>
        <w:tc>
          <w:tcPr>
            <w:tcW w:w="1141" w:type="dxa"/>
            <w:tcBorders>
              <w:top w:val="single" w:sz="4" w:space="0" w:color="auto"/>
              <w:left w:val="single" w:sz="4" w:space="0" w:color="auto"/>
              <w:bottom w:val="single" w:sz="4" w:space="0" w:color="auto"/>
              <w:right w:val="single" w:sz="4" w:space="0" w:color="auto"/>
            </w:tcBorders>
            <w:vAlign w:val="center"/>
            <w:hideMark/>
          </w:tcPr>
          <w:p w14:paraId="76C9194F" w14:textId="77777777" w:rsidR="003663AF" w:rsidRPr="00B7760C" w:rsidRDefault="003663AF" w:rsidP="00E804B7">
            <w:pPr>
              <w:pStyle w:val="Normal6"/>
              <w:jc w:val="right"/>
              <w:rPr>
                <w:b/>
                <w:i/>
                <w:sz w:val="20"/>
              </w:rPr>
            </w:pPr>
            <w:r w:rsidRPr="00B7760C">
              <w:rPr>
                <w:b/>
                <w:i/>
                <w:sz w:val="20"/>
              </w:rPr>
              <w:t>192 452 828</w:t>
            </w:r>
          </w:p>
        </w:tc>
      </w:tr>
      <w:tr w:rsidR="003663AF" w:rsidRPr="00B7760C" w14:paraId="5BD8F775"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047578B4" w14:textId="77777777" w:rsidR="003663AF" w:rsidRPr="00B7760C" w:rsidRDefault="003663AF" w:rsidP="00E804B7">
            <w:pPr>
              <w:pStyle w:val="Normal6"/>
              <w:rPr>
                <w:sz w:val="20"/>
              </w:rPr>
            </w:pPr>
            <w:r w:rsidRPr="00B7760C">
              <w:rPr>
                <w:sz w:val="20"/>
              </w:rPr>
              <w:t>Irska</w:t>
            </w:r>
          </w:p>
        </w:tc>
        <w:tc>
          <w:tcPr>
            <w:tcW w:w="999" w:type="dxa"/>
            <w:tcBorders>
              <w:top w:val="single" w:sz="4" w:space="0" w:color="auto"/>
              <w:left w:val="single" w:sz="4" w:space="0" w:color="auto"/>
              <w:bottom w:val="single" w:sz="4" w:space="0" w:color="auto"/>
              <w:right w:val="single" w:sz="4" w:space="0" w:color="auto"/>
            </w:tcBorders>
            <w:vAlign w:val="center"/>
            <w:hideMark/>
          </w:tcPr>
          <w:p w14:paraId="29A43668" w14:textId="77777777" w:rsidR="003663AF" w:rsidRPr="00B7760C" w:rsidRDefault="003663AF" w:rsidP="00E804B7">
            <w:pPr>
              <w:pStyle w:val="Normal6"/>
              <w:jc w:val="right"/>
              <w:rPr>
                <w:b/>
                <w:i/>
                <w:sz w:val="20"/>
              </w:rPr>
            </w:pPr>
            <w:r w:rsidRPr="00B7760C">
              <w:rPr>
                <w:b/>
                <w:i/>
                <w:sz w:val="20"/>
              </w:rPr>
              <w:t>1 163 938 279</w:t>
            </w:r>
          </w:p>
        </w:tc>
        <w:tc>
          <w:tcPr>
            <w:tcW w:w="900" w:type="dxa"/>
            <w:tcBorders>
              <w:top w:val="single" w:sz="4" w:space="0" w:color="auto"/>
              <w:left w:val="single" w:sz="4" w:space="0" w:color="auto"/>
              <w:bottom w:val="single" w:sz="4" w:space="0" w:color="auto"/>
              <w:right w:val="single" w:sz="4" w:space="0" w:color="auto"/>
            </w:tcBorders>
            <w:vAlign w:val="center"/>
            <w:hideMark/>
          </w:tcPr>
          <w:p w14:paraId="1BC80348" w14:textId="77777777" w:rsidR="003663AF" w:rsidRPr="00B7760C" w:rsidRDefault="003663AF" w:rsidP="00E804B7">
            <w:pPr>
              <w:pStyle w:val="Normal6"/>
              <w:jc w:val="right"/>
              <w:rPr>
                <w:b/>
                <w:i/>
                <w:sz w:val="20"/>
              </w:rPr>
            </w:pPr>
            <w:r w:rsidRPr="00B7760C">
              <w:rPr>
                <w:b/>
                <w:i/>
                <w:sz w:val="20"/>
              </w:rPr>
              <w:t>1 163 938 279</w:t>
            </w:r>
          </w:p>
        </w:tc>
        <w:tc>
          <w:tcPr>
            <w:tcW w:w="1019" w:type="dxa"/>
            <w:tcBorders>
              <w:top w:val="single" w:sz="4" w:space="0" w:color="auto"/>
              <w:left w:val="single" w:sz="4" w:space="0" w:color="auto"/>
              <w:bottom w:val="single" w:sz="4" w:space="0" w:color="auto"/>
              <w:right w:val="single" w:sz="4" w:space="0" w:color="auto"/>
            </w:tcBorders>
            <w:vAlign w:val="center"/>
            <w:hideMark/>
          </w:tcPr>
          <w:p w14:paraId="6332B047" w14:textId="77777777" w:rsidR="003663AF" w:rsidRPr="00B7760C" w:rsidRDefault="003663AF" w:rsidP="00E804B7">
            <w:pPr>
              <w:pStyle w:val="Normal6"/>
              <w:jc w:val="right"/>
              <w:rPr>
                <w:b/>
                <w:i/>
                <w:sz w:val="20"/>
              </w:rPr>
            </w:pPr>
            <w:r w:rsidRPr="00B7760C">
              <w:rPr>
                <w:b/>
                <w:i/>
                <w:sz w:val="20"/>
              </w:rPr>
              <w:t>1 163 938 279</w:t>
            </w:r>
          </w:p>
        </w:tc>
        <w:tc>
          <w:tcPr>
            <w:tcW w:w="1019" w:type="dxa"/>
            <w:tcBorders>
              <w:top w:val="single" w:sz="4" w:space="0" w:color="auto"/>
              <w:left w:val="single" w:sz="4" w:space="0" w:color="auto"/>
              <w:bottom w:val="single" w:sz="4" w:space="0" w:color="auto"/>
              <w:right w:val="single" w:sz="4" w:space="0" w:color="auto"/>
            </w:tcBorders>
            <w:vAlign w:val="center"/>
            <w:hideMark/>
          </w:tcPr>
          <w:p w14:paraId="2AA18CCE" w14:textId="77777777" w:rsidR="003663AF" w:rsidRPr="00B7760C" w:rsidRDefault="003663AF" w:rsidP="00E804B7">
            <w:pPr>
              <w:pStyle w:val="Normal6"/>
              <w:jc w:val="right"/>
              <w:rPr>
                <w:b/>
                <w:i/>
                <w:sz w:val="20"/>
              </w:rPr>
            </w:pPr>
            <w:r w:rsidRPr="00B7760C">
              <w:rPr>
                <w:b/>
                <w:i/>
                <w:sz w:val="20"/>
              </w:rPr>
              <w:t>1 163 938 279</w:t>
            </w:r>
          </w:p>
        </w:tc>
        <w:tc>
          <w:tcPr>
            <w:tcW w:w="1019" w:type="dxa"/>
            <w:tcBorders>
              <w:top w:val="single" w:sz="4" w:space="0" w:color="auto"/>
              <w:left w:val="single" w:sz="4" w:space="0" w:color="auto"/>
              <w:bottom w:val="single" w:sz="4" w:space="0" w:color="auto"/>
              <w:right w:val="single" w:sz="4" w:space="0" w:color="auto"/>
            </w:tcBorders>
            <w:vAlign w:val="center"/>
            <w:hideMark/>
          </w:tcPr>
          <w:p w14:paraId="12A37BBA" w14:textId="77777777" w:rsidR="003663AF" w:rsidRPr="00B7760C" w:rsidRDefault="003663AF" w:rsidP="00E804B7">
            <w:pPr>
              <w:pStyle w:val="Normal6"/>
              <w:jc w:val="right"/>
              <w:rPr>
                <w:b/>
                <w:i/>
                <w:sz w:val="20"/>
              </w:rPr>
            </w:pPr>
            <w:r w:rsidRPr="00B7760C">
              <w:rPr>
                <w:b/>
                <w:i/>
                <w:sz w:val="20"/>
              </w:rPr>
              <w:t>1 163 938 279</w:t>
            </w:r>
          </w:p>
        </w:tc>
        <w:tc>
          <w:tcPr>
            <w:tcW w:w="880" w:type="dxa"/>
            <w:tcBorders>
              <w:top w:val="single" w:sz="4" w:space="0" w:color="auto"/>
              <w:left w:val="single" w:sz="4" w:space="0" w:color="auto"/>
              <w:bottom w:val="single" w:sz="4" w:space="0" w:color="auto"/>
              <w:right w:val="single" w:sz="4" w:space="0" w:color="auto"/>
            </w:tcBorders>
            <w:vAlign w:val="center"/>
            <w:hideMark/>
          </w:tcPr>
          <w:p w14:paraId="24CE4D96" w14:textId="77777777" w:rsidR="003663AF" w:rsidRPr="00B7760C" w:rsidRDefault="003663AF" w:rsidP="00E804B7">
            <w:pPr>
              <w:pStyle w:val="Normal6"/>
              <w:jc w:val="right"/>
              <w:rPr>
                <w:b/>
                <w:i/>
                <w:sz w:val="20"/>
              </w:rPr>
            </w:pPr>
            <w:r w:rsidRPr="00B7760C">
              <w:rPr>
                <w:b/>
                <w:i/>
                <w:sz w:val="20"/>
              </w:rPr>
              <w:t>1 163 938 279</w:t>
            </w:r>
          </w:p>
        </w:tc>
        <w:tc>
          <w:tcPr>
            <w:tcW w:w="1141" w:type="dxa"/>
            <w:tcBorders>
              <w:top w:val="single" w:sz="4" w:space="0" w:color="auto"/>
              <w:left w:val="single" w:sz="4" w:space="0" w:color="auto"/>
              <w:bottom w:val="single" w:sz="4" w:space="0" w:color="auto"/>
              <w:right w:val="single" w:sz="4" w:space="0" w:color="auto"/>
            </w:tcBorders>
            <w:vAlign w:val="center"/>
            <w:hideMark/>
          </w:tcPr>
          <w:p w14:paraId="1983441E" w14:textId="77777777" w:rsidR="003663AF" w:rsidRPr="00B7760C" w:rsidRDefault="003663AF" w:rsidP="00E804B7">
            <w:pPr>
              <w:pStyle w:val="Normal6"/>
              <w:jc w:val="right"/>
              <w:rPr>
                <w:b/>
                <w:i/>
                <w:sz w:val="20"/>
              </w:rPr>
            </w:pPr>
            <w:r w:rsidRPr="00B7760C">
              <w:rPr>
                <w:b/>
                <w:i/>
                <w:sz w:val="20"/>
              </w:rPr>
              <w:t>1 163 938 279</w:t>
            </w:r>
          </w:p>
        </w:tc>
      </w:tr>
      <w:tr w:rsidR="003663AF" w:rsidRPr="00B7760C" w14:paraId="4DB1EDF2"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2D9A2510" w14:textId="77777777" w:rsidR="003663AF" w:rsidRPr="00B7760C" w:rsidRDefault="003663AF" w:rsidP="00E804B7">
            <w:pPr>
              <w:pStyle w:val="Normal6"/>
              <w:rPr>
                <w:sz w:val="20"/>
              </w:rPr>
            </w:pPr>
            <w:r w:rsidRPr="00B7760C">
              <w:rPr>
                <w:sz w:val="20"/>
              </w:rPr>
              <w:t>Grčija</w:t>
            </w:r>
          </w:p>
        </w:tc>
        <w:tc>
          <w:tcPr>
            <w:tcW w:w="999" w:type="dxa"/>
            <w:tcBorders>
              <w:top w:val="single" w:sz="4" w:space="0" w:color="auto"/>
              <w:left w:val="single" w:sz="4" w:space="0" w:color="auto"/>
              <w:bottom w:val="single" w:sz="4" w:space="0" w:color="auto"/>
              <w:right w:val="single" w:sz="4" w:space="0" w:color="auto"/>
            </w:tcBorders>
            <w:vAlign w:val="center"/>
            <w:hideMark/>
          </w:tcPr>
          <w:p w14:paraId="0D8C9D53" w14:textId="77777777" w:rsidR="003663AF" w:rsidRPr="00B7760C" w:rsidRDefault="003663AF" w:rsidP="00E804B7">
            <w:pPr>
              <w:pStyle w:val="Normal6"/>
              <w:jc w:val="right"/>
              <w:rPr>
                <w:b/>
                <w:i/>
                <w:sz w:val="20"/>
              </w:rPr>
            </w:pPr>
            <w:r w:rsidRPr="00B7760C">
              <w:rPr>
                <w:b/>
                <w:i/>
                <w:sz w:val="20"/>
              </w:rPr>
              <w:t>1 856 028 894</w:t>
            </w:r>
          </w:p>
        </w:tc>
        <w:tc>
          <w:tcPr>
            <w:tcW w:w="900" w:type="dxa"/>
            <w:tcBorders>
              <w:top w:val="single" w:sz="4" w:space="0" w:color="auto"/>
              <w:left w:val="single" w:sz="4" w:space="0" w:color="auto"/>
              <w:bottom w:val="single" w:sz="4" w:space="0" w:color="auto"/>
              <w:right w:val="single" w:sz="4" w:space="0" w:color="auto"/>
            </w:tcBorders>
            <w:vAlign w:val="center"/>
            <w:hideMark/>
          </w:tcPr>
          <w:p w14:paraId="667C29B4" w14:textId="77777777" w:rsidR="003663AF" w:rsidRPr="00B7760C" w:rsidRDefault="003663AF" w:rsidP="00E804B7">
            <w:pPr>
              <w:pStyle w:val="Normal6"/>
              <w:jc w:val="right"/>
              <w:rPr>
                <w:b/>
                <w:i/>
                <w:sz w:val="20"/>
              </w:rPr>
            </w:pPr>
            <w:r w:rsidRPr="00B7760C">
              <w:rPr>
                <w:b/>
                <w:i/>
                <w:sz w:val="20"/>
              </w:rPr>
              <w:t>1 856 028 894</w:t>
            </w:r>
          </w:p>
        </w:tc>
        <w:tc>
          <w:tcPr>
            <w:tcW w:w="1019" w:type="dxa"/>
            <w:tcBorders>
              <w:top w:val="single" w:sz="4" w:space="0" w:color="auto"/>
              <w:left w:val="single" w:sz="4" w:space="0" w:color="auto"/>
              <w:bottom w:val="single" w:sz="4" w:space="0" w:color="auto"/>
              <w:right w:val="single" w:sz="4" w:space="0" w:color="auto"/>
            </w:tcBorders>
            <w:vAlign w:val="center"/>
            <w:hideMark/>
          </w:tcPr>
          <w:p w14:paraId="4458D334" w14:textId="77777777" w:rsidR="003663AF" w:rsidRPr="00B7760C" w:rsidRDefault="003663AF" w:rsidP="00E804B7">
            <w:pPr>
              <w:pStyle w:val="Normal6"/>
              <w:jc w:val="right"/>
              <w:rPr>
                <w:b/>
                <w:i/>
                <w:sz w:val="20"/>
              </w:rPr>
            </w:pPr>
            <w:r w:rsidRPr="00B7760C">
              <w:rPr>
                <w:b/>
                <w:i/>
                <w:sz w:val="20"/>
              </w:rPr>
              <w:t>1 856 028 894</w:t>
            </w:r>
          </w:p>
        </w:tc>
        <w:tc>
          <w:tcPr>
            <w:tcW w:w="1019" w:type="dxa"/>
            <w:tcBorders>
              <w:top w:val="single" w:sz="4" w:space="0" w:color="auto"/>
              <w:left w:val="single" w:sz="4" w:space="0" w:color="auto"/>
              <w:bottom w:val="single" w:sz="4" w:space="0" w:color="auto"/>
              <w:right w:val="single" w:sz="4" w:space="0" w:color="auto"/>
            </w:tcBorders>
            <w:vAlign w:val="center"/>
            <w:hideMark/>
          </w:tcPr>
          <w:p w14:paraId="1EAB528D" w14:textId="77777777" w:rsidR="003663AF" w:rsidRPr="00B7760C" w:rsidRDefault="003663AF" w:rsidP="00E804B7">
            <w:pPr>
              <w:pStyle w:val="Normal6"/>
              <w:jc w:val="right"/>
              <w:rPr>
                <w:b/>
                <w:i/>
                <w:sz w:val="20"/>
              </w:rPr>
            </w:pPr>
            <w:r w:rsidRPr="00B7760C">
              <w:rPr>
                <w:b/>
                <w:i/>
                <w:sz w:val="20"/>
              </w:rPr>
              <w:t>1 856 028 894</w:t>
            </w:r>
          </w:p>
        </w:tc>
        <w:tc>
          <w:tcPr>
            <w:tcW w:w="1019" w:type="dxa"/>
            <w:tcBorders>
              <w:top w:val="single" w:sz="4" w:space="0" w:color="auto"/>
              <w:left w:val="single" w:sz="4" w:space="0" w:color="auto"/>
              <w:bottom w:val="single" w:sz="4" w:space="0" w:color="auto"/>
              <w:right w:val="single" w:sz="4" w:space="0" w:color="auto"/>
            </w:tcBorders>
            <w:vAlign w:val="center"/>
            <w:hideMark/>
          </w:tcPr>
          <w:p w14:paraId="2D8AAAD7" w14:textId="77777777" w:rsidR="003663AF" w:rsidRPr="00B7760C" w:rsidRDefault="003663AF" w:rsidP="00E804B7">
            <w:pPr>
              <w:pStyle w:val="Normal6"/>
              <w:jc w:val="right"/>
              <w:rPr>
                <w:b/>
                <w:i/>
                <w:sz w:val="20"/>
              </w:rPr>
            </w:pPr>
            <w:r w:rsidRPr="00B7760C">
              <w:rPr>
                <w:b/>
                <w:i/>
                <w:sz w:val="20"/>
              </w:rPr>
              <w:t>1 856 028 894</w:t>
            </w:r>
          </w:p>
        </w:tc>
        <w:tc>
          <w:tcPr>
            <w:tcW w:w="880" w:type="dxa"/>
            <w:tcBorders>
              <w:top w:val="single" w:sz="4" w:space="0" w:color="auto"/>
              <w:left w:val="single" w:sz="4" w:space="0" w:color="auto"/>
              <w:bottom w:val="single" w:sz="4" w:space="0" w:color="auto"/>
              <w:right w:val="single" w:sz="4" w:space="0" w:color="auto"/>
            </w:tcBorders>
            <w:vAlign w:val="center"/>
            <w:hideMark/>
          </w:tcPr>
          <w:p w14:paraId="3BC8B5C0" w14:textId="77777777" w:rsidR="003663AF" w:rsidRPr="00B7760C" w:rsidRDefault="003663AF" w:rsidP="00E804B7">
            <w:pPr>
              <w:pStyle w:val="Normal6"/>
              <w:jc w:val="right"/>
              <w:rPr>
                <w:b/>
                <w:i/>
                <w:sz w:val="20"/>
              </w:rPr>
            </w:pPr>
            <w:r w:rsidRPr="00B7760C">
              <w:rPr>
                <w:b/>
                <w:i/>
                <w:sz w:val="20"/>
              </w:rPr>
              <w:t>1 856 028 894</w:t>
            </w:r>
          </w:p>
        </w:tc>
        <w:tc>
          <w:tcPr>
            <w:tcW w:w="1141" w:type="dxa"/>
            <w:tcBorders>
              <w:top w:val="single" w:sz="4" w:space="0" w:color="auto"/>
              <w:left w:val="single" w:sz="4" w:space="0" w:color="auto"/>
              <w:bottom w:val="single" w:sz="4" w:space="0" w:color="auto"/>
              <w:right w:val="single" w:sz="4" w:space="0" w:color="auto"/>
            </w:tcBorders>
            <w:vAlign w:val="center"/>
            <w:hideMark/>
          </w:tcPr>
          <w:p w14:paraId="1DF150B5" w14:textId="77777777" w:rsidR="003663AF" w:rsidRPr="00B7760C" w:rsidRDefault="003663AF" w:rsidP="00E804B7">
            <w:pPr>
              <w:pStyle w:val="Normal6"/>
              <w:jc w:val="right"/>
              <w:rPr>
                <w:b/>
                <w:i/>
                <w:sz w:val="20"/>
              </w:rPr>
            </w:pPr>
            <w:r w:rsidRPr="00B7760C">
              <w:rPr>
                <w:b/>
                <w:i/>
                <w:sz w:val="20"/>
              </w:rPr>
              <w:t>1 856 028 894</w:t>
            </w:r>
          </w:p>
        </w:tc>
      </w:tr>
      <w:tr w:rsidR="003663AF" w:rsidRPr="00B7760C" w14:paraId="5FDBCB5F"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3E022D9D" w14:textId="77777777" w:rsidR="003663AF" w:rsidRPr="00B7760C" w:rsidRDefault="003663AF" w:rsidP="00E804B7">
            <w:pPr>
              <w:pStyle w:val="Normal6"/>
              <w:rPr>
                <w:sz w:val="20"/>
              </w:rPr>
            </w:pPr>
            <w:r w:rsidRPr="00B7760C">
              <w:rPr>
                <w:sz w:val="20"/>
              </w:rPr>
              <w:t>Španija</w:t>
            </w:r>
          </w:p>
        </w:tc>
        <w:tc>
          <w:tcPr>
            <w:tcW w:w="999" w:type="dxa"/>
            <w:tcBorders>
              <w:top w:val="single" w:sz="4" w:space="0" w:color="auto"/>
              <w:left w:val="single" w:sz="4" w:space="0" w:color="auto"/>
              <w:bottom w:val="single" w:sz="4" w:space="0" w:color="auto"/>
              <w:right w:val="single" w:sz="4" w:space="0" w:color="auto"/>
            </w:tcBorders>
            <w:vAlign w:val="center"/>
            <w:hideMark/>
          </w:tcPr>
          <w:p w14:paraId="749CAB8F" w14:textId="77777777" w:rsidR="003663AF" w:rsidRPr="00B7760C" w:rsidRDefault="003663AF" w:rsidP="00E804B7">
            <w:pPr>
              <w:pStyle w:val="Normal6"/>
              <w:jc w:val="right"/>
              <w:rPr>
                <w:b/>
                <w:i/>
                <w:sz w:val="20"/>
              </w:rPr>
            </w:pPr>
            <w:r w:rsidRPr="00B7760C">
              <w:rPr>
                <w:b/>
                <w:i/>
                <w:sz w:val="20"/>
              </w:rPr>
              <w:t>4 710 171 703</w:t>
            </w:r>
          </w:p>
        </w:tc>
        <w:tc>
          <w:tcPr>
            <w:tcW w:w="900" w:type="dxa"/>
            <w:tcBorders>
              <w:top w:val="single" w:sz="4" w:space="0" w:color="auto"/>
              <w:left w:val="single" w:sz="4" w:space="0" w:color="auto"/>
              <w:bottom w:val="single" w:sz="4" w:space="0" w:color="auto"/>
              <w:right w:val="single" w:sz="4" w:space="0" w:color="auto"/>
            </w:tcBorders>
            <w:vAlign w:val="center"/>
            <w:hideMark/>
          </w:tcPr>
          <w:p w14:paraId="396E90C0" w14:textId="77777777" w:rsidR="003663AF" w:rsidRPr="00B7760C" w:rsidRDefault="003663AF" w:rsidP="00E804B7">
            <w:pPr>
              <w:pStyle w:val="Normal6"/>
              <w:jc w:val="right"/>
              <w:rPr>
                <w:b/>
                <w:i/>
                <w:sz w:val="20"/>
              </w:rPr>
            </w:pPr>
            <w:r w:rsidRPr="00B7760C">
              <w:rPr>
                <w:b/>
                <w:i/>
                <w:sz w:val="20"/>
              </w:rPr>
              <w:t>4 717 333 830</w:t>
            </w:r>
          </w:p>
        </w:tc>
        <w:tc>
          <w:tcPr>
            <w:tcW w:w="1019" w:type="dxa"/>
            <w:tcBorders>
              <w:top w:val="single" w:sz="4" w:space="0" w:color="auto"/>
              <w:left w:val="single" w:sz="4" w:space="0" w:color="auto"/>
              <w:bottom w:val="single" w:sz="4" w:space="0" w:color="auto"/>
              <w:right w:val="single" w:sz="4" w:space="0" w:color="auto"/>
            </w:tcBorders>
            <w:vAlign w:val="center"/>
            <w:hideMark/>
          </w:tcPr>
          <w:p w14:paraId="61B3DCB5" w14:textId="77777777" w:rsidR="003663AF" w:rsidRPr="00B7760C" w:rsidRDefault="003663AF" w:rsidP="00E804B7">
            <w:pPr>
              <w:pStyle w:val="Normal6"/>
              <w:jc w:val="right"/>
              <w:rPr>
                <w:b/>
                <w:i/>
                <w:sz w:val="20"/>
              </w:rPr>
            </w:pPr>
            <w:r w:rsidRPr="00B7760C">
              <w:rPr>
                <w:b/>
                <w:i/>
                <w:sz w:val="20"/>
              </w:rPr>
              <w:t>4 724 495 957</w:t>
            </w:r>
          </w:p>
        </w:tc>
        <w:tc>
          <w:tcPr>
            <w:tcW w:w="1019" w:type="dxa"/>
            <w:tcBorders>
              <w:top w:val="single" w:sz="4" w:space="0" w:color="auto"/>
              <w:left w:val="single" w:sz="4" w:space="0" w:color="auto"/>
              <w:bottom w:val="single" w:sz="4" w:space="0" w:color="auto"/>
              <w:right w:val="single" w:sz="4" w:space="0" w:color="auto"/>
            </w:tcBorders>
            <w:vAlign w:val="center"/>
            <w:hideMark/>
          </w:tcPr>
          <w:p w14:paraId="4C26E61E" w14:textId="77777777" w:rsidR="003663AF" w:rsidRPr="00B7760C" w:rsidRDefault="003663AF" w:rsidP="00E804B7">
            <w:pPr>
              <w:pStyle w:val="Normal6"/>
              <w:jc w:val="right"/>
              <w:rPr>
                <w:b/>
                <w:i/>
                <w:sz w:val="20"/>
              </w:rPr>
            </w:pPr>
            <w:r w:rsidRPr="00B7760C">
              <w:rPr>
                <w:b/>
                <w:i/>
                <w:sz w:val="20"/>
              </w:rPr>
              <w:t>4 731 658 084</w:t>
            </w:r>
          </w:p>
        </w:tc>
        <w:tc>
          <w:tcPr>
            <w:tcW w:w="1019" w:type="dxa"/>
            <w:tcBorders>
              <w:top w:val="single" w:sz="4" w:space="0" w:color="auto"/>
              <w:left w:val="single" w:sz="4" w:space="0" w:color="auto"/>
              <w:bottom w:val="single" w:sz="4" w:space="0" w:color="auto"/>
              <w:right w:val="single" w:sz="4" w:space="0" w:color="auto"/>
            </w:tcBorders>
            <w:vAlign w:val="center"/>
            <w:hideMark/>
          </w:tcPr>
          <w:p w14:paraId="0B56E8FD" w14:textId="77777777" w:rsidR="003663AF" w:rsidRPr="00B7760C" w:rsidRDefault="003663AF" w:rsidP="00E804B7">
            <w:pPr>
              <w:pStyle w:val="Normal6"/>
              <w:jc w:val="right"/>
              <w:rPr>
                <w:b/>
                <w:i/>
                <w:sz w:val="20"/>
              </w:rPr>
            </w:pPr>
            <w:r w:rsidRPr="00B7760C">
              <w:rPr>
                <w:b/>
                <w:i/>
                <w:sz w:val="20"/>
              </w:rPr>
              <w:t>4 738 820 212</w:t>
            </w:r>
          </w:p>
        </w:tc>
        <w:tc>
          <w:tcPr>
            <w:tcW w:w="880" w:type="dxa"/>
            <w:tcBorders>
              <w:top w:val="single" w:sz="4" w:space="0" w:color="auto"/>
              <w:left w:val="single" w:sz="4" w:space="0" w:color="auto"/>
              <w:bottom w:val="single" w:sz="4" w:space="0" w:color="auto"/>
              <w:right w:val="single" w:sz="4" w:space="0" w:color="auto"/>
            </w:tcBorders>
            <w:vAlign w:val="center"/>
            <w:hideMark/>
          </w:tcPr>
          <w:p w14:paraId="2034EE74" w14:textId="77777777" w:rsidR="003663AF" w:rsidRPr="00B7760C" w:rsidRDefault="003663AF" w:rsidP="00E804B7">
            <w:pPr>
              <w:pStyle w:val="Normal6"/>
              <w:jc w:val="right"/>
              <w:rPr>
                <w:b/>
                <w:i/>
                <w:sz w:val="20"/>
              </w:rPr>
            </w:pPr>
            <w:r w:rsidRPr="00B7760C">
              <w:rPr>
                <w:b/>
                <w:i/>
                <w:sz w:val="20"/>
              </w:rPr>
              <w:t>4 745 982 339</w:t>
            </w:r>
          </w:p>
        </w:tc>
        <w:tc>
          <w:tcPr>
            <w:tcW w:w="1141" w:type="dxa"/>
            <w:tcBorders>
              <w:top w:val="single" w:sz="4" w:space="0" w:color="auto"/>
              <w:left w:val="single" w:sz="4" w:space="0" w:color="auto"/>
              <w:bottom w:val="single" w:sz="4" w:space="0" w:color="auto"/>
              <w:right w:val="single" w:sz="4" w:space="0" w:color="auto"/>
            </w:tcBorders>
            <w:vAlign w:val="center"/>
            <w:hideMark/>
          </w:tcPr>
          <w:p w14:paraId="29ACA8FD" w14:textId="77777777" w:rsidR="003663AF" w:rsidRPr="00B7760C" w:rsidRDefault="003663AF" w:rsidP="00E804B7">
            <w:pPr>
              <w:pStyle w:val="Normal6"/>
              <w:jc w:val="right"/>
              <w:rPr>
                <w:b/>
                <w:i/>
                <w:sz w:val="20"/>
              </w:rPr>
            </w:pPr>
            <w:r w:rsidRPr="00B7760C">
              <w:rPr>
                <w:b/>
                <w:i/>
                <w:sz w:val="20"/>
              </w:rPr>
              <w:t>4 745 982 339</w:t>
            </w:r>
          </w:p>
        </w:tc>
      </w:tr>
      <w:tr w:rsidR="003663AF" w:rsidRPr="00B7760C" w14:paraId="63C615F4"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0E15F712" w14:textId="77777777" w:rsidR="003663AF" w:rsidRPr="00B7760C" w:rsidRDefault="003663AF" w:rsidP="00E804B7">
            <w:pPr>
              <w:pStyle w:val="Normal6"/>
              <w:rPr>
                <w:sz w:val="20"/>
              </w:rPr>
            </w:pPr>
            <w:r w:rsidRPr="00B7760C">
              <w:rPr>
                <w:sz w:val="20"/>
              </w:rPr>
              <w:t>Francija</w:t>
            </w:r>
          </w:p>
        </w:tc>
        <w:tc>
          <w:tcPr>
            <w:tcW w:w="999" w:type="dxa"/>
            <w:tcBorders>
              <w:top w:val="single" w:sz="4" w:space="0" w:color="auto"/>
              <w:left w:val="single" w:sz="4" w:space="0" w:color="auto"/>
              <w:bottom w:val="single" w:sz="4" w:space="0" w:color="auto"/>
              <w:right w:val="single" w:sz="4" w:space="0" w:color="auto"/>
            </w:tcBorders>
            <w:vAlign w:val="center"/>
            <w:hideMark/>
          </w:tcPr>
          <w:p w14:paraId="7BB4352B" w14:textId="77777777" w:rsidR="003663AF" w:rsidRPr="00B7760C" w:rsidRDefault="003663AF" w:rsidP="00E804B7">
            <w:pPr>
              <w:pStyle w:val="Normal6"/>
              <w:jc w:val="right"/>
              <w:rPr>
                <w:b/>
                <w:i/>
                <w:sz w:val="20"/>
              </w:rPr>
            </w:pPr>
            <w:r w:rsidRPr="00B7760C">
              <w:rPr>
                <w:b/>
                <w:i/>
                <w:sz w:val="20"/>
              </w:rPr>
              <w:t>7 147 786 964</w:t>
            </w:r>
          </w:p>
        </w:tc>
        <w:tc>
          <w:tcPr>
            <w:tcW w:w="900" w:type="dxa"/>
            <w:tcBorders>
              <w:top w:val="single" w:sz="4" w:space="0" w:color="auto"/>
              <w:left w:val="single" w:sz="4" w:space="0" w:color="auto"/>
              <w:bottom w:val="single" w:sz="4" w:space="0" w:color="auto"/>
              <w:right w:val="single" w:sz="4" w:space="0" w:color="auto"/>
            </w:tcBorders>
            <w:vAlign w:val="center"/>
            <w:hideMark/>
          </w:tcPr>
          <w:p w14:paraId="4B68A556" w14:textId="77777777" w:rsidR="003663AF" w:rsidRPr="00B7760C" w:rsidRDefault="003663AF" w:rsidP="00E804B7">
            <w:pPr>
              <w:pStyle w:val="Normal6"/>
              <w:jc w:val="right"/>
              <w:rPr>
                <w:b/>
                <w:i/>
                <w:sz w:val="20"/>
              </w:rPr>
            </w:pPr>
            <w:r w:rsidRPr="00B7760C">
              <w:rPr>
                <w:b/>
                <w:i/>
                <w:sz w:val="20"/>
              </w:rPr>
              <w:t>7 147 786 964</w:t>
            </w:r>
          </w:p>
        </w:tc>
        <w:tc>
          <w:tcPr>
            <w:tcW w:w="1019" w:type="dxa"/>
            <w:tcBorders>
              <w:top w:val="single" w:sz="4" w:space="0" w:color="auto"/>
              <w:left w:val="single" w:sz="4" w:space="0" w:color="auto"/>
              <w:bottom w:val="single" w:sz="4" w:space="0" w:color="auto"/>
              <w:right w:val="single" w:sz="4" w:space="0" w:color="auto"/>
            </w:tcBorders>
            <w:vAlign w:val="center"/>
            <w:hideMark/>
          </w:tcPr>
          <w:p w14:paraId="089BB1AE" w14:textId="77777777" w:rsidR="003663AF" w:rsidRPr="00B7760C" w:rsidRDefault="003663AF" w:rsidP="00E804B7">
            <w:pPr>
              <w:pStyle w:val="Normal6"/>
              <w:jc w:val="right"/>
              <w:rPr>
                <w:b/>
                <w:i/>
                <w:sz w:val="20"/>
              </w:rPr>
            </w:pPr>
            <w:r w:rsidRPr="00B7760C">
              <w:rPr>
                <w:b/>
                <w:i/>
                <w:sz w:val="20"/>
              </w:rPr>
              <w:t>7 147 786 964</w:t>
            </w:r>
          </w:p>
        </w:tc>
        <w:tc>
          <w:tcPr>
            <w:tcW w:w="1019" w:type="dxa"/>
            <w:tcBorders>
              <w:top w:val="single" w:sz="4" w:space="0" w:color="auto"/>
              <w:left w:val="single" w:sz="4" w:space="0" w:color="auto"/>
              <w:bottom w:val="single" w:sz="4" w:space="0" w:color="auto"/>
              <w:right w:val="single" w:sz="4" w:space="0" w:color="auto"/>
            </w:tcBorders>
            <w:vAlign w:val="center"/>
            <w:hideMark/>
          </w:tcPr>
          <w:p w14:paraId="57FC2718" w14:textId="77777777" w:rsidR="003663AF" w:rsidRPr="00B7760C" w:rsidRDefault="003663AF" w:rsidP="00E804B7">
            <w:pPr>
              <w:pStyle w:val="Normal6"/>
              <w:jc w:val="right"/>
              <w:rPr>
                <w:b/>
                <w:i/>
                <w:sz w:val="20"/>
              </w:rPr>
            </w:pPr>
            <w:r w:rsidRPr="00B7760C">
              <w:rPr>
                <w:b/>
                <w:i/>
                <w:sz w:val="20"/>
              </w:rPr>
              <w:t>7 147 786 964</w:t>
            </w:r>
          </w:p>
        </w:tc>
        <w:tc>
          <w:tcPr>
            <w:tcW w:w="1019" w:type="dxa"/>
            <w:tcBorders>
              <w:top w:val="single" w:sz="4" w:space="0" w:color="auto"/>
              <w:left w:val="single" w:sz="4" w:space="0" w:color="auto"/>
              <w:bottom w:val="single" w:sz="4" w:space="0" w:color="auto"/>
              <w:right w:val="single" w:sz="4" w:space="0" w:color="auto"/>
            </w:tcBorders>
            <w:vAlign w:val="center"/>
            <w:hideMark/>
          </w:tcPr>
          <w:p w14:paraId="7F74971C" w14:textId="77777777" w:rsidR="003663AF" w:rsidRPr="00B7760C" w:rsidRDefault="003663AF" w:rsidP="00E804B7">
            <w:pPr>
              <w:pStyle w:val="Normal6"/>
              <w:jc w:val="right"/>
              <w:rPr>
                <w:b/>
                <w:i/>
                <w:sz w:val="20"/>
              </w:rPr>
            </w:pPr>
            <w:r w:rsidRPr="00B7760C">
              <w:rPr>
                <w:b/>
                <w:i/>
                <w:sz w:val="20"/>
              </w:rPr>
              <w:t>7 147 786 964</w:t>
            </w:r>
          </w:p>
        </w:tc>
        <w:tc>
          <w:tcPr>
            <w:tcW w:w="880" w:type="dxa"/>
            <w:tcBorders>
              <w:top w:val="single" w:sz="4" w:space="0" w:color="auto"/>
              <w:left w:val="single" w:sz="4" w:space="0" w:color="auto"/>
              <w:bottom w:val="single" w:sz="4" w:space="0" w:color="auto"/>
              <w:right w:val="single" w:sz="4" w:space="0" w:color="auto"/>
            </w:tcBorders>
            <w:vAlign w:val="center"/>
            <w:hideMark/>
          </w:tcPr>
          <w:p w14:paraId="36D613BE" w14:textId="77777777" w:rsidR="003663AF" w:rsidRPr="00B7760C" w:rsidRDefault="003663AF" w:rsidP="00E804B7">
            <w:pPr>
              <w:pStyle w:val="Normal6"/>
              <w:jc w:val="right"/>
              <w:rPr>
                <w:b/>
                <w:i/>
                <w:sz w:val="20"/>
              </w:rPr>
            </w:pPr>
            <w:r w:rsidRPr="00B7760C">
              <w:rPr>
                <w:b/>
                <w:i/>
                <w:sz w:val="20"/>
              </w:rPr>
              <w:t>7 147 786 964</w:t>
            </w:r>
          </w:p>
        </w:tc>
        <w:tc>
          <w:tcPr>
            <w:tcW w:w="1141" w:type="dxa"/>
            <w:tcBorders>
              <w:top w:val="single" w:sz="4" w:space="0" w:color="auto"/>
              <w:left w:val="single" w:sz="4" w:space="0" w:color="auto"/>
              <w:bottom w:val="single" w:sz="4" w:space="0" w:color="auto"/>
              <w:right w:val="single" w:sz="4" w:space="0" w:color="auto"/>
            </w:tcBorders>
            <w:vAlign w:val="center"/>
            <w:hideMark/>
          </w:tcPr>
          <w:p w14:paraId="4DC0428E" w14:textId="77777777" w:rsidR="003663AF" w:rsidRPr="00B7760C" w:rsidRDefault="003663AF" w:rsidP="00E804B7">
            <w:pPr>
              <w:pStyle w:val="Normal6"/>
              <w:jc w:val="right"/>
              <w:rPr>
                <w:b/>
                <w:i/>
                <w:sz w:val="20"/>
              </w:rPr>
            </w:pPr>
            <w:r w:rsidRPr="00B7760C">
              <w:rPr>
                <w:b/>
                <w:i/>
                <w:sz w:val="20"/>
              </w:rPr>
              <w:t>7 147 786 964</w:t>
            </w:r>
          </w:p>
        </w:tc>
      </w:tr>
      <w:tr w:rsidR="003663AF" w:rsidRPr="00B7760C" w14:paraId="50E42258"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41451FB6" w14:textId="77777777" w:rsidR="003663AF" w:rsidRPr="00B7760C" w:rsidRDefault="003663AF" w:rsidP="00E804B7">
            <w:pPr>
              <w:pStyle w:val="Normal6"/>
              <w:rPr>
                <w:sz w:val="20"/>
              </w:rPr>
            </w:pPr>
            <w:r w:rsidRPr="00B7760C">
              <w:rPr>
                <w:sz w:val="20"/>
              </w:rPr>
              <w:t>Hrvaška</w:t>
            </w:r>
          </w:p>
        </w:tc>
        <w:tc>
          <w:tcPr>
            <w:tcW w:w="999" w:type="dxa"/>
            <w:tcBorders>
              <w:top w:val="single" w:sz="4" w:space="0" w:color="auto"/>
              <w:left w:val="single" w:sz="4" w:space="0" w:color="auto"/>
              <w:bottom w:val="single" w:sz="4" w:space="0" w:color="auto"/>
              <w:right w:val="single" w:sz="4" w:space="0" w:color="auto"/>
            </w:tcBorders>
            <w:vAlign w:val="center"/>
            <w:hideMark/>
          </w:tcPr>
          <w:p w14:paraId="13DE5C71" w14:textId="77777777" w:rsidR="003663AF" w:rsidRPr="00B7760C" w:rsidRDefault="003663AF" w:rsidP="00E804B7">
            <w:pPr>
              <w:pStyle w:val="Normal6"/>
              <w:jc w:val="right"/>
              <w:rPr>
                <w:b/>
                <w:i/>
                <w:sz w:val="20"/>
              </w:rPr>
            </w:pPr>
            <w:r w:rsidRPr="00B7760C">
              <w:rPr>
                <w:b/>
                <w:i/>
                <w:sz w:val="20"/>
              </w:rPr>
              <w:t>344 340 000</w:t>
            </w:r>
          </w:p>
        </w:tc>
        <w:tc>
          <w:tcPr>
            <w:tcW w:w="900" w:type="dxa"/>
            <w:tcBorders>
              <w:top w:val="single" w:sz="4" w:space="0" w:color="auto"/>
              <w:left w:val="single" w:sz="4" w:space="0" w:color="auto"/>
              <w:bottom w:val="single" w:sz="4" w:space="0" w:color="auto"/>
              <w:right w:val="single" w:sz="4" w:space="0" w:color="auto"/>
            </w:tcBorders>
            <w:vAlign w:val="center"/>
            <w:hideMark/>
          </w:tcPr>
          <w:p w14:paraId="548D0DED" w14:textId="77777777" w:rsidR="003663AF" w:rsidRPr="00B7760C" w:rsidRDefault="003663AF" w:rsidP="00E804B7">
            <w:pPr>
              <w:pStyle w:val="Normal6"/>
              <w:jc w:val="right"/>
              <w:rPr>
                <w:b/>
                <w:i/>
                <w:sz w:val="20"/>
              </w:rPr>
            </w:pPr>
            <w:r w:rsidRPr="00B7760C">
              <w:rPr>
                <w:b/>
                <w:i/>
                <w:sz w:val="20"/>
              </w:rPr>
              <w:t>367 711 409</w:t>
            </w:r>
          </w:p>
        </w:tc>
        <w:tc>
          <w:tcPr>
            <w:tcW w:w="1019" w:type="dxa"/>
            <w:tcBorders>
              <w:top w:val="single" w:sz="4" w:space="0" w:color="auto"/>
              <w:left w:val="single" w:sz="4" w:space="0" w:color="auto"/>
              <w:bottom w:val="single" w:sz="4" w:space="0" w:color="auto"/>
              <w:right w:val="single" w:sz="4" w:space="0" w:color="auto"/>
            </w:tcBorders>
            <w:vAlign w:val="center"/>
            <w:hideMark/>
          </w:tcPr>
          <w:p w14:paraId="425C23C0" w14:textId="77777777" w:rsidR="003663AF" w:rsidRPr="00B7760C" w:rsidRDefault="003663AF" w:rsidP="00E804B7">
            <w:pPr>
              <w:pStyle w:val="Normal6"/>
              <w:jc w:val="right"/>
              <w:rPr>
                <w:b/>
                <w:i/>
                <w:sz w:val="20"/>
              </w:rPr>
            </w:pPr>
            <w:r w:rsidRPr="00B7760C">
              <w:rPr>
                <w:b/>
                <w:i/>
                <w:sz w:val="20"/>
              </w:rPr>
              <w:t>367 711 409</w:t>
            </w:r>
          </w:p>
        </w:tc>
        <w:tc>
          <w:tcPr>
            <w:tcW w:w="1019" w:type="dxa"/>
            <w:tcBorders>
              <w:top w:val="single" w:sz="4" w:space="0" w:color="auto"/>
              <w:left w:val="single" w:sz="4" w:space="0" w:color="auto"/>
              <w:bottom w:val="single" w:sz="4" w:space="0" w:color="auto"/>
              <w:right w:val="single" w:sz="4" w:space="0" w:color="auto"/>
            </w:tcBorders>
            <w:vAlign w:val="center"/>
            <w:hideMark/>
          </w:tcPr>
          <w:p w14:paraId="63D450BE" w14:textId="77777777" w:rsidR="003663AF" w:rsidRPr="00B7760C" w:rsidRDefault="003663AF" w:rsidP="00E804B7">
            <w:pPr>
              <w:pStyle w:val="Normal6"/>
              <w:jc w:val="right"/>
              <w:rPr>
                <w:b/>
                <w:i/>
                <w:sz w:val="20"/>
              </w:rPr>
            </w:pPr>
            <w:r w:rsidRPr="00B7760C">
              <w:rPr>
                <w:b/>
                <w:i/>
                <w:sz w:val="20"/>
              </w:rPr>
              <w:t>367 711 409</w:t>
            </w:r>
          </w:p>
        </w:tc>
        <w:tc>
          <w:tcPr>
            <w:tcW w:w="1019" w:type="dxa"/>
            <w:tcBorders>
              <w:top w:val="single" w:sz="4" w:space="0" w:color="auto"/>
              <w:left w:val="single" w:sz="4" w:space="0" w:color="auto"/>
              <w:bottom w:val="single" w:sz="4" w:space="0" w:color="auto"/>
              <w:right w:val="single" w:sz="4" w:space="0" w:color="auto"/>
            </w:tcBorders>
            <w:vAlign w:val="center"/>
            <w:hideMark/>
          </w:tcPr>
          <w:p w14:paraId="632A7A9D" w14:textId="77777777" w:rsidR="003663AF" w:rsidRPr="00B7760C" w:rsidRDefault="003663AF" w:rsidP="00E804B7">
            <w:pPr>
              <w:pStyle w:val="Normal6"/>
              <w:jc w:val="right"/>
              <w:rPr>
                <w:b/>
                <w:i/>
                <w:sz w:val="20"/>
              </w:rPr>
            </w:pPr>
            <w:r w:rsidRPr="00B7760C">
              <w:rPr>
                <w:b/>
                <w:i/>
                <w:sz w:val="20"/>
              </w:rPr>
              <w:t>367 711 409</w:t>
            </w:r>
          </w:p>
        </w:tc>
        <w:tc>
          <w:tcPr>
            <w:tcW w:w="880" w:type="dxa"/>
            <w:tcBorders>
              <w:top w:val="single" w:sz="4" w:space="0" w:color="auto"/>
              <w:left w:val="single" w:sz="4" w:space="0" w:color="auto"/>
              <w:bottom w:val="single" w:sz="4" w:space="0" w:color="auto"/>
              <w:right w:val="single" w:sz="4" w:space="0" w:color="auto"/>
            </w:tcBorders>
            <w:vAlign w:val="center"/>
            <w:hideMark/>
          </w:tcPr>
          <w:p w14:paraId="6FAEC0F5" w14:textId="77777777" w:rsidR="003663AF" w:rsidRPr="00B7760C" w:rsidRDefault="003663AF" w:rsidP="00E804B7">
            <w:pPr>
              <w:pStyle w:val="Normal6"/>
              <w:jc w:val="right"/>
              <w:rPr>
                <w:b/>
                <w:i/>
                <w:sz w:val="20"/>
              </w:rPr>
            </w:pPr>
            <w:r w:rsidRPr="00B7760C">
              <w:rPr>
                <w:b/>
                <w:i/>
                <w:sz w:val="20"/>
              </w:rPr>
              <w:t>367 711 409</w:t>
            </w:r>
          </w:p>
        </w:tc>
        <w:tc>
          <w:tcPr>
            <w:tcW w:w="1141" w:type="dxa"/>
            <w:tcBorders>
              <w:top w:val="single" w:sz="4" w:space="0" w:color="auto"/>
              <w:left w:val="single" w:sz="4" w:space="0" w:color="auto"/>
              <w:bottom w:val="single" w:sz="4" w:space="0" w:color="auto"/>
              <w:right w:val="single" w:sz="4" w:space="0" w:color="auto"/>
            </w:tcBorders>
            <w:vAlign w:val="center"/>
            <w:hideMark/>
          </w:tcPr>
          <w:p w14:paraId="1E2D74BC" w14:textId="77777777" w:rsidR="003663AF" w:rsidRPr="00B7760C" w:rsidRDefault="003663AF" w:rsidP="00E804B7">
            <w:pPr>
              <w:pStyle w:val="Normal6"/>
              <w:jc w:val="right"/>
              <w:rPr>
                <w:b/>
                <w:i/>
                <w:sz w:val="20"/>
              </w:rPr>
            </w:pPr>
            <w:r w:rsidRPr="00B7760C">
              <w:rPr>
                <w:b/>
                <w:i/>
                <w:sz w:val="20"/>
              </w:rPr>
              <w:t>367 711 409</w:t>
            </w:r>
          </w:p>
        </w:tc>
      </w:tr>
      <w:tr w:rsidR="003663AF" w:rsidRPr="00B7760C" w14:paraId="38480837"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5B065FD6" w14:textId="77777777" w:rsidR="003663AF" w:rsidRPr="00B7760C" w:rsidRDefault="003663AF" w:rsidP="00E804B7">
            <w:pPr>
              <w:pStyle w:val="Normal6"/>
              <w:rPr>
                <w:sz w:val="20"/>
              </w:rPr>
            </w:pPr>
            <w:r w:rsidRPr="00B7760C">
              <w:rPr>
                <w:sz w:val="20"/>
              </w:rPr>
              <w:t>Italija</w:t>
            </w:r>
          </w:p>
        </w:tc>
        <w:tc>
          <w:tcPr>
            <w:tcW w:w="999" w:type="dxa"/>
            <w:tcBorders>
              <w:top w:val="single" w:sz="4" w:space="0" w:color="auto"/>
              <w:left w:val="single" w:sz="4" w:space="0" w:color="auto"/>
              <w:bottom w:val="single" w:sz="4" w:space="0" w:color="auto"/>
              <w:right w:val="single" w:sz="4" w:space="0" w:color="auto"/>
            </w:tcBorders>
            <w:vAlign w:val="center"/>
            <w:hideMark/>
          </w:tcPr>
          <w:p w14:paraId="1E9774BA" w14:textId="77777777" w:rsidR="003663AF" w:rsidRPr="00B7760C" w:rsidRDefault="003663AF" w:rsidP="00E804B7">
            <w:pPr>
              <w:pStyle w:val="Normal6"/>
              <w:jc w:val="right"/>
              <w:rPr>
                <w:b/>
                <w:i/>
                <w:sz w:val="20"/>
              </w:rPr>
            </w:pPr>
            <w:r w:rsidRPr="00B7760C">
              <w:rPr>
                <w:b/>
                <w:i/>
                <w:sz w:val="20"/>
              </w:rPr>
              <w:t>3 560 185 516</w:t>
            </w:r>
          </w:p>
        </w:tc>
        <w:tc>
          <w:tcPr>
            <w:tcW w:w="900" w:type="dxa"/>
            <w:tcBorders>
              <w:top w:val="single" w:sz="4" w:space="0" w:color="auto"/>
              <w:left w:val="single" w:sz="4" w:space="0" w:color="auto"/>
              <w:bottom w:val="single" w:sz="4" w:space="0" w:color="auto"/>
              <w:right w:val="single" w:sz="4" w:space="0" w:color="auto"/>
            </w:tcBorders>
            <w:vAlign w:val="center"/>
            <w:hideMark/>
          </w:tcPr>
          <w:p w14:paraId="3365D132" w14:textId="77777777" w:rsidR="003663AF" w:rsidRPr="00B7760C" w:rsidRDefault="003663AF" w:rsidP="00E804B7">
            <w:pPr>
              <w:pStyle w:val="Normal6"/>
              <w:jc w:val="right"/>
              <w:rPr>
                <w:b/>
                <w:i/>
                <w:sz w:val="20"/>
              </w:rPr>
            </w:pPr>
            <w:r w:rsidRPr="00B7760C">
              <w:rPr>
                <w:b/>
                <w:i/>
                <w:sz w:val="20"/>
              </w:rPr>
              <w:t>3 560 185 516</w:t>
            </w:r>
          </w:p>
        </w:tc>
        <w:tc>
          <w:tcPr>
            <w:tcW w:w="1019" w:type="dxa"/>
            <w:tcBorders>
              <w:top w:val="single" w:sz="4" w:space="0" w:color="auto"/>
              <w:left w:val="single" w:sz="4" w:space="0" w:color="auto"/>
              <w:bottom w:val="single" w:sz="4" w:space="0" w:color="auto"/>
              <w:right w:val="single" w:sz="4" w:space="0" w:color="auto"/>
            </w:tcBorders>
            <w:vAlign w:val="center"/>
            <w:hideMark/>
          </w:tcPr>
          <w:p w14:paraId="64174BE5" w14:textId="77777777" w:rsidR="003663AF" w:rsidRPr="00B7760C" w:rsidRDefault="003663AF" w:rsidP="00E804B7">
            <w:pPr>
              <w:pStyle w:val="Normal6"/>
              <w:jc w:val="right"/>
              <w:rPr>
                <w:b/>
                <w:i/>
                <w:sz w:val="20"/>
              </w:rPr>
            </w:pPr>
            <w:r w:rsidRPr="00B7760C">
              <w:rPr>
                <w:b/>
                <w:i/>
                <w:sz w:val="20"/>
              </w:rPr>
              <w:t>3 560 185 516</w:t>
            </w:r>
          </w:p>
        </w:tc>
        <w:tc>
          <w:tcPr>
            <w:tcW w:w="1019" w:type="dxa"/>
            <w:tcBorders>
              <w:top w:val="single" w:sz="4" w:space="0" w:color="auto"/>
              <w:left w:val="single" w:sz="4" w:space="0" w:color="auto"/>
              <w:bottom w:val="single" w:sz="4" w:space="0" w:color="auto"/>
              <w:right w:val="single" w:sz="4" w:space="0" w:color="auto"/>
            </w:tcBorders>
            <w:vAlign w:val="center"/>
            <w:hideMark/>
          </w:tcPr>
          <w:p w14:paraId="6CC77D22" w14:textId="77777777" w:rsidR="003663AF" w:rsidRPr="00B7760C" w:rsidRDefault="003663AF" w:rsidP="00E804B7">
            <w:pPr>
              <w:pStyle w:val="Normal6"/>
              <w:jc w:val="right"/>
              <w:rPr>
                <w:b/>
                <w:i/>
                <w:sz w:val="20"/>
              </w:rPr>
            </w:pPr>
            <w:r w:rsidRPr="00B7760C">
              <w:rPr>
                <w:b/>
                <w:i/>
                <w:sz w:val="20"/>
              </w:rPr>
              <w:t>3 560 185 516</w:t>
            </w:r>
          </w:p>
        </w:tc>
        <w:tc>
          <w:tcPr>
            <w:tcW w:w="1019" w:type="dxa"/>
            <w:tcBorders>
              <w:top w:val="single" w:sz="4" w:space="0" w:color="auto"/>
              <w:left w:val="single" w:sz="4" w:space="0" w:color="auto"/>
              <w:bottom w:val="single" w:sz="4" w:space="0" w:color="auto"/>
              <w:right w:val="single" w:sz="4" w:space="0" w:color="auto"/>
            </w:tcBorders>
            <w:vAlign w:val="center"/>
            <w:hideMark/>
          </w:tcPr>
          <w:p w14:paraId="3C18859A" w14:textId="77777777" w:rsidR="003663AF" w:rsidRPr="00B7760C" w:rsidRDefault="003663AF" w:rsidP="00E804B7">
            <w:pPr>
              <w:pStyle w:val="Normal6"/>
              <w:jc w:val="right"/>
              <w:rPr>
                <w:b/>
                <w:i/>
                <w:sz w:val="20"/>
              </w:rPr>
            </w:pPr>
            <w:r w:rsidRPr="00B7760C">
              <w:rPr>
                <w:b/>
                <w:i/>
                <w:sz w:val="20"/>
              </w:rPr>
              <w:t>3 560 185 516</w:t>
            </w:r>
          </w:p>
        </w:tc>
        <w:tc>
          <w:tcPr>
            <w:tcW w:w="880" w:type="dxa"/>
            <w:tcBorders>
              <w:top w:val="single" w:sz="4" w:space="0" w:color="auto"/>
              <w:left w:val="single" w:sz="4" w:space="0" w:color="auto"/>
              <w:bottom w:val="single" w:sz="4" w:space="0" w:color="auto"/>
              <w:right w:val="single" w:sz="4" w:space="0" w:color="auto"/>
            </w:tcBorders>
            <w:vAlign w:val="center"/>
            <w:hideMark/>
          </w:tcPr>
          <w:p w14:paraId="13CA2F5A" w14:textId="77777777" w:rsidR="003663AF" w:rsidRPr="00B7760C" w:rsidRDefault="003663AF" w:rsidP="00E804B7">
            <w:pPr>
              <w:pStyle w:val="Normal6"/>
              <w:jc w:val="right"/>
              <w:rPr>
                <w:b/>
                <w:i/>
                <w:sz w:val="20"/>
              </w:rPr>
            </w:pPr>
            <w:r w:rsidRPr="00B7760C">
              <w:rPr>
                <w:b/>
                <w:i/>
                <w:sz w:val="20"/>
              </w:rPr>
              <w:t>3 560 185 516</w:t>
            </w:r>
          </w:p>
        </w:tc>
        <w:tc>
          <w:tcPr>
            <w:tcW w:w="1141" w:type="dxa"/>
            <w:tcBorders>
              <w:top w:val="single" w:sz="4" w:space="0" w:color="auto"/>
              <w:left w:val="single" w:sz="4" w:space="0" w:color="auto"/>
              <w:bottom w:val="single" w:sz="4" w:space="0" w:color="auto"/>
              <w:right w:val="single" w:sz="4" w:space="0" w:color="auto"/>
            </w:tcBorders>
            <w:vAlign w:val="center"/>
            <w:hideMark/>
          </w:tcPr>
          <w:p w14:paraId="4E875155" w14:textId="77777777" w:rsidR="003663AF" w:rsidRPr="00B7760C" w:rsidRDefault="003663AF" w:rsidP="00E804B7">
            <w:pPr>
              <w:pStyle w:val="Normal6"/>
              <w:jc w:val="right"/>
              <w:rPr>
                <w:b/>
                <w:i/>
                <w:sz w:val="20"/>
              </w:rPr>
            </w:pPr>
            <w:r w:rsidRPr="00B7760C">
              <w:rPr>
                <w:b/>
                <w:i/>
                <w:sz w:val="20"/>
              </w:rPr>
              <w:t>3 560 185 516</w:t>
            </w:r>
          </w:p>
        </w:tc>
      </w:tr>
      <w:tr w:rsidR="003663AF" w:rsidRPr="00B7760C" w14:paraId="3DE9520B"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3E6FF3C2" w14:textId="77777777" w:rsidR="003663AF" w:rsidRPr="00B7760C" w:rsidRDefault="003663AF" w:rsidP="00E804B7">
            <w:pPr>
              <w:pStyle w:val="Normal6"/>
              <w:rPr>
                <w:sz w:val="20"/>
              </w:rPr>
            </w:pPr>
            <w:r w:rsidRPr="00B7760C">
              <w:rPr>
                <w:sz w:val="20"/>
              </w:rPr>
              <w:t>Ciper</w:t>
            </w:r>
          </w:p>
        </w:tc>
        <w:tc>
          <w:tcPr>
            <w:tcW w:w="999" w:type="dxa"/>
            <w:tcBorders>
              <w:top w:val="single" w:sz="4" w:space="0" w:color="auto"/>
              <w:left w:val="single" w:sz="4" w:space="0" w:color="auto"/>
              <w:bottom w:val="single" w:sz="4" w:space="0" w:color="auto"/>
              <w:right w:val="single" w:sz="4" w:space="0" w:color="auto"/>
            </w:tcBorders>
            <w:vAlign w:val="center"/>
            <w:hideMark/>
          </w:tcPr>
          <w:p w14:paraId="67E721C8" w14:textId="77777777" w:rsidR="003663AF" w:rsidRPr="00B7760C" w:rsidRDefault="003663AF" w:rsidP="00E804B7">
            <w:pPr>
              <w:pStyle w:val="Normal6"/>
              <w:jc w:val="right"/>
              <w:rPr>
                <w:b/>
                <w:i/>
                <w:sz w:val="20"/>
              </w:rPr>
            </w:pPr>
            <w:r w:rsidRPr="00B7760C">
              <w:rPr>
                <w:b/>
                <w:i/>
                <w:sz w:val="20"/>
              </w:rPr>
              <w:t>46 750 094</w:t>
            </w:r>
          </w:p>
        </w:tc>
        <w:tc>
          <w:tcPr>
            <w:tcW w:w="900" w:type="dxa"/>
            <w:tcBorders>
              <w:top w:val="single" w:sz="4" w:space="0" w:color="auto"/>
              <w:left w:val="single" w:sz="4" w:space="0" w:color="auto"/>
              <w:bottom w:val="single" w:sz="4" w:space="0" w:color="auto"/>
              <w:right w:val="single" w:sz="4" w:space="0" w:color="auto"/>
            </w:tcBorders>
            <w:vAlign w:val="center"/>
            <w:hideMark/>
          </w:tcPr>
          <w:p w14:paraId="2907DA5D" w14:textId="77777777" w:rsidR="003663AF" w:rsidRPr="00B7760C" w:rsidRDefault="003663AF" w:rsidP="00E804B7">
            <w:pPr>
              <w:pStyle w:val="Normal6"/>
              <w:jc w:val="right"/>
              <w:rPr>
                <w:b/>
                <w:i/>
                <w:sz w:val="20"/>
              </w:rPr>
            </w:pPr>
            <w:r w:rsidRPr="00B7760C">
              <w:rPr>
                <w:b/>
                <w:i/>
                <w:sz w:val="20"/>
              </w:rPr>
              <w:t>46 750 094</w:t>
            </w:r>
          </w:p>
        </w:tc>
        <w:tc>
          <w:tcPr>
            <w:tcW w:w="1019" w:type="dxa"/>
            <w:tcBorders>
              <w:top w:val="single" w:sz="4" w:space="0" w:color="auto"/>
              <w:left w:val="single" w:sz="4" w:space="0" w:color="auto"/>
              <w:bottom w:val="single" w:sz="4" w:space="0" w:color="auto"/>
              <w:right w:val="single" w:sz="4" w:space="0" w:color="auto"/>
            </w:tcBorders>
            <w:vAlign w:val="center"/>
            <w:hideMark/>
          </w:tcPr>
          <w:p w14:paraId="2D50DA0F" w14:textId="77777777" w:rsidR="003663AF" w:rsidRPr="00B7760C" w:rsidRDefault="003663AF" w:rsidP="00E804B7">
            <w:pPr>
              <w:pStyle w:val="Normal6"/>
              <w:jc w:val="right"/>
              <w:rPr>
                <w:b/>
                <w:i/>
                <w:sz w:val="20"/>
              </w:rPr>
            </w:pPr>
            <w:r w:rsidRPr="00B7760C">
              <w:rPr>
                <w:b/>
                <w:i/>
                <w:sz w:val="20"/>
              </w:rPr>
              <w:t>46 750 094</w:t>
            </w:r>
          </w:p>
        </w:tc>
        <w:tc>
          <w:tcPr>
            <w:tcW w:w="1019" w:type="dxa"/>
            <w:tcBorders>
              <w:top w:val="single" w:sz="4" w:space="0" w:color="auto"/>
              <w:left w:val="single" w:sz="4" w:space="0" w:color="auto"/>
              <w:bottom w:val="single" w:sz="4" w:space="0" w:color="auto"/>
              <w:right w:val="single" w:sz="4" w:space="0" w:color="auto"/>
            </w:tcBorders>
            <w:vAlign w:val="center"/>
            <w:hideMark/>
          </w:tcPr>
          <w:p w14:paraId="11CA34BD" w14:textId="77777777" w:rsidR="003663AF" w:rsidRPr="00B7760C" w:rsidRDefault="003663AF" w:rsidP="00E804B7">
            <w:pPr>
              <w:pStyle w:val="Normal6"/>
              <w:jc w:val="right"/>
              <w:rPr>
                <w:b/>
                <w:i/>
                <w:sz w:val="20"/>
              </w:rPr>
            </w:pPr>
            <w:r w:rsidRPr="00B7760C">
              <w:rPr>
                <w:b/>
                <w:i/>
                <w:sz w:val="20"/>
              </w:rPr>
              <w:t>46 750 094</w:t>
            </w:r>
          </w:p>
        </w:tc>
        <w:tc>
          <w:tcPr>
            <w:tcW w:w="1019" w:type="dxa"/>
            <w:tcBorders>
              <w:top w:val="single" w:sz="4" w:space="0" w:color="auto"/>
              <w:left w:val="single" w:sz="4" w:space="0" w:color="auto"/>
              <w:bottom w:val="single" w:sz="4" w:space="0" w:color="auto"/>
              <w:right w:val="single" w:sz="4" w:space="0" w:color="auto"/>
            </w:tcBorders>
            <w:vAlign w:val="center"/>
            <w:hideMark/>
          </w:tcPr>
          <w:p w14:paraId="1555EE7C" w14:textId="77777777" w:rsidR="003663AF" w:rsidRPr="00B7760C" w:rsidRDefault="003663AF" w:rsidP="00E804B7">
            <w:pPr>
              <w:pStyle w:val="Normal6"/>
              <w:jc w:val="right"/>
              <w:rPr>
                <w:b/>
                <w:i/>
                <w:sz w:val="20"/>
              </w:rPr>
            </w:pPr>
            <w:r w:rsidRPr="00B7760C">
              <w:rPr>
                <w:b/>
                <w:i/>
                <w:sz w:val="20"/>
              </w:rPr>
              <w:t>46 750 094</w:t>
            </w:r>
          </w:p>
        </w:tc>
        <w:tc>
          <w:tcPr>
            <w:tcW w:w="880" w:type="dxa"/>
            <w:tcBorders>
              <w:top w:val="single" w:sz="4" w:space="0" w:color="auto"/>
              <w:left w:val="single" w:sz="4" w:space="0" w:color="auto"/>
              <w:bottom w:val="single" w:sz="4" w:space="0" w:color="auto"/>
              <w:right w:val="single" w:sz="4" w:space="0" w:color="auto"/>
            </w:tcBorders>
            <w:vAlign w:val="center"/>
            <w:hideMark/>
          </w:tcPr>
          <w:p w14:paraId="1CAACAE3" w14:textId="77777777" w:rsidR="003663AF" w:rsidRPr="00B7760C" w:rsidRDefault="003663AF" w:rsidP="00E804B7">
            <w:pPr>
              <w:pStyle w:val="Normal6"/>
              <w:jc w:val="right"/>
              <w:rPr>
                <w:b/>
                <w:i/>
                <w:sz w:val="20"/>
              </w:rPr>
            </w:pPr>
            <w:r w:rsidRPr="00B7760C">
              <w:rPr>
                <w:b/>
                <w:i/>
                <w:sz w:val="20"/>
              </w:rPr>
              <w:t>46 750 094</w:t>
            </w:r>
          </w:p>
        </w:tc>
        <w:tc>
          <w:tcPr>
            <w:tcW w:w="1141" w:type="dxa"/>
            <w:tcBorders>
              <w:top w:val="single" w:sz="4" w:space="0" w:color="auto"/>
              <w:left w:val="single" w:sz="4" w:space="0" w:color="auto"/>
              <w:bottom w:val="single" w:sz="4" w:space="0" w:color="auto"/>
              <w:right w:val="single" w:sz="4" w:space="0" w:color="auto"/>
            </w:tcBorders>
            <w:vAlign w:val="center"/>
            <w:hideMark/>
          </w:tcPr>
          <w:p w14:paraId="5F363703" w14:textId="77777777" w:rsidR="003663AF" w:rsidRPr="00B7760C" w:rsidRDefault="003663AF" w:rsidP="00E804B7">
            <w:pPr>
              <w:pStyle w:val="Normal6"/>
              <w:jc w:val="right"/>
              <w:rPr>
                <w:b/>
                <w:i/>
                <w:sz w:val="20"/>
              </w:rPr>
            </w:pPr>
            <w:r w:rsidRPr="00B7760C">
              <w:rPr>
                <w:b/>
                <w:i/>
                <w:sz w:val="20"/>
              </w:rPr>
              <w:t>46 750 094</w:t>
            </w:r>
          </w:p>
        </w:tc>
      </w:tr>
      <w:tr w:rsidR="003663AF" w:rsidRPr="00B7760C" w14:paraId="462D1ABC"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3AFD55AD" w14:textId="77777777" w:rsidR="003663AF" w:rsidRPr="00B7760C" w:rsidRDefault="003663AF" w:rsidP="00E804B7">
            <w:pPr>
              <w:pStyle w:val="Normal6"/>
              <w:rPr>
                <w:sz w:val="20"/>
              </w:rPr>
            </w:pPr>
            <w:r w:rsidRPr="00B7760C">
              <w:rPr>
                <w:sz w:val="20"/>
              </w:rPr>
              <w:t>Latvija</w:t>
            </w:r>
          </w:p>
        </w:tc>
        <w:tc>
          <w:tcPr>
            <w:tcW w:w="999" w:type="dxa"/>
            <w:tcBorders>
              <w:top w:val="single" w:sz="4" w:space="0" w:color="auto"/>
              <w:left w:val="single" w:sz="4" w:space="0" w:color="auto"/>
              <w:bottom w:val="single" w:sz="4" w:space="0" w:color="auto"/>
              <w:right w:val="single" w:sz="4" w:space="0" w:color="auto"/>
            </w:tcBorders>
            <w:vAlign w:val="center"/>
            <w:hideMark/>
          </w:tcPr>
          <w:p w14:paraId="23CC93FC" w14:textId="77777777" w:rsidR="003663AF" w:rsidRPr="00B7760C" w:rsidRDefault="003663AF" w:rsidP="00E804B7">
            <w:pPr>
              <w:pStyle w:val="Normal6"/>
              <w:jc w:val="right"/>
              <w:rPr>
                <w:b/>
                <w:i/>
                <w:sz w:val="20"/>
              </w:rPr>
            </w:pPr>
            <w:r w:rsidRPr="00B7760C">
              <w:rPr>
                <w:b/>
                <w:i/>
                <w:sz w:val="20"/>
              </w:rPr>
              <w:t>299 633 591</w:t>
            </w:r>
          </w:p>
        </w:tc>
        <w:tc>
          <w:tcPr>
            <w:tcW w:w="900" w:type="dxa"/>
            <w:tcBorders>
              <w:top w:val="single" w:sz="4" w:space="0" w:color="auto"/>
              <w:left w:val="single" w:sz="4" w:space="0" w:color="auto"/>
              <w:bottom w:val="single" w:sz="4" w:space="0" w:color="auto"/>
              <w:right w:val="single" w:sz="4" w:space="0" w:color="auto"/>
            </w:tcBorders>
            <w:vAlign w:val="center"/>
            <w:hideMark/>
          </w:tcPr>
          <w:p w14:paraId="7A55DE9E" w14:textId="77777777" w:rsidR="003663AF" w:rsidRPr="00B7760C" w:rsidRDefault="003663AF" w:rsidP="00E804B7">
            <w:pPr>
              <w:pStyle w:val="Normal6"/>
              <w:jc w:val="right"/>
              <w:rPr>
                <w:b/>
                <w:i/>
                <w:sz w:val="20"/>
              </w:rPr>
            </w:pPr>
            <w:r w:rsidRPr="00B7760C">
              <w:rPr>
                <w:b/>
                <w:i/>
                <w:sz w:val="20"/>
              </w:rPr>
              <w:t>308 294 625</w:t>
            </w:r>
          </w:p>
        </w:tc>
        <w:tc>
          <w:tcPr>
            <w:tcW w:w="1019" w:type="dxa"/>
            <w:tcBorders>
              <w:top w:val="single" w:sz="4" w:space="0" w:color="auto"/>
              <w:left w:val="single" w:sz="4" w:space="0" w:color="auto"/>
              <w:bottom w:val="single" w:sz="4" w:space="0" w:color="auto"/>
              <w:right w:val="single" w:sz="4" w:space="0" w:color="auto"/>
            </w:tcBorders>
            <w:vAlign w:val="center"/>
            <w:hideMark/>
          </w:tcPr>
          <w:p w14:paraId="4B4A5CD1" w14:textId="77777777" w:rsidR="003663AF" w:rsidRPr="00B7760C" w:rsidRDefault="003663AF" w:rsidP="00E804B7">
            <w:pPr>
              <w:pStyle w:val="Normal6"/>
              <w:jc w:val="right"/>
              <w:rPr>
                <w:b/>
                <w:i/>
                <w:sz w:val="20"/>
              </w:rPr>
            </w:pPr>
            <w:r w:rsidRPr="00B7760C">
              <w:rPr>
                <w:b/>
                <w:i/>
                <w:sz w:val="20"/>
              </w:rPr>
              <w:t>316 955 660</w:t>
            </w:r>
          </w:p>
        </w:tc>
        <w:tc>
          <w:tcPr>
            <w:tcW w:w="1019" w:type="dxa"/>
            <w:tcBorders>
              <w:top w:val="single" w:sz="4" w:space="0" w:color="auto"/>
              <w:left w:val="single" w:sz="4" w:space="0" w:color="auto"/>
              <w:bottom w:val="single" w:sz="4" w:space="0" w:color="auto"/>
              <w:right w:val="single" w:sz="4" w:space="0" w:color="auto"/>
            </w:tcBorders>
            <w:vAlign w:val="center"/>
            <w:hideMark/>
          </w:tcPr>
          <w:p w14:paraId="7ED79CDB" w14:textId="77777777" w:rsidR="003663AF" w:rsidRPr="00B7760C" w:rsidRDefault="003663AF" w:rsidP="00E804B7">
            <w:pPr>
              <w:pStyle w:val="Normal6"/>
              <w:jc w:val="right"/>
              <w:rPr>
                <w:b/>
                <w:i/>
                <w:sz w:val="20"/>
              </w:rPr>
            </w:pPr>
            <w:r w:rsidRPr="00B7760C">
              <w:rPr>
                <w:b/>
                <w:i/>
                <w:sz w:val="20"/>
              </w:rPr>
              <w:t>325 616 694</w:t>
            </w:r>
          </w:p>
        </w:tc>
        <w:tc>
          <w:tcPr>
            <w:tcW w:w="1019" w:type="dxa"/>
            <w:tcBorders>
              <w:top w:val="single" w:sz="4" w:space="0" w:color="auto"/>
              <w:left w:val="single" w:sz="4" w:space="0" w:color="auto"/>
              <w:bottom w:val="single" w:sz="4" w:space="0" w:color="auto"/>
              <w:right w:val="single" w:sz="4" w:space="0" w:color="auto"/>
            </w:tcBorders>
            <w:vAlign w:val="center"/>
            <w:hideMark/>
          </w:tcPr>
          <w:p w14:paraId="30A98315" w14:textId="77777777" w:rsidR="003663AF" w:rsidRPr="00B7760C" w:rsidRDefault="003663AF" w:rsidP="00E804B7">
            <w:pPr>
              <w:pStyle w:val="Normal6"/>
              <w:jc w:val="right"/>
              <w:rPr>
                <w:b/>
                <w:i/>
                <w:sz w:val="20"/>
              </w:rPr>
            </w:pPr>
            <w:r w:rsidRPr="00B7760C">
              <w:rPr>
                <w:b/>
                <w:i/>
                <w:sz w:val="20"/>
              </w:rPr>
              <w:t>334 277 729</w:t>
            </w:r>
          </w:p>
        </w:tc>
        <w:tc>
          <w:tcPr>
            <w:tcW w:w="880" w:type="dxa"/>
            <w:tcBorders>
              <w:top w:val="single" w:sz="4" w:space="0" w:color="auto"/>
              <w:left w:val="single" w:sz="4" w:space="0" w:color="auto"/>
              <w:bottom w:val="single" w:sz="4" w:space="0" w:color="auto"/>
              <w:right w:val="single" w:sz="4" w:space="0" w:color="auto"/>
            </w:tcBorders>
            <w:vAlign w:val="center"/>
            <w:hideMark/>
          </w:tcPr>
          <w:p w14:paraId="72168A7A" w14:textId="77777777" w:rsidR="003663AF" w:rsidRPr="00B7760C" w:rsidRDefault="003663AF" w:rsidP="00E804B7">
            <w:pPr>
              <w:pStyle w:val="Normal6"/>
              <w:jc w:val="right"/>
              <w:rPr>
                <w:b/>
                <w:i/>
                <w:sz w:val="20"/>
              </w:rPr>
            </w:pPr>
            <w:r w:rsidRPr="00B7760C">
              <w:rPr>
                <w:b/>
                <w:i/>
                <w:sz w:val="20"/>
              </w:rPr>
              <w:t>342 938 763</w:t>
            </w:r>
          </w:p>
        </w:tc>
        <w:tc>
          <w:tcPr>
            <w:tcW w:w="1141" w:type="dxa"/>
            <w:tcBorders>
              <w:top w:val="single" w:sz="4" w:space="0" w:color="auto"/>
              <w:left w:val="single" w:sz="4" w:space="0" w:color="auto"/>
              <w:bottom w:val="single" w:sz="4" w:space="0" w:color="auto"/>
              <w:right w:val="single" w:sz="4" w:space="0" w:color="auto"/>
            </w:tcBorders>
            <w:vAlign w:val="center"/>
            <w:hideMark/>
          </w:tcPr>
          <w:p w14:paraId="65CB5FF5" w14:textId="77777777" w:rsidR="003663AF" w:rsidRPr="00B7760C" w:rsidRDefault="003663AF" w:rsidP="00E804B7">
            <w:pPr>
              <w:pStyle w:val="Normal6"/>
              <w:jc w:val="right"/>
              <w:rPr>
                <w:b/>
                <w:i/>
                <w:sz w:val="20"/>
              </w:rPr>
            </w:pPr>
            <w:r w:rsidRPr="00B7760C">
              <w:rPr>
                <w:b/>
                <w:i/>
                <w:sz w:val="20"/>
              </w:rPr>
              <w:t>342 938 763</w:t>
            </w:r>
          </w:p>
        </w:tc>
      </w:tr>
      <w:tr w:rsidR="003663AF" w:rsidRPr="00B7760C" w14:paraId="6D2EC0E2"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4B678B3E" w14:textId="77777777" w:rsidR="003663AF" w:rsidRPr="00B7760C" w:rsidRDefault="003663AF" w:rsidP="00E804B7">
            <w:pPr>
              <w:pStyle w:val="Normal6"/>
              <w:rPr>
                <w:sz w:val="20"/>
              </w:rPr>
            </w:pPr>
            <w:r w:rsidRPr="00B7760C">
              <w:rPr>
                <w:sz w:val="20"/>
              </w:rPr>
              <w:t>Litva</w:t>
            </w:r>
          </w:p>
        </w:tc>
        <w:tc>
          <w:tcPr>
            <w:tcW w:w="999" w:type="dxa"/>
            <w:tcBorders>
              <w:top w:val="single" w:sz="4" w:space="0" w:color="auto"/>
              <w:left w:val="single" w:sz="4" w:space="0" w:color="auto"/>
              <w:bottom w:val="single" w:sz="4" w:space="0" w:color="auto"/>
              <w:right w:val="single" w:sz="4" w:space="0" w:color="auto"/>
            </w:tcBorders>
            <w:vAlign w:val="center"/>
            <w:hideMark/>
          </w:tcPr>
          <w:p w14:paraId="5E55A768" w14:textId="77777777" w:rsidR="003663AF" w:rsidRPr="00B7760C" w:rsidRDefault="003663AF" w:rsidP="00E804B7">
            <w:pPr>
              <w:pStyle w:val="Normal6"/>
              <w:jc w:val="right"/>
              <w:rPr>
                <w:b/>
                <w:i/>
                <w:sz w:val="20"/>
              </w:rPr>
            </w:pPr>
            <w:r w:rsidRPr="00B7760C">
              <w:rPr>
                <w:b/>
                <w:i/>
                <w:sz w:val="20"/>
              </w:rPr>
              <w:t>510 820 241</w:t>
            </w:r>
          </w:p>
        </w:tc>
        <w:tc>
          <w:tcPr>
            <w:tcW w:w="900" w:type="dxa"/>
            <w:tcBorders>
              <w:top w:val="single" w:sz="4" w:space="0" w:color="auto"/>
              <w:left w:val="single" w:sz="4" w:space="0" w:color="auto"/>
              <w:bottom w:val="single" w:sz="4" w:space="0" w:color="auto"/>
              <w:right w:val="single" w:sz="4" w:space="0" w:color="auto"/>
            </w:tcBorders>
            <w:vAlign w:val="center"/>
            <w:hideMark/>
          </w:tcPr>
          <w:p w14:paraId="1704317A" w14:textId="77777777" w:rsidR="003663AF" w:rsidRPr="00B7760C" w:rsidRDefault="003663AF" w:rsidP="00E804B7">
            <w:pPr>
              <w:pStyle w:val="Normal6"/>
              <w:jc w:val="right"/>
              <w:rPr>
                <w:b/>
                <w:i/>
                <w:sz w:val="20"/>
              </w:rPr>
            </w:pPr>
            <w:r w:rsidRPr="00B7760C">
              <w:rPr>
                <w:b/>
                <w:i/>
                <w:sz w:val="20"/>
              </w:rPr>
              <w:t>524 732 238</w:t>
            </w:r>
          </w:p>
        </w:tc>
        <w:tc>
          <w:tcPr>
            <w:tcW w:w="1019" w:type="dxa"/>
            <w:tcBorders>
              <w:top w:val="single" w:sz="4" w:space="0" w:color="auto"/>
              <w:left w:val="single" w:sz="4" w:space="0" w:color="auto"/>
              <w:bottom w:val="single" w:sz="4" w:space="0" w:color="auto"/>
              <w:right w:val="single" w:sz="4" w:space="0" w:color="auto"/>
            </w:tcBorders>
            <w:vAlign w:val="center"/>
            <w:hideMark/>
          </w:tcPr>
          <w:p w14:paraId="16EACFFE" w14:textId="77777777" w:rsidR="003663AF" w:rsidRPr="00B7760C" w:rsidRDefault="003663AF" w:rsidP="00E804B7">
            <w:pPr>
              <w:pStyle w:val="Normal6"/>
              <w:jc w:val="right"/>
              <w:rPr>
                <w:b/>
                <w:i/>
                <w:sz w:val="20"/>
              </w:rPr>
            </w:pPr>
            <w:r w:rsidRPr="00B7760C">
              <w:rPr>
                <w:b/>
                <w:i/>
                <w:sz w:val="20"/>
              </w:rPr>
              <w:t>538 644 234</w:t>
            </w:r>
          </w:p>
        </w:tc>
        <w:tc>
          <w:tcPr>
            <w:tcW w:w="1019" w:type="dxa"/>
            <w:tcBorders>
              <w:top w:val="single" w:sz="4" w:space="0" w:color="auto"/>
              <w:left w:val="single" w:sz="4" w:space="0" w:color="auto"/>
              <w:bottom w:val="single" w:sz="4" w:space="0" w:color="auto"/>
              <w:right w:val="single" w:sz="4" w:space="0" w:color="auto"/>
            </w:tcBorders>
            <w:vAlign w:val="center"/>
            <w:hideMark/>
          </w:tcPr>
          <w:p w14:paraId="4939FF5E" w14:textId="77777777" w:rsidR="003663AF" w:rsidRPr="00B7760C" w:rsidRDefault="003663AF" w:rsidP="00E804B7">
            <w:pPr>
              <w:pStyle w:val="Normal6"/>
              <w:jc w:val="right"/>
              <w:rPr>
                <w:b/>
                <w:i/>
                <w:sz w:val="20"/>
              </w:rPr>
            </w:pPr>
            <w:r w:rsidRPr="00B7760C">
              <w:rPr>
                <w:b/>
                <w:i/>
                <w:sz w:val="20"/>
              </w:rPr>
              <w:t>552 556 230</w:t>
            </w:r>
          </w:p>
        </w:tc>
        <w:tc>
          <w:tcPr>
            <w:tcW w:w="1019" w:type="dxa"/>
            <w:tcBorders>
              <w:top w:val="single" w:sz="4" w:space="0" w:color="auto"/>
              <w:left w:val="single" w:sz="4" w:space="0" w:color="auto"/>
              <w:bottom w:val="single" w:sz="4" w:space="0" w:color="auto"/>
              <w:right w:val="single" w:sz="4" w:space="0" w:color="auto"/>
            </w:tcBorders>
            <w:vAlign w:val="center"/>
            <w:hideMark/>
          </w:tcPr>
          <w:p w14:paraId="5106868C" w14:textId="77777777" w:rsidR="003663AF" w:rsidRPr="00B7760C" w:rsidRDefault="003663AF" w:rsidP="00E804B7">
            <w:pPr>
              <w:pStyle w:val="Normal6"/>
              <w:jc w:val="right"/>
              <w:rPr>
                <w:b/>
                <w:i/>
                <w:sz w:val="20"/>
              </w:rPr>
            </w:pPr>
            <w:r w:rsidRPr="00B7760C">
              <w:rPr>
                <w:b/>
                <w:i/>
                <w:sz w:val="20"/>
              </w:rPr>
              <w:t>566 468 227</w:t>
            </w:r>
          </w:p>
        </w:tc>
        <w:tc>
          <w:tcPr>
            <w:tcW w:w="880" w:type="dxa"/>
            <w:tcBorders>
              <w:top w:val="single" w:sz="4" w:space="0" w:color="auto"/>
              <w:left w:val="single" w:sz="4" w:space="0" w:color="auto"/>
              <w:bottom w:val="single" w:sz="4" w:space="0" w:color="auto"/>
              <w:right w:val="single" w:sz="4" w:space="0" w:color="auto"/>
            </w:tcBorders>
            <w:vAlign w:val="center"/>
            <w:hideMark/>
          </w:tcPr>
          <w:p w14:paraId="02649B0E" w14:textId="77777777" w:rsidR="003663AF" w:rsidRPr="00B7760C" w:rsidRDefault="003663AF" w:rsidP="00E804B7">
            <w:pPr>
              <w:pStyle w:val="Normal6"/>
              <w:jc w:val="right"/>
              <w:rPr>
                <w:b/>
                <w:i/>
                <w:sz w:val="20"/>
              </w:rPr>
            </w:pPr>
            <w:r w:rsidRPr="00B7760C">
              <w:rPr>
                <w:b/>
                <w:i/>
                <w:sz w:val="20"/>
              </w:rPr>
              <w:t>580 380 223</w:t>
            </w:r>
          </w:p>
        </w:tc>
        <w:tc>
          <w:tcPr>
            <w:tcW w:w="1141" w:type="dxa"/>
            <w:tcBorders>
              <w:top w:val="single" w:sz="4" w:space="0" w:color="auto"/>
              <w:left w:val="single" w:sz="4" w:space="0" w:color="auto"/>
              <w:bottom w:val="single" w:sz="4" w:space="0" w:color="auto"/>
              <w:right w:val="single" w:sz="4" w:space="0" w:color="auto"/>
            </w:tcBorders>
            <w:vAlign w:val="center"/>
            <w:hideMark/>
          </w:tcPr>
          <w:p w14:paraId="689D14AB" w14:textId="77777777" w:rsidR="003663AF" w:rsidRPr="00B7760C" w:rsidRDefault="003663AF" w:rsidP="00E804B7">
            <w:pPr>
              <w:pStyle w:val="Normal6"/>
              <w:jc w:val="right"/>
              <w:rPr>
                <w:b/>
                <w:i/>
                <w:sz w:val="20"/>
              </w:rPr>
            </w:pPr>
            <w:r w:rsidRPr="00B7760C">
              <w:rPr>
                <w:b/>
                <w:i/>
                <w:sz w:val="20"/>
              </w:rPr>
              <w:t>580 380 223</w:t>
            </w:r>
          </w:p>
        </w:tc>
      </w:tr>
      <w:tr w:rsidR="003663AF" w:rsidRPr="00B7760C" w14:paraId="54B0E044"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35AA8A00" w14:textId="77777777" w:rsidR="003663AF" w:rsidRPr="00B7760C" w:rsidRDefault="003663AF" w:rsidP="00E804B7">
            <w:pPr>
              <w:pStyle w:val="Normal6"/>
              <w:rPr>
                <w:sz w:val="20"/>
              </w:rPr>
            </w:pPr>
            <w:r w:rsidRPr="00B7760C">
              <w:rPr>
                <w:sz w:val="20"/>
              </w:rPr>
              <w:t>Luksemburg</w:t>
            </w:r>
          </w:p>
        </w:tc>
        <w:tc>
          <w:tcPr>
            <w:tcW w:w="999" w:type="dxa"/>
            <w:tcBorders>
              <w:top w:val="single" w:sz="4" w:space="0" w:color="auto"/>
              <w:left w:val="single" w:sz="4" w:space="0" w:color="auto"/>
              <w:bottom w:val="single" w:sz="4" w:space="0" w:color="auto"/>
              <w:right w:val="single" w:sz="4" w:space="0" w:color="auto"/>
            </w:tcBorders>
            <w:vAlign w:val="center"/>
            <w:hideMark/>
          </w:tcPr>
          <w:p w14:paraId="6A7CEB0E" w14:textId="77777777" w:rsidR="003663AF" w:rsidRPr="00B7760C" w:rsidRDefault="003663AF" w:rsidP="00E804B7">
            <w:pPr>
              <w:pStyle w:val="Normal6"/>
              <w:jc w:val="right"/>
              <w:rPr>
                <w:b/>
                <w:i/>
                <w:sz w:val="20"/>
              </w:rPr>
            </w:pPr>
            <w:r w:rsidRPr="00B7760C">
              <w:rPr>
                <w:b/>
                <w:i/>
                <w:sz w:val="20"/>
              </w:rPr>
              <w:t>32 131 019</w:t>
            </w:r>
          </w:p>
        </w:tc>
        <w:tc>
          <w:tcPr>
            <w:tcW w:w="900" w:type="dxa"/>
            <w:tcBorders>
              <w:top w:val="single" w:sz="4" w:space="0" w:color="auto"/>
              <w:left w:val="single" w:sz="4" w:space="0" w:color="auto"/>
              <w:bottom w:val="single" w:sz="4" w:space="0" w:color="auto"/>
              <w:right w:val="single" w:sz="4" w:space="0" w:color="auto"/>
            </w:tcBorders>
            <w:vAlign w:val="center"/>
            <w:hideMark/>
          </w:tcPr>
          <w:p w14:paraId="555255BF" w14:textId="77777777" w:rsidR="003663AF" w:rsidRPr="00B7760C" w:rsidRDefault="003663AF" w:rsidP="00E804B7">
            <w:pPr>
              <w:pStyle w:val="Normal6"/>
              <w:jc w:val="right"/>
              <w:rPr>
                <w:b/>
                <w:i/>
                <w:sz w:val="20"/>
              </w:rPr>
            </w:pPr>
            <w:r w:rsidRPr="00B7760C">
              <w:rPr>
                <w:b/>
                <w:i/>
                <w:sz w:val="20"/>
              </w:rPr>
              <w:t>32 131 019</w:t>
            </w:r>
          </w:p>
        </w:tc>
        <w:tc>
          <w:tcPr>
            <w:tcW w:w="1019" w:type="dxa"/>
            <w:tcBorders>
              <w:top w:val="single" w:sz="4" w:space="0" w:color="auto"/>
              <w:left w:val="single" w:sz="4" w:space="0" w:color="auto"/>
              <w:bottom w:val="single" w:sz="4" w:space="0" w:color="auto"/>
              <w:right w:val="single" w:sz="4" w:space="0" w:color="auto"/>
            </w:tcBorders>
            <w:vAlign w:val="center"/>
            <w:hideMark/>
          </w:tcPr>
          <w:p w14:paraId="52B05C2C" w14:textId="77777777" w:rsidR="003663AF" w:rsidRPr="00B7760C" w:rsidRDefault="003663AF" w:rsidP="00E804B7">
            <w:pPr>
              <w:pStyle w:val="Normal6"/>
              <w:jc w:val="right"/>
              <w:rPr>
                <w:b/>
                <w:i/>
                <w:sz w:val="20"/>
              </w:rPr>
            </w:pPr>
            <w:r w:rsidRPr="00B7760C">
              <w:rPr>
                <w:b/>
                <w:i/>
                <w:sz w:val="20"/>
              </w:rPr>
              <w:t>32 131 019</w:t>
            </w:r>
          </w:p>
        </w:tc>
        <w:tc>
          <w:tcPr>
            <w:tcW w:w="1019" w:type="dxa"/>
            <w:tcBorders>
              <w:top w:val="single" w:sz="4" w:space="0" w:color="auto"/>
              <w:left w:val="single" w:sz="4" w:space="0" w:color="auto"/>
              <w:bottom w:val="single" w:sz="4" w:space="0" w:color="auto"/>
              <w:right w:val="single" w:sz="4" w:space="0" w:color="auto"/>
            </w:tcBorders>
            <w:vAlign w:val="center"/>
            <w:hideMark/>
          </w:tcPr>
          <w:p w14:paraId="52CCF161" w14:textId="77777777" w:rsidR="003663AF" w:rsidRPr="00B7760C" w:rsidRDefault="003663AF" w:rsidP="00E804B7">
            <w:pPr>
              <w:pStyle w:val="Normal6"/>
              <w:jc w:val="right"/>
              <w:rPr>
                <w:b/>
                <w:i/>
                <w:sz w:val="20"/>
              </w:rPr>
            </w:pPr>
            <w:r w:rsidRPr="00B7760C">
              <w:rPr>
                <w:b/>
                <w:i/>
                <w:sz w:val="20"/>
              </w:rPr>
              <w:t>32 131 019</w:t>
            </w:r>
          </w:p>
        </w:tc>
        <w:tc>
          <w:tcPr>
            <w:tcW w:w="1019" w:type="dxa"/>
            <w:tcBorders>
              <w:top w:val="single" w:sz="4" w:space="0" w:color="auto"/>
              <w:left w:val="single" w:sz="4" w:space="0" w:color="auto"/>
              <w:bottom w:val="single" w:sz="4" w:space="0" w:color="auto"/>
              <w:right w:val="single" w:sz="4" w:space="0" w:color="auto"/>
            </w:tcBorders>
            <w:vAlign w:val="center"/>
            <w:hideMark/>
          </w:tcPr>
          <w:p w14:paraId="1B54F793" w14:textId="77777777" w:rsidR="003663AF" w:rsidRPr="00B7760C" w:rsidRDefault="003663AF" w:rsidP="00E804B7">
            <w:pPr>
              <w:pStyle w:val="Normal6"/>
              <w:jc w:val="right"/>
              <w:rPr>
                <w:b/>
                <w:i/>
                <w:sz w:val="20"/>
              </w:rPr>
            </w:pPr>
            <w:r w:rsidRPr="00B7760C">
              <w:rPr>
                <w:b/>
                <w:i/>
                <w:sz w:val="20"/>
              </w:rPr>
              <w:t>32 131 019</w:t>
            </w:r>
          </w:p>
        </w:tc>
        <w:tc>
          <w:tcPr>
            <w:tcW w:w="880" w:type="dxa"/>
            <w:tcBorders>
              <w:top w:val="single" w:sz="4" w:space="0" w:color="auto"/>
              <w:left w:val="single" w:sz="4" w:space="0" w:color="auto"/>
              <w:bottom w:val="single" w:sz="4" w:space="0" w:color="auto"/>
              <w:right w:val="single" w:sz="4" w:space="0" w:color="auto"/>
            </w:tcBorders>
            <w:vAlign w:val="center"/>
            <w:hideMark/>
          </w:tcPr>
          <w:p w14:paraId="25AA7402" w14:textId="77777777" w:rsidR="003663AF" w:rsidRPr="00B7760C" w:rsidRDefault="003663AF" w:rsidP="00E804B7">
            <w:pPr>
              <w:pStyle w:val="Normal6"/>
              <w:jc w:val="right"/>
              <w:rPr>
                <w:b/>
                <w:i/>
                <w:sz w:val="20"/>
              </w:rPr>
            </w:pPr>
            <w:r w:rsidRPr="00B7760C">
              <w:rPr>
                <w:b/>
                <w:i/>
                <w:sz w:val="20"/>
              </w:rPr>
              <w:t>32 131 019</w:t>
            </w:r>
          </w:p>
        </w:tc>
        <w:tc>
          <w:tcPr>
            <w:tcW w:w="1141" w:type="dxa"/>
            <w:tcBorders>
              <w:top w:val="single" w:sz="4" w:space="0" w:color="auto"/>
              <w:left w:val="single" w:sz="4" w:space="0" w:color="auto"/>
              <w:bottom w:val="single" w:sz="4" w:space="0" w:color="auto"/>
              <w:right w:val="single" w:sz="4" w:space="0" w:color="auto"/>
            </w:tcBorders>
            <w:vAlign w:val="center"/>
            <w:hideMark/>
          </w:tcPr>
          <w:p w14:paraId="17312DA5" w14:textId="77777777" w:rsidR="003663AF" w:rsidRPr="00B7760C" w:rsidRDefault="003663AF" w:rsidP="00E804B7">
            <w:pPr>
              <w:pStyle w:val="Normal6"/>
              <w:jc w:val="right"/>
              <w:rPr>
                <w:b/>
                <w:i/>
                <w:sz w:val="20"/>
              </w:rPr>
            </w:pPr>
            <w:r w:rsidRPr="00B7760C">
              <w:rPr>
                <w:b/>
                <w:i/>
                <w:sz w:val="20"/>
              </w:rPr>
              <w:t>32 131 019</w:t>
            </w:r>
          </w:p>
        </w:tc>
      </w:tr>
      <w:tr w:rsidR="003663AF" w:rsidRPr="00B7760C" w14:paraId="7B4E4EEF"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20987BEE" w14:textId="77777777" w:rsidR="003663AF" w:rsidRPr="00B7760C" w:rsidRDefault="003663AF" w:rsidP="00E804B7">
            <w:pPr>
              <w:pStyle w:val="Normal6"/>
              <w:rPr>
                <w:sz w:val="20"/>
              </w:rPr>
            </w:pPr>
            <w:r w:rsidRPr="00B7760C">
              <w:rPr>
                <w:sz w:val="20"/>
              </w:rPr>
              <w:t>Madžarska</w:t>
            </w:r>
          </w:p>
        </w:tc>
        <w:tc>
          <w:tcPr>
            <w:tcW w:w="999" w:type="dxa"/>
            <w:tcBorders>
              <w:top w:val="single" w:sz="4" w:space="0" w:color="auto"/>
              <w:left w:val="single" w:sz="4" w:space="0" w:color="auto"/>
              <w:bottom w:val="single" w:sz="4" w:space="0" w:color="auto"/>
              <w:right w:val="single" w:sz="4" w:space="0" w:color="auto"/>
            </w:tcBorders>
            <w:vAlign w:val="center"/>
            <w:hideMark/>
          </w:tcPr>
          <w:p w14:paraId="14D70A2B" w14:textId="77777777" w:rsidR="003663AF" w:rsidRPr="00B7760C" w:rsidRDefault="003663AF" w:rsidP="00E804B7">
            <w:pPr>
              <w:pStyle w:val="Normal6"/>
              <w:jc w:val="right"/>
              <w:rPr>
                <w:b/>
                <w:i/>
                <w:sz w:val="20"/>
              </w:rPr>
            </w:pPr>
            <w:r w:rsidRPr="00B7760C">
              <w:rPr>
                <w:b/>
                <w:i/>
                <w:sz w:val="20"/>
              </w:rPr>
              <w:t>1 219 769 672</w:t>
            </w:r>
          </w:p>
        </w:tc>
        <w:tc>
          <w:tcPr>
            <w:tcW w:w="900" w:type="dxa"/>
            <w:tcBorders>
              <w:top w:val="single" w:sz="4" w:space="0" w:color="auto"/>
              <w:left w:val="single" w:sz="4" w:space="0" w:color="auto"/>
              <w:bottom w:val="single" w:sz="4" w:space="0" w:color="auto"/>
              <w:right w:val="single" w:sz="4" w:space="0" w:color="auto"/>
            </w:tcBorders>
            <w:vAlign w:val="center"/>
            <w:hideMark/>
          </w:tcPr>
          <w:p w14:paraId="18ADC9A6" w14:textId="77777777" w:rsidR="003663AF" w:rsidRPr="00B7760C" w:rsidRDefault="003663AF" w:rsidP="00E804B7">
            <w:pPr>
              <w:pStyle w:val="Normal6"/>
              <w:jc w:val="right"/>
              <w:rPr>
                <w:b/>
                <w:i/>
                <w:sz w:val="20"/>
              </w:rPr>
            </w:pPr>
            <w:r w:rsidRPr="00B7760C">
              <w:rPr>
                <w:b/>
                <w:i/>
                <w:sz w:val="20"/>
              </w:rPr>
              <w:t>1 219 769 672</w:t>
            </w:r>
          </w:p>
        </w:tc>
        <w:tc>
          <w:tcPr>
            <w:tcW w:w="1019" w:type="dxa"/>
            <w:tcBorders>
              <w:top w:val="single" w:sz="4" w:space="0" w:color="auto"/>
              <w:left w:val="single" w:sz="4" w:space="0" w:color="auto"/>
              <w:bottom w:val="single" w:sz="4" w:space="0" w:color="auto"/>
              <w:right w:val="single" w:sz="4" w:space="0" w:color="auto"/>
            </w:tcBorders>
            <w:vAlign w:val="center"/>
            <w:hideMark/>
          </w:tcPr>
          <w:p w14:paraId="5E1D975B" w14:textId="77777777" w:rsidR="003663AF" w:rsidRPr="00B7760C" w:rsidRDefault="003663AF" w:rsidP="00E804B7">
            <w:pPr>
              <w:pStyle w:val="Normal6"/>
              <w:jc w:val="right"/>
              <w:rPr>
                <w:b/>
                <w:i/>
                <w:sz w:val="20"/>
              </w:rPr>
            </w:pPr>
            <w:r w:rsidRPr="00B7760C">
              <w:rPr>
                <w:b/>
                <w:i/>
                <w:sz w:val="20"/>
              </w:rPr>
              <w:t>1 219 769 672</w:t>
            </w:r>
          </w:p>
        </w:tc>
        <w:tc>
          <w:tcPr>
            <w:tcW w:w="1019" w:type="dxa"/>
            <w:tcBorders>
              <w:top w:val="single" w:sz="4" w:space="0" w:color="auto"/>
              <w:left w:val="single" w:sz="4" w:space="0" w:color="auto"/>
              <w:bottom w:val="single" w:sz="4" w:space="0" w:color="auto"/>
              <w:right w:val="single" w:sz="4" w:space="0" w:color="auto"/>
            </w:tcBorders>
            <w:vAlign w:val="center"/>
            <w:hideMark/>
          </w:tcPr>
          <w:p w14:paraId="304464C9" w14:textId="77777777" w:rsidR="003663AF" w:rsidRPr="00B7760C" w:rsidRDefault="003663AF" w:rsidP="00E804B7">
            <w:pPr>
              <w:pStyle w:val="Normal6"/>
              <w:jc w:val="right"/>
              <w:rPr>
                <w:b/>
                <w:i/>
                <w:sz w:val="20"/>
              </w:rPr>
            </w:pPr>
            <w:r w:rsidRPr="00B7760C">
              <w:rPr>
                <w:b/>
                <w:i/>
                <w:sz w:val="20"/>
              </w:rPr>
              <w:t>1 219 769 672</w:t>
            </w:r>
          </w:p>
        </w:tc>
        <w:tc>
          <w:tcPr>
            <w:tcW w:w="1019" w:type="dxa"/>
            <w:tcBorders>
              <w:top w:val="single" w:sz="4" w:space="0" w:color="auto"/>
              <w:left w:val="single" w:sz="4" w:space="0" w:color="auto"/>
              <w:bottom w:val="single" w:sz="4" w:space="0" w:color="auto"/>
              <w:right w:val="single" w:sz="4" w:space="0" w:color="auto"/>
            </w:tcBorders>
            <w:vAlign w:val="center"/>
            <w:hideMark/>
          </w:tcPr>
          <w:p w14:paraId="4ADB4DFB" w14:textId="77777777" w:rsidR="003663AF" w:rsidRPr="00B7760C" w:rsidRDefault="003663AF" w:rsidP="00E804B7">
            <w:pPr>
              <w:pStyle w:val="Normal6"/>
              <w:jc w:val="right"/>
              <w:rPr>
                <w:b/>
                <w:i/>
                <w:sz w:val="20"/>
              </w:rPr>
            </w:pPr>
            <w:r w:rsidRPr="00B7760C">
              <w:rPr>
                <w:b/>
                <w:i/>
                <w:sz w:val="20"/>
              </w:rPr>
              <w:t>1 219 769 672</w:t>
            </w:r>
          </w:p>
        </w:tc>
        <w:tc>
          <w:tcPr>
            <w:tcW w:w="880" w:type="dxa"/>
            <w:tcBorders>
              <w:top w:val="single" w:sz="4" w:space="0" w:color="auto"/>
              <w:left w:val="single" w:sz="4" w:space="0" w:color="auto"/>
              <w:bottom w:val="single" w:sz="4" w:space="0" w:color="auto"/>
              <w:right w:val="single" w:sz="4" w:space="0" w:color="auto"/>
            </w:tcBorders>
            <w:vAlign w:val="center"/>
            <w:hideMark/>
          </w:tcPr>
          <w:p w14:paraId="5A4B83A7" w14:textId="77777777" w:rsidR="003663AF" w:rsidRPr="00B7760C" w:rsidRDefault="003663AF" w:rsidP="00E804B7">
            <w:pPr>
              <w:pStyle w:val="Normal6"/>
              <w:jc w:val="right"/>
              <w:rPr>
                <w:b/>
                <w:i/>
                <w:sz w:val="20"/>
              </w:rPr>
            </w:pPr>
            <w:r w:rsidRPr="00B7760C">
              <w:rPr>
                <w:b/>
                <w:i/>
                <w:sz w:val="20"/>
              </w:rPr>
              <w:t>1 219 769 672</w:t>
            </w:r>
          </w:p>
        </w:tc>
        <w:tc>
          <w:tcPr>
            <w:tcW w:w="1141" w:type="dxa"/>
            <w:tcBorders>
              <w:top w:val="single" w:sz="4" w:space="0" w:color="auto"/>
              <w:left w:val="single" w:sz="4" w:space="0" w:color="auto"/>
              <w:bottom w:val="single" w:sz="4" w:space="0" w:color="auto"/>
              <w:right w:val="single" w:sz="4" w:space="0" w:color="auto"/>
            </w:tcBorders>
            <w:vAlign w:val="center"/>
            <w:hideMark/>
          </w:tcPr>
          <w:p w14:paraId="1E0685F8" w14:textId="77777777" w:rsidR="003663AF" w:rsidRPr="00B7760C" w:rsidRDefault="003663AF" w:rsidP="00E804B7">
            <w:pPr>
              <w:pStyle w:val="Normal6"/>
              <w:jc w:val="right"/>
              <w:rPr>
                <w:b/>
                <w:i/>
                <w:sz w:val="20"/>
              </w:rPr>
            </w:pPr>
            <w:r w:rsidRPr="00B7760C">
              <w:rPr>
                <w:b/>
                <w:i/>
                <w:sz w:val="20"/>
              </w:rPr>
              <w:t>1 219 769 672</w:t>
            </w:r>
          </w:p>
        </w:tc>
      </w:tr>
      <w:tr w:rsidR="003663AF" w:rsidRPr="00B7760C" w14:paraId="57C02943"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063730D9" w14:textId="77777777" w:rsidR="003663AF" w:rsidRPr="00B7760C" w:rsidRDefault="003663AF" w:rsidP="00E804B7">
            <w:pPr>
              <w:pStyle w:val="Normal6"/>
              <w:rPr>
                <w:sz w:val="20"/>
              </w:rPr>
            </w:pPr>
            <w:r w:rsidRPr="00B7760C">
              <w:rPr>
                <w:sz w:val="20"/>
              </w:rPr>
              <w:t>Malta</w:t>
            </w:r>
          </w:p>
        </w:tc>
        <w:tc>
          <w:tcPr>
            <w:tcW w:w="999" w:type="dxa"/>
            <w:tcBorders>
              <w:top w:val="single" w:sz="4" w:space="0" w:color="auto"/>
              <w:left w:val="single" w:sz="4" w:space="0" w:color="auto"/>
              <w:bottom w:val="single" w:sz="4" w:space="0" w:color="auto"/>
              <w:right w:val="single" w:sz="4" w:space="0" w:color="auto"/>
            </w:tcBorders>
            <w:vAlign w:val="center"/>
            <w:hideMark/>
          </w:tcPr>
          <w:p w14:paraId="0E59986D" w14:textId="77777777" w:rsidR="003663AF" w:rsidRPr="00B7760C" w:rsidRDefault="003663AF" w:rsidP="00E804B7">
            <w:pPr>
              <w:pStyle w:val="Normal6"/>
              <w:jc w:val="right"/>
              <w:rPr>
                <w:b/>
                <w:i/>
                <w:sz w:val="20"/>
              </w:rPr>
            </w:pPr>
            <w:r w:rsidRPr="00B7760C">
              <w:rPr>
                <w:b/>
                <w:i/>
                <w:sz w:val="20"/>
              </w:rPr>
              <w:t>4 507 492</w:t>
            </w:r>
          </w:p>
        </w:tc>
        <w:tc>
          <w:tcPr>
            <w:tcW w:w="900" w:type="dxa"/>
            <w:tcBorders>
              <w:top w:val="single" w:sz="4" w:space="0" w:color="auto"/>
              <w:left w:val="single" w:sz="4" w:space="0" w:color="auto"/>
              <w:bottom w:val="single" w:sz="4" w:space="0" w:color="auto"/>
              <w:right w:val="single" w:sz="4" w:space="0" w:color="auto"/>
            </w:tcBorders>
            <w:vAlign w:val="center"/>
            <w:hideMark/>
          </w:tcPr>
          <w:p w14:paraId="1E394BCA" w14:textId="77777777" w:rsidR="003663AF" w:rsidRPr="00B7760C" w:rsidRDefault="003663AF" w:rsidP="00E804B7">
            <w:pPr>
              <w:pStyle w:val="Normal6"/>
              <w:jc w:val="right"/>
              <w:rPr>
                <w:b/>
                <w:i/>
                <w:sz w:val="20"/>
              </w:rPr>
            </w:pPr>
            <w:r w:rsidRPr="00B7760C">
              <w:rPr>
                <w:b/>
                <w:i/>
                <w:sz w:val="20"/>
              </w:rPr>
              <w:t>4 507 492</w:t>
            </w:r>
          </w:p>
        </w:tc>
        <w:tc>
          <w:tcPr>
            <w:tcW w:w="1019" w:type="dxa"/>
            <w:tcBorders>
              <w:top w:val="single" w:sz="4" w:space="0" w:color="auto"/>
              <w:left w:val="single" w:sz="4" w:space="0" w:color="auto"/>
              <w:bottom w:val="single" w:sz="4" w:space="0" w:color="auto"/>
              <w:right w:val="single" w:sz="4" w:space="0" w:color="auto"/>
            </w:tcBorders>
            <w:vAlign w:val="center"/>
            <w:hideMark/>
          </w:tcPr>
          <w:p w14:paraId="171D5515" w14:textId="77777777" w:rsidR="003663AF" w:rsidRPr="00B7760C" w:rsidRDefault="003663AF" w:rsidP="00E804B7">
            <w:pPr>
              <w:pStyle w:val="Normal6"/>
              <w:jc w:val="right"/>
              <w:rPr>
                <w:b/>
                <w:i/>
                <w:sz w:val="20"/>
              </w:rPr>
            </w:pPr>
            <w:r w:rsidRPr="00B7760C">
              <w:rPr>
                <w:b/>
                <w:i/>
                <w:sz w:val="20"/>
              </w:rPr>
              <w:t>4 507 492</w:t>
            </w:r>
          </w:p>
        </w:tc>
        <w:tc>
          <w:tcPr>
            <w:tcW w:w="1019" w:type="dxa"/>
            <w:tcBorders>
              <w:top w:val="single" w:sz="4" w:space="0" w:color="auto"/>
              <w:left w:val="single" w:sz="4" w:space="0" w:color="auto"/>
              <w:bottom w:val="single" w:sz="4" w:space="0" w:color="auto"/>
              <w:right w:val="single" w:sz="4" w:space="0" w:color="auto"/>
            </w:tcBorders>
            <w:vAlign w:val="center"/>
            <w:hideMark/>
          </w:tcPr>
          <w:p w14:paraId="5B55D228" w14:textId="77777777" w:rsidR="003663AF" w:rsidRPr="00B7760C" w:rsidRDefault="003663AF" w:rsidP="00E804B7">
            <w:pPr>
              <w:pStyle w:val="Normal6"/>
              <w:jc w:val="right"/>
              <w:rPr>
                <w:b/>
                <w:i/>
                <w:sz w:val="20"/>
              </w:rPr>
            </w:pPr>
            <w:r w:rsidRPr="00B7760C">
              <w:rPr>
                <w:b/>
                <w:i/>
                <w:sz w:val="20"/>
              </w:rPr>
              <w:t>4 507 492</w:t>
            </w:r>
          </w:p>
        </w:tc>
        <w:tc>
          <w:tcPr>
            <w:tcW w:w="1019" w:type="dxa"/>
            <w:tcBorders>
              <w:top w:val="single" w:sz="4" w:space="0" w:color="auto"/>
              <w:left w:val="single" w:sz="4" w:space="0" w:color="auto"/>
              <w:bottom w:val="single" w:sz="4" w:space="0" w:color="auto"/>
              <w:right w:val="single" w:sz="4" w:space="0" w:color="auto"/>
            </w:tcBorders>
            <w:vAlign w:val="center"/>
            <w:hideMark/>
          </w:tcPr>
          <w:p w14:paraId="066C25F8" w14:textId="77777777" w:rsidR="003663AF" w:rsidRPr="00B7760C" w:rsidRDefault="003663AF" w:rsidP="00E804B7">
            <w:pPr>
              <w:pStyle w:val="Normal6"/>
              <w:jc w:val="right"/>
              <w:rPr>
                <w:b/>
                <w:i/>
                <w:sz w:val="20"/>
              </w:rPr>
            </w:pPr>
            <w:r w:rsidRPr="00B7760C">
              <w:rPr>
                <w:b/>
                <w:i/>
                <w:sz w:val="20"/>
              </w:rPr>
              <w:t>4 507 492</w:t>
            </w:r>
          </w:p>
        </w:tc>
        <w:tc>
          <w:tcPr>
            <w:tcW w:w="880" w:type="dxa"/>
            <w:tcBorders>
              <w:top w:val="single" w:sz="4" w:space="0" w:color="auto"/>
              <w:left w:val="single" w:sz="4" w:space="0" w:color="auto"/>
              <w:bottom w:val="single" w:sz="4" w:space="0" w:color="auto"/>
              <w:right w:val="single" w:sz="4" w:space="0" w:color="auto"/>
            </w:tcBorders>
            <w:vAlign w:val="center"/>
            <w:hideMark/>
          </w:tcPr>
          <w:p w14:paraId="7DF961F9" w14:textId="77777777" w:rsidR="003663AF" w:rsidRPr="00B7760C" w:rsidRDefault="003663AF" w:rsidP="00E804B7">
            <w:pPr>
              <w:pStyle w:val="Normal6"/>
              <w:jc w:val="right"/>
              <w:rPr>
                <w:b/>
                <w:i/>
                <w:sz w:val="20"/>
              </w:rPr>
            </w:pPr>
            <w:r w:rsidRPr="00B7760C">
              <w:rPr>
                <w:b/>
                <w:i/>
                <w:sz w:val="20"/>
              </w:rPr>
              <w:t>4 507 492</w:t>
            </w:r>
          </w:p>
        </w:tc>
        <w:tc>
          <w:tcPr>
            <w:tcW w:w="1141" w:type="dxa"/>
            <w:tcBorders>
              <w:top w:val="single" w:sz="4" w:space="0" w:color="auto"/>
              <w:left w:val="single" w:sz="4" w:space="0" w:color="auto"/>
              <w:bottom w:val="single" w:sz="4" w:space="0" w:color="auto"/>
              <w:right w:val="single" w:sz="4" w:space="0" w:color="auto"/>
            </w:tcBorders>
            <w:vAlign w:val="center"/>
            <w:hideMark/>
          </w:tcPr>
          <w:p w14:paraId="63308737" w14:textId="77777777" w:rsidR="003663AF" w:rsidRPr="00B7760C" w:rsidRDefault="003663AF" w:rsidP="00E804B7">
            <w:pPr>
              <w:pStyle w:val="Normal6"/>
              <w:jc w:val="right"/>
              <w:rPr>
                <w:b/>
                <w:i/>
                <w:sz w:val="20"/>
              </w:rPr>
            </w:pPr>
            <w:r w:rsidRPr="00B7760C">
              <w:rPr>
                <w:b/>
                <w:i/>
                <w:sz w:val="20"/>
              </w:rPr>
              <w:t>4 507 492</w:t>
            </w:r>
          </w:p>
        </w:tc>
      </w:tr>
      <w:tr w:rsidR="003663AF" w:rsidRPr="00B7760C" w14:paraId="589AF260"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01FBD8D8" w14:textId="77777777" w:rsidR="003663AF" w:rsidRPr="00B7760C" w:rsidRDefault="003663AF" w:rsidP="00E804B7">
            <w:pPr>
              <w:pStyle w:val="Normal6"/>
              <w:rPr>
                <w:sz w:val="20"/>
              </w:rPr>
            </w:pPr>
            <w:r w:rsidRPr="00B7760C">
              <w:rPr>
                <w:sz w:val="20"/>
              </w:rPr>
              <w:t>Nizozemska</w:t>
            </w:r>
          </w:p>
        </w:tc>
        <w:tc>
          <w:tcPr>
            <w:tcW w:w="999" w:type="dxa"/>
            <w:tcBorders>
              <w:top w:val="single" w:sz="4" w:space="0" w:color="auto"/>
              <w:left w:val="single" w:sz="4" w:space="0" w:color="auto"/>
              <w:bottom w:val="single" w:sz="4" w:space="0" w:color="auto"/>
              <w:right w:val="single" w:sz="4" w:space="0" w:color="auto"/>
            </w:tcBorders>
            <w:vAlign w:val="center"/>
            <w:hideMark/>
          </w:tcPr>
          <w:p w14:paraId="35BA805B" w14:textId="77777777" w:rsidR="003663AF" w:rsidRPr="00B7760C" w:rsidRDefault="003663AF" w:rsidP="00E804B7">
            <w:pPr>
              <w:pStyle w:val="Normal6"/>
              <w:jc w:val="right"/>
              <w:rPr>
                <w:b/>
                <w:i/>
                <w:sz w:val="20"/>
              </w:rPr>
            </w:pPr>
            <w:r w:rsidRPr="00B7760C">
              <w:rPr>
                <w:b/>
                <w:i/>
                <w:sz w:val="20"/>
              </w:rPr>
              <w:t>703 870 373</w:t>
            </w:r>
          </w:p>
        </w:tc>
        <w:tc>
          <w:tcPr>
            <w:tcW w:w="900" w:type="dxa"/>
            <w:tcBorders>
              <w:top w:val="single" w:sz="4" w:space="0" w:color="auto"/>
              <w:left w:val="single" w:sz="4" w:space="0" w:color="auto"/>
              <w:bottom w:val="single" w:sz="4" w:space="0" w:color="auto"/>
              <w:right w:val="single" w:sz="4" w:space="0" w:color="auto"/>
            </w:tcBorders>
            <w:vAlign w:val="center"/>
            <w:hideMark/>
          </w:tcPr>
          <w:p w14:paraId="4EDAEB24" w14:textId="77777777" w:rsidR="003663AF" w:rsidRPr="00B7760C" w:rsidRDefault="003663AF" w:rsidP="00E804B7">
            <w:pPr>
              <w:pStyle w:val="Normal6"/>
              <w:jc w:val="right"/>
              <w:rPr>
                <w:b/>
                <w:i/>
                <w:sz w:val="20"/>
              </w:rPr>
            </w:pPr>
            <w:r w:rsidRPr="00B7760C">
              <w:rPr>
                <w:b/>
                <w:i/>
                <w:sz w:val="20"/>
              </w:rPr>
              <w:t>703 870 373</w:t>
            </w:r>
          </w:p>
        </w:tc>
        <w:tc>
          <w:tcPr>
            <w:tcW w:w="1019" w:type="dxa"/>
            <w:tcBorders>
              <w:top w:val="single" w:sz="4" w:space="0" w:color="auto"/>
              <w:left w:val="single" w:sz="4" w:space="0" w:color="auto"/>
              <w:bottom w:val="single" w:sz="4" w:space="0" w:color="auto"/>
              <w:right w:val="single" w:sz="4" w:space="0" w:color="auto"/>
            </w:tcBorders>
            <w:vAlign w:val="center"/>
            <w:hideMark/>
          </w:tcPr>
          <w:p w14:paraId="3F7BAAE1" w14:textId="77777777" w:rsidR="003663AF" w:rsidRPr="00B7760C" w:rsidRDefault="003663AF" w:rsidP="00E804B7">
            <w:pPr>
              <w:pStyle w:val="Normal6"/>
              <w:jc w:val="right"/>
              <w:rPr>
                <w:b/>
                <w:i/>
                <w:sz w:val="20"/>
              </w:rPr>
            </w:pPr>
            <w:r w:rsidRPr="00B7760C">
              <w:rPr>
                <w:b/>
                <w:i/>
                <w:sz w:val="20"/>
              </w:rPr>
              <w:t>703 870 373</w:t>
            </w:r>
          </w:p>
        </w:tc>
        <w:tc>
          <w:tcPr>
            <w:tcW w:w="1019" w:type="dxa"/>
            <w:tcBorders>
              <w:top w:val="single" w:sz="4" w:space="0" w:color="auto"/>
              <w:left w:val="single" w:sz="4" w:space="0" w:color="auto"/>
              <w:bottom w:val="single" w:sz="4" w:space="0" w:color="auto"/>
              <w:right w:val="single" w:sz="4" w:space="0" w:color="auto"/>
            </w:tcBorders>
            <w:vAlign w:val="center"/>
            <w:hideMark/>
          </w:tcPr>
          <w:p w14:paraId="06575BAC" w14:textId="77777777" w:rsidR="003663AF" w:rsidRPr="00B7760C" w:rsidRDefault="003663AF" w:rsidP="00E804B7">
            <w:pPr>
              <w:pStyle w:val="Normal6"/>
              <w:jc w:val="right"/>
              <w:rPr>
                <w:b/>
                <w:i/>
                <w:sz w:val="20"/>
              </w:rPr>
            </w:pPr>
            <w:r w:rsidRPr="00B7760C">
              <w:rPr>
                <w:b/>
                <w:i/>
                <w:sz w:val="20"/>
              </w:rPr>
              <w:t>703 870 373</w:t>
            </w:r>
          </w:p>
        </w:tc>
        <w:tc>
          <w:tcPr>
            <w:tcW w:w="1019" w:type="dxa"/>
            <w:tcBorders>
              <w:top w:val="single" w:sz="4" w:space="0" w:color="auto"/>
              <w:left w:val="single" w:sz="4" w:space="0" w:color="auto"/>
              <w:bottom w:val="single" w:sz="4" w:space="0" w:color="auto"/>
              <w:right w:val="single" w:sz="4" w:space="0" w:color="auto"/>
            </w:tcBorders>
            <w:vAlign w:val="center"/>
            <w:hideMark/>
          </w:tcPr>
          <w:p w14:paraId="60649878" w14:textId="77777777" w:rsidR="003663AF" w:rsidRPr="00B7760C" w:rsidRDefault="003663AF" w:rsidP="00E804B7">
            <w:pPr>
              <w:pStyle w:val="Normal6"/>
              <w:jc w:val="right"/>
              <w:rPr>
                <w:b/>
                <w:i/>
                <w:sz w:val="20"/>
              </w:rPr>
            </w:pPr>
            <w:r w:rsidRPr="00B7760C">
              <w:rPr>
                <w:b/>
                <w:i/>
                <w:sz w:val="20"/>
              </w:rPr>
              <w:t>703 870 373</w:t>
            </w:r>
          </w:p>
        </w:tc>
        <w:tc>
          <w:tcPr>
            <w:tcW w:w="880" w:type="dxa"/>
            <w:tcBorders>
              <w:top w:val="single" w:sz="4" w:space="0" w:color="auto"/>
              <w:left w:val="single" w:sz="4" w:space="0" w:color="auto"/>
              <w:bottom w:val="single" w:sz="4" w:space="0" w:color="auto"/>
              <w:right w:val="single" w:sz="4" w:space="0" w:color="auto"/>
            </w:tcBorders>
            <w:vAlign w:val="center"/>
            <w:hideMark/>
          </w:tcPr>
          <w:p w14:paraId="0E3A1C46" w14:textId="77777777" w:rsidR="003663AF" w:rsidRPr="00B7760C" w:rsidRDefault="003663AF" w:rsidP="00E804B7">
            <w:pPr>
              <w:pStyle w:val="Normal6"/>
              <w:jc w:val="right"/>
              <w:rPr>
                <w:b/>
                <w:i/>
                <w:sz w:val="20"/>
              </w:rPr>
            </w:pPr>
            <w:r w:rsidRPr="00B7760C">
              <w:rPr>
                <w:b/>
                <w:i/>
                <w:sz w:val="20"/>
              </w:rPr>
              <w:t>703 870 373</w:t>
            </w:r>
          </w:p>
        </w:tc>
        <w:tc>
          <w:tcPr>
            <w:tcW w:w="1141" w:type="dxa"/>
            <w:tcBorders>
              <w:top w:val="single" w:sz="4" w:space="0" w:color="auto"/>
              <w:left w:val="single" w:sz="4" w:space="0" w:color="auto"/>
              <w:bottom w:val="single" w:sz="4" w:space="0" w:color="auto"/>
              <w:right w:val="single" w:sz="4" w:space="0" w:color="auto"/>
            </w:tcBorders>
            <w:vAlign w:val="center"/>
            <w:hideMark/>
          </w:tcPr>
          <w:p w14:paraId="665B5363" w14:textId="77777777" w:rsidR="003663AF" w:rsidRPr="00B7760C" w:rsidRDefault="003663AF" w:rsidP="00E804B7">
            <w:pPr>
              <w:pStyle w:val="Normal6"/>
              <w:jc w:val="right"/>
              <w:rPr>
                <w:b/>
                <w:i/>
                <w:sz w:val="20"/>
              </w:rPr>
            </w:pPr>
            <w:r w:rsidRPr="00B7760C">
              <w:rPr>
                <w:b/>
                <w:i/>
                <w:sz w:val="20"/>
              </w:rPr>
              <w:t>703 870 373</w:t>
            </w:r>
          </w:p>
        </w:tc>
      </w:tr>
      <w:tr w:rsidR="003663AF" w:rsidRPr="00B7760C" w14:paraId="03C1215E"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4B513EEA" w14:textId="77777777" w:rsidR="003663AF" w:rsidRPr="00B7760C" w:rsidRDefault="003663AF" w:rsidP="00E804B7">
            <w:pPr>
              <w:pStyle w:val="Normal6"/>
              <w:rPr>
                <w:sz w:val="20"/>
              </w:rPr>
            </w:pPr>
            <w:r w:rsidRPr="00B7760C">
              <w:rPr>
                <w:sz w:val="20"/>
              </w:rPr>
              <w:t>Avstrija</w:t>
            </w:r>
          </w:p>
        </w:tc>
        <w:tc>
          <w:tcPr>
            <w:tcW w:w="999" w:type="dxa"/>
            <w:tcBorders>
              <w:top w:val="single" w:sz="4" w:space="0" w:color="auto"/>
              <w:left w:val="single" w:sz="4" w:space="0" w:color="auto"/>
              <w:bottom w:val="single" w:sz="4" w:space="0" w:color="auto"/>
              <w:right w:val="single" w:sz="4" w:space="0" w:color="auto"/>
            </w:tcBorders>
            <w:vAlign w:val="center"/>
            <w:hideMark/>
          </w:tcPr>
          <w:p w14:paraId="06E78262" w14:textId="77777777" w:rsidR="003663AF" w:rsidRPr="00B7760C" w:rsidRDefault="003663AF" w:rsidP="00E804B7">
            <w:pPr>
              <w:pStyle w:val="Normal6"/>
              <w:jc w:val="right"/>
              <w:rPr>
                <w:b/>
                <w:i/>
                <w:sz w:val="20"/>
              </w:rPr>
            </w:pPr>
            <w:r w:rsidRPr="00B7760C">
              <w:rPr>
                <w:b/>
                <w:i/>
                <w:sz w:val="20"/>
              </w:rPr>
              <w:t>664 819 537</w:t>
            </w:r>
          </w:p>
        </w:tc>
        <w:tc>
          <w:tcPr>
            <w:tcW w:w="900" w:type="dxa"/>
            <w:tcBorders>
              <w:top w:val="single" w:sz="4" w:space="0" w:color="auto"/>
              <w:left w:val="single" w:sz="4" w:space="0" w:color="auto"/>
              <w:bottom w:val="single" w:sz="4" w:space="0" w:color="auto"/>
              <w:right w:val="single" w:sz="4" w:space="0" w:color="auto"/>
            </w:tcBorders>
            <w:vAlign w:val="center"/>
            <w:hideMark/>
          </w:tcPr>
          <w:p w14:paraId="7A81A83D" w14:textId="77777777" w:rsidR="003663AF" w:rsidRPr="00B7760C" w:rsidRDefault="003663AF" w:rsidP="00E804B7">
            <w:pPr>
              <w:pStyle w:val="Normal6"/>
              <w:jc w:val="right"/>
              <w:rPr>
                <w:b/>
                <w:i/>
                <w:sz w:val="20"/>
              </w:rPr>
            </w:pPr>
            <w:r w:rsidRPr="00B7760C">
              <w:rPr>
                <w:b/>
                <w:i/>
                <w:sz w:val="20"/>
              </w:rPr>
              <w:t>664 819 537</w:t>
            </w:r>
          </w:p>
        </w:tc>
        <w:tc>
          <w:tcPr>
            <w:tcW w:w="1019" w:type="dxa"/>
            <w:tcBorders>
              <w:top w:val="single" w:sz="4" w:space="0" w:color="auto"/>
              <w:left w:val="single" w:sz="4" w:space="0" w:color="auto"/>
              <w:bottom w:val="single" w:sz="4" w:space="0" w:color="auto"/>
              <w:right w:val="single" w:sz="4" w:space="0" w:color="auto"/>
            </w:tcBorders>
            <w:vAlign w:val="center"/>
            <w:hideMark/>
          </w:tcPr>
          <w:p w14:paraId="5B2026AB" w14:textId="77777777" w:rsidR="003663AF" w:rsidRPr="00B7760C" w:rsidRDefault="003663AF" w:rsidP="00E804B7">
            <w:pPr>
              <w:pStyle w:val="Normal6"/>
              <w:jc w:val="right"/>
              <w:rPr>
                <w:b/>
                <w:i/>
                <w:sz w:val="20"/>
              </w:rPr>
            </w:pPr>
            <w:r w:rsidRPr="00B7760C">
              <w:rPr>
                <w:b/>
                <w:i/>
                <w:sz w:val="20"/>
              </w:rPr>
              <w:t>664 819 537</w:t>
            </w:r>
          </w:p>
        </w:tc>
        <w:tc>
          <w:tcPr>
            <w:tcW w:w="1019" w:type="dxa"/>
            <w:tcBorders>
              <w:top w:val="single" w:sz="4" w:space="0" w:color="auto"/>
              <w:left w:val="single" w:sz="4" w:space="0" w:color="auto"/>
              <w:bottom w:val="single" w:sz="4" w:space="0" w:color="auto"/>
              <w:right w:val="single" w:sz="4" w:space="0" w:color="auto"/>
            </w:tcBorders>
            <w:vAlign w:val="center"/>
            <w:hideMark/>
          </w:tcPr>
          <w:p w14:paraId="7B78475B" w14:textId="77777777" w:rsidR="003663AF" w:rsidRPr="00B7760C" w:rsidRDefault="003663AF" w:rsidP="00E804B7">
            <w:pPr>
              <w:pStyle w:val="Normal6"/>
              <w:jc w:val="right"/>
              <w:rPr>
                <w:b/>
                <w:i/>
                <w:sz w:val="20"/>
              </w:rPr>
            </w:pPr>
            <w:r w:rsidRPr="00B7760C">
              <w:rPr>
                <w:b/>
                <w:i/>
                <w:sz w:val="20"/>
              </w:rPr>
              <w:t>664 819 537</w:t>
            </w:r>
          </w:p>
        </w:tc>
        <w:tc>
          <w:tcPr>
            <w:tcW w:w="1019" w:type="dxa"/>
            <w:tcBorders>
              <w:top w:val="single" w:sz="4" w:space="0" w:color="auto"/>
              <w:left w:val="single" w:sz="4" w:space="0" w:color="auto"/>
              <w:bottom w:val="single" w:sz="4" w:space="0" w:color="auto"/>
              <w:right w:val="single" w:sz="4" w:space="0" w:color="auto"/>
            </w:tcBorders>
            <w:vAlign w:val="center"/>
            <w:hideMark/>
          </w:tcPr>
          <w:p w14:paraId="50567B13" w14:textId="77777777" w:rsidR="003663AF" w:rsidRPr="00B7760C" w:rsidRDefault="003663AF" w:rsidP="00E804B7">
            <w:pPr>
              <w:pStyle w:val="Normal6"/>
              <w:jc w:val="right"/>
              <w:rPr>
                <w:b/>
                <w:i/>
                <w:sz w:val="20"/>
              </w:rPr>
            </w:pPr>
            <w:r w:rsidRPr="00B7760C">
              <w:rPr>
                <w:b/>
                <w:i/>
                <w:sz w:val="20"/>
              </w:rPr>
              <w:t>664 819 537</w:t>
            </w:r>
          </w:p>
        </w:tc>
        <w:tc>
          <w:tcPr>
            <w:tcW w:w="880" w:type="dxa"/>
            <w:tcBorders>
              <w:top w:val="single" w:sz="4" w:space="0" w:color="auto"/>
              <w:left w:val="single" w:sz="4" w:space="0" w:color="auto"/>
              <w:bottom w:val="single" w:sz="4" w:space="0" w:color="auto"/>
              <w:right w:val="single" w:sz="4" w:space="0" w:color="auto"/>
            </w:tcBorders>
            <w:vAlign w:val="center"/>
            <w:hideMark/>
          </w:tcPr>
          <w:p w14:paraId="20BC5C0D" w14:textId="77777777" w:rsidR="003663AF" w:rsidRPr="00B7760C" w:rsidRDefault="003663AF" w:rsidP="00E804B7">
            <w:pPr>
              <w:pStyle w:val="Normal6"/>
              <w:jc w:val="right"/>
              <w:rPr>
                <w:b/>
                <w:i/>
                <w:sz w:val="20"/>
              </w:rPr>
            </w:pPr>
            <w:r w:rsidRPr="00B7760C">
              <w:rPr>
                <w:b/>
                <w:i/>
                <w:sz w:val="20"/>
              </w:rPr>
              <w:t>664 819 537</w:t>
            </w:r>
          </w:p>
        </w:tc>
        <w:tc>
          <w:tcPr>
            <w:tcW w:w="1141" w:type="dxa"/>
            <w:tcBorders>
              <w:top w:val="single" w:sz="4" w:space="0" w:color="auto"/>
              <w:left w:val="single" w:sz="4" w:space="0" w:color="auto"/>
              <w:bottom w:val="single" w:sz="4" w:space="0" w:color="auto"/>
              <w:right w:val="single" w:sz="4" w:space="0" w:color="auto"/>
            </w:tcBorders>
            <w:vAlign w:val="center"/>
            <w:hideMark/>
          </w:tcPr>
          <w:p w14:paraId="75241185" w14:textId="77777777" w:rsidR="003663AF" w:rsidRPr="00B7760C" w:rsidRDefault="003663AF" w:rsidP="00E804B7">
            <w:pPr>
              <w:pStyle w:val="Normal6"/>
              <w:jc w:val="right"/>
              <w:rPr>
                <w:b/>
                <w:i/>
                <w:sz w:val="20"/>
              </w:rPr>
            </w:pPr>
            <w:r w:rsidRPr="00B7760C">
              <w:rPr>
                <w:b/>
                <w:i/>
                <w:sz w:val="20"/>
              </w:rPr>
              <w:t>664 819 537</w:t>
            </w:r>
          </w:p>
        </w:tc>
      </w:tr>
      <w:tr w:rsidR="003663AF" w:rsidRPr="00B7760C" w14:paraId="208BFB00"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2329C4FA" w14:textId="77777777" w:rsidR="003663AF" w:rsidRPr="00B7760C" w:rsidRDefault="003663AF" w:rsidP="00E804B7">
            <w:pPr>
              <w:pStyle w:val="Normal6"/>
              <w:rPr>
                <w:sz w:val="20"/>
              </w:rPr>
            </w:pPr>
            <w:r w:rsidRPr="00B7760C">
              <w:rPr>
                <w:sz w:val="20"/>
              </w:rPr>
              <w:t>Poljska</w:t>
            </w:r>
          </w:p>
        </w:tc>
        <w:tc>
          <w:tcPr>
            <w:tcW w:w="999" w:type="dxa"/>
            <w:tcBorders>
              <w:top w:val="single" w:sz="4" w:space="0" w:color="auto"/>
              <w:left w:val="single" w:sz="4" w:space="0" w:color="auto"/>
              <w:bottom w:val="single" w:sz="4" w:space="0" w:color="auto"/>
              <w:right w:val="single" w:sz="4" w:space="0" w:color="auto"/>
            </w:tcBorders>
            <w:vAlign w:val="center"/>
            <w:hideMark/>
          </w:tcPr>
          <w:p w14:paraId="14767CA5" w14:textId="77777777" w:rsidR="003663AF" w:rsidRPr="00B7760C" w:rsidRDefault="003663AF" w:rsidP="00E804B7">
            <w:pPr>
              <w:pStyle w:val="Normal6"/>
              <w:jc w:val="right"/>
              <w:rPr>
                <w:b/>
                <w:i/>
                <w:sz w:val="20"/>
              </w:rPr>
            </w:pPr>
            <w:r w:rsidRPr="00B7760C">
              <w:rPr>
                <w:b/>
                <w:i/>
                <w:sz w:val="20"/>
              </w:rPr>
              <w:t>2 972 977 807</w:t>
            </w:r>
          </w:p>
        </w:tc>
        <w:tc>
          <w:tcPr>
            <w:tcW w:w="900" w:type="dxa"/>
            <w:tcBorders>
              <w:top w:val="single" w:sz="4" w:space="0" w:color="auto"/>
              <w:left w:val="single" w:sz="4" w:space="0" w:color="auto"/>
              <w:bottom w:val="single" w:sz="4" w:space="0" w:color="auto"/>
              <w:right w:val="single" w:sz="4" w:space="0" w:color="auto"/>
            </w:tcBorders>
            <w:vAlign w:val="center"/>
            <w:hideMark/>
          </w:tcPr>
          <w:p w14:paraId="209886E8" w14:textId="77777777" w:rsidR="003663AF" w:rsidRPr="00B7760C" w:rsidRDefault="003663AF" w:rsidP="00E804B7">
            <w:pPr>
              <w:pStyle w:val="Normal6"/>
              <w:jc w:val="right"/>
              <w:rPr>
                <w:b/>
                <w:i/>
                <w:sz w:val="20"/>
              </w:rPr>
            </w:pPr>
            <w:r w:rsidRPr="00B7760C">
              <w:rPr>
                <w:b/>
                <w:i/>
                <w:sz w:val="20"/>
              </w:rPr>
              <w:t>3 003 574 280</w:t>
            </w:r>
          </w:p>
        </w:tc>
        <w:tc>
          <w:tcPr>
            <w:tcW w:w="1019" w:type="dxa"/>
            <w:tcBorders>
              <w:top w:val="single" w:sz="4" w:space="0" w:color="auto"/>
              <w:left w:val="single" w:sz="4" w:space="0" w:color="auto"/>
              <w:bottom w:val="single" w:sz="4" w:space="0" w:color="auto"/>
              <w:right w:val="single" w:sz="4" w:space="0" w:color="auto"/>
            </w:tcBorders>
            <w:vAlign w:val="center"/>
            <w:hideMark/>
          </w:tcPr>
          <w:p w14:paraId="167C3844" w14:textId="77777777" w:rsidR="003663AF" w:rsidRPr="00B7760C" w:rsidRDefault="003663AF" w:rsidP="00E804B7">
            <w:pPr>
              <w:pStyle w:val="Normal6"/>
              <w:jc w:val="right"/>
              <w:rPr>
                <w:b/>
                <w:i/>
                <w:sz w:val="20"/>
              </w:rPr>
            </w:pPr>
            <w:r w:rsidRPr="00B7760C">
              <w:rPr>
                <w:b/>
                <w:i/>
                <w:sz w:val="20"/>
              </w:rPr>
              <w:t>3 034 170 753</w:t>
            </w:r>
          </w:p>
        </w:tc>
        <w:tc>
          <w:tcPr>
            <w:tcW w:w="1019" w:type="dxa"/>
            <w:tcBorders>
              <w:top w:val="single" w:sz="4" w:space="0" w:color="auto"/>
              <w:left w:val="single" w:sz="4" w:space="0" w:color="auto"/>
              <w:bottom w:val="single" w:sz="4" w:space="0" w:color="auto"/>
              <w:right w:val="single" w:sz="4" w:space="0" w:color="auto"/>
            </w:tcBorders>
            <w:vAlign w:val="center"/>
            <w:hideMark/>
          </w:tcPr>
          <w:p w14:paraId="36875535" w14:textId="77777777" w:rsidR="003663AF" w:rsidRPr="00B7760C" w:rsidRDefault="003663AF" w:rsidP="00E804B7">
            <w:pPr>
              <w:pStyle w:val="Normal6"/>
              <w:jc w:val="right"/>
              <w:rPr>
                <w:b/>
                <w:i/>
                <w:sz w:val="20"/>
              </w:rPr>
            </w:pPr>
            <w:r w:rsidRPr="00B7760C">
              <w:rPr>
                <w:b/>
                <w:i/>
                <w:sz w:val="20"/>
              </w:rPr>
              <w:t>3 064 767 227</w:t>
            </w:r>
          </w:p>
        </w:tc>
        <w:tc>
          <w:tcPr>
            <w:tcW w:w="1019" w:type="dxa"/>
            <w:tcBorders>
              <w:top w:val="single" w:sz="4" w:space="0" w:color="auto"/>
              <w:left w:val="single" w:sz="4" w:space="0" w:color="auto"/>
              <w:bottom w:val="single" w:sz="4" w:space="0" w:color="auto"/>
              <w:right w:val="single" w:sz="4" w:space="0" w:color="auto"/>
            </w:tcBorders>
            <w:vAlign w:val="center"/>
            <w:hideMark/>
          </w:tcPr>
          <w:p w14:paraId="00DC9731" w14:textId="77777777" w:rsidR="003663AF" w:rsidRPr="00B7760C" w:rsidRDefault="003663AF" w:rsidP="00E804B7">
            <w:pPr>
              <w:pStyle w:val="Normal6"/>
              <w:jc w:val="right"/>
              <w:rPr>
                <w:b/>
                <w:i/>
                <w:sz w:val="20"/>
              </w:rPr>
            </w:pPr>
            <w:r w:rsidRPr="00B7760C">
              <w:rPr>
                <w:b/>
                <w:i/>
                <w:sz w:val="20"/>
              </w:rPr>
              <w:t>3 095 363 700</w:t>
            </w:r>
          </w:p>
        </w:tc>
        <w:tc>
          <w:tcPr>
            <w:tcW w:w="880" w:type="dxa"/>
            <w:tcBorders>
              <w:top w:val="single" w:sz="4" w:space="0" w:color="auto"/>
              <w:left w:val="single" w:sz="4" w:space="0" w:color="auto"/>
              <w:bottom w:val="single" w:sz="4" w:space="0" w:color="auto"/>
              <w:right w:val="single" w:sz="4" w:space="0" w:color="auto"/>
            </w:tcBorders>
            <w:vAlign w:val="center"/>
            <w:hideMark/>
          </w:tcPr>
          <w:p w14:paraId="29A0EA79" w14:textId="77777777" w:rsidR="003663AF" w:rsidRPr="00B7760C" w:rsidRDefault="003663AF" w:rsidP="00E804B7">
            <w:pPr>
              <w:pStyle w:val="Normal6"/>
              <w:jc w:val="right"/>
              <w:rPr>
                <w:b/>
                <w:i/>
                <w:sz w:val="20"/>
              </w:rPr>
            </w:pPr>
            <w:r w:rsidRPr="00B7760C">
              <w:rPr>
                <w:b/>
                <w:i/>
                <w:sz w:val="20"/>
              </w:rPr>
              <w:t>3 125 960 174</w:t>
            </w:r>
          </w:p>
        </w:tc>
        <w:tc>
          <w:tcPr>
            <w:tcW w:w="1141" w:type="dxa"/>
            <w:tcBorders>
              <w:top w:val="single" w:sz="4" w:space="0" w:color="auto"/>
              <w:left w:val="single" w:sz="4" w:space="0" w:color="auto"/>
              <w:bottom w:val="single" w:sz="4" w:space="0" w:color="auto"/>
              <w:right w:val="single" w:sz="4" w:space="0" w:color="auto"/>
            </w:tcBorders>
            <w:vAlign w:val="center"/>
            <w:hideMark/>
          </w:tcPr>
          <w:p w14:paraId="1D4FFC3A" w14:textId="77777777" w:rsidR="003663AF" w:rsidRPr="00B7760C" w:rsidRDefault="003663AF" w:rsidP="00E804B7">
            <w:pPr>
              <w:pStyle w:val="Normal6"/>
              <w:jc w:val="right"/>
              <w:rPr>
                <w:b/>
                <w:i/>
                <w:sz w:val="20"/>
              </w:rPr>
            </w:pPr>
            <w:r w:rsidRPr="00B7760C">
              <w:rPr>
                <w:b/>
                <w:i/>
                <w:sz w:val="20"/>
              </w:rPr>
              <w:t>3 125 960 174</w:t>
            </w:r>
          </w:p>
        </w:tc>
      </w:tr>
      <w:tr w:rsidR="003663AF" w:rsidRPr="00B7760C" w14:paraId="0E549127"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3528FA7E" w14:textId="77777777" w:rsidR="003663AF" w:rsidRPr="00B7760C" w:rsidRDefault="003663AF" w:rsidP="00E804B7">
            <w:pPr>
              <w:pStyle w:val="Normal6"/>
              <w:rPr>
                <w:sz w:val="20"/>
              </w:rPr>
            </w:pPr>
            <w:r w:rsidRPr="00B7760C">
              <w:rPr>
                <w:sz w:val="20"/>
              </w:rPr>
              <w:t>Portugalska</w:t>
            </w:r>
          </w:p>
        </w:tc>
        <w:tc>
          <w:tcPr>
            <w:tcW w:w="999" w:type="dxa"/>
            <w:tcBorders>
              <w:top w:val="single" w:sz="4" w:space="0" w:color="auto"/>
              <w:left w:val="single" w:sz="4" w:space="0" w:color="auto"/>
              <w:bottom w:val="single" w:sz="4" w:space="0" w:color="auto"/>
              <w:right w:val="single" w:sz="4" w:space="0" w:color="auto"/>
            </w:tcBorders>
            <w:vAlign w:val="center"/>
            <w:hideMark/>
          </w:tcPr>
          <w:p w14:paraId="001E7A8C" w14:textId="77777777" w:rsidR="003663AF" w:rsidRPr="00B7760C" w:rsidRDefault="003663AF" w:rsidP="00E804B7">
            <w:pPr>
              <w:pStyle w:val="Normal6"/>
              <w:jc w:val="right"/>
              <w:rPr>
                <w:b/>
                <w:i/>
                <w:sz w:val="20"/>
              </w:rPr>
            </w:pPr>
            <w:r w:rsidRPr="00B7760C">
              <w:rPr>
                <w:b/>
                <w:i/>
                <w:sz w:val="20"/>
              </w:rPr>
              <w:t>584 650 144</w:t>
            </w:r>
          </w:p>
        </w:tc>
        <w:tc>
          <w:tcPr>
            <w:tcW w:w="900" w:type="dxa"/>
            <w:tcBorders>
              <w:top w:val="single" w:sz="4" w:space="0" w:color="auto"/>
              <w:left w:val="single" w:sz="4" w:space="0" w:color="auto"/>
              <w:bottom w:val="single" w:sz="4" w:space="0" w:color="auto"/>
              <w:right w:val="single" w:sz="4" w:space="0" w:color="auto"/>
            </w:tcBorders>
            <w:vAlign w:val="center"/>
            <w:hideMark/>
          </w:tcPr>
          <w:p w14:paraId="2C50029F" w14:textId="77777777" w:rsidR="003663AF" w:rsidRPr="00B7760C" w:rsidRDefault="003663AF" w:rsidP="00E804B7">
            <w:pPr>
              <w:pStyle w:val="Normal6"/>
              <w:jc w:val="right"/>
              <w:rPr>
                <w:b/>
                <w:i/>
                <w:sz w:val="20"/>
              </w:rPr>
            </w:pPr>
            <w:r w:rsidRPr="00B7760C">
              <w:rPr>
                <w:b/>
                <w:i/>
                <w:sz w:val="20"/>
              </w:rPr>
              <w:t>593 268 733</w:t>
            </w:r>
          </w:p>
        </w:tc>
        <w:tc>
          <w:tcPr>
            <w:tcW w:w="1019" w:type="dxa"/>
            <w:tcBorders>
              <w:top w:val="single" w:sz="4" w:space="0" w:color="auto"/>
              <w:left w:val="single" w:sz="4" w:space="0" w:color="auto"/>
              <w:bottom w:val="single" w:sz="4" w:space="0" w:color="auto"/>
              <w:right w:val="single" w:sz="4" w:space="0" w:color="auto"/>
            </w:tcBorders>
            <w:vAlign w:val="center"/>
            <w:hideMark/>
          </w:tcPr>
          <w:p w14:paraId="148160F9" w14:textId="77777777" w:rsidR="003663AF" w:rsidRPr="00B7760C" w:rsidRDefault="003663AF" w:rsidP="00E804B7">
            <w:pPr>
              <w:pStyle w:val="Normal6"/>
              <w:jc w:val="right"/>
              <w:rPr>
                <w:b/>
                <w:i/>
                <w:sz w:val="20"/>
              </w:rPr>
            </w:pPr>
            <w:r w:rsidRPr="00B7760C">
              <w:rPr>
                <w:b/>
                <w:i/>
                <w:sz w:val="20"/>
              </w:rPr>
              <w:t>601 887 323</w:t>
            </w:r>
          </w:p>
        </w:tc>
        <w:tc>
          <w:tcPr>
            <w:tcW w:w="1019" w:type="dxa"/>
            <w:tcBorders>
              <w:top w:val="single" w:sz="4" w:space="0" w:color="auto"/>
              <w:left w:val="single" w:sz="4" w:space="0" w:color="auto"/>
              <w:bottom w:val="single" w:sz="4" w:space="0" w:color="auto"/>
              <w:right w:val="single" w:sz="4" w:space="0" w:color="auto"/>
            </w:tcBorders>
            <w:vAlign w:val="center"/>
            <w:hideMark/>
          </w:tcPr>
          <w:p w14:paraId="4271FA73" w14:textId="77777777" w:rsidR="003663AF" w:rsidRPr="00B7760C" w:rsidRDefault="003663AF" w:rsidP="00E804B7">
            <w:pPr>
              <w:pStyle w:val="Normal6"/>
              <w:jc w:val="right"/>
              <w:rPr>
                <w:b/>
                <w:i/>
                <w:sz w:val="20"/>
              </w:rPr>
            </w:pPr>
            <w:r w:rsidRPr="00B7760C">
              <w:rPr>
                <w:b/>
                <w:i/>
                <w:sz w:val="20"/>
              </w:rPr>
              <w:t>610 505 913</w:t>
            </w:r>
          </w:p>
        </w:tc>
        <w:tc>
          <w:tcPr>
            <w:tcW w:w="1019" w:type="dxa"/>
            <w:tcBorders>
              <w:top w:val="single" w:sz="4" w:space="0" w:color="auto"/>
              <w:left w:val="single" w:sz="4" w:space="0" w:color="auto"/>
              <w:bottom w:val="single" w:sz="4" w:space="0" w:color="auto"/>
              <w:right w:val="single" w:sz="4" w:space="0" w:color="auto"/>
            </w:tcBorders>
            <w:vAlign w:val="center"/>
            <w:hideMark/>
          </w:tcPr>
          <w:p w14:paraId="29A1E2A3" w14:textId="77777777" w:rsidR="003663AF" w:rsidRPr="00B7760C" w:rsidRDefault="003663AF" w:rsidP="00E804B7">
            <w:pPr>
              <w:pStyle w:val="Normal6"/>
              <w:jc w:val="right"/>
              <w:rPr>
                <w:b/>
                <w:i/>
                <w:sz w:val="20"/>
              </w:rPr>
            </w:pPr>
            <w:r w:rsidRPr="00B7760C">
              <w:rPr>
                <w:b/>
                <w:i/>
                <w:sz w:val="20"/>
              </w:rPr>
              <w:t>619 124 503</w:t>
            </w:r>
          </w:p>
        </w:tc>
        <w:tc>
          <w:tcPr>
            <w:tcW w:w="880" w:type="dxa"/>
            <w:tcBorders>
              <w:top w:val="single" w:sz="4" w:space="0" w:color="auto"/>
              <w:left w:val="single" w:sz="4" w:space="0" w:color="auto"/>
              <w:bottom w:val="single" w:sz="4" w:space="0" w:color="auto"/>
              <w:right w:val="single" w:sz="4" w:space="0" w:color="auto"/>
            </w:tcBorders>
            <w:vAlign w:val="center"/>
            <w:hideMark/>
          </w:tcPr>
          <w:p w14:paraId="428042B5" w14:textId="77777777" w:rsidR="003663AF" w:rsidRPr="00B7760C" w:rsidRDefault="003663AF" w:rsidP="00E804B7">
            <w:pPr>
              <w:pStyle w:val="Normal6"/>
              <w:jc w:val="right"/>
              <w:rPr>
                <w:b/>
                <w:i/>
                <w:sz w:val="20"/>
              </w:rPr>
            </w:pPr>
            <w:r w:rsidRPr="00B7760C">
              <w:rPr>
                <w:b/>
                <w:i/>
                <w:sz w:val="20"/>
              </w:rPr>
              <w:t>627 743 093</w:t>
            </w:r>
          </w:p>
        </w:tc>
        <w:tc>
          <w:tcPr>
            <w:tcW w:w="1141" w:type="dxa"/>
            <w:tcBorders>
              <w:top w:val="single" w:sz="4" w:space="0" w:color="auto"/>
              <w:left w:val="single" w:sz="4" w:space="0" w:color="auto"/>
              <w:bottom w:val="single" w:sz="4" w:space="0" w:color="auto"/>
              <w:right w:val="single" w:sz="4" w:space="0" w:color="auto"/>
            </w:tcBorders>
            <w:vAlign w:val="center"/>
            <w:hideMark/>
          </w:tcPr>
          <w:p w14:paraId="4D8BFC22" w14:textId="77777777" w:rsidR="003663AF" w:rsidRPr="00B7760C" w:rsidRDefault="003663AF" w:rsidP="00E804B7">
            <w:pPr>
              <w:pStyle w:val="Normal6"/>
              <w:jc w:val="right"/>
              <w:rPr>
                <w:b/>
                <w:i/>
                <w:sz w:val="20"/>
              </w:rPr>
            </w:pPr>
            <w:r w:rsidRPr="00B7760C">
              <w:rPr>
                <w:b/>
                <w:i/>
                <w:sz w:val="20"/>
              </w:rPr>
              <w:t>627 743 093</w:t>
            </w:r>
          </w:p>
        </w:tc>
      </w:tr>
      <w:tr w:rsidR="003663AF" w:rsidRPr="00B7760C" w14:paraId="1EF0D289"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5D512EC0" w14:textId="77777777" w:rsidR="003663AF" w:rsidRPr="00B7760C" w:rsidRDefault="003663AF" w:rsidP="00E804B7">
            <w:pPr>
              <w:pStyle w:val="Normal6"/>
              <w:rPr>
                <w:sz w:val="20"/>
              </w:rPr>
            </w:pPr>
            <w:r w:rsidRPr="00B7760C">
              <w:rPr>
                <w:sz w:val="20"/>
              </w:rPr>
              <w:t>Romunija</w:t>
            </w:r>
          </w:p>
        </w:tc>
        <w:tc>
          <w:tcPr>
            <w:tcW w:w="999" w:type="dxa"/>
            <w:tcBorders>
              <w:top w:val="single" w:sz="4" w:space="0" w:color="auto"/>
              <w:left w:val="single" w:sz="4" w:space="0" w:color="auto"/>
              <w:bottom w:val="single" w:sz="4" w:space="0" w:color="auto"/>
              <w:right w:val="single" w:sz="4" w:space="0" w:color="auto"/>
            </w:tcBorders>
            <w:vAlign w:val="center"/>
            <w:hideMark/>
          </w:tcPr>
          <w:p w14:paraId="0E7B74B0" w14:textId="77777777" w:rsidR="003663AF" w:rsidRPr="00B7760C" w:rsidRDefault="003663AF" w:rsidP="00E804B7">
            <w:pPr>
              <w:pStyle w:val="Normal6"/>
              <w:jc w:val="right"/>
              <w:rPr>
                <w:b/>
                <w:i/>
                <w:sz w:val="20"/>
              </w:rPr>
            </w:pPr>
            <w:r w:rsidRPr="00B7760C">
              <w:rPr>
                <w:b/>
                <w:i/>
                <w:sz w:val="20"/>
              </w:rPr>
              <w:t>1 856 172 601</w:t>
            </w:r>
          </w:p>
        </w:tc>
        <w:tc>
          <w:tcPr>
            <w:tcW w:w="900" w:type="dxa"/>
            <w:tcBorders>
              <w:top w:val="single" w:sz="4" w:space="0" w:color="auto"/>
              <w:left w:val="single" w:sz="4" w:space="0" w:color="auto"/>
              <w:bottom w:val="single" w:sz="4" w:space="0" w:color="auto"/>
              <w:right w:val="single" w:sz="4" w:space="0" w:color="auto"/>
            </w:tcBorders>
            <w:vAlign w:val="center"/>
            <w:hideMark/>
          </w:tcPr>
          <w:p w14:paraId="31383DDC" w14:textId="77777777" w:rsidR="003663AF" w:rsidRPr="00B7760C" w:rsidRDefault="003663AF" w:rsidP="00E804B7">
            <w:pPr>
              <w:pStyle w:val="Normal6"/>
              <w:jc w:val="right"/>
              <w:rPr>
                <w:b/>
                <w:i/>
                <w:sz w:val="20"/>
              </w:rPr>
            </w:pPr>
            <w:r w:rsidRPr="00B7760C">
              <w:rPr>
                <w:b/>
                <w:i/>
                <w:sz w:val="20"/>
              </w:rPr>
              <w:t>1 883 211 603</w:t>
            </w:r>
          </w:p>
        </w:tc>
        <w:tc>
          <w:tcPr>
            <w:tcW w:w="1019" w:type="dxa"/>
            <w:tcBorders>
              <w:top w:val="single" w:sz="4" w:space="0" w:color="auto"/>
              <w:left w:val="single" w:sz="4" w:space="0" w:color="auto"/>
              <w:bottom w:val="single" w:sz="4" w:space="0" w:color="auto"/>
              <w:right w:val="single" w:sz="4" w:space="0" w:color="auto"/>
            </w:tcBorders>
            <w:vAlign w:val="center"/>
            <w:hideMark/>
          </w:tcPr>
          <w:p w14:paraId="55A9E40E" w14:textId="77777777" w:rsidR="003663AF" w:rsidRPr="00B7760C" w:rsidRDefault="003663AF" w:rsidP="00E804B7">
            <w:pPr>
              <w:pStyle w:val="Normal6"/>
              <w:jc w:val="right"/>
              <w:rPr>
                <w:b/>
                <w:i/>
                <w:sz w:val="20"/>
              </w:rPr>
            </w:pPr>
            <w:r w:rsidRPr="00B7760C">
              <w:rPr>
                <w:b/>
                <w:i/>
                <w:sz w:val="20"/>
              </w:rPr>
              <w:t>1 910 250 604</w:t>
            </w:r>
          </w:p>
        </w:tc>
        <w:tc>
          <w:tcPr>
            <w:tcW w:w="1019" w:type="dxa"/>
            <w:tcBorders>
              <w:top w:val="single" w:sz="4" w:space="0" w:color="auto"/>
              <w:left w:val="single" w:sz="4" w:space="0" w:color="auto"/>
              <w:bottom w:val="single" w:sz="4" w:space="0" w:color="auto"/>
              <w:right w:val="single" w:sz="4" w:space="0" w:color="auto"/>
            </w:tcBorders>
            <w:vAlign w:val="center"/>
            <w:hideMark/>
          </w:tcPr>
          <w:p w14:paraId="719EE3B2" w14:textId="77777777" w:rsidR="003663AF" w:rsidRPr="00B7760C" w:rsidRDefault="003663AF" w:rsidP="00E804B7">
            <w:pPr>
              <w:pStyle w:val="Normal6"/>
              <w:jc w:val="right"/>
              <w:rPr>
                <w:b/>
                <w:i/>
                <w:sz w:val="20"/>
              </w:rPr>
            </w:pPr>
            <w:r w:rsidRPr="00B7760C">
              <w:rPr>
                <w:b/>
                <w:i/>
                <w:sz w:val="20"/>
              </w:rPr>
              <w:t>1 937 289 605</w:t>
            </w:r>
          </w:p>
        </w:tc>
        <w:tc>
          <w:tcPr>
            <w:tcW w:w="1019" w:type="dxa"/>
            <w:tcBorders>
              <w:top w:val="single" w:sz="4" w:space="0" w:color="auto"/>
              <w:left w:val="single" w:sz="4" w:space="0" w:color="auto"/>
              <w:bottom w:val="single" w:sz="4" w:space="0" w:color="auto"/>
              <w:right w:val="single" w:sz="4" w:space="0" w:color="auto"/>
            </w:tcBorders>
            <w:vAlign w:val="center"/>
            <w:hideMark/>
          </w:tcPr>
          <w:p w14:paraId="7792121B" w14:textId="77777777" w:rsidR="003663AF" w:rsidRPr="00B7760C" w:rsidRDefault="003663AF" w:rsidP="00E804B7">
            <w:pPr>
              <w:pStyle w:val="Normal6"/>
              <w:jc w:val="right"/>
              <w:rPr>
                <w:b/>
                <w:i/>
                <w:sz w:val="20"/>
              </w:rPr>
            </w:pPr>
            <w:r w:rsidRPr="00B7760C">
              <w:rPr>
                <w:b/>
                <w:i/>
                <w:sz w:val="20"/>
              </w:rPr>
              <w:t>1 964 328 606</w:t>
            </w:r>
          </w:p>
        </w:tc>
        <w:tc>
          <w:tcPr>
            <w:tcW w:w="880" w:type="dxa"/>
            <w:tcBorders>
              <w:top w:val="single" w:sz="4" w:space="0" w:color="auto"/>
              <w:left w:val="single" w:sz="4" w:space="0" w:color="auto"/>
              <w:bottom w:val="single" w:sz="4" w:space="0" w:color="auto"/>
              <w:right w:val="single" w:sz="4" w:space="0" w:color="auto"/>
            </w:tcBorders>
            <w:vAlign w:val="center"/>
            <w:hideMark/>
          </w:tcPr>
          <w:p w14:paraId="39CD8C1F" w14:textId="77777777" w:rsidR="003663AF" w:rsidRPr="00B7760C" w:rsidRDefault="003663AF" w:rsidP="00E804B7">
            <w:pPr>
              <w:pStyle w:val="Normal6"/>
              <w:jc w:val="right"/>
              <w:rPr>
                <w:b/>
                <w:i/>
                <w:sz w:val="20"/>
              </w:rPr>
            </w:pPr>
            <w:r w:rsidRPr="00B7760C">
              <w:rPr>
                <w:b/>
                <w:i/>
                <w:sz w:val="20"/>
              </w:rPr>
              <w:t>1 991 367 607</w:t>
            </w:r>
          </w:p>
        </w:tc>
        <w:tc>
          <w:tcPr>
            <w:tcW w:w="1141" w:type="dxa"/>
            <w:tcBorders>
              <w:top w:val="single" w:sz="4" w:space="0" w:color="auto"/>
              <w:left w:val="single" w:sz="4" w:space="0" w:color="auto"/>
              <w:bottom w:val="single" w:sz="4" w:space="0" w:color="auto"/>
              <w:right w:val="single" w:sz="4" w:space="0" w:color="auto"/>
            </w:tcBorders>
            <w:vAlign w:val="center"/>
            <w:hideMark/>
          </w:tcPr>
          <w:p w14:paraId="1D8553E9" w14:textId="77777777" w:rsidR="003663AF" w:rsidRPr="00B7760C" w:rsidRDefault="003663AF" w:rsidP="00E804B7">
            <w:pPr>
              <w:pStyle w:val="Normal6"/>
              <w:jc w:val="right"/>
              <w:rPr>
                <w:b/>
                <w:i/>
                <w:sz w:val="20"/>
              </w:rPr>
            </w:pPr>
            <w:r w:rsidRPr="00B7760C">
              <w:rPr>
                <w:b/>
                <w:i/>
                <w:sz w:val="20"/>
              </w:rPr>
              <w:t>1 991 367 607</w:t>
            </w:r>
          </w:p>
        </w:tc>
      </w:tr>
      <w:tr w:rsidR="003663AF" w:rsidRPr="00B7760C" w14:paraId="6E101DE1"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17C990C9" w14:textId="77777777" w:rsidR="003663AF" w:rsidRPr="00B7760C" w:rsidRDefault="003663AF" w:rsidP="00E804B7">
            <w:pPr>
              <w:pStyle w:val="Normal6"/>
              <w:rPr>
                <w:sz w:val="20"/>
              </w:rPr>
            </w:pPr>
            <w:r w:rsidRPr="00B7760C">
              <w:rPr>
                <w:sz w:val="20"/>
              </w:rPr>
              <w:t>Slovenija</w:t>
            </w:r>
          </w:p>
        </w:tc>
        <w:tc>
          <w:tcPr>
            <w:tcW w:w="999" w:type="dxa"/>
            <w:tcBorders>
              <w:top w:val="single" w:sz="4" w:space="0" w:color="auto"/>
              <w:left w:val="single" w:sz="4" w:space="0" w:color="auto"/>
              <w:bottom w:val="single" w:sz="4" w:space="0" w:color="auto"/>
              <w:right w:val="single" w:sz="4" w:space="0" w:color="auto"/>
            </w:tcBorders>
            <w:vAlign w:val="center"/>
            <w:hideMark/>
          </w:tcPr>
          <w:p w14:paraId="2AC43FA5" w14:textId="77777777" w:rsidR="003663AF" w:rsidRPr="00B7760C" w:rsidRDefault="003663AF" w:rsidP="00E804B7">
            <w:pPr>
              <w:pStyle w:val="Normal6"/>
              <w:jc w:val="right"/>
              <w:rPr>
                <w:b/>
                <w:i/>
                <w:sz w:val="20"/>
              </w:rPr>
            </w:pPr>
            <w:r w:rsidRPr="00B7760C">
              <w:rPr>
                <w:b/>
                <w:i/>
                <w:sz w:val="20"/>
              </w:rPr>
              <w:t>129 052 673</w:t>
            </w:r>
          </w:p>
        </w:tc>
        <w:tc>
          <w:tcPr>
            <w:tcW w:w="900" w:type="dxa"/>
            <w:tcBorders>
              <w:top w:val="single" w:sz="4" w:space="0" w:color="auto"/>
              <w:left w:val="single" w:sz="4" w:space="0" w:color="auto"/>
              <w:bottom w:val="single" w:sz="4" w:space="0" w:color="auto"/>
              <w:right w:val="single" w:sz="4" w:space="0" w:color="auto"/>
            </w:tcBorders>
            <w:vAlign w:val="center"/>
            <w:hideMark/>
          </w:tcPr>
          <w:p w14:paraId="45CA6180" w14:textId="77777777" w:rsidR="003663AF" w:rsidRPr="00B7760C" w:rsidRDefault="003663AF" w:rsidP="00E804B7">
            <w:pPr>
              <w:pStyle w:val="Normal6"/>
              <w:jc w:val="right"/>
              <w:rPr>
                <w:b/>
                <w:i/>
                <w:sz w:val="20"/>
              </w:rPr>
            </w:pPr>
            <w:r w:rsidRPr="00B7760C">
              <w:rPr>
                <w:b/>
                <w:i/>
                <w:sz w:val="20"/>
              </w:rPr>
              <w:t>129 052 673</w:t>
            </w:r>
          </w:p>
        </w:tc>
        <w:tc>
          <w:tcPr>
            <w:tcW w:w="1019" w:type="dxa"/>
            <w:tcBorders>
              <w:top w:val="single" w:sz="4" w:space="0" w:color="auto"/>
              <w:left w:val="single" w:sz="4" w:space="0" w:color="auto"/>
              <w:bottom w:val="single" w:sz="4" w:space="0" w:color="auto"/>
              <w:right w:val="single" w:sz="4" w:space="0" w:color="auto"/>
            </w:tcBorders>
            <w:vAlign w:val="center"/>
            <w:hideMark/>
          </w:tcPr>
          <w:p w14:paraId="000B4D10" w14:textId="77777777" w:rsidR="003663AF" w:rsidRPr="00B7760C" w:rsidRDefault="003663AF" w:rsidP="00E804B7">
            <w:pPr>
              <w:pStyle w:val="Normal6"/>
              <w:jc w:val="right"/>
              <w:rPr>
                <w:b/>
                <w:i/>
                <w:sz w:val="20"/>
              </w:rPr>
            </w:pPr>
            <w:r w:rsidRPr="00B7760C">
              <w:rPr>
                <w:b/>
                <w:i/>
                <w:sz w:val="20"/>
              </w:rPr>
              <w:t>129 052 673</w:t>
            </w:r>
          </w:p>
        </w:tc>
        <w:tc>
          <w:tcPr>
            <w:tcW w:w="1019" w:type="dxa"/>
            <w:tcBorders>
              <w:top w:val="single" w:sz="4" w:space="0" w:color="auto"/>
              <w:left w:val="single" w:sz="4" w:space="0" w:color="auto"/>
              <w:bottom w:val="single" w:sz="4" w:space="0" w:color="auto"/>
              <w:right w:val="single" w:sz="4" w:space="0" w:color="auto"/>
            </w:tcBorders>
            <w:vAlign w:val="center"/>
            <w:hideMark/>
          </w:tcPr>
          <w:p w14:paraId="4C97FEF5" w14:textId="77777777" w:rsidR="003663AF" w:rsidRPr="00B7760C" w:rsidRDefault="003663AF" w:rsidP="00E804B7">
            <w:pPr>
              <w:pStyle w:val="Normal6"/>
              <w:jc w:val="right"/>
              <w:rPr>
                <w:b/>
                <w:i/>
                <w:sz w:val="20"/>
              </w:rPr>
            </w:pPr>
            <w:r w:rsidRPr="00B7760C">
              <w:rPr>
                <w:b/>
                <w:i/>
                <w:sz w:val="20"/>
              </w:rPr>
              <w:t>129 052 673</w:t>
            </w:r>
          </w:p>
        </w:tc>
        <w:tc>
          <w:tcPr>
            <w:tcW w:w="1019" w:type="dxa"/>
            <w:tcBorders>
              <w:top w:val="single" w:sz="4" w:space="0" w:color="auto"/>
              <w:left w:val="single" w:sz="4" w:space="0" w:color="auto"/>
              <w:bottom w:val="single" w:sz="4" w:space="0" w:color="auto"/>
              <w:right w:val="single" w:sz="4" w:space="0" w:color="auto"/>
            </w:tcBorders>
            <w:vAlign w:val="center"/>
            <w:hideMark/>
          </w:tcPr>
          <w:p w14:paraId="7E1CD3EB" w14:textId="77777777" w:rsidR="003663AF" w:rsidRPr="00B7760C" w:rsidRDefault="003663AF" w:rsidP="00E804B7">
            <w:pPr>
              <w:pStyle w:val="Normal6"/>
              <w:jc w:val="right"/>
              <w:rPr>
                <w:b/>
                <w:i/>
                <w:sz w:val="20"/>
              </w:rPr>
            </w:pPr>
            <w:r w:rsidRPr="00B7760C">
              <w:rPr>
                <w:b/>
                <w:i/>
                <w:sz w:val="20"/>
              </w:rPr>
              <w:t>129 052 673</w:t>
            </w:r>
          </w:p>
        </w:tc>
        <w:tc>
          <w:tcPr>
            <w:tcW w:w="880" w:type="dxa"/>
            <w:tcBorders>
              <w:top w:val="single" w:sz="4" w:space="0" w:color="auto"/>
              <w:left w:val="single" w:sz="4" w:space="0" w:color="auto"/>
              <w:bottom w:val="single" w:sz="4" w:space="0" w:color="auto"/>
              <w:right w:val="single" w:sz="4" w:space="0" w:color="auto"/>
            </w:tcBorders>
            <w:vAlign w:val="center"/>
            <w:hideMark/>
          </w:tcPr>
          <w:p w14:paraId="32FAE0D3" w14:textId="77777777" w:rsidR="003663AF" w:rsidRPr="00B7760C" w:rsidRDefault="003663AF" w:rsidP="00E804B7">
            <w:pPr>
              <w:pStyle w:val="Normal6"/>
              <w:jc w:val="right"/>
              <w:rPr>
                <w:b/>
                <w:i/>
                <w:sz w:val="20"/>
              </w:rPr>
            </w:pPr>
            <w:r w:rsidRPr="00B7760C">
              <w:rPr>
                <w:b/>
                <w:i/>
                <w:sz w:val="20"/>
              </w:rPr>
              <w:t>129 052 673</w:t>
            </w:r>
          </w:p>
        </w:tc>
        <w:tc>
          <w:tcPr>
            <w:tcW w:w="1141" w:type="dxa"/>
            <w:tcBorders>
              <w:top w:val="single" w:sz="4" w:space="0" w:color="auto"/>
              <w:left w:val="single" w:sz="4" w:space="0" w:color="auto"/>
              <w:bottom w:val="single" w:sz="4" w:space="0" w:color="auto"/>
              <w:right w:val="single" w:sz="4" w:space="0" w:color="auto"/>
            </w:tcBorders>
            <w:vAlign w:val="center"/>
            <w:hideMark/>
          </w:tcPr>
          <w:p w14:paraId="5D8FBB45" w14:textId="77777777" w:rsidR="003663AF" w:rsidRPr="00B7760C" w:rsidRDefault="003663AF" w:rsidP="00E804B7">
            <w:pPr>
              <w:pStyle w:val="Normal6"/>
              <w:jc w:val="right"/>
              <w:rPr>
                <w:b/>
                <w:i/>
                <w:sz w:val="20"/>
              </w:rPr>
            </w:pPr>
            <w:r w:rsidRPr="00B7760C">
              <w:rPr>
                <w:b/>
                <w:i/>
                <w:sz w:val="20"/>
              </w:rPr>
              <w:t>129 052 673</w:t>
            </w:r>
          </w:p>
        </w:tc>
      </w:tr>
      <w:tr w:rsidR="003663AF" w:rsidRPr="00B7760C" w14:paraId="7405105A"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7B573C71" w14:textId="77777777" w:rsidR="003663AF" w:rsidRPr="00B7760C" w:rsidRDefault="003663AF" w:rsidP="00E804B7">
            <w:pPr>
              <w:pStyle w:val="Normal6"/>
              <w:rPr>
                <w:sz w:val="20"/>
              </w:rPr>
            </w:pPr>
            <w:r w:rsidRPr="00B7760C">
              <w:rPr>
                <w:sz w:val="20"/>
              </w:rPr>
              <w:t>Slovaška</w:t>
            </w:r>
          </w:p>
        </w:tc>
        <w:tc>
          <w:tcPr>
            <w:tcW w:w="999" w:type="dxa"/>
            <w:tcBorders>
              <w:top w:val="single" w:sz="4" w:space="0" w:color="auto"/>
              <w:left w:val="single" w:sz="4" w:space="0" w:color="auto"/>
              <w:bottom w:val="single" w:sz="4" w:space="0" w:color="auto"/>
              <w:right w:val="single" w:sz="4" w:space="0" w:color="auto"/>
            </w:tcBorders>
            <w:vAlign w:val="center"/>
            <w:hideMark/>
          </w:tcPr>
          <w:p w14:paraId="5CB6B70E" w14:textId="77777777" w:rsidR="003663AF" w:rsidRPr="00B7760C" w:rsidRDefault="003663AF" w:rsidP="00E804B7">
            <w:pPr>
              <w:pStyle w:val="Normal6"/>
              <w:jc w:val="right"/>
              <w:rPr>
                <w:b/>
                <w:i/>
                <w:sz w:val="20"/>
              </w:rPr>
            </w:pPr>
            <w:r w:rsidRPr="00B7760C">
              <w:rPr>
                <w:b/>
                <w:i/>
                <w:sz w:val="20"/>
              </w:rPr>
              <w:t>383 806 378</w:t>
            </w:r>
          </w:p>
        </w:tc>
        <w:tc>
          <w:tcPr>
            <w:tcW w:w="900" w:type="dxa"/>
            <w:tcBorders>
              <w:top w:val="single" w:sz="4" w:space="0" w:color="auto"/>
              <w:left w:val="single" w:sz="4" w:space="0" w:color="auto"/>
              <w:bottom w:val="single" w:sz="4" w:space="0" w:color="auto"/>
              <w:right w:val="single" w:sz="4" w:space="0" w:color="auto"/>
            </w:tcBorders>
            <w:vAlign w:val="center"/>
            <w:hideMark/>
          </w:tcPr>
          <w:p w14:paraId="6899859A" w14:textId="77777777" w:rsidR="003663AF" w:rsidRPr="00B7760C" w:rsidRDefault="003663AF" w:rsidP="00E804B7">
            <w:pPr>
              <w:pStyle w:val="Normal6"/>
              <w:jc w:val="right"/>
              <w:rPr>
                <w:b/>
                <w:i/>
                <w:sz w:val="20"/>
              </w:rPr>
            </w:pPr>
            <w:r w:rsidRPr="00B7760C">
              <w:rPr>
                <w:b/>
                <w:i/>
                <w:sz w:val="20"/>
              </w:rPr>
              <w:t>388 574 951</w:t>
            </w:r>
          </w:p>
        </w:tc>
        <w:tc>
          <w:tcPr>
            <w:tcW w:w="1019" w:type="dxa"/>
            <w:tcBorders>
              <w:top w:val="single" w:sz="4" w:space="0" w:color="auto"/>
              <w:left w:val="single" w:sz="4" w:space="0" w:color="auto"/>
              <w:bottom w:val="single" w:sz="4" w:space="0" w:color="auto"/>
              <w:right w:val="single" w:sz="4" w:space="0" w:color="auto"/>
            </w:tcBorders>
            <w:vAlign w:val="center"/>
            <w:hideMark/>
          </w:tcPr>
          <w:p w14:paraId="64A745E7" w14:textId="77777777" w:rsidR="003663AF" w:rsidRPr="00B7760C" w:rsidRDefault="003663AF" w:rsidP="00E804B7">
            <w:pPr>
              <w:pStyle w:val="Normal6"/>
              <w:jc w:val="right"/>
              <w:rPr>
                <w:b/>
                <w:i/>
                <w:sz w:val="20"/>
              </w:rPr>
            </w:pPr>
            <w:r w:rsidRPr="00B7760C">
              <w:rPr>
                <w:b/>
                <w:i/>
                <w:sz w:val="20"/>
              </w:rPr>
              <w:t>393 343 524</w:t>
            </w:r>
          </w:p>
        </w:tc>
        <w:tc>
          <w:tcPr>
            <w:tcW w:w="1019" w:type="dxa"/>
            <w:tcBorders>
              <w:top w:val="single" w:sz="4" w:space="0" w:color="auto"/>
              <w:left w:val="single" w:sz="4" w:space="0" w:color="auto"/>
              <w:bottom w:val="single" w:sz="4" w:space="0" w:color="auto"/>
              <w:right w:val="single" w:sz="4" w:space="0" w:color="auto"/>
            </w:tcBorders>
            <w:vAlign w:val="center"/>
            <w:hideMark/>
          </w:tcPr>
          <w:p w14:paraId="00318A69" w14:textId="77777777" w:rsidR="003663AF" w:rsidRPr="00B7760C" w:rsidRDefault="003663AF" w:rsidP="00E804B7">
            <w:pPr>
              <w:pStyle w:val="Normal6"/>
              <w:jc w:val="right"/>
              <w:rPr>
                <w:b/>
                <w:i/>
                <w:sz w:val="20"/>
              </w:rPr>
            </w:pPr>
            <w:r w:rsidRPr="00B7760C">
              <w:rPr>
                <w:b/>
                <w:i/>
                <w:sz w:val="20"/>
              </w:rPr>
              <w:t>398 112 097</w:t>
            </w:r>
          </w:p>
        </w:tc>
        <w:tc>
          <w:tcPr>
            <w:tcW w:w="1019" w:type="dxa"/>
            <w:tcBorders>
              <w:top w:val="single" w:sz="4" w:space="0" w:color="auto"/>
              <w:left w:val="single" w:sz="4" w:space="0" w:color="auto"/>
              <w:bottom w:val="single" w:sz="4" w:space="0" w:color="auto"/>
              <w:right w:val="single" w:sz="4" w:space="0" w:color="auto"/>
            </w:tcBorders>
            <w:vAlign w:val="center"/>
            <w:hideMark/>
          </w:tcPr>
          <w:p w14:paraId="0797894F" w14:textId="77777777" w:rsidR="003663AF" w:rsidRPr="00B7760C" w:rsidRDefault="003663AF" w:rsidP="00E804B7">
            <w:pPr>
              <w:pStyle w:val="Normal6"/>
              <w:jc w:val="right"/>
              <w:rPr>
                <w:b/>
                <w:i/>
                <w:sz w:val="20"/>
              </w:rPr>
            </w:pPr>
            <w:r w:rsidRPr="00B7760C">
              <w:rPr>
                <w:b/>
                <w:i/>
                <w:sz w:val="20"/>
              </w:rPr>
              <w:t>402 880 670</w:t>
            </w:r>
          </w:p>
        </w:tc>
        <w:tc>
          <w:tcPr>
            <w:tcW w:w="880" w:type="dxa"/>
            <w:tcBorders>
              <w:top w:val="single" w:sz="4" w:space="0" w:color="auto"/>
              <w:left w:val="single" w:sz="4" w:space="0" w:color="auto"/>
              <w:bottom w:val="single" w:sz="4" w:space="0" w:color="auto"/>
              <w:right w:val="single" w:sz="4" w:space="0" w:color="auto"/>
            </w:tcBorders>
            <w:vAlign w:val="center"/>
            <w:hideMark/>
          </w:tcPr>
          <w:p w14:paraId="5B7B40CA" w14:textId="77777777" w:rsidR="003663AF" w:rsidRPr="00B7760C" w:rsidRDefault="003663AF" w:rsidP="00E804B7">
            <w:pPr>
              <w:pStyle w:val="Normal6"/>
              <w:jc w:val="right"/>
              <w:rPr>
                <w:b/>
                <w:i/>
                <w:sz w:val="20"/>
              </w:rPr>
            </w:pPr>
            <w:r w:rsidRPr="00B7760C">
              <w:rPr>
                <w:b/>
                <w:i/>
                <w:sz w:val="20"/>
              </w:rPr>
              <w:t>407 649 243</w:t>
            </w:r>
          </w:p>
        </w:tc>
        <w:tc>
          <w:tcPr>
            <w:tcW w:w="1141" w:type="dxa"/>
            <w:tcBorders>
              <w:top w:val="single" w:sz="4" w:space="0" w:color="auto"/>
              <w:left w:val="single" w:sz="4" w:space="0" w:color="auto"/>
              <w:bottom w:val="single" w:sz="4" w:space="0" w:color="auto"/>
              <w:right w:val="single" w:sz="4" w:space="0" w:color="auto"/>
            </w:tcBorders>
            <w:vAlign w:val="center"/>
            <w:hideMark/>
          </w:tcPr>
          <w:p w14:paraId="22716A3B" w14:textId="77777777" w:rsidR="003663AF" w:rsidRPr="00B7760C" w:rsidRDefault="003663AF" w:rsidP="00E804B7">
            <w:pPr>
              <w:pStyle w:val="Normal6"/>
              <w:jc w:val="right"/>
              <w:rPr>
                <w:b/>
                <w:i/>
                <w:sz w:val="20"/>
              </w:rPr>
            </w:pPr>
            <w:r w:rsidRPr="00B7760C">
              <w:rPr>
                <w:b/>
                <w:i/>
                <w:sz w:val="20"/>
              </w:rPr>
              <w:t>407 649 243</w:t>
            </w:r>
          </w:p>
        </w:tc>
      </w:tr>
      <w:tr w:rsidR="003663AF" w:rsidRPr="00B7760C" w14:paraId="7CBF6871"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0151525F" w14:textId="77777777" w:rsidR="003663AF" w:rsidRPr="00B7760C" w:rsidRDefault="003663AF" w:rsidP="00E804B7">
            <w:pPr>
              <w:pStyle w:val="Normal6"/>
              <w:rPr>
                <w:sz w:val="20"/>
              </w:rPr>
            </w:pPr>
            <w:r w:rsidRPr="00B7760C">
              <w:rPr>
                <w:sz w:val="20"/>
              </w:rPr>
              <w:t>Finska</w:t>
            </w:r>
          </w:p>
        </w:tc>
        <w:tc>
          <w:tcPr>
            <w:tcW w:w="999" w:type="dxa"/>
            <w:tcBorders>
              <w:top w:val="single" w:sz="4" w:space="0" w:color="auto"/>
              <w:left w:val="single" w:sz="4" w:space="0" w:color="auto"/>
              <w:bottom w:val="single" w:sz="4" w:space="0" w:color="auto"/>
              <w:right w:val="single" w:sz="4" w:space="0" w:color="auto"/>
            </w:tcBorders>
            <w:vAlign w:val="center"/>
            <w:hideMark/>
          </w:tcPr>
          <w:p w14:paraId="27D1BBCA" w14:textId="77777777" w:rsidR="003663AF" w:rsidRPr="00B7760C" w:rsidRDefault="003663AF" w:rsidP="00E804B7">
            <w:pPr>
              <w:pStyle w:val="Normal6"/>
              <w:jc w:val="right"/>
              <w:rPr>
                <w:b/>
                <w:i/>
                <w:sz w:val="20"/>
              </w:rPr>
            </w:pPr>
            <w:r w:rsidRPr="00B7760C">
              <w:rPr>
                <w:b/>
                <w:i/>
                <w:sz w:val="20"/>
              </w:rPr>
              <w:t>505 999 667</w:t>
            </w:r>
          </w:p>
        </w:tc>
        <w:tc>
          <w:tcPr>
            <w:tcW w:w="900" w:type="dxa"/>
            <w:tcBorders>
              <w:top w:val="single" w:sz="4" w:space="0" w:color="auto"/>
              <w:left w:val="single" w:sz="4" w:space="0" w:color="auto"/>
              <w:bottom w:val="single" w:sz="4" w:space="0" w:color="auto"/>
              <w:right w:val="single" w:sz="4" w:space="0" w:color="auto"/>
            </w:tcBorders>
            <w:vAlign w:val="center"/>
            <w:hideMark/>
          </w:tcPr>
          <w:p w14:paraId="341DED7B" w14:textId="77777777" w:rsidR="003663AF" w:rsidRPr="00B7760C" w:rsidRDefault="003663AF" w:rsidP="00E804B7">
            <w:pPr>
              <w:pStyle w:val="Normal6"/>
              <w:jc w:val="right"/>
              <w:rPr>
                <w:b/>
                <w:i/>
                <w:sz w:val="20"/>
              </w:rPr>
            </w:pPr>
            <w:r w:rsidRPr="00B7760C">
              <w:rPr>
                <w:b/>
                <w:i/>
                <w:sz w:val="20"/>
              </w:rPr>
              <w:t>507 783 955</w:t>
            </w:r>
          </w:p>
        </w:tc>
        <w:tc>
          <w:tcPr>
            <w:tcW w:w="1019" w:type="dxa"/>
            <w:tcBorders>
              <w:top w:val="single" w:sz="4" w:space="0" w:color="auto"/>
              <w:left w:val="single" w:sz="4" w:space="0" w:color="auto"/>
              <w:bottom w:val="single" w:sz="4" w:space="0" w:color="auto"/>
              <w:right w:val="single" w:sz="4" w:space="0" w:color="auto"/>
            </w:tcBorders>
            <w:vAlign w:val="center"/>
            <w:hideMark/>
          </w:tcPr>
          <w:p w14:paraId="7B2C5664" w14:textId="77777777" w:rsidR="003663AF" w:rsidRPr="00B7760C" w:rsidRDefault="003663AF" w:rsidP="00E804B7">
            <w:pPr>
              <w:pStyle w:val="Normal6"/>
              <w:jc w:val="right"/>
              <w:rPr>
                <w:b/>
                <w:i/>
                <w:sz w:val="20"/>
              </w:rPr>
            </w:pPr>
            <w:r w:rsidRPr="00B7760C">
              <w:rPr>
                <w:b/>
                <w:i/>
                <w:sz w:val="20"/>
              </w:rPr>
              <w:t>509 568 242</w:t>
            </w:r>
          </w:p>
        </w:tc>
        <w:tc>
          <w:tcPr>
            <w:tcW w:w="1019" w:type="dxa"/>
            <w:tcBorders>
              <w:top w:val="single" w:sz="4" w:space="0" w:color="auto"/>
              <w:left w:val="single" w:sz="4" w:space="0" w:color="auto"/>
              <w:bottom w:val="single" w:sz="4" w:space="0" w:color="auto"/>
              <w:right w:val="single" w:sz="4" w:space="0" w:color="auto"/>
            </w:tcBorders>
            <w:vAlign w:val="center"/>
            <w:hideMark/>
          </w:tcPr>
          <w:p w14:paraId="6EFB468E" w14:textId="77777777" w:rsidR="003663AF" w:rsidRPr="00B7760C" w:rsidRDefault="003663AF" w:rsidP="00E804B7">
            <w:pPr>
              <w:pStyle w:val="Normal6"/>
              <w:jc w:val="right"/>
              <w:rPr>
                <w:b/>
                <w:i/>
                <w:sz w:val="20"/>
              </w:rPr>
            </w:pPr>
            <w:r w:rsidRPr="00B7760C">
              <w:rPr>
                <w:b/>
                <w:i/>
                <w:sz w:val="20"/>
              </w:rPr>
              <w:t>511 352 530</w:t>
            </w:r>
          </w:p>
        </w:tc>
        <w:tc>
          <w:tcPr>
            <w:tcW w:w="1019" w:type="dxa"/>
            <w:tcBorders>
              <w:top w:val="single" w:sz="4" w:space="0" w:color="auto"/>
              <w:left w:val="single" w:sz="4" w:space="0" w:color="auto"/>
              <w:bottom w:val="single" w:sz="4" w:space="0" w:color="auto"/>
              <w:right w:val="single" w:sz="4" w:space="0" w:color="auto"/>
            </w:tcBorders>
            <w:vAlign w:val="center"/>
            <w:hideMark/>
          </w:tcPr>
          <w:p w14:paraId="38CEA05C" w14:textId="77777777" w:rsidR="003663AF" w:rsidRPr="00B7760C" w:rsidRDefault="003663AF" w:rsidP="00E804B7">
            <w:pPr>
              <w:pStyle w:val="Normal6"/>
              <w:jc w:val="right"/>
              <w:rPr>
                <w:b/>
                <w:i/>
                <w:sz w:val="20"/>
              </w:rPr>
            </w:pPr>
            <w:r w:rsidRPr="00B7760C">
              <w:rPr>
                <w:b/>
                <w:i/>
                <w:sz w:val="20"/>
              </w:rPr>
              <w:t>513 136 817</w:t>
            </w:r>
          </w:p>
        </w:tc>
        <w:tc>
          <w:tcPr>
            <w:tcW w:w="880" w:type="dxa"/>
            <w:tcBorders>
              <w:top w:val="single" w:sz="4" w:space="0" w:color="auto"/>
              <w:left w:val="single" w:sz="4" w:space="0" w:color="auto"/>
              <w:bottom w:val="single" w:sz="4" w:space="0" w:color="auto"/>
              <w:right w:val="single" w:sz="4" w:space="0" w:color="auto"/>
            </w:tcBorders>
            <w:vAlign w:val="center"/>
            <w:hideMark/>
          </w:tcPr>
          <w:p w14:paraId="69EABD1D" w14:textId="77777777" w:rsidR="003663AF" w:rsidRPr="00B7760C" w:rsidRDefault="003663AF" w:rsidP="00E804B7">
            <w:pPr>
              <w:pStyle w:val="Normal6"/>
              <w:jc w:val="right"/>
              <w:rPr>
                <w:b/>
                <w:i/>
                <w:sz w:val="20"/>
              </w:rPr>
            </w:pPr>
            <w:r w:rsidRPr="00B7760C">
              <w:rPr>
                <w:b/>
                <w:i/>
                <w:sz w:val="20"/>
              </w:rPr>
              <w:t>514 921 104</w:t>
            </w:r>
          </w:p>
        </w:tc>
        <w:tc>
          <w:tcPr>
            <w:tcW w:w="1141" w:type="dxa"/>
            <w:tcBorders>
              <w:top w:val="single" w:sz="4" w:space="0" w:color="auto"/>
              <w:left w:val="single" w:sz="4" w:space="0" w:color="auto"/>
              <w:bottom w:val="single" w:sz="4" w:space="0" w:color="auto"/>
              <w:right w:val="single" w:sz="4" w:space="0" w:color="auto"/>
            </w:tcBorders>
            <w:vAlign w:val="center"/>
            <w:hideMark/>
          </w:tcPr>
          <w:p w14:paraId="6D65FD9D" w14:textId="77777777" w:rsidR="003663AF" w:rsidRPr="00B7760C" w:rsidRDefault="003663AF" w:rsidP="00E804B7">
            <w:pPr>
              <w:pStyle w:val="Normal6"/>
              <w:jc w:val="right"/>
              <w:rPr>
                <w:b/>
                <w:i/>
                <w:sz w:val="20"/>
              </w:rPr>
            </w:pPr>
            <w:r w:rsidRPr="00B7760C">
              <w:rPr>
                <w:b/>
                <w:i/>
                <w:sz w:val="20"/>
              </w:rPr>
              <w:t>514 921 104</w:t>
            </w:r>
          </w:p>
        </w:tc>
      </w:tr>
      <w:tr w:rsidR="003663AF" w:rsidRPr="00B7760C" w14:paraId="29BCDBBE"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5616B35B" w14:textId="77777777" w:rsidR="003663AF" w:rsidRPr="00B7760C" w:rsidRDefault="003663AF" w:rsidP="00E804B7">
            <w:pPr>
              <w:pStyle w:val="Normal6"/>
              <w:rPr>
                <w:sz w:val="20"/>
              </w:rPr>
            </w:pPr>
            <w:r w:rsidRPr="00B7760C">
              <w:rPr>
                <w:sz w:val="20"/>
              </w:rPr>
              <w:t>Švedska</w:t>
            </w:r>
          </w:p>
        </w:tc>
        <w:tc>
          <w:tcPr>
            <w:tcW w:w="999" w:type="dxa"/>
            <w:tcBorders>
              <w:top w:val="single" w:sz="4" w:space="0" w:color="auto"/>
              <w:left w:val="single" w:sz="4" w:space="0" w:color="auto"/>
              <w:bottom w:val="single" w:sz="4" w:space="0" w:color="auto"/>
              <w:right w:val="single" w:sz="4" w:space="0" w:color="auto"/>
            </w:tcBorders>
            <w:vAlign w:val="center"/>
            <w:hideMark/>
          </w:tcPr>
          <w:p w14:paraId="3FEB9116" w14:textId="77777777" w:rsidR="003663AF" w:rsidRPr="00B7760C" w:rsidRDefault="003663AF" w:rsidP="00E804B7">
            <w:pPr>
              <w:pStyle w:val="Normal6"/>
              <w:jc w:val="right"/>
              <w:rPr>
                <w:b/>
                <w:i/>
                <w:sz w:val="20"/>
              </w:rPr>
            </w:pPr>
            <w:r w:rsidRPr="00B7760C">
              <w:rPr>
                <w:b/>
                <w:i/>
                <w:sz w:val="20"/>
              </w:rPr>
              <w:t>672 760 909</w:t>
            </w:r>
          </w:p>
        </w:tc>
        <w:tc>
          <w:tcPr>
            <w:tcW w:w="900" w:type="dxa"/>
            <w:tcBorders>
              <w:top w:val="single" w:sz="4" w:space="0" w:color="auto"/>
              <w:left w:val="single" w:sz="4" w:space="0" w:color="auto"/>
              <w:bottom w:val="single" w:sz="4" w:space="0" w:color="auto"/>
              <w:right w:val="single" w:sz="4" w:space="0" w:color="auto"/>
            </w:tcBorders>
            <w:vAlign w:val="center"/>
            <w:hideMark/>
          </w:tcPr>
          <w:p w14:paraId="4B29C977" w14:textId="77777777" w:rsidR="003663AF" w:rsidRPr="00B7760C" w:rsidRDefault="003663AF" w:rsidP="00E804B7">
            <w:pPr>
              <w:pStyle w:val="Normal6"/>
              <w:jc w:val="right"/>
              <w:rPr>
                <w:b/>
                <w:i/>
                <w:sz w:val="20"/>
              </w:rPr>
            </w:pPr>
            <w:r w:rsidRPr="00B7760C">
              <w:rPr>
                <w:b/>
                <w:i/>
                <w:sz w:val="20"/>
              </w:rPr>
              <w:t>672 984 762</w:t>
            </w:r>
          </w:p>
        </w:tc>
        <w:tc>
          <w:tcPr>
            <w:tcW w:w="1019" w:type="dxa"/>
            <w:tcBorders>
              <w:top w:val="single" w:sz="4" w:space="0" w:color="auto"/>
              <w:left w:val="single" w:sz="4" w:space="0" w:color="auto"/>
              <w:bottom w:val="single" w:sz="4" w:space="0" w:color="auto"/>
              <w:right w:val="single" w:sz="4" w:space="0" w:color="auto"/>
            </w:tcBorders>
            <w:vAlign w:val="center"/>
            <w:hideMark/>
          </w:tcPr>
          <w:p w14:paraId="1D22B738" w14:textId="77777777" w:rsidR="003663AF" w:rsidRPr="00B7760C" w:rsidRDefault="003663AF" w:rsidP="00E804B7">
            <w:pPr>
              <w:pStyle w:val="Normal6"/>
              <w:jc w:val="right"/>
              <w:rPr>
                <w:b/>
                <w:i/>
                <w:sz w:val="20"/>
              </w:rPr>
            </w:pPr>
            <w:r w:rsidRPr="00B7760C">
              <w:rPr>
                <w:b/>
                <w:i/>
                <w:sz w:val="20"/>
              </w:rPr>
              <w:t>673 208 615</w:t>
            </w:r>
          </w:p>
        </w:tc>
        <w:tc>
          <w:tcPr>
            <w:tcW w:w="1019" w:type="dxa"/>
            <w:tcBorders>
              <w:top w:val="single" w:sz="4" w:space="0" w:color="auto"/>
              <w:left w:val="single" w:sz="4" w:space="0" w:color="auto"/>
              <w:bottom w:val="single" w:sz="4" w:space="0" w:color="auto"/>
              <w:right w:val="single" w:sz="4" w:space="0" w:color="auto"/>
            </w:tcBorders>
            <w:vAlign w:val="center"/>
            <w:hideMark/>
          </w:tcPr>
          <w:p w14:paraId="57DBA2C7" w14:textId="77777777" w:rsidR="003663AF" w:rsidRPr="00B7760C" w:rsidRDefault="003663AF" w:rsidP="00E804B7">
            <w:pPr>
              <w:pStyle w:val="Normal6"/>
              <w:jc w:val="right"/>
              <w:rPr>
                <w:b/>
                <w:i/>
                <w:sz w:val="20"/>
              </w:rPr>
            </w:pPr>
            <w:r w:rsidRPr="00B7760C">
              <w:rPr>
                <w:b/>
                <w:i/>
                <w:sz w:val="20"/>
              </w:rPr>
              <w:t>673 432 468</w:t>
            </w:r>
          </w:p>
        </w:tc>
        <w:tc>
          <w:tcPr>
            <w:tcW w:w="1019" w:type="dxa"/>
            <w:tcBorders>
              <w:top w:val="single" w:sz="4" w:space="0" w:color="auto"/>
              <w:left w:val="single" w:sz="4" w:space="0" w:color="auto"/>
              <w:bottom w:val="single" w:sz="4" w:space="0" w:color="auto"/>
              <w:right w:val="single" w:sz="4" w:space="0" w:color="auto"/>
            </w:tcBorders>
            <w:vAlign w:val="center"/>
            <w:hideMark/>
          </w:tcPr>
          <w:p w14:paraId="2000986B" w14:textId="77777777" w:rsidR="003663AF" w:rsidRPr="00B7760C" w:rsidRDefault="003663AF" w:rsidP="00E804B7">
            <w:pPr>
              <w:pStyle w:val="Normal6"/>
              <w:jc w:val="right"/>
              <w:rPr>
                <w:b/>
                <w:i/>
                <w:sz w:val="20"/>
              </w:rPr>
            </w:pPr>
            <w:r w:rsidRPr="00B7760C">
              <w:rPr>
                <w:b/>
                <w:i/>
                <w:sz w:val="20"/>
              </w:rPr>
              <w:t>673 656 321</w:t>
            </w:r>
          </w:p>
        </w:tc>
        <w:tc>
          <w:tcPr>
            <w:tcW w:w="880" w:type="dxa"/>
            <w:tcBorders>
              <w:top w:val="single" w:sz="4" w:space="0" w:color="auto"/>
              <w:left w:val="single" w:sz="4" w:space="0" w:color="auto"/>
              <w:bottom w:val="single" w:sz="4" w:space="0" w:color="auto"/>
              <w:right w:val="single" w:sz="4" w:space="0" w:color="auto"/>
            </w:tcBorders>
            <w:vAlign w:val="center"/>
            <w:hideMark/>
          </w:tcPr>
          <w:p w14:paraId="51E3F878" w14:textId="77777777" w:rsidR="003663AF" w:rsidRPr="00B7760C" w:rsidRDefault="003663AF" w:rsidP="00E804B7">
            <w:pPr>
              <w:pStyle w:val="Normal6"/>
              <w:jc w:val="right"/>
              <w:rPr>
                <w:b/>
                <w:i/>
                <w:sz w:val="20"/>
              </w:rPr>
            </w:pPr>
            <w:r w:rsidRPr="00B7760C">
              <w:rPr>
                <w:b/>
                <w:i/>
                <w:sz w:val="20"/>
              </w:rPr>
              <w:t>673 880 175</w:t>
            </w:r>
          </w:p>
        </w:tc>
        <w:tc>
          <w:tcPr>
            <w:tcW w:w="1141" w:type="dxa"/>
            <w:tcBorders>
              <w:top w:val="single" w:sz="4" w:space="0" w:color="auto"/>
              <w:left w:val="single" w:sz="4" w:space="0" w:color="auto"/>
              <w:bottom w:val="single" w:sz="4" w:space="0" w:color="auto"/>
              <w:right w:val="single" w:sz="4" w:space="0" w:color="auto"/>
            </w:tcBorders>
            <w:vAlign w:val="center"/>
            <w:hideMark/>
          </w:tcPr>
          <w:p w14:paraId="31BFE4E4" w14:textId="77777777" w:rsidR="003663AF" w:rsidRPr="00B7760C" w:rsidRDefault="003663AF" w:rsidP="00E804B7">
            <w:pPr>
              <w:pStyle w:val="Normal6"/>
              <w:jc w:val="right"/>
              <w:rPr>
                <w:b/>
                <w:i/>
                <w:sz w:val="20"/>
              </w:rPr>
            </w:pPr>
            <w:r w:rsidRPr="00B7760C">
              <w:rPr>
                <w:b/>
                <w:i/>
                <w:sz w:val="20"/>
              </w:rPr>
              <w:t>673 880 175</w:t>
            </w:r>
          </w:p>
        </w:tc>
      </w:tr>
      <w:tr w:rsidR="003663AF" w:rsidRPr="00B7760C" w14:paraId="504CE741" w14:textId="77777777" w:rsidTr="00E804B7">
        <w:trPr>
          <w:cantSplit/>
          <w:trHeight w:val="255"/>
          <w:jc w:val="center"/>
        </w:trPr>
        <w:tc>
          <w:tcPr>
            <w:tcW w:w="7329" w:type="dxa"/>
            <w:gridSpan w:val="7"/>
            <w:tcBorders>
              <w:top w:val="single" w:sz="4" w:space="0" w:color="auto"/>
              <w:left w:val="nil"/>
              <w:bottom w:val="single" w:sz="4" w:space="0" w:color="auto"/>
              <w:right w:val="nil"/>
            </w:tcBorders>
            <w:vAlign w:val="center"/>
          </w:tcPr>
          <w:p w14:paraId="4D46C47D" w14:textId="77777777" w:rsidR="003663AF" w:rsidRPr="00B7760C" w:rsidRDefault="003663AF" w:rsidP="00E804B7">
            <w:pPr>
              <w:rPr>
                <w:sz w:val="20"/>
              </w:rPr>
            </w:pPr>
          </w:p>
        </w:tc>
        <w:tc>
          <w:tcPr>
            <w:tcW w:w="1141" w:type="dxa"/>
            <w:tcBorders>
              <w:top w:val="single" w:sz="4" w:space="0" w:color="auto"/>
              <w:left w:val="nil"/>
              <w:bottom w:val="single" w:sz="4" w:space="0" w:color="auto"/>
              <w:right w:val="nil"/>
            </w:tcBorders>
          </w:tcPr>
          <w:p w14:paraId="2EECDFA7" w14:textId="77777777" w:rsidR="003663AF" w:rsidRPr="00B7760C" w:rsidRDefault="003663AF" w:rsidP="00E804B7">
            <w:pPr>
              <w:rPr>
                <w:sz w:val="20"/>
              </w:rPr>
            </w:pPr>
          </w:p>
        </w:tc>
      </w:tr>
    </w:tbl>
    <w:p w14:paraId="31507D6F" w14:textId="77777777" w:rsidR="003663AF" w:rsidRPr="00B7760C" w:rsidRDefault="003663AF" w:rsidP="003663AF"/>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3663AF" w:rsidRPr="00B7760C" w14:paraId="3A78E747" w14:textId="77777777" w:rsidTr="00E804B7">
        <w:tc>
          <w:tcPr>
            <w:tcW w:w="14502" w:type="dxa"/>
            <w:hideMark/>
          </w:tcPr>
          <w:p w14:paraId="77E8D679" w14:textId="3D44FFAF" w:rsidR="003663AF" w:rsidRPr="00B7760C" w:rsidRDefault="00877691" w:rsidP="00E804B7">
            <w:pPr>
              <w:pStyle w:val="ColumnHeading"/>
            </w:pPr>
            <w:r w:rsidRPr="00B7760C">
              <w:t>Sprememba</w:t>
            </w:r>
          </w:p>
        </w:tc>
      </w:tr>
      <w:tr w:rsidR="003663AF" w:rsidRPr="00B7760C" w14:paraId="73F8DD6B" w14:textId="77777777" w:rsidTr="00E804B7">
        <w:tc>
          <w:tcPr>
            <w:tcW w:w="14502" w:type="dxa"/>
            <w:hideMark/>
          </w:tcPr>
          <w:p w14:paraId="4B4D6A6E" w14:textId="77777777" w:rsidR="003663AF" w:rsidRPr="00B7760C" w:rsidRDefault="003663AF" w:rsidP="00E804B7">
            <w:pPr>
              <w:pStyle w:val="ColumnHeading"/>
              <w:jc w:val="left"/>
            </w:pPr>
            <w:r w:rsidRPr="00B7760C">
              <w:rPr>
                <w:sz w:val="20"/>
              </w:rPr>
              <w:t>DODELITVE DRŽAV ČLANIC ZA NEPOSREDNA PLAČILA BREZ BOMBAŽA IN PRED PRENOSOM ZGORNJE MEJE IZ PRVEGA PODODSTAVKA ČLENA 81(1)</w:t>
            </w:r>
          </w:p>
        </w:tc>
      </w:tr>
    </w:tbl>
    <w:p w14:paraId="2D533B72" w14:textId="77777777" w:rsidR="003663AF" w:rsidRPr="00B7760C" w:rsidRDefault="003663AF" w:rsidP="003663AF">
      <w:pPr>
        <w:pStyle w:val="Normal6"/>
        <w:jc w:val="right"/>
        <w:rPr>
          <w:rFonts w:eastAsia="Arial Unicode MS"/>
          <w:sz w:val="20"/>
        </w:rPr>
      </w:pPr>
      <w:r w:rsidRPr="00B7760C">
        <w:rPr>
          <w:sz w:val="20"/>
        </w:rPr>
        <w:t>(tekoče cene v EUR)</w:t>
      </w:r>
    </w:p>
    <w:tbl>
      <w:tblPr>
        <w:tblW w:w="45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921"/>
        <w:gridCol w:w="871"/>
        <w:gridCol w:w="931"/>
        <w:gridCol w:w="931"/>
        <w:gridCol w:w="931"/>
        <w:gridCol w:w="861"/>
        <w:gridCol w:w="1233"/>
      </w:tblGrid>
      <w:tr w:rsidR="003663AF" w:rsidRPr="00B7760C" w14:paraId="32AA417D" w14:textId="77777777" w:rsidTr="00E804B7">
        <w:trPr>
          <w:cantSplit/>
          <w:trHeight w:val="255"/>
          <w:tblHeader/>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6D1C5BB4" w14:textId="77777777" w:rsidR="003663AF" w:rsidRPr="00B7760C" w:rsidRDefault="003663AF" w:rsidP="00E804B7">
            <w:pPr>
              <w:pStyle w:val="Normal6"/>
              <w:rPr>
                <w:sz w:val="20"/>
              </w:rPr>
            </w:pPr>
            <w:r w:rsidRPr="00B7760C">
              <w:rPr>
                <w:sz w:val="20"/>
              </w:rPr>
              <w:t>Koledarsko leto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3F6F9AE" w14:textId="77777777" w:rsidR="003663AF" w:rsidRPr="00B7760C" w:rsidRDefault="003663AF" w:rsidP="00E804B7">
            <w:pPr>
              <w:pStyle w:val="Normal6"/>
              <w:rPr>
                <w:sz w:val="20"/>
              </w:rPr>
            </w:pPr>
            <w:r w:rsidRPr="00B7760C">
              <w:rPr>
                <w:sz w:val="20"/>
              </w:rPr>
              <w:t>2021</w:t>
            </w:r>
          </w:p>
        </w:tc>
        <w:tc>
          <w:tcPr>
            <w:tcW w:w="1405" w:type="dxa"/>
            <w:tcBorders>
              <w:top w:val="single" w:sz="4" w:space="0" w:color="auto"/>
              <w:left w:val="single" w:sz="4" w:space="0" w:color="auto"/>
              <w:bottom w:val="single" w:sz="4" w:space="0" w:color="auto"/>
              <w:right w:val="single" w:sz="4" w:space="0" w:color="auto"/>
            </w:tcBorders>
            <w:vAlign w:val="center"/>
            <w:hideMark/>
          </w:tcPr>
          <w:p w14:paraId="64D57AA0" w14:textId="77777777" w:rsidR="003663AF" w:rsidRPr="00B7760C" w:rsidRDefault="003663AF" w:rsidP="00E804B7">
            <w:pPr>
              <w:pStyle w:val="Normal6"/>
              <w:rPr>
                <w:sz w:val="20"/>
              </w:rPr>
            </w:pPr>
            <w:r w:rsidRPr="00B7760C">
              <w:rPr>
                <w:sz w:val="20"/>
              </w:rPr>
              <w:t>2022</w:t>
            </w:r>
          </w:p>
        </w:tc>
        <w:tc>
          <w:tcPr>
            <w:tcW w:w="1591" w:type="dxa"/>
            <w:tcBorders>
              <w:top w:val="single" w:sz="4" w:space="0" w:color="auto"/>
              <w:left w:val="single" w:sz="4" w:space="0" w:color="auto"/>
              <w:bottom w:val="single" w:sz="4" w:space="0" w:color="auto"/>
              <w:right w:val="single" w:sz="4" w:space="0" w:color="auto"/>
            </w:tcBorders>
            <w:vAlign w:val="center"/>
            <w:hideMark/>
          </w:tcPr>
          <w:p w14:paraId="6CCE340C" w14:textId="77777777" w:rsidR="003663AF" w:rsidRPr="00B7760C" w:rsidRDefault="003663AF" w:rsidP="00E804B7">
            <w:pPr>
              <w:pStyle w:val="Normal6"/>
              <w:rPr>
                <w:sz w:val="20"/>
              </w:rPr>
            </w:pPr>
            <w:r w:rsidRPr="00B7760C">
              <w:rPr>
                <w:sz w:val="20"/>
              </w:rPr>
              <w:t>2023</w:t>
            </w:r>
          </w:p>
        </w:tc>
        <w:tc>
          <w:tcPr>
            <w:tcW w:w="1591" w:type="dxa"/>
            <w:tcBorders>
              <w:top w:val="single" w:sz="4" w:space="0" w:color="auto"/>
              <w:left w:val="single" w:sz="4" w:space="0" w:color="auto"/>
              <w:bottom w:val="single" w:sz="4" w:space="0" w:color="auto"/>
              <w:right w:val="single" w:sz="4" w:space="0" w:color="auto"/>
            </w:tcBorders>
            <w:vAlign w:val="center"/>
            <w:hideMark/>
          </w:tcPr>
          <w:p w14:paraId="3DAFAE17" w14:textId="77777777" w:rsidR="003663AF" w:rsidRPr="00B7760C" w:rsidRDefault="003663AF" w:rsidP="00E804B7">
            <w:pPr>
              <w:pStyle w:val="Normal6"/>
              <w:rPr>
                <w:sz w:val="20"/>
              </w:rPr>
            </w:pPr>
            <w:r w:rsidRPr="00B7760C">
              <w:rPr>
                <w:sz w:val="20"/>
              </w:rPr>
              <w:t>2024</w:t>
            </w:r>
          </w:p>
        </w:tc>
        <w:tc>
          <w:tcPr>
            <w:tcW w:w="1591" w:type="dxa"/>
            <w:tcBorders>
              <w:top w:val="single" w:sz="4" w:space="0" w:color="auto"/>
              <w:left w:val="single" w:sz="4" w:space="0" w:color="auto"/>
              <w:bottom w:val="single" w:sz="4" w:space="0" w:color="auto"/>
              <w:right w:val="single" w:sz="4" w:space="0" w:color="auto"/>
            </w:tcBorders>
            <w:vAlign w:val="center"/>
            <w:hideMark/>
          </w:tcPr>
          <w:p w14:paraId="17B67A68" w14:textId="77777777" w:rsidR="003663AF" w:rsidRPr="00B7760C" w:rsidRDefault="003663AF" w:rsidP="00E804B7">
            <w:pPr>
              <w:pStyle w:val="Normal6"/>
              <w:rPr>
                <w:sz w:val="20"/>
              </w:rPr>
            </w:pPr>
            <w:r w:rsidRPr="00B7760C">
              <w:rPr>
                <w:sz w:val="20"/>
              </w:rPr>
              <w:t>2025</w:t>
            </w:r>
          </w:p>
        </w:tc>
        <w:tc>
          <w:tcPr>
            <w:tcW w:w="1374" w:type="dxa"/>
            <w:tcBorders>
              <w:top w:val="single" w:sz="4" w:space="0" w:color="auto"/>
              <w:left w:val="single" w:sz="4" w:space="0" w:color="auto"/>
              <w:bottom w:val="single" w:sz="4" w:space="0" w:color="auto"/>
              <w:right w:val="single" w:sz="4" w:space="0" w:color="auto"/>
            </w:tcBorders>
            <w:vAlign w:val="center"/>
            <w:hideMark/>
          </w:tcPr>
          <w:p w14:paraId="4E829749" w14:textId="77777777" w:rsidR="003663AF" w:rsidRPr="00B7760C" w:rsidRDefault="003663AF" w:rsidP="00E804B7">
            <w:pPr>
              <w:pStyle w:val="Normal6"/>
              <w:rPr>
                <w:sz w:val="20"/>
              </w:rPr>
            </w:pPr>
            <w:r w:rsidRPr="00B7760C">
              <w:rPr>
                <w:sz w:val="20"/>
              </w:rPr>
              <w:t>2026</w:t>
            </w:r>
          </w:p>
        </w:tc>
        <w:tc>
          <w:tcPr>
            <w:tcW w:w="1781" w:type="dxa"/>
            <w:tcBorders>
              <w:top w:val="single" w:sz="4" w:space="0" w:color="auto"/>
              <w:left w:val="single" w:sz="4" w:space="0" w:color="auto"/>
              <w:bottom w:val="single" w:sz="4" w:space="0" w:color="auto"/>
              <w:right w:val="single" w:sz="4" w:space="0" w:color="auto"/>
            </w:tcBorders>
            <w:hideMark/>
          </w:tcPr>
          <w:p w14:paraId="02F2AB82" w14:textId="77777777" w:rsidR="003663AF" w:rsidRPr="00B7760C" w:rsidRDefault="003663AF" w:rsidP="00E804B7">
            <w:pPr>
              <w:pStyle w:val="Normal6"/>
              <w:rPr>
                <w:sz w:val="20"/>
              </w:rPr>
            </w:pPr>
            <w:r w:rsidRPr="00B7760C">
              <w:rPr>
                <w:sz w:val="20"/>
              </w:rPr>
              <w:t>2027 in naslednja leta</w:t>
            </w:r>
          </w:p>
        </w:tc>
      </w:tr>
      <w:tr w:rsidR="003663AF" w:rsidRPr="00B7760C" w14:paraId="7096F3DF"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489F3925" w14:textId="77777777" w:rsidR="003663AF" w:rsidRPr="00B7760C" w:rsidRDefault="003663AF" w:rsidP="00E804B7">
            <w:pPr>
              <w:pStyle w:val="Normal6"/>
              <w:rPr>
                <w:sz w:val="20"/>
              </w:rPr>
            </w:pPr>
            <w:r w:rsidRPr="00B7760C">
              <w:rPr>
                <w:sz w:val="20"/>
              </w:rPr>
              <w:t>Belgija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F601E07" w14:textId="77777777" w:rsidR="003663AF" w:rsidRPr="00B7760C" w:rsidRDefault="003663AF" w:rsidP="00E804B7">
            <w:pPr>
              <w:pStyle w:val="Normal6"/>
              <w:jc w:val="right"/>
              <w:rPr>
                <w:b/>
                <w:i/>
                <w:sz w:val="20"/>
              </w:rPr>
            </w:pPr>
            <w:r w:rsidRPr="00B7760C">
              <w:rPr>
                <w:b/>
                <w:i/>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456CC75D"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792905EF"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35D5A925"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60C6CC14" w14:textId="77777777" w:rsidR="003663AF" w:rsidRPr="00B7760C" w:rsidRDefault="003663AF" w:rsidP="00E804B7">
            <w:pPr>
              <w:pStyle w:val="Normal6"/>
              <w:jc w:val="right"/>
              <w:rPr>
                <w:b/>
                <w:i/>
                <w:sz w:val="20"/>
              </w:rPr>
            </w:pPr>
            <w:r w:rsidRPr="00B7760C">
              <w:rPr>
                <w:b/>
                <w:i/>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458FFAB9" w14:textId="77777777" w:rsidR="003663AF" w:rsidRPr="00B7760C" w:rsidRDefault="003663AF" w:rsidP="00E804B7">
            <w:pPr>
              <w:pStyle w:val="Normal6"/>
              <w:jc w:val="right"/>
              <w:rPr>
                <w:b/>
                <w:i/>
                <w:sz w:val="20"/>
              </w:rPr>
            </w:pPr>
            <w:r w:rsidRPr="00B7760C">
              <w:rPr>
                <w:b/>
                <w:i/>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3F9274C8" w14:textId="77777777" w:rsidR="003663AF" w:rsidRPr="00B7760C" w:rsidRDefault="003663AF" w:rsidP="00E804B7">
            <w:pPr>
              <w:pStyle w:val="Normal6"/>
              <w:jc w:val="right"/>
              <w:rPr>
                <w:b/>
                <w:i/>
                <w:sz w:val="20"/>
              </w:rPr>
            </w:pPr>
            <w:r w:rsidRPr="00B7760C">
              <w:rPr>
                <w:b/>
                <w:i/>
                <w:sz w:val="20"/>
              </w:rPr>
              <w:t>X</w:t>
            </w:r>
          </w:p>
        </w:tc>
      </w:tr>
      <w:tr w:rsidR="003663AF" w:rsidRPr="00B7760C" w14:paraId="23B2CC03"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6A169C55" w14:textId="77777777" w:rsidR="003663AF" w:rsidRPr="00B7760C" w:rsidRDefault="003663AF" w:rsidP="00E804B7">
            <w:pPr>
              <w:pStyle w:val="Normal6"/>
              <w:rPr>
                <w:sz w:val="20"/>
              </w:rPr>
            </w:pPr>
            <w:r w:rsidRPr="00B7760C">
              <w:rPr>
                <w:sz w:val="20"/>
              </w:rPr>
              <w:t>Bolgarija</w:t>
            </w:r>
          </w:p>
        </w:tc>
        <w:tc>
          <w:tcPr>
            <w:tcW w:w="1560" w:type="dxa"/>
            <w:tcBorders>
              <w:top w:val="single" w:sz="4" w:space="0" w:color="auto"/>
              <w:left w:val="single" w:sz="4" w:space="0" w:color="auto"/>
              <w:bottom w:val="single" w:sz="4" w:space="0" w:color="auto"/>
              <w:right w:val="single" w:sz="4" w:space="0" w:color="auto"/>
            </w:tcBorders>
            <w:hideMark/>
          </w:tcPr>
          <w:p w14:paraId="00785F7F" w14:textId="77777777" w:rsidR="003663AF" w:rsidRPr="00B7760C" w:rsidRDefault="003663AF" w:rsidP="00E804B7">
            <w:pPr>
              <w:pStyle w:val="Normal6"/>
              <w:jc w:val="right"/>
              <w:rPr>
                <w:b/>
                <w:i/>
                <w:sz w:val="20"/>
              </w:rPr>
            </w:pPr>
            <w:r w:rsidRPr="00B7760C">
              <w:rPr>
                <w:b/>
                <w:i/>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24F42CDB"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46699D5C"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5CC6A28E"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4B5718B9" w14:textId="77777777" w:rsidR="003663AF" w:rsidRPr="00B7760C" w:rsidRDefault="003663AF" w:rsidP="00E804B7">
            <w:pPr>
              <w:pStyle w:val="Normal6"/>
              <w:jc w:val="right"/>
              <w:rPr>
                <w:b/>
                <w:i/>
                <w:sz w:val="20"/>
              </w:rPr>
            </w:pPr>
            <w:r w:rsidRPr="00B7760C">
              <w:rPr>
                <w:b/>
                <w:i/>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675C43B3" w14:textId="77777777" w:rsidR="003663AF" w:rsidRPr="00B7760C" w:rsidRDefault="003663AF" w:rsidP="00E804B7">
            <w:pPr>
              <w:pStyle w:val="Normal6"/>
              <w:jc w:val="right"/>
              <w:rPr>
                <w:b/>
                <w:i/>
                <w:sz w:val="20"/>
              </w:rPr>
            </w:pPr>
            <w:r w:rsidRPr="00B7760C">
              <w:rPr>
                <w:b/>
                <w:i/>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599E29B4" w14:textId="77777777" w:rsidR="003663AF" w:rsidRPr="00B7760C" w:rsidRDefault="003663AF" w:rsidP="00E804B7">
            <w:pPr>
              <w:pStyle w:val="Normal6"/>
              <w:jc w:val="right"/>
              <w:rPr>
                <w:b/>
                <w:i/>
                <w:sz w:val="20"/>
              </w:rPr>
            </w:pPr>
            <w:r w:rsidRPr="00B7760C">
              <w:rPr>
                <w:b/>
                <w:i/>
                <w:sz w:val="20"/>
              </w:rPr>
              <w:t>X</w:t>
            </w:r>
          </w:p>
        </w:tc>
      </w:tr>
      <w:tr w:rsidR="003663AF" w:rsidRPr="00B7760C" w14:paraId="6E392EFE" w14:textId="77777777" w:rsidTr="00E804B7">
        <w:trPr>
          <w:cantSplit/>
          <w:trHeight w:val="497"/>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1D495EF7" w14:textId="77777777" w:rsidR="003663AF" w:rsidRPr="00B7760C" w:rsidRDefault="003663AF" w:rsidP="00E804B7">
            <w:pPr>
              <w:pStyle w:val="Normal6"/>
              <w:rPr>
                <w:sz w:val="20"/>
              </w:rPr>
            </w:pPr>
            <w:r w:rsidRPr="00B7760C">
              <w:rPr>
                <w:sz w:val="20"/>
              </w:rPr>
              <w:t>Češka</w:t>
            </w:r>
          </w:p>
        </w:tc>
        <w:tc>
          <w:tcPr>
            <w:tcW w:w="1560" w:type="dxa"/>
            <w:tcBorders>
              <w:top w:val="single" w:sz="4" w:space="0" w:color="auto"/>
              <w:left w:val="single" w:sz="4" w:space="0" w:color="auto"/>
              <w:bottom w:val="single" w:sz="4" w:space="0" w:color="auto"/>
              <w:right w:val="single" w:sz="4" w:space="0" w:color="auto"/>
            </w:tcBorders>
            <w:hideMark/>
          </w:tcPr>
          <w:p w14:paraId="22CCF556" w14:textId="77777777" w:rsidR="003663AF" w:rsidRPr="00B7760C" w:rsidRDefault="003663AF" w:rsidP="00E804B7">
            <w:pPr>
              <w:pStyle w:val="Normal6"/>
              <w:jc w:val="right"/>
              <w:rPr>
                <w:b/>
                <w:i/>
                <w:sz w:val="20"/>
              </w:rPr>
            </w:pPr>
            <w:r w:rsidRPr="00B7760C">
              <w:rPr>
                <w:b/>
                <w:i/>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2BECA249"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301A8D48"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05AAD6EE"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06041ECA" w14:textId="77777777" w:rsidR="003663AF" w:rsidRPr="00B7760C" w:rsidRDefault="003663AF" w:rsidP="00E804B7">
            <w:pPr>
              <w:pStyle w:val="Normal6"/>
              <w:jc w:val="right"/>
              <w:rPr>
                <w:b/>
                <w:i/>
                <w:sz w:val="20"/>
              </w:rPr>
            </w:pPr>
            <w:r w:rsidRPr="00B7760C">
              <w:rPr>
                <w:b/>
                <w:i/>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671DD2F1" w14:textId="77777777" w:rsidR="003663AF" w:rsidRPr="00B7760C" w:rsidRDefault="003663AF" w:rsidP="00E804B7">
            <w:pPr>
              <w:pStyle w:val="Normal6"/>
              <w:jc w:val="right"/>
              <w:rPr>
                <w:b/>
                <w:i/>
                <w:sz w:val="20"/>
              </w:rPr>
            </w:pPr>
            <w:r w:rsidRPr="00B7760C">
              <w:rPr>
                <w:b/>
                <w:i/>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7E326427" w14:textId="77777777" w:rsidR="003663AF" w:rsidRPr="00B7760C" w:rsidRDefault="003663AF" w:rsidP="00E804B7">
            <w:pPr>
              <w:pStyle w:val="Normal6"/>
              <w:jc w:val="right"/>
              <w:rPr>
                <w:b/>
                <w:i/>
                <w:sz w:val="20"/>
              </w:rPr>
            </w:pPr>
            <w:r w:rsidRPr="00B7760C">
              <w:rPr>
                <w:b/>
                <w:i/>
                <w:sz w:val="20"/>
              </w:rPr>
              <w:t>X</w:t>
            </w:r>
          </w:p>
        </w:tc>
      </w:tr>
      <w:tr w:rsidR="003663AF" w:rsidRPr="00B7760C" w14:paraId="322DAB97"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22CCA5CF" w14:textId="77777777" w:rsidR="003663AF" w:rsidRPr="00B7760C" w:rsidRDefault="003663AF" w:rsidP="00E804B7">
            <w:pPr>
              <w:pStyle w:val="Normal6"/>
              <w:rPr>
                <w:sz w:val="20"/>
              </w:rPr>
            </w:pPr>
            <w:r w:rsidRPr="00B7760C">
              <w:rPr>
                <w:sz w:val="20"/>
              </w:rPr>
              <w:t>Danska</w:t>
            </w:r>
          </w:p>
        </w:tc>
        <w:tc>
          <w:tcPr>
            <w:tcW w:w="1560" w:type="dxa"/>
            <w:tcBorders>
              <w:top w:val="single" w:sz="4" w:space="0" w:color="auto"/>
              <w:left w:val="single" w:sz="4" w:space="0" w:color="auto"/>
              <w:bottom w:val="single" w:sz="4" w:space="0" w:color="auto"/>
              <w:right w:val="single" w:sz="4" w:space="0" w:color="auto"/>
            </w:tcBorders>
            <w:hideMark/>
          </w:tcPr>
          <w:p w14:paraId="2001C075" w14:textId="77777777" w:rsidR="003663AF" w:rsidRPr="00B7760C" w:rsidRDefault="003663AF" w:rsidP="00E804B7">
            <w:pPr>
              <w:pStyle w:val="Normal6"/>
              <w:jc w:val="right"/>
              <w:rPr>
                <w:b/>
                <w:i/>
                <w:sz w:val="20"/>
              </w:rPr>
            </w:pPr>
            <w:r w:rsidRPr="00B7760C">
              <w:rPr>
                <w:b/>
                <w:i/>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7E40FC33"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1E183D78"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22FAF1B2"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10170FFC" w14:textId="77777777" w:rsidR="003663AF" w:rsidRPr="00B7760C" w:rsidRDefault="003663AF" w:rsidP="00E804B7">
            <w:pPr>
              <w:pStyle w:val="Normal6"/>
              <w:jc w:val="right"/>
              <w:rPr>
                <w:b/>
                <w:i/>
                <w:sz w:val="20"/>
              </w:rPr>
            </w:pPr>
            <w:r w:rsidRPr="00B7760C">
              <w:rPr>
                <w:b/>
                <w:i/>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5FCCF39D" w14:textId="77777777" w:rsidR="003663AF" w:rsidRPr="00B7760C" w:rsidRDefault="003663AF" w:rsidP="00E804B7">
            <w:pPr>
              <w:pStyle w:val="Normal6"/>
              <w:jc w:val="right"/>
              <w:rPr>
                <w:b/>
                <w:i/>
                <w:sz w:val="20"/>
              </w:rPr>
            </w:pPr>
            <w:r w:rsidRPr="00B7760C">
              <w:rPr>
                <w:b/>
                <w:i/>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54AAA94C" w14:textId="77777777" w:rsidR="003663AF" w:rsidRPr="00B7760C" w:rsidRDefault="003663AF" w:rsidP="00E804B7">
            <w:pPr>
              <w:pStyle w:val="Normal6"/>
              <w:jc w:val="right"/>
              <w:rPr>
                <w:b/>
                <w:i/>
                <w:sz w:val="20"/>
              </w:rPr>
            </w:pPr>
            <w:r w:rsidRPr="00B7760C">
              <w:rPr>
                <w:b/>
                <w:i/>
                <w:sz w:val="20"/>
              </w:rPr>
              <w:t>X</w:t>
            </w:r>
          </w:p>
        </w:tc>
      </w:tr>
      <w:tr w:rsidR="003663AF" w:rsidRPr="00B7760C" w14:paraId="4F76F116"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1D1C97AD" w14:textId="77777777" w:rsidR="003663AF" w:rsidRPr="00B7760C" w:rsidRDefault="003663AF" w:rsidP="00E804B7">
            <w:pPr>
              <w:pStyle w:val="Normal6"/>
              <w:rPr>
                <w:sz w:val="20"/>
              </w:rPr>
            </w:pPr>
            <w:r w:rsidRPr="00B7760C">
              <w:rPr>
                <w:sz w:val="20"/>
              </w:rPr>
              <w:t>Nemčija</w:t>
            </w:r>
          </w:p>
        </w:tc>
        <w:tc>
          <w:tcPr>
            <w:tcW w:w="1560" w:type="dxa"/>
            <w:tcBorders>
              <w:top w:val="single" w:sz="4" w:space="0" w:color="auto"/>
              <w:left w:val="single" w:sz="4" w:space="0" w:color="auto"/>
              <w:bottom w:val="single" w:sz="4" w:space="0" w:color="auto"/>
              <w:right w:val="single" w:sz="4" w:space="0" w:color="auto"/>
            </w:tcBorders>
            <w:hideMark/>
          </w:tcPr>
          <w:p w14:paraId="6CF376D3" w14:textId="77777777" w:rsidR="003663AF" w:rsidRPr="00B7760C" w:rsidRDefault="003663AF" w:rsidP="00E804B7">
            <w:pPr>
              <w:pStyle w:val="Normal6"/>
              <w:jc w:val="right"/>
              <w:rPr>
                <w:b/>
                <w:i/>
                <w:sz w:val="20"/>
              </w:rPr>
            </w:pPr>
            <w:r w:rsidRPr="00B7760C">
              <w:rPr>
                <w:b/>
                <w:i/>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53227895"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6C78D6C0"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72D36FCB"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3474BC41" w14:textId="77777777" w:rsidR="003663AF" w:rsidRPr="00B7760C" w:rsidRDefault="003663AF" w:rsidP="00E804B7">
            <w:pPr>
              <w:pStyle w:val="Normal6"/>
              <w:jc w:val="right"/>
              <w:rPr>
                <w:b/>
                <w:i/>
                <w:sz w:val="20"/>
              </w:rPr>
            </w:pPr>
            <w:r w:rsidRPr="00B7760C">
              <w:rPr>
                <w:b/>
                <w:i/>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7D66C6AD" w14:textId="77777777" w:rsidR="003663AF" w:rsidRPr="00B7760C" w:rsidRDefault="003663AF" w:rsidP="00E804B7">
            <w:pPr>
              <w:pStyle w:val="Normal6"/>
              <w:jc w:val="right"/>
              <w:rPr>
                <w:b/>
                <w:i/>
                <w:sz w:val="20"/>
              </w:rPr>
            </w:pPr>
            <w:r w:rsidRPr="00B7760C">
              <w:rPr>
                <w:b/>
                <w:i/>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6AE0DC79" w14:textId="77777777" w:rsidR="003663AF" w:rsidRPr="00B7760C" w:rsidRDefault="003663AF" w:rsidP="00E804B7">
            <w:pPr>
              <w:pStyle w:val="Normal6"/>
              <w:jc w:val="right"/>
              <w:rPr>
                <w:b/>
                <w:i/>
                <w:sz w:val="20"/>
              </w:rPr>
            </w:pPr>
            <w:r w:rsidRPr="00B7760C">
              <w:rPr>
                <w:b/>
                <w:i/>
                <w:sz w:val="20"/>
              </w:rPr>
              <w:t>X</w:t>
            </w:r>
          </w:p>
        </w:tc>
      </w:tr>
      <w:tr w:rsidR="003663AF" w:rsidRPr="00B7760C" w14:paraId="466973FB"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210BBED2" w14:textId="77777777" w:rsidR="003663AF" w:rsidRPr="00B7760C" w:rsidRDefault="003663AF" w:rsidP="00E804B7">
            <w:pPr>
              <w:pStyle w:val="Normal6"/>
              <w:rPr>
                <w:sz w:val="20"/>
              </w:rPr>
            </w:pPr>
            <w:r w:rsidRPr="00B7760C">
              <w:rPr>
                <w:sz w:val="20"/>
              </w:rPr>
              <w:t>Estonija</w:t>
            </w:r>
          </w:p>
        </w:tc>
        <w:tc>
          <w:tcPr>
            <w:tcW w:w="1560" w:type="dxa"/>
            <w:tcBorders>
              <w:top w:val="single" w:sz="4" w:space="0" w:color="auto"/>
              <w:left w:val="single" w:sz="4" w:space="0" w:color="auto"/>
              <w:bottom w:val="single" w:sz="4" w:space="0" w:color="auto"/>
              <w:right w:val="single" w:sz="4" w:space="0" w:color="auto"/>
            </w:tcBorders>
            <w:hideMark/>
          </w:tcPr>
          <w:p w14:paraId="5AA4525B" w14:textId="77777777" w:rsidR="003663AF" w:rsidRPr="00B7760C" w:rsidRDefault="003663AF" w:rsidP="00E804B7">
            <w:pPr>
              <w:pStyle w:val="Normal6"/>
              <w:jc w:val="right"/>
              <w:rPr>
                <w:b/>
                <w:i/>
                <w:sz w:val="20"/>
              </w:rPr>
            </w:pPr>
            <w:r w:rsidRPr="00B7760C">
              <w:rPr>
                <w:b/>
                <w:i/>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6CF8659E"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105F4235"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317B9CA2"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6E34C139" w14:textId="77777777" w:rsidR="003663AF" w:rsidRPr="00B7760C" w:rsidRDefault="003663AF" w:rsidP="00E804B7">
            <w:pPr>
              <w:pStyle w:val="Normal6"/>
              <w:jc w:val="right"/>
              <w:rPr>
                <w:b/>
                <w:i/>
                <w:sz w:val="20"/>
              </w:rPr>
            </w:pPr>
            <w:r w:rsidRPr="00B7760C">
              <w:rPr>
                <w:b/>
                <w:i/>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78E5A7C2" w14:textId="77777777" w:rsidR="003663AF" w:rsidRPr="00B7760C" w:rsidRDefault="003663AF" w:rsidP="00E804B7">
            <w:pPr>
              <w:pStyle w:val="Normal6"/>
              <w:jc w:val="right"/>
              <w:rPr>
                <w:b/>
                <w:i/>
                <w:sz w:val="20"/>
              </w:rPr>
            </w:pPr>
            <w:r w:rsidRPr="00B7760C">
              <w:rPr>
                <w:b/>
                <w:i/>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1D61A7A7" w14:textId="77777777" w:rsidR="003663AF" w:rsidRPr="00B7760C" w:rsidRDefault="003663AF" w:rsidP="00E804B7">
            <w:pPr>
              <w:pStyle w:val="Normal6"/>
              <w:jc w:val="right"/>
              <w:rPr>
                <w:b/>
                <w:i/>
                <w:sz w:val="20"/>
              </w:rPr>
            </w:pPr>
            <w:r w:rsidRPr="00B7760C">
              <w:rPr>
                <w:b/>
                <w:i/>
                <w:sz w:val="20"/>
              </w:rPr>
              <w:t>X</w:t>
            </w:r>
          </w:p>
        </w:tc>
      </w:tr>
      <w:tr w:rsidR="003663AF" w:rsidRPr="00B7760C" w14:paraId="50F9D5DF"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56933481" w14:textId="77777777" w:rsidR="003663AF" w:rsidRPr="00B7760C" w:rsidRDefault="003663AF" w:rsidP="00E804B7">
            <w:pPr>
              <w:pStyle w:val="Normal6"/>
              <w:rPr>
                <w:sz w:val="20"/>
              </w:rPr>
            </w:pPr>
            <w:r w:rsidRPr="00B7760C">
              <w:rPr>
                <w:sz w:val="20"/>
              </w:rPr>
              <w:t>Irska</w:t>
            </w:r>
          </w:p>
        </w:tc>
        <w:tc>
          <w:tcPr>
            <w:tcW w:w="1560" w:type="dxa"/>
            <w:tcBorders>
              <w:top w:val="single" w:sz="4" w:space="0" w:color="auto"/>
              <w:left w:val="single" w:sz="4" w:space="0" w:color="auto"/>
              <w:bottom w:val="single" w:sz="4" w:space="0" w:color="auto"/>
              <w:right w:val="single" w:sz="4" w:space="0" w:color="auto"/>
            </w:tcBorders>
            <w:hideMark/>
          </w:tcPr>
          <w:p w14:paraId="68522E46" w14:textId="77777777" w:rsidR="003663AF" w:rsidRPr="00B7760C" w:rsidRDefault="003663AF" w:rsidP="00E804B7">
            <w:pPr>
              <w:pStyle w:val="Normal6"/>
              <w:jc w:val="right"/>
              <w:rPr>
                <w:b/>
                <w:i/>
                <w:sz w:val="20"/>
              </w:rPr>
            </w:pPr>
            <w:r w:rsidRPr="00B7760C">
              <w:rPr>
                <w:b/>
                <w:i/>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33C62579"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539857F7"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167383BD"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68919770" w14:textId="77777777" w:rsidR="003663AF" w:rsidRPr="00B7760C" w:rsidRDefault="003663AF" w:rsidP="00E804B7">
            <w:pPr>
              <w:pStyle w:val="Normal6"/>
              <w:jc w:val="right"/>
              <w:rPr>
                <w:b/>
                <w:i/>
                <w:sz w:val="20"/>
              </w:rPr>
            </w:pPr>
            <w:r w:rsidRPr="00B7760C">
              <w:rPr>
                <w:b/>
                <w:i/>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346BA337" w14:textId="77777777" w:rsidR="003663AF" w:rsidRPr="00B7760C" w:rsidRDefault="003663AF" w:rsidP="00E804B7">
            <w:pPr>
              <w:pStyle w:val="Normal6"/>
              <w:jc w:val="right"/>
              <w:rPr>
                <w:b/>
                <w:i/>
                <w:sz w:val="20"/>
              </w:rPr>
            </w:pPr>
            <w:r w:rsidRPr="00B7760C">
              <w:rPr>
                <w:b/>
                <w:i/>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206154AB" w14:textId="77777777" w:rsidR="003663AF" w:rsidRPr="00B7760C" w:rsidRDefault="003663AF" w:rsidP="00E804B7">
            <w:pPr>
              <w:pStyle w:val="Normal6"/>
              <w:jc w:val="right"/>
              <w:rPr>
                <w:b/>
                <w:i/>
                <w:sz w:val="20"/>
              </w:rPr>
            </w:pPr>
            <w:r w:rsidRPr="00B7760C">
              <w:rPr>
                <w:b/>
                <w:i/>
                <w:sz w:val="20"/>
              </w:rPr>
              <w:t>X</w:t>
            </w:r>
          </w:p>
        </w:tc>
      </w:tr>
      <w:tr w:rsidR="003663AF" w:rsidRPr="00B7760C" w14:paraId="5EB5F351"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1B8EBD3B" w14:textId="77777777" w:rsidR="003663AF" w:rsidRPr="00B7760C" w:rsidRDefault="003663AF" w:rsidP="00E804B7">
            <w:pPr>
              <w:pStyle w:val="Normal6"/>
              <w:rPr>
                <w:sz w:val="20"/>
              </w:rPr>
            </w:pPr>
            <w:r w:rsidRPr="00B7760C">
              <w:rPr>
                <w:sz w:val="20"/>
              </w:rPr>
              <w:t>Grčija</w:t>
            </w:r>
          </w:p>
        </w:tc>
        <w:tc>
          <w:tcPr>
            <w:tcW w:w="1560" w:type="dxa"/>
            <w:tcBorders>
              <w:top w:val="single" w:sz="4" w:space="0" w:color="auto"/>
              <w:left w:val="single" w:sz="4" w:space="0" w:color="auto"/>
              <w:bottom w:val="single" w:sz="4" w:space="0" w:color="auto"/>
              <w:right w:val="single" w:sz="4" w:space="0" w:color="auto"/>
            </w:tcBorders>
            <w:hideMark/>
          </w:tcPr>
          <w:p w14:paraId="4DFE4584" w14:textId="77777777" w:rsidR="003663AF" w:rsidRPr="00B7760C" w:rsidRDefault="003663AF" w:rsidP="00E804B7">
            <w:pPr>
              <w:pStyle w:val="Normal6"/>
              <w:jc w:val="right"/>
              <w:rPr>
                <w:b/>
                <w:i/>
                <w:sz w:val="20"/>
              </w:rPr>
            </w:pPr>
            <w:r w:rsidRPr="00B7760C">
              <w:rPr>
                <w:b/>
                <w:i/>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2EBDC4ED"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4138881F"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30CAE6CD"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730522A2" w14:textId="77777777" w:rsidR="003663AF" w:rsidRPr="00B7760C" w:rsidRDefault="003663AF" w:rsidP="00E804B7">
            <w:pPr>
              <w:pStyle w:val="Normal6"/>
              <w:jc w:val="right"/>
              <w:rPr>
                <w:b/>
                <w:i/>
                <w:sz w:val="20"/>
              </w:rPr>
            </w:pPr>
            <w:r w:rsidRPr="00B7760C">
              <w:rPr>
                <w:b/>
                <w:i/>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270E8ABA" w14:textId="77777777" w:rsidR="003663AF" w:rsidRPr="00B7760C" w:rsidRDefault="003663AF" w:rsidP="00E804B7">
            <w:pPr>
              <w:pStyle w:val="Normal6"/>
              <w:jc w:val="right"/>
              <w:rPr>
                <w:b/>
                <w:i/>
                <w:sz w:val="20"/>
              </w:rPr>
            </w:pPr>
            <w:r w:rsidRPr="00B7760C">
              <w:rPr>
                <w:b/>
                <w:i/>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73ECCE5E" w14:textId="77777777" w:rsidR="003663AF" w:rsidRPr="00B7760C" w:rsidRDefault="003663AF" w:rsidP="00E804B7">
            <w:pPr>
              <w:pStyle w:val="Normal6"/>
              <w:jc w:val="right"/>
              <w:rPr>
                <w:b/>
                <w:i/>
                <w:sz w:val="20"/>
              </w:rPr>
            </w:pPr>
            <w:r w:rsidRPr="00B7760C">
              <w:rPr>
                <w:b/>
                <w:i/>
                <w:sz w:val="20"/>
              </w:rPr>
              <w:t>X</w:t>
            </w:r>
          </w:p>
        </w:tc>
      </w:tr>
      <w:tr w:rsidR="003663AF" w:rsidRPr="00B7760C" w14:paraId="4A0F287C"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05445E58" w14:textId="77777777" w:rsidR="003663AF" w:rsidRPr="00B7760C" w:rsidRDefault="003663AF" w:rsidP="00E804B7">
            <w:pPr>
              <w:pStyle w:val="Normal6"/>
              <w:rPr>
                <w:sz w:val="20"/>
              </w:rPr>
            </w:pPr>
            <w:r w:rsidRPr="00B7760C">
              <w:rPr>
                <w:sz w:val="20"/>
              </w:rPr>
              <w:t>Španija</w:t>
            </w:r>
          </w:p>
        </w:tc>
        <w:tc>
          <w:tcPr>
            <w:tcW w:w="1560" w:type="dxa"/>
            <w:tcBorders>
              <w:top w:val="single" w:sz="4" w:space="0" w:color="auto"/>
              <w:left w:val="single" w:sz="4" w:space="0" w:color="auto"/>
              <w:bottom w:val="single" w:sz="4" w:space="0" w:color="auto"/>
              <w:right w:val="single" w:sz="4" w:space="0" w:color="auto"/>
            </w:tcBorders>
            <w:hideMark/>
          </w:tcPr>
          <w:p w14:paraId="2AE4095F" w14:textId="77777777" w:rsidR="003663AF" w:rsidRPr="00B7760C" w:rsidRDefault="003663AF" w:rsidP="00E804B7">
            <w:pPr>
              <w:pStyle w:val="Normal6"/>
              <w:jc w:val="right"/>
              <w:rPr>
                <w:b/>
                <w:i/>
                <w:sz w:val="20"/>
              </w:rPr>
            </w:pPr>
            <w:r w:rsidRPr="00B7760C">
              <w:rPr>
                <w:b/>
                <w:i/>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09484C38"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35A0B77E"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71AC2A9F"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74EC0B65" w14:textId="77777777" w:rsidR="003663AF" w:rsidRPr="00B7760C" w:rsidRDefault="003663AF" w:rsidP="00E804B7">
            <w:pPr>
              <w:pStyle w:val="Normal6"/>
              <w:jc w:val="right"/>
              <w:rPr>
                <w:b/>
                <w:i/>
                <w:sz w:val="20"/>
              </w:rPr>
            </w:pPr>
            <w:r w:rsidRPr="00B7760C">
              <w:rPr>
                <w:b/>
                <w:i/>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1E7E28CA" w14:textId="77777777" w:rsidR="003663AF" w:rsidRPr="00B7760C" w:rsidRDefault="003663AF" w:rsidP="00E804B7">
            <w:pPr>
              <w:pStyle w:val="Normal6"/>
              <w:jc w:val="right"/>
              <w:rPr>
                <w:b/>
                <w:i/>
                <w:sz w:val="20"/>
              </w:rPr>
            </w:pPr>
            <w:r w:rsidRPr="00B7760C">
              <w:rPr>
                <w:b/>
                <w:i/>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68EF940A" w14:textId="77777777" w:rsidR="003663AF" w:rsidRPr="00B7760C" w:rsidRDefault="003663AF" w:rsidP="00E804B7">
            <w:pPr>
              <w:pStyle w:val="Normal6"/>
              <w:jc w:val="right"/>
              <w:rPr>
                <w:b/>
                <w:i/>
                <w:sz w:val="20"/>
              </w:rPr>
            </w:pPr>
            <w:r w:rsidRPr="00B7760C">
              <w:rPr>
                <w:b/>
                <w:i/>
                <w:sz w:val="20"/>
              </w:rPr>
              <w:t>X</w:t>
            </w:r>
          </w:p>
        </w:tc>
      </w:tr>
      <w:tr w:rsidR="003663AF" w:rsidRPr="00B7760C" w14:paraId="456AA962"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4291099E" w14:textId="77777777" w:rsidR="003663AF" w:rsidRPr="00B7760C" w:rsidRDefault="003663AF" w:rsidP="00E804B7">
            <w:pPr>
              <w:pStyle w:val="Normal6"/>
              <w:rPr>
                <w:sz w:val="20"/>
              </w:rPr>
            </w:pPr>
            <w:r w:rsidRPr="00B7760C">
              <w:rPr>
                <w:sz w:val="20"/>
              </w:rPr>
              <w:t>Francija</w:t>
            </w:r>
          </w:p>
        </w:tc>
        <w:tc>
          <w:tcPr>
            <w:tcW w:w="1560" w:type="dxa"/>
            <w:tcBorders>
              <w:top w:val="single" w:sz="4" w:space="0" w:color="auto"/>
              <w:left w:val="single" w:sz="4" w:space="0" w:color="auto"/>
              <w:bottom w:val="single" w:sz="4" w:space="0" w:color="auto"/>
              <w:right w:val="single" w:sz="4" w:space="0" w:color="auto"/>
            </w:tcBorders>
            <w:hideMark/>
          </w:tcPr>
          <w:p w14:paraId="512AD3CE" w14:textId="77777777" w:rsidR="003663AF" w:rsidRPr="00B7760C" w:rsidRDefault="003663AF" w:rsidP="00E804B7">
            <w:pPr>
              <w:pStyle w:val="Normal6"/>
              <w:jc w:val="right"/>
              <w:rPr>
                <w:b/>
                <w:i/>
                <w:sz w:val="20"/>
              </w:rPr>
            </w:pPr>
            <w:r w:rsidRPr="00B7760C">
              <w:rPr>
                <w:b/>
                <w:i/>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730C64C4"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3D82B8BA"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5AF5856B"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180C4F83" w14:textId="77777777" w:rsidR="003663AF" w:rsidRPr="00B7760C" w:rsidRDefault="003663AF" w:rsidP="00E804B7">
            <w:pPr>
              <w:pStyle w:val="Normal6"/>
              <w:jc w:val="right"/>
              <w:rPr>
                <w:b/>
                <w:i/>
                <w:sz w:val="20"/>
              </w:rPr>
            </w:pPr>
            <w:r w:rsidRPr="00B7760C">
              <w:rPr>
                <w:b/>
                <w:i/>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2B530ED0" w14:textId="77777777" w:rsidR="003663AF" w:rsidRPr="00B7760C" w:rsidRDefault="003663AF" w:rsidP="00E804B7">
            <w:pPr>
              <w:pStyle w:val="Normal6"/>
              <w:jc w:val="right"/>
              <w:rPr>
                <w:b/>
                <w:i/>
                <w:sz w:val="20"/>
              </w:rPr>
            </w:pPr>
            <w:r w:rsidRPr="00B7760C">
              <w:rPr>
                <w:b/>
                <w:i/>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2C6BFA36" w14:textId="77777777" w:rsidR="003663AF" w:rsidRPr="00B7760C" w:rsidRDefault="003663AF" w:rsidP="00E804B7">
            <w:pPr>
              <w:pStyle w:val="Normal6"/>
              <w:jc w:val="right"/>
              <w:rPr>
                <w:b/>
                <w:i/>
                <w:sz w:val="20"/>
              </w:rPr>
            </w:pPr>
            <w:r w:rsidRPr="00B7760C">
              <w:rPr>
                <w:b/>
                <w:i/>
                <w:sz w:val="20"/>
              </w:rPr>
              <w:t>X</w:t>
            </w:r>
          </w:p>
        </w:tc>
      </w:tr>
      <w:tr w:rsidR="003663AF" w:rsidRPr="00B7760C" w14:paraId="434A4770"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27F0DE2F" w14:textId="77777777" w:rsidR="003663AF" w:rsidRPr="00B7760C" w:rsidRDefault="003663AF" w:rsidP="00E804B7">
            <w:pPr>
              <w:pStyle w:val="Normal6"/>
              <w:rPr>
                <w:sz w:val="20"/>
              </w:rPr>
            </w:pPr>
            <w:r w:rsidRPr="00B7760C">
              <w:rPr>
                <w:sz w:val="20"/>
              </w:rPr>
              <w:t>Hrvaška</w:t>
            </w:r>
          </w:p>
        </w:tc>
        <w:tc>
          <w:tcPr>
            <w:tcW w:w="1560" w:type="dxa"/>
            <w:tcBorders>
              <w:top w:val="single" w:sz="4" w:space="0" w:color="auto"/>
              <w:left w:val="single" w:sz="4" w:space="0" w:color="auto"/>
              <w:bottom w:val="single" w:sz="4" w:space="0" w:color="auto"/>
              <w:right w:val="single" w:sz="4" w:space="0" w:color="auto"/>
            </w:tcBorders>
            <w:hideMark/>
          </w:tcPr>
          <w:p w14:paraId="5E8872C9" w14:textId="77777777" w:rsidR="003663AF" w:rsidRPr="00B7760C" w:rsidRDefault="003663AF" w:rsidP="00E804B7">
            <w:pPr>
              <w:pStyle w:val="Normal6"/>
              <w:jc w:val="right"/>
              <w:rPr>
                <w:b/>
                <w:i/>
                <w:sz w:val="20"/>
              </w:rPr>
            </w:pPr>
            <w:r w:rsidRPr="00B7760C">
              <w:rPr>
                <w:b/>
                <w:i/>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33A86E53"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5F9D2FCE"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2C3FE0E2"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29A2F8EC" w14:textId="77777777" w:rsidR="003663AF" w:rsidRPr="00B7760C" w:rsidRDefault="003663AF" w:rsidP="00E804B7">
            <w:pPr>
              <w:pStyle w:val="Normal6"/>
              <w:jc w:val="right"/>
              <w:rPr>
                <w:b/>
                <w:i/>
                <w:sz w:val="20"/>
              </w:rPr>
            </w:pPr>
            <w:r w:rsidRPr="00B7760C">
              <w:rPr>
                <w:b/>
                <w:i/>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6C343FC3" w14:textId="77777777" w:rsidR="003663AF" w:rsidRPr="00B7760C" w:rsidRDefault="003663AF" w:rsidP="00E804B7">
            <w:pPr>
              <w:pStyle w:val="Normal6"/>
              <w:jc w:val="right"/>
              <w:rPr>
                <w:b/>
                <w:i/>
                <w:sz w:val="20"/>
              </w:rPr>
            </w:pPr>
            <w:r w:rsidRPr="00B7760C">
              <w:rPr>
                <w:b/>
                <w:i/>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2B7F075D" w14:textId="77777777" w:rsidR="003663AF" w:rsidRPr="00B7760C" w:rsidRDefault="003663AF" w:rsidP="00E804B7">
            <w:pPr>
              <w:pStyle w:val="Normal6"/>
              <w:jc w:val="right"/>
              <w:rPr>
                <w:b/>
                <w:i/>
                <w:sz w:val="20"/>
              </w:rPr>
            </w:pPr>
            <w:r w:rsidRPr="00B7760C">
              <w:rPr>
                <w:b/>
                <w:i/>
                <w:sz w:val="20"/>
              </w:rPr>
              <w:t>X</w:t>
            </w:r>
          </w:p>
        </w:tc>
      </w:tr>
      <w:tr w:rsidR="003663AF" w:rsidRPr="00B7760C" w14:paraId="3F6C1321"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13A36690" w14:textId="77777777" w:rsidR="003663AF" w:rsidRPr="00B7760C" w:rsidRDefault="003663AF" w:rsidP="00E804B7">
            <w:pPr>
              <w:pStyle w:val="Normal6"/>
              <w:rPr>
                <w:sz w:val="20"/>
              </w:rPr>
            </w:pPr>
            <w:r w:rsidRPr="00B7760C">
              <w:rPr>
                <w:sz w:val="20"/>
              </w:rPr>
              <w:t>Italija</w:t>
            </w:r>
          </w:p>
        </w:tc>
        <w:tc>
          <w:tcPr>
            <w:tcW w:w="1560" w:type="dxa"/>
            <w:tcBorders>
              <w:top w:val="single" w:sz="4" w:space="0" w:color="auto"/>
              <w:left w:val="single" w:sz="4" w:space="0" w:color="auto"/>
              <w:bottom w:val="single" w:sz="4" w:space="0" w:color="auto"/>
              <w:right w:val="single" w:sz="4" w:space="0" w:color="auto"/>
            </w:tcBorders>
            <w:hideMark/>
          </w:tcPr>
          <w:p w14:paraId="7EA251BD" w14:textId="77777777" w:rsidR="003663AF" w:rsidRPr="00B7760C" w:rsidRDefault="003663AF" w:rsidP="00E804B7">
            <w:pPr>
              <w:pStyle w:val="Normal6"/>
              <w:jc w:val="right"/>
              <w:rPr>
                <w:b/>
                <w:i/>
                <w:sz w:val="20"/>
              </w:rPr>
            </w:pPr>
            <w:r w:rsidRPr="00B7760C">
              <w:rPr>
                <w:b/>
                <w:i/>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3426BF0A"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4D7BB461"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1DC3CD99"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7BB330AF" w14:textId="77777777" w:rsidR="003663AF" w:rsidRPr="00B7760C" w:rsidRDefault="003663AF" w:rsidP="00E804B7">
            <w:pPr>
              <w:pStyle w:val="Normal6"/>
              <w:jc w:val="right"/>
              <w:rPr>
                <w:b/>
                <w:i/>
                <w:sz w:val="20"/>
              </w:rPr>
            </w:pPr>
            <w:r w:rsidRPr="00B7760C">
              <w:rPr>
                <w:b/>
                <w:i/>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245F9C11" w14:textId="77777777" w:rsidR="003663AF" w:rsidRPr="00B7760C" w:rsidRDefault="003663AF" w:rsidP="00E804B7">
            <w:pPr>
              <w:pStyle w:val="Normal6"/>
              <w:jc w:val="right"/>
              <w:rPr>
                <w:b/>
                <w:i/>
                <w:sz w:val="20"/>
              </w:rPr>
            </w:pPr>
            <w:r w:rsidRPr="00B7760C">
              <w:rPr>
                <w:b/>
                <w:i/>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02F300A3" w14:textId="77777777" w:rsidR="003663AF" w:rsidRPr="00B7760C" w:rsidRDefault="003663AF" w:rsidP="00E804B7">
            <w:pPr>
              <w:pStyle w:val="Normal6"/>
              <w:jc w:val="right"/>
              <w:rPr>
                <w:b/>
                <w:i/>
                <w:sz w:val="20"/>
              </w:rPr>
            </w:pPr>
            <w:r w:rsidRPr="00B7760C">
              <w:rPr>
                <w:b/>
                <w:i/>
                <w:sz w:val="20"/>
              </w:rPr>
              <w:t>X</w:t>
            </w:r>
          </w:p>
        </w:tc>
      </w:tr>
      <w:tr w:rsidR="003663AF" w:rsidRPr="00B7760C" w14:paraId="62005804"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3026AF62" w14:textId="77777777" w:rsidR="003663AF" w:rsidRPr="00B7760C" w:rsidRDefault="003663AF" w:rsidP="00E804B7">
            <w:pPr>
              <w:pStyle w:val="Normal6"/>
              <w:rPr>
                <w:sz w:val="20"/>
              </w:rPr>
            </w:pPr>
            <w:r w:rsidRPr="00B7760C">
              <w:rPr>
                <w:sz w:val="20"/>
              </w:rPr>
              <w:t>Ciper</w:t>
            </w:r>
          </w:p>
        </w:tc>
        <w:tc>
          <w:tcPr>
            <w:tcW w:w="1560" w:type="dxa"/>
            <w:tcBorders>
              <w:top w:val="single" w:sz="4" w:space="0" w:color="auto"/>
              <w:left w:val="single" w:sz="4" w:space="0" w:color="auto"/>
              <w:bottom w:val="single" w:sz="4" w:space="0" w:color="auto"/>
              <w:right w:val="single" w:sz="4" w:space="0" w:color="auto"/>
            </w:tcBorders>
            <w:hideMark/>
          </w:tcPr>
          <w:p w14:paraId="57231DA3" w14:textId="77777777" w:rsidR="003663AF" w:rsidRPr="00B7760C" w:rsidRDefault="003663AF" w:rsidP="00E804B7">
            <w:pPr>
              <w:pStyle w:val="Normal6"/>
              <w:jc w:val="right"/>
              <w:rPr>
                <w:b/>
                <w:i/>
                <w:sz w:val="20"/>
              </w:rPr>
            </w:pPr>
            <w:r w:rsidRPr="00B7760C">
              <w:rPr>
                <w:b/>
                <w:i/>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7934EAA6"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7E1AECD8"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69FD1520"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2D2053CD" w14:textId="77777777" w:rsidR="003663AF" w:rsidRPr="00B7760C" w:rsidRDefault="003663AF" w:rsidP="00E804B7">
            <w:pPr>
              <w:pStyle w:val="Normal6"/>
              <w:jc w:val="right"/>
              <w:rPr>
                <w:b/>
                <w:i/>
                <w:sz w:val="20"/>
              </w:rPr>
            </w:pPr>
            <w:r w:rsidRPr="00B7760C">
              <w:rPr>
                <w:b/>
                <w:i/>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4C3BBDE2" w14:textId="77777777" w:rsidR="003663AF" w:rsidRPr="00B7760C" w:rsidRDefault="003663AF" w:rsidP="00E804B7">
            <w:pPr>
              <w:pStyle w:val="Normal6"/>
              <w:jc w:val="right"/>
              <w:rPr>
                <w:b/>
                <w:i/>
                <w:sz w:val="20"/>
              </w:rPr>
            </w:pPr>
            <w:r w:rsidRPr="00B7760C">
              <w:rPr>
                <w:b/>
                <w:i/>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2AF05BD9" w14:textId="77777777" w:rsidR="003663AF" w:rsidRPr="00B7760C" w:rsidRDefault="003663AF" w:rsidP="00E804B7">
            <w:pPr>
              <w:pStyle w:val="Normal6"/>
              <w:jc w:val="right"/>
              <w:rPr>
                <w:b/>
                <w:i/>
                <w:sz w:val="20"/>
              </w:rPr>
            </w:pPr>
            <w:r w:rsidRPr="00B7760C">
              <w:rPr>
                <w:b/>
                <w:i/>
                <w:sz w:val="20"/>
              </w:rPr>
              <w:t>X</w:t>
            </w:r>
          </w:p>
        </w:tc>
      </w:tr>
      <w:tr w:rsidR="003663AF" w:rsidRPr="00B7760C" w14:paraId="15007C79"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423D7688" w14:textId="77777777" w:rsidR="003663AF" w:rsidRPr="00B7760C" w:rsidRDefault="003663AF" w:rsidP="00E804B7">
            <w:pPr>
              <w:pStyle w:val="Normal6"/>
              <w:rPr>
                <w:sz w:val="20"/>
              </w:rPr>
            </w:pPr>
            <w:r w:rsidRPr="00B7760C">
              <w:rPr>
                <w:sz w:val="20"/>
              </w:rPr>
              <w:t>Latvija</w:t>
            </w:r>
          </w:p>
        </w:tc>
        <w:tc>
          <w:tcPr>
            <w:tcW w:w="1560" w:type="dxa"/>
            <w:tcBorders>
              <w:top w:val="single" w:sz="4" w:space="0" w:color="auto"/>
              <w:left w:val="single" w:sz="4" w:space="0" w:color="auto"/>
              <w:bottom w:val="single" w:sz="4" w:space="0" w:color="auto"/>
              <w:right w:val="single" w:sz="4" w:space="0" w:color="auto"/>
            </w:tcBorders>
            <w:hideMark/>
          </w:tcPr>
          <w:p w14:paraId="4AF91A85" w14:textId="77777777" w:rsidR="003663AF" w:rsidRPr="00B7760C" w:rsidRDefault="003663AF" w:rsidP="00E804B7">
            <w:pPr>
              <w:pStyle w:val="Normal6"/>
              <w:jc w:val="right"/>
              <w:rPr>
                <w:b/>
                <w:i/>
                <w:sz w:val="20"/>
              </w:rPr>
            </w:pPr>
            <w:r w:rsidRPr="00B7760C">
              <w:rPr>
                <w:b/>
                <w:i/>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517B355C"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7EBAEA7A"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63C24547"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2EE8917B" w14:textId="77777777" w:rsidR="003663AF" w:rsidRPr="00B7760C" w:rsidRDefault="003663AF" w:rsidP="00E804B7">
            <w:pPr>
              <w:pStyle w:val="Normal6"/>
              <w:jc w:val="right"/>
              <w:rPr>
                <w:b/>
                <w:i/>
                <w:sz w:val="20"/>
              </w:rPr>
            </w:pPr>
            <w:r w:rsidRPr="00B7760C">
              <w:rPr>
                <w:b/>
                <w:i/>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2B21E99C" w14:textId="77777777" w:rsidR="003663AF" w:rsidRPr="00B7760C" w:rsidRDefault="003663AF" w:rsidP="00E804B7">
            <w:pPr>
              <w:pStyle w:val="Normal6"/>
              <w:jc w:val="right"/>
              <w:rPr>
                <w:b/>
                <w:i/>
                <w:sz w:val="20"/>
              </w:rPr>
            </w:pPr>
            <w:r w:rsidRPr="00B7760C">
              <w:rPr>
                <w:b/>
                <w:i/>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4F0BDBEA" w14:textId="77777777" w:rsidR="003663AF" w:rsidRPr="00B7760C" w:rsidRDefault="003663AF" w:rsidP="00E804B7">
            <w:pPr>
              <w:pStyle w:val="Normal6"/>
              <w:jc w:val="right"/>
              <w:rPr>
                <w:b/>
                <w:i/>
                <w:sz w:val="20"/>
              </w:rPr>
            </w:pPr>
            <w:r w:rsidRPr="00B7760C">
              <w:rPr>
                <w:b/>
                <w:i/>
                <w:sz w:val="20"/>
              </w:rPr>
              <w:t>X</w:t>
            </w:r>
          </w:p>
        </w:tc>
      </w:tr>
      <w:tr w:rsidR="003663AF" w:rsidRPr="00B7760C" w14:paraId="0ED2A047"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4EB3E6FA" w14:textId="77777777" w:rsidR="003663AF" w:rsidRPr="00B7760C" w:rsidRDefault="003663AF" w:rsidP="00E804B7">
            <w:pPr>
              <w:pStyle w:val="Normal6"/>
              <w:rPr>
                <w:sz w:val="20"/>
              </w:rPr>
            </w:pPr>
            <w:r w:rsidRPr="00B7760C">
              <w:rPr>
                <w:sz w:val="20"/>
              </w:rPr>
              <w:t>Litva</w:t>
            </w:r>
          </w:p>
        </w:tc>
        <w:tc>
          <w:tcPr>
            <w:tcW w:w="1560" w:type="dxa"/>
            <w:tcBorders>
              <w:top w:val="single" w:sz="4" w:space="0" w:color="auto"/>
              <w:left w:val="single" w:sz="4" w:space="0" w:color="auto"/>
              <w:bottom w:val="single" w:sz="4" w:space="0" w:color="auto"/>
              <w:right w:val="single" w:sz="4" w:space="0" w:color="auto"/>
            </w:tcBorders>
            <w:hideMark/>
          </w:tcPr>
          <w:p w14:paraId="66B0E76D" w14:textId="77777777" w:rsidR="003663AF" w:rsidRPr="00B7760C" w:rsidRDefault="003663AF" w:rsidP="00E804B7">
            <w:pPr>
              <w:pStyle w:val="Normal6"/>
              <w:jc w:val="right"/>
              <w:rPr>
                <w:b/>
                <w:i/>
                <w:sz w:val="20"/>
              </w:rPr>
            </w:pPr>
            <w:r w:rsidRPr="00B7760C">
              <w:rPr>
                <w:b/>
                <w:i/>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2BAB1BF0"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5E5B89C5"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78C1449F"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297283D8" w14:textId="77777777" w:rsidR="003663AF" w:rsidRPr="00B7760C" w:rsidRDefault="003663AF" w:rsidP="00E804B7">
            <w:pPr>
              <w:pStyle w:val="Normal6"/>
              <w:jc w:val="right"/>
              <w:rPr>
                <w:b/>
                <w:i/>
                <w:sz w:val="20"/>
              </w:rPr>
            </w:pPr>
            <w:r w:rsidRPr="00B7760C">
              <w:rPr>
                <w:b/>
                <w:i/>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2938C784" w14:textId="77777777" w:rsidR="003663AF" w:rsidRPr="00B7760C" w:rsidRDefault="003663AF" w:rsidP="00E804B7">
            <w:pPr>
              <w:pStyle w:val="Normal6"/>
              <w:jc w:val="right"/>
              <w:rPr>
                <w:b/>
                <w:i/>
                <w:sz w:val="20"/>
              </w:rPr>
            </w:pPr>
            <w:r w:rsidRPr="00B7760C">
              <w:rPr>
                <w:b/>
                <w:i/>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024AE8D3" w14:textId="77777777" w:rsidR="003663AF" w:rsidRPr="00B7760C" w:rsidRDefault="003663AF" w:rsidP="00E804B7">
            <w:pPr>
              <w:pStyle w:val="Normal6"/>
              <w:jc w:val="right"/>
              <w:rPr>
                <w:b/>
                <w:i/>
                <w:sz w:val="20"/>
              </w:rPr>
            </w:pPr>
            <w:r w:rsidRPr="00B7760C">
              <w:rPr>
                <w:b/>
                <w:i/>
                <w:sz w:val="20"/>
              </w:rPr>
              <w:t>X</w:t>
            </w:r>
          </w:p>
        </w:tc>
      </w:tr>
      <w:tr w:rsidR="003663AF" w:rsidRPr="00B7760C" w14:paraId="503C5012"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415B6B0F" w14:textId="77777777" w:rsidR="003663AF" w:rsidRPr="00B7760C" w:rsidRDefault="003663AF" w:rsidP="00E804B7">
            <w:pPr>
              <w:pStyle w:val="Normal6"/>
              <w:rPr>
                <w:sz w:val="20"/>
              </w:rPr>
            </w:pPr>
            <w:r w:rsidRPr="00B7760C">
              <w:rPr>
                <w:sz w:val="20"/>
              </w:rPr>
              <w:t>Luksemburg</w:t>
            </w:r>
          </w:p>
        </w:tc>
        <w:tc>
          <w:tcPr>
            <w:tcW w:w="1560" w:type="dxa"/>
            <w:tcBorders>
              <w:top w:val="single" w:sz="4" w:space="0" w:color="auto"/>
              <w:left w:val="single" w:sz="4" w:space="0" w:color="auto"/>
              <w:bottom w:val="single" w:sz="4" w:space="0" w:color="auto"/>
              <w:right w:val="single" w:sz="4" w:space="0" w:color="auto"/>
            </w:tcBorders>
            <w:hideMark/>
          </w:tcPr>
          <w:p w14:paraId="6B26EFD2" w14:textId="77777777" w:rsidR="003663AF" w:rsidRPr="00B7760C" w:rsidRDefault="003663AF" w:rsidP="00E804B7">
            <w:pPr>
              <w:pStyle w:val="Normal6"/>
              <w:jc w:val="right"/>
              <w:rPr>
                <w:b/>
                <w:i/>
                <w:sz w:val="20"/>
              </w:rPr>
            </w:pPr>
            <w:r w:rsidRPr="00B7760C">
              <w:rPr>
                <w:b/>
                <w:i/>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4FCB2F2B"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40DD6368"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083B5E02"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6892224E" w14:textId="77777777" w:rsidR="003663AF" w:rsidRPr="00B7760C" w:rsidRDefault="003663AF" w:rsidP="00E804B7">
            <w:pPr>
              <w:pStyle w:val="Normal6"/>
              <w:jc w:val="right"/>
              <w:rPr>
                <w:b/>
                <w:i/>
                <w:sz w:val="20"/>
              </w:rPr>
            </w:pPr>
            <w:r w:rsidRPr="00B7760C">
              <w:rPr>
                <w:b/>
                <w:i/>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493AF14A" w14:textId="77777777" w:rsidR="003663AF" w:rsidRPr="00B7760C" w:rsidRDefault="003663AF" w:rsidP="00E804B7">
            <w:pPr>
              <w:pStyle w:val="Normal6"/>
              <w:jc w:val="right"/>
              <w:rPr>
                <w:b/>
                <w:i/>
                <w:sz w:val="20"/>
              </w:rPr>
            </w:pPr>
            <w:r w:rsidRPr="00B7760C">
              <w:rPr>
                <w:b/>
                <w:i/>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75476D62" w14:textId="77777777" w:rsidR="003663AF" w:rsidRPr="00B7760C" w:rsidRDefault="003663AF" w:rsidP="00E804B7">
            <w:pPr>
              <w:pStyle w:val="Normal6"/>
              <w:jc w:val="right"/>
              <w:rPr>
                <w:b/>
                <w:i/>
                <w:sz w:val="20"/>
              </w:rPr>
            </w:pPr>
            <w:r w:rsidRPr="00B7760C">
              <w:rPr>
                <w:b/>
                <w:i/>
                <w:sz w:val="20"/>
              </w:rPr>
              <w:t>X</w:t>
            </w:r>
          </w:p>
        </w:tc>
      </w:tr>
      <w:tr w:rsidR="003663AF" w:rsidRPr="00B7760C" w14:paraId="1ED0EE49"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34D8ABF7" w14:textId="77777777" w:rsidR="003663AF" w:rsidRPr="00B7760C" w:rsidRDefault="003663AF" w:rsidP="00E804B7">
            <w:pPr>
              <w:pStyle w:val="Normal6"/>
              <w:rPr>
                <w:sz w:val="20"/>
              </w:rPr>
            </w:pPr>
            <w:r w:rsidRPr="00B7760C">
              <w:rPr>
                <w:sz w:val="20"/>
              </w:rPr>
              <w:t>Madžarska</w:t>
            </w:r>
          </w:p>
        </w:tc>
        <w:tc>
          <w:tcPr>
            <w:tcW w:w="1560" w:type="dxa"/>
            <w:tcBorders>
              <w:top w:val="single" w:sz="4" w:space="0" w:color="auto"/>
              <w:left w:val="single" w:sz="4" w:space="0" w:color="auto"/>
              <w:bottom w:val="single" w:sz="4" w:space="0" w:color="auto"/>
              <w:right w:val="single" w:sz="4" w:space="0" w:color="auto"/>
            </w:tcBorders>
            <w:hideMark/>
          </w:tcPr>
          <w:p w14:paraId="7749EC02" w14:textId="77777777" w:rsidR="003663AF" w:rsidRPr="00B7760C" w:rsidRDefault="003663AF" w:rsidP="00E804B7">
            <w:pPr>
              <w:pStyle w:val="Normal6"/>
              <w:jc w:val="right"/>
              <w:rPr>
                <w:b/>
                <w:i/>
                <w:sz w:val="20"/>
              </w:rPr>
            </w:pPr>
            <w:r w:rsidRPr="00B7760C">
              <w:rPr>
                <w:b/>
                <w:i/>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69EFFB4A"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36883BBF"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2368DD83"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0906BD3D" w14:textId="77777777" w:rsidR="003663AF" w:rsidRPr="00B7760C" w:rsidRDefault="003663AF" w:rsidP="00E804B7">
            <w:pPr>
              <w:pStyle w:val="Normal6"/>
              <w:jc w:val="right"/>
              <w:rPr>
                <w:b/>
                <w:i/>
                <w:sz w:val="20"/>
              </w:rPr>
            </w:pPr>
            <w:r w:rsidRPr="00B7760C">
              <w:rPr>
                <w:b/>
                <w:i/>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62968E0C" w14:textId="77777777" w:rsidR="003663AF" w:rsidRPr="00B7760C" w:rsidRDefault="003663AF" w:rsidP="00E804B7">
            <w:pPr>
              <w:pStyle w:val="Normal6"/>
              <w:jc w:val="right"/>
              <w:rPr>
                <w:b/>
                <w:i/>
                <w:sz w:val="20"/>
              </w:rPr>
            </w:pPr>
            <w:r w:rsidRPr="00B7760C">
              <w:rPr>
                <w:b/>
                <w:i/>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44D447BD" w14:textId="77777777" w:rsidR="003663AF" w:rsidRPr="00B7760C" w:rsidRDefault="003663AF" w:rsidP="00E804B7">
            <w:pPr>
              <w:pStyle w:val="Normal6"/>
              <w:jc w:val="right"/>
              <w:rPr>
                <w:b/>
                <w:i/>
                <w:sz w:val="20"/>
              </w:rPr>
            </w:pPr>
            <w:r w:rsidRPr="00B7760C">
              <w:rPr>
                <w:b/>
                <w:i/>
                <w:sz w:val="20"/>
              </w:rPr>
              <w:t>X</w:t>
            </w:r>
          </w:p>
        </w:tc>
      </w:tr>
      <w:tr w:rsidR="003663AF" w:rsidRPr="00B7760C" w14:paraId="1D66329C"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50522B14" w14:textId="77777777" w:rsidR="003663AF" w:rsidRPr="00B7760C" w:rsidRDefault="003663AF" w:rsidP="00E804B7">
            <w:pPr>
              <w:pStyle w:val="Normal6"/>
              <w:rPr>
                <w:sz w:val="20"/>
              </w:rPr>
            </w:pPr>
            <w:r w:rsidRPr="00B7760C">
              <w:rPr>
                <w:sz w:val="20"/>
              </w:rPr>
              <w:t>Malta</w:t>
            </w:r>
          </w:p>
        </w:tc>
        <w:tc>
          <w:tcPr>
            <w:tcW w:w="1560" w:type="dxa"/>
            <w:tcBorders>
              <w:top w:val="single" w:sz="4" w:space="0" w:color="auto"/>
              <w:left w:val="single" w:sz="4" w:space="0" w:color="auto"/>
              <w:bottom w:val="single" w:sz="4" w:space="0" w:color="auto"/>
              <w:right w:val="single" w:sz="4" w:space="0" w:color="auto"/>
            </w:tcBorders>
            <w:hideMark/>
          </w:tcPr>
          <w:p w14:paraId="7B4B7FD2" w14:textId="77777777" w:rsidR="003663AF" w:rsidRPr="00B7760C" w:rsidRDefault="003663AF" w:rsidP="00E804B7">
            <w:pPr>
              <w:pStyle w:val="Normal6"/>
              <w:jc w:val="right"/>
              <w:rPr>
                <w:b/>
                <w:i/>
                <w:sz w:val="20"/>
              </w:rPr>
            </w:pPr>
            <w:r w:rsidRPr="00B7760C">
              <w:rPr>
                <w:b/>
                <w:i/>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1A73882A"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5D3B63E3"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4A73D0E2"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58214AA3" w14:textId="77777777" w:rsidR="003663AF" w:rsidRPr="00B7760C" w:rsidRDefault="003663AF" w:rsidP="00E804B7">
            <w:pPr>
              <w:pStyle w:val="Normal6"/>
              <w:jc w:val="right"/>
              <w:rPr>
                <w:b/>
                <w:i/>
                <w:sz w:val="20"/>
              </w:rPr>
            </w:pPr>
            <w:r w:rsidRPr="00B7760C">
              <w:rPr>
                <w:b/>
                <w:i/>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10393592" w14:textId="77777777" w:rsidR="003663AF" w:rsidRPr="00B7760C" w:rsidRDefault="003663AF" w:rsidP="00E804B7">
            <w:pPr>
              <w:pStyle w:val="Normal6"/>
              <w:jc w:val="right"/>
              <w:rPr>
                <w:b/>
                <w:i/>
                <w:sz w:val="20"/>
              </w:rPr>
            </w:pPr>
            <w:r w:rsidRPr="00B7760C">
              <w:rPr>
                <w:b/>
                <w:i/>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7DC8DA28" w14:textId="77777777" w:rsidR="003663AF" w:rsidRPr="00B7760C" w:rsidRDefault="003663AF" w:rsidP="00E804B7">
            <w:pPr>
              <w:pStyle w:val="Normal6"/>
              <w:jc w:val="right"/>
              <w:rPr>
                <w:b/>
                <w:i/>
                <w:sz w:val="20"/>
              </w:rPr>
            </w:pPr>
            <w:r w:rsidRPr="00B7760C">
              <w:rPr>
                <w:b/>
                <w:i/>
                <w:sz w:val="20"/>
              </w:rPr>
              <w:t>X</w:t>
            </w:r>
          </w:p>
        </w:tc>
      </w:tr>
      <w:tr w:rsidR="003663AF" w:rsidRPr="00B7760C" w14:paraId="1F3AF2C3"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74B04ABC" w14:textId="77777777" w:rsidR="003663AF" w:rsidRPr="00B7760C" w:rsidRDefault="003663AF" w:rsidP="00E804B7">
            <w:pPr>
              <w:pStyle w:val="Normal6"/>
              <w:rPr>
                <w:sz w:val="20"/>
              </w:rPr>
            </w:pPr>
            <w:r w:rsidRPr="00B7760C">
              <w:rPr>
                <w:sz w:val="20"/>
              </w:rPr>
              <w:t>Nizozemska</w:t>
            </w:r>
          </w:p>
        </w:tc>
        <w:tc>
          <w:tcPr>
            <w:tcW w:w="1560" w:type="dxa"/>
            <w:tcBorders>
              <w:top w:val="single" w:sz="4" w:space="0" w:color="auto"/>
              <w:left w:val="single" w:sz="4" w:space="0" w:color="auto"/>
              <w:bottom w:val="single" w:sz="4" w:space="0" w:color="auto"/>
              <w:right w:val="single" w:sz="4" w:space="0" w:color="auto"/>
            </w:tcBorders>
            <w:hideMark/>
          </w:tcPr>
          <w:p w14:paraId="2A2FF3C0" w14:textId="77777777" w:rsidR="003663AF" w:rsidRPr="00B7760C" w:rsidRDefault="003663AF" w:rsidP="00E804B7">
            <w:pPr>
              <w:pStyle w:val="Normal6"/>
              <w:jc w:val="right"/>
              <w:rPr>
                <w:b/>
                <w:i/>
                <w:sz w:val="20"/>
              </w:rPr>
            </w:pPr>
            <w:r w:rsidRPr="00B7760C">
              <w:rPr>
                <w:b/>
                <w:i/>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0CA6E47F"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79988425"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6B127F7E"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3FB1EEF2" w14:textId="77777777" w:rsidR="003663AF" w:rsidRPr="00B7760C" w:rsidRDefault="003663AF" w:rsidP="00E804B7">
            <w:pPr>
              <w:pStyle w:val="Normal6"/>
              <w:jc w:val="right"/>
              <w:rPr>
                <w:b/>
                <w:i/>
                <w:sz w:val="20"/>
              </w:rPr>
            </w:pPr>
            <w:r w:rsidRPr="00B7760C">
              <w:rPr>
                <w:b/>
                <w:i/>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2828A297" w14:textId="77777777" w:rsidR="003663AF" w:rsidRPr="00B7760C" w:rsidRDefault="003663AF" w:rsidP="00E804B7">
            <w:pPr>
              <w:pStyle w:val="Normal6"/>
              <w:jc w:val="right"/>
              <w:rPr>
                <w:b/>
                <w:i/>
                <w:sz w:val="20"/>
              </w:rPr>
            </w:pPr>
            <w:r w:rsidRPr="00B7760C">
              <w:rPr>
                <w:b/>
                <w:i/>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39F24B2E" w14:textId="77777777" w:rsidR="003663AF" w:rsidRPr="00B7760C" w:rsidRDefault="003663AF" w:rsidP="00E804B7">
            <w:pPr>
              <w:pStyle w:val="Normal6"/>
              <w:jc w:val="right"/>
              <w:rPr>
                <w:b/>
                <w:i/>
                <w:sz w:val="20"/>
              </w:rPr>
            </w:pPr>
            <w:r w:rsidRPr="00B7760C">
              <w:rPr>
                <w:b/>
                <w:i/>
                <w:sz w:val="20"/>
              </w:rPr>
              <w:t>X</w:t>
            </w:r>
          </w:p>
        </w:tc>
      </w:tr>
      <w:tr w:rsidR="003663AF" w:rsidRPr="00B7760C" w14:paraId="401614E4"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337FEE85" w14:textId="77777777" w:rsidR="003663AF" w:rsidRPr="00B7760C" w:rsidRDefault="003663AF" w:rsidP="00E804B7">
            <w:pPr>
              <w:pStyle w:val="Normal6"/>
              <w:rPr>
                <w:sz w:val="20"/>
              </w:rPr>
            </w:pPr>
            <w:r w:rsidRPr="00B7760C">
              <w:rPr>
                <w:sz w:val="20"/>
              </w:rPr>
              <w:t>Avstrija</w:t>
            </w:r>
          </w:p>
        </w:tc>
        <w:tc>
          <w:tcPr>
            <w:tcW w:w="1560" w:type="dxa"/>
            <w:tcBorders>
              <w:top w:val="single" w:sz="4" w:space="0" w:color="auto"/>
              <w:left w:val="single" w:sz="4" w:space="0" w:color="auto"/>
              <w:bottom w:val="single" w:sz="4" w:space="0" w:color="auto"/>
              <w:right w:val="single" w:sz="4" w:space="0" w:color="auto"/>
            </w:tcBorders>
            <w:hideMark/>
          </w:tcPr>
          <w:p w14:paraId="4DEE2953" w14:textId="77777777" w:rsidR="003663AF" w:rsidRPr="00B7760C" w:rsidRDefault="003663AF" w:rsidP="00E804B7">
            <w:pPr>
              <w:pStyle w:val="Normal6"/>
              <w:jc w:val="right"/>
              <w:rPr>
                <w:b/>
                <w:i/>
                <w:sz w:val="20"/>
              </w:rPr>
            </w:pPr>
            <w:r w:rsidRPr="00B7760C">
              <w:rPr>
                <w:b/>
                <w:i/>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44B43A28"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5127E4AD"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027C9A04"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012D44C7" w14:textId="77777777" w:rsidR="003663AF" w:rsidRPr="00B7760C" w:rsidRDefault="003663AF" w:rsidP="00E804B7">
            <w:pPr>
              <w:pStyle w:val="Normal6"/>
              <w:jc w:val="right"/>
              <w:rPr>
                <w:b/>
                <w:i/>
                <w:sz w:val="20"/>
              </w:rPr>
            </w:pPr>
            <w:r w:rsidRPr="00B7760C">
              <w:rPr>
                <w:b/>
                <w:i/>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40B4380C" w14:textId="77777777" w:rsidR="003663AF" w:rsidRPr="00B7760C" w:rsidRDefault="003663AF" w:rsidP="00E804B7">
            <w:pPr>
              <w:pStyle w:val="Normal6"/>
              <w:jc w:val="right"/>
              <w:rPr>
                <w:b/>
                <w:i/>
                <w:sz w:val="20"/>
              </w:rPr>
            </w:pPr>
            <w:r w:rsidRPr="00B7760C">
              <w:rPr>
                <w:b/>
                <w:i/>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5CD70635" w14:textId="77777777" w:rsidR="003663AF" w:rsidRPr="00B7760C" w:rsidRDefault="003663AF" w:rsidP="00E804B7">
            <w:pPr>
              <w:pStyle w:val="Normal6"/>
              <w:jc w:val="right"/>
              <w:rPr>
                <w:b/>
                <w:i/>
                <w:sz w:val="20"/>
              </w:rPr>
            </w:pPr>
            <w:r w:rsidRPr="00B7760C">
              <w:rPr>
                <w:b/>
                <w:i/>
                <w:sz w:val="20"/>
              </w:rPr>
              <w:t>X</w:t>
            </w:r>
          </w:p>
        </w:tc>
      </w:tr>
      <w:tr w:rsidR="003663AF" w:rsidRPr="00B7760C" w14:paraId="57121899"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2A2C4F6A" w14:textId="77777777" w:rsidR="003663AF" w:rsidRPr="00B7760C" w:rsidRDefault="003663AF" w:rsidP="00E804B7">
            <w:pPr>
              <w:pStyle w:val="Normal6"/>
              <w:rPr>
                <w:sz w:val="20"/>
              </w:rPr>
            </w:pPr>
            <w:r w:rsidRPr="00B7760C">
              <w:rPr>
                <w:sz w:val="20"/>
              </w:rPr>
              <w:t>Poljska</w:t>
            </w:r>
          </w:p>
        </w:tc>
        <w:tc>
          <w:tcPr>
            <w:tcW w:w="1560" w:type="dxa"/>
            <w:tcBorders>
              <w:top w:val="single" w:sz="4" w:space="0" w:color="auto"/>
              <w:left w:val="single" w:sz="4" w:space="0" w:color="auto"/>
              <w:bottom w:val="single" w:sz="4" w:space="0" w:color="auto"/>
              <w:right w:val="single" w:sz="4" w:space="0" w:color="auto"/>
            </w:tcBorders>
            <w:hideMark/>
          </w:tcPr>
          <w:p w14:paraId="00EF4E28" w14:textId="77777777" w:rsidR="003663AF" w:rsidRPr="00B7760C" w:rsidRDefault="003663AF" w:rsidP="00E804B7">
            <w:pPr>
              <w:pStyle w:val="Normal6"/>
              <w:jc w:val="right"/>
              <w:rPr>
                <w:b/>
                <w:i/>
                <w:sz w:val="20"/>
              </w:rPr>
            </w:pPr>
            <w:r w:rsidRPr="00B7760C">
              <w:rPr>
                <w:b/>
                <w:i/>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7796144B"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53957130"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2724320E"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32A100FA" w14:textId="77777777" w:rsidR="003663AF" w:rsidRPr="00B7760C" w:rsidRDefault="003663AF" w:rsidP="00E804B7">
            <w:pPr>
              <w:pStyle w:val="Normal6"/>
              <w:jc w:val="right"/>
              <w:rPr>
                <w:b/>
                <w:i/>
                <w:sz w:val="20"/>
              </w:rPr>
            </w:pPr>
            <w:r w:rsidRPr="00B7760C">
              <w:rPr>
                <w:b/>
                <w:i/>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65AF5202" w14:textId="77777777" w:rsidR="003663AF" w:rsidRPr="00B7760C" w:rsidRDefault="003663AF" w:rsidP="00E804B7">
            <w:pPr>
              <w:pStyle w:val="Normal6"/>
              <w:jc w:val="right"/>
              <w:rPr>
                <w:b/>
                <w:i/>
                <w:sz w:val="20"/>
              </w:rPr>
            </w:pPr>
            <w:r w:rsidRPr="00B7760C">
              <w:rPr>
                <w:b/>
                <w:i/>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11E9F2BE" w14:textId="77777777" w:rsidR="003663AF" w:rsidRPr="00B7760C" w:rsidRDefault="003663AF" w:rsidP="00E804B7">
            <w:pPr>
              <w:pStyle w:val="Normal6"/>
              <w:jc w:val="right"/>
              <w:rPr>
                <w:b/>
                <w:i/>
                <w:sz w:val="20"/>
              </w:rPr>
            </w:pPr>
            <w:r w:rsidRPr="00B7760C">
              <w:rPr>
                <w:b/>
                <w:i/>
                <w:sz w:val="20"/>
              </w:rPr>
              <w:t>X</w:t>
            </w:r>
          </w:p>
        </w:tc>
      </w:tr>
      <w:tr w:rsidR="003663AF" w:rsidRPr="00B7760C" w14:paraId="2DEE6EA5"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6C467A8C" w14:textId="77777777" w:rsidR="003663AF" w:rsidRPr="00B7760C" w:rsidRDefault="003663AF" w:rsidP="00E804B7">
            <w:pPr>
              <w:pStyle w:val="Normal6"/>
              <w:rPr>
                <w:sz w:val="20"/>
              </w:rPr>
            </w:pPr>
            <w:r w:rsidRPr="00B7760C">
              <w:rPr>
                <w:sz w:val="20"/>
              </w:rPr>
              <w:t>Portugalska</w:t>
            </w:r>
          </w:p>
        </w:tc>
        <w:tc>
          <w:tcPr>
            <w:tcW w:w="1560" w:type="dxa"/>
            <w:tcBorders>
              <w:top w:val="single" w:sz="4" w:space="0" w:color="auto"/>
              <w:left w:val="single" w:sz="4" w:space="0" w:color="auto"/>
              <w:bottom w:val="single" w:sz="4" w:space="0" w:color="auto"/>
              <w:right w:val="single" w:sz="4" w:space="0" w:color="auto"/>
            </w:tcBorders>
            <w:hideMark/>
          </w:tcPr>
          <w:p w14:paraId="66D84C4F" w14:textId="77777777" w:rsidR="003663AF" w:rsidRPr="00B7760C" w:rsidRDefault="003663AF" w:rsidP="00E804B7">
            <w:pPr>
              <w:pStyle w:val="Normal6"/>
              <w:jc w:val="right"/>
              <w:rPr>
                <w:b/>
                <w:i/>
                <w:sz w:val="20"/>
              </w:rPr>
            </w:pPr>
            <w:r w:rsidRPr="00B7760C">
              <w:rPr>
                <w:b/>
                <w:i/>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12F471DB"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46C09B66"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661684C6"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08F08F47" w14:textId="77777777" w:rsidR="003663AF" w:rsidRPr="00B7760C" w:rsidRDefault="003663AF" w:rsidP="00E804B7">
            <w:pPr>
              <w:pStyle w:val="Normal6"/>
              <w:jc w:val="right"/>
              <w:rPr>
                <w:b/>
                <w:i/>
                <w:sz w:val="20"/>
              </w:rPr>
            </w:pPr>
            <w:r w:rsidRPr="00B7760C">
              <w:rPr>
                <w:b/>
                <w:i/>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0FB54720" w14:textId="77777777" w:rsidR="003663AF" w:rsidRPr="00B7760C" w:rsidRDefault="003663AF" w:rsidP="00E804B7">
            <w:pPr>
              <w:pStyle w:val="Normal6"/>
              <w:jc w:val="right"/>
              <w:rPr>
                <w:b/>
                <w:i/>
                <w:sz w:val="20"/>
              </w:rPr>
            </w:pPr>
            <w:r w:rsidRPr="00B7760C">
              <w:rPr>
                <w:b/>
                <w:i/>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3876502C" w14:textId="77777777" w:rsidR="003663AF" w:rsidRPr="00B7760C" w:rsidRDefault="003663AF" w:rsidP="00E804B7">
            <w:pPr>
              <w:pStyle w:val="Normal6"/>
              <w:jc w:val="right"/>
              <w:rPr>
                <w:b/>
                <w:i/>
                <w:sz w:val="20"/>
              </w:rPr>
            </w:pPr>
            <w:r w:rsidRPr="00B7760C">
              <w:rPr>
                <w:b/>
                <w:i/>
                <w:sz w:val="20"/>
              </w:rPr>
              <w:t>X</w:t>
            </w:r>
          </w:p>
        </w:tc>
      </w:tr>
      <w:tr w:rsidR="003663AF" w:rsidRPr="00B7760C" w14:paraId="3876D0C3"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2F176E6F" w14:textId="77777777" w:rsidR="003663AF" w:rsidRPr="00B7760C" w:rsidRDefault="003663AF" w:rsidP="00E804B7">
            <w:pPr>
              <w:pStyle w:val="Normal6"/>
              <w:rPr>
                <w:sz w:val="20"/>
              </w:rPr>
            </w:pPr>
            <w:r w:rsidRPr="00B7760C">
              <w:rPr>
                <w:sz w:val="20"/>
              </w:rPr>
              <w:t>Romunija</w:t>
            </w:r>
          </w:p>
        </w:tc>
        <w:tc>
          <w:tcPr>
            <w:tcW w:w="1560" w:type="dxa"/>
            <w:tcBorders>
              <w:top w:val="single" w:sz="4" w:space="0" w:color="auto"/>
              <w:left w:val="single" w:sz="4" w:space="0" w:color="auto"/>
              <w:bottom w:val="single" w:sz="4" w:space="0" w:color="auto"/>
              <w:right w:val="single" w:sz="4" w:space="0" w:color="auto"/>
            </w:tcBorders>
            <w:hideMark/>
          </w:tcPr>
          <w:p w14:paraId="30F45E89" w14:textId="77777777" w:rsidR="003663AF" w:rsidRPr="00B7760C" w:rsidRDefault="003663AF" w:rsidP="00E804B7">
            <w:pPr>
              <w:pStyle w:val="Normal6"/>
              <w:jc w:val="right"/>
              <w:rPr>
                <w:b/>
                <w:i/>
                <w:sz w:val="20"/>
              </w:rPr>
            </w:pPr>
            <w:r w:rsidRPr="00B7760C">
              <w:rPr>
                <w:b/>
                <w:i/>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29DB68D1"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6150D27F"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74A8314B"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7377FE4F" w14:textId="77777777" w:rsidR="003663AF" w:rsidRPr="00B7760C" w:rsidRDefault="003663AF" w:rsidP="00E804B7">
            <w:pPr>
              <w:pStyle w:val="Normal6"/>
              <w:jc w:val="right"/>
              <w:rPr>
                <w:b/>
                <w:i/>
                <w:sz w:val="20"/>
              </w:rPr>
            </w:pPr>
            <w:r w:rsidRPr="00B7760C">
              <w:rPr>
                <w:b/>
                <w:i/>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5D640479" w14:textId="77777777" w:rsidR="003663AF" w:rsidRPr="00B7760C" w:rsidRDefault="003663AF" w:rsidP="00E804B7">
            <w:pPr>
              <w:pStyle w:val="Normal6"/>
              <w:jc w:val="right"/>
              <w:rPr>
                <w:b/>
                <w:i/>
                <w:sz w:val="20"/>
              </w:rPr>
            </w:pPr>
            <w:r w:rsidRPr="00B7760C">
              <w:rPr>
                <w:b/>
                <w:i/>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610C85D3" w14:textId="77777777" w:rsidR="003663AF" w:rsidRPr="00B7760C" w:rsidRDefault="003663AF" w:rsidP="00E804B7">
            <w:pPr>
              <w:pStyle w:val="Normal6"/>
              <w:jc w:val="right"/>
              <w:rPr>
                <w:b/>
                <w:i/>
                <w:sz w:val="20"/>
              </w:rPr>
            </w:pPr>
            <w:r w:rsidRPr="00B7760C">
              <w:rPr>
                <w:b/>
                <w:i/>
                <w:sz w:val="20"/>
              </w:rPr>
              <w:t>X</w:t>
            </w:r>
          </w:p>
        </w:tc>
      </w:tr>
      <w:tr w:rsidR="003663AF" w:rsidRPr="00B7760C" w14:paraId="01FB1BBE"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41338BE7" w14:textId="77777777" w:rsidR="003663AF" w:rsidRPr="00B7760C" w:rsidRDefault="003663AF" w:rsidP="00E804B7">
            <w:pPr>
              <w:pStyle w:val="Normal6"/>
              <w:rPr>
                <w:sz w:val="20"/>
              </w:rPr>
            </w:pPr>
            <w:r w:rsidRPr="00B7760C">
              <w:rPr>
                <w:sz w:val="20"/>
              </w:rPr>
              <w:t>Slovenija</w:t>
            </w:r>
          </w:p>
        </w:tc>
        <w:tc>
          <w:tcPr>
            <w:tcW w:w="1560" w:type="dxa"/>
            <w:tcBorders>
              <w:top w:val="single" w:sz="4" w:space="0" w:color="auto"/>
              <w:left w:val="single" w:sz="4" w:space="0" w:color="auto"/>
              <w:bottom w:val="single" w:sz="4" w:space="0" w:color="auto"/>
              <w:right w:val="single" w:sz="4" w:space="0" w:color="auto"/>
            </w:tcBorders>
            <w:hideMark/>
          </w:tcPr>
          <w:p w14:paraId="718AE632" w14:textId="77777777" w:rsidR="003663AF" w:rsidRPr="00B7760C" w:rsidRDefault="003663AF" w:rsidP="00E804B7">
            <w:pPr>
              <w:pStyle w:val="Normal6"/>
              <w:jc w:val="right"/>
              <w:rPr>
                <w:b/>
                <w:i/>
                <w:sz w:val="20"/>
              </w:rPr>
            </w:pPr>
            <w:r w:rsidRPr="00B7760C">
              <w:rPr>
                <w:b/>
                <w:i/>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78ADFEBA"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46121B6F"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3FB34086"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5ABF2E4B" w14:textId="77777777" w:rsidR="003663AF" w:rsidRPr="00B7760C" w:rsidRDefault="003663AF" w:rsidP="00E804B7">
            <w:pPr>
              <w:pStyle w:val="Normal6"/>
              <w:jc w:val="right"/>
              <w:rPr>
                <w:b/>
                <w:i/>
                <w:sz w:val="20"/>
              </w:rPr>
            </w:pPr>
            <w:r w:rsidRPr="00B7760C">
              <w:rPr>
                <w:b/>
                <w:i/>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735FD660" w14:textId="77777777" w:rsidR="003663AF" w:rsidRPr="00B7760C" w:rsidRDefault="003663AF" w:rsidP="00E804B7">
            <w:pPr>
              <w:pStyle w:val="Normal6"/>
              <w:jc w:val="right"/>
              <w:rPr>
                <w:b/>
                <w:i/>
                <w:sz w:val="20"/>
              </w:rPr>
            </w:pPr>
            <w:r w:rsidRPr="00B7760C">
              <w:rPr>
                <w:b/>
                <w:i/>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3EB006A1" w14:textId="77777777" w:rsidR="003663AF" w:rsidRPr="00B7760C" w:rsidRDefault="003663AF" w:rsidP="00E804B7">
            <w:pPr>
              <w:pStyle w:val="Normal6"/>
              <w:jc w:val="right"/>
              <w:rPr>
                <w:b/>
                <w:i/>
                <w:sz w:val="20"/>
              </w:rPr>
            </w:pPr>
            <w:r w:rsidRPr="00B7760C">
              <w:rPr>
                <w:b/>
                <w:i/>
                <w:sz w:val="20"/>
              </w:rPr>
              <w:t>X</w:t>
            </w:r>
          </w:p>
        </w:tc>
      </w:tr>
      <w:tr w:rsidR="003663AF" w:rsidRPr="00B7760C" w14:paraId="05F330B5"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196405EB" w14:textId="77777777" w:rsidR="003663AF" w:rsidRPr="00B7760C" w:rsidRDefault="003663AF" w:rsidP="00E804B7">
            <w:pPr>
              <w:pStyle w:val="Normal6"/>
              <w:rPr>
                <w:sz w:val="20"/>
              </w:rPr>
            </w:pPr>
            <w:r w:rsidRPr="00B7760C">
              <w:rPr>
                <w:sz w:val="20"/>
              </w:rPr>
              <w:t>Slovaška</w:t>
            </w:r>
          </w:p>
        </w:tc>
        <w:tc>
          <w:tcPr>
            <w:tcW w:w="1560" w:type="dxa"/>
            <w:tcBorders>
              <w:top w:val="single" w:sz="4" w:space="0" w:color="auto"/>
              <w:left w:val="single" w:sz="4" w:space="0" w:color="auto"/>
              <w:bottom w:val="single" w:sz="4" w:space="0" w:color="auto"/>
              <w:right w:val="single" w:sz="4" w:space="0" w:color="auto"/>
            </w:tcBorders>
            <w:hideMark/>
          </w:tcPr>
          <w:p w14:paraId="2D43BD33" w14:textId="77777777" w:rsidR="003663AF" w:rsidRPr="00B7760C" w:rsidRDefault="003663AF" w:rsidP="00E804B7">
            <w:pPr>
              <w:pStyle w:val="Normal6"/>
              <w:jc w:val="right"/>
              <w:rPr>
                <w:b/>
                <w:i/>
                <w:sz w:val="20"/>
              </w:rPr>
            </w:pPr>
            <w:r w:rsidRPr="00B7760C">
              <w:rPr>
                <w:b/>
                <w:i/>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1ABE1A2E"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09FF2996"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1CEB0EED"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00A84CC1" w14:textId="77777777" w:rsidR="003663AF" w:rsidRPr="00B7760C" w:rsidRDefault="003663AF" w:rsidP="00E804B7">
            <w:pPr>
              <w:pStyle w:val="Normal6"/>
              <w:jc w:val="right"/>
              <w:rPr>
                <w:b/>
                <w:i/>
                <w:sz w:val="20"/>
              </w:rPr>
            </w:pPr>
            <w:r w:rsidRPr="00B7760C">
              <w:rPr>
                <w:b/>
                <w:i/>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5395337F" w14:textId="77777777" w:rsidR="003663AF" w:rsidRPr="00B7760C" w:rsidRDefault="003663AF" w:rsidP="00E804B7">
            <w:pPr>
              <w:pStyle w:val="Normal6"/>
              <w:jc w:val="right"/>
              <w:rPr>
                <w:b/>
                <w:i/>
                <w:sz w:val="20"/>
              </w:rPr>
            </w:pPr>
            <w:r w:rsidRPr="00B7760C">
              <w:rPr>
                <w:b/>
                <w:i/>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1DE56F80" w14:textId="77777777" w:rsidR="003663AF" w:rsidRPr="00B7760C" w:rsidRDefault="003663AF" w:rsidP="00E804B7">
            <w:pPr>
              <w:pStyle w:val="Normal6"/>
              <w:jc w:val="right"/>
              <w:rPr>
                <w:b/>
                <w:i/>
                <w:sz w:val="20"/>
              </w:rPr>
            </w:pPr>
            <w:r w:rsidRPr="00B7760C">
              <w:rPr>
                <w:b/>
                <w:i/>
                <w:sz w:val="20"/>
              </w:rPr>
              <w:t>X</w:t>
            </w:r>
          </w:p>
        </w:tc>
      </w:tr>
      <w:tr w:rsidR="003663AF" w:rsidRPr="00B7760C" w14:paraId="2DA11BA6"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5DA053DD" w14:textId="77777777" w:rsidR="003663AF" w:rsidRPr="00B7760C" w:rsidRDefault="003663AF" w:rsidP="00E804B7">
            <w:pPr>
              <w:pStyle w:val="Normal6"/>
              <w:rPr>
                <w:sz w:val="20"/>
              </w:rPr>
            </w:pPr>
            <w:r w:rsidRPr="00B7760C">
              <w:rPr>
                <w:sz w:val="20"/>
              </w:rPr>
              <w:t>Finska</w:t>
            </w:r>
          </w:p>
        </w:tc>
        <w:tc>
          <w:tcPr>
            <w:tcW w:w="1560" w:type="dxa"/>
            <w:tcBorders>
              <w:top w:val="single" w:sz="4" w:space="0" w:color="auto"/>
              <w:left w:val="single" w:sz="4" w:space="0" w:color="auto"/>
              <w:bottom w:val="single" w:sz="4" w:space="0" w:color="auto"/>
              <w:right w:val="single" w:sz="4" w:space="0" w:color="auto"/>
            </w:tcBorders>
            <w:hideMark/>
          </w:tcPr>
          <w:p w14:paraId="6ABE2365" w14:textId="77777777" w:rsidR="003663AF" w:rsidRPr="00B7760C" w:rsidRDefault="003663AF" w:rsidP="00E804B7">
            <w:pPr>
              <w:pStyle w:val="Normal6"/>
              <w:jc w:val="right"/>
              <w:rPr>
                <w:b/>
                <w:i/>
                <w:sz w:val="20"/>
              </w:rPr>
            </w:pPr>
            <w:r w:rsidRPr="00B7760C">
              <w:rPr>
                <w:b/>
                <w:i/>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1B60B8EE"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68A330C4"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5792B2C8"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31E18BDB" w14:textId="77777777" w:rsidR="003663AF" w:rsidRPr="00B7760C" w:rsidRDefault="003663AF" w:rsidP="00E804B7">
            <w:pPr>
              <w:pStyle w:val="Normal6"/>
              <w:jc w:val="right"/>
              <w:rPr>
                <w:b/>
                <w:i/>
                <w:sz w:val="20"/>
              </w:rPr>
            </w:pPr>
            <w:r w:rsidRPr="00B7760C">
              <w:rPr>
                <w:b/>
                <w:i/>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34BF2B4C" w14:textId="77777777" w:rsidR="003663AF" w:rsidRPr="00B7760C" w:rsidRDefault="003663AF" w:rsidP="00E804B7">
            <w:pPr>
              <w:pStyle w:val="Normal6"/>
              <w:jc w:val="right"/>
              <w:rPr>
                <w:b/>
                <w:i/>
                <w:sz w:val="20"/>
              </w:rPr>
            </w:pPr>
            <w:r w:rsidRPr="00B7760C">
              <w:rPr>
                <w:b/>
                <w:i/>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24ECDB2D" w14:textId="77777777" w:rsidR="003663AF" w:rsidRPr="00B7760C" w:rsidRDefault="003663AF" w:rsidP="00E804B7">
            <w:pPr>
              <w:pStyle w:val="Normal6"/>
              <w:jc w:val="right"/>
              <w:rPr>
                <w:b/>
                <w:i/>
                <w:sz w:val="20"/>
              </w:rPr>
            </w:pPr>
            <w:r w:rsidRPr="00B7760C">
              <w:rPr>
                <w:b/>
                <w:i/>
                <w:sz w:val="20"/>
              </w:rPr>
              <w:t>X</w:t>
            </w:r>
          </w:p>
        </w:tc>
      </w:tr>
      <w:tr w:rsidR="003663AF" w:rsidRPr="00B7760C" w14:paraId="66B67BC9"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18AE8207" w14:textId="77777777" w:rsidR="003663AF" w:rsidRPr="00B7760C" w:rsidRDefault="003663AF" w:rsidP="00E804B7">
            <w:pPr>
              <w:pStyle w:val="Normal6"/>
              <w:rPr>
                <w:sz w:val="20"/>
              </w:rPr>
            </w:pPr>
            <w:r w:rsidRPr="00B7760C">
              <w:rPr>
                <w:sz w:val="20"/>
              </w:rPr>
              <w:t>Švedska</w:t>
            </w:r>
          </w:p>
        </w:tc>
        <w:tc>
          <w:tcPr>
            <w:tcW w:w="1560" w:type="dxa"/>
            <w:tcBorders>
              <w:top w:val="single" w:sz="4" w:space="0" w:color="auto"/>
              <w:left w:val="single" w:sz="4" w:space="0" w:color="auto"/>
              <w:bottom w:val="single" w:sz="4" w:space="0" w:color="auto"/>
              <w:right w:val="single" w:sz="4" w:space="0" w:color="auto"/>
            </w:tcBorders>
            <w:hideMark/>
          </w:tcPr>
          <w:p w14:paraId="79BF0E65" w14:textId="77777777" w:rsidR="003663AF" w:rsidRPr="00B7760C" w:rsidRDefault="003663AF" w:rsidP="00E804B7">
            <w:pPr>
              <w:pStyle w:val="Normal6"/>
              <w:jc w:val="right"/>
              <w:rPr>
                <w:b/>
                <w:i/>
                <w:sz w:val="20"/>
              </w:rPr>
            </w:pPr>
            <w:r w:rsidRPr="00B7760C">
              <w:rPr>
                <w:b/>
                <w:i/>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31984050"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38E80E36"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3975FC98" w14:textId="77777777" w:rsidR="003663AF" w:rsidRPr="00B7760C" w:rsidRDefault="003663AF" w:rsidP="00E804B7">
            <w:pPr>
              <w:pStyle w:val="Normal6"/>
              <w:jc w:val="right"/>
              <w:rPr>
                <w:b/>
                <w:i/>
                <w:sz w:val="20"/>
              </w:rPr>
            </w:pPr>
            <w:r w:rsidRPr="00B7760C">
              <w:rPr>
                <w:b/>
                <w:i/>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7E6817ED" w14:textId="77777777" w:rsidR="003663AF" w:rsidRPr="00B7760C" w:rsidRDefault="003663AF" w:rsidP="00E804B7">
            <w:pPr>
              <w:pStyle w:val="Normal6"/>
              <w:jc w:val="right"/>
              <w:rPr>
                <w:b/>
                <w:i/>
                <w:sz w:val="20"/>
              </w:rPr>
            </w:pPr>
            <w:r w:rsidRPr="00B7760C">
              <w:rPr>
                <w:b/>
                <w:i/>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7A6ACE96" w14:textId="77777777" w:rsidR="003663AF" w:rsidRPr="00B7760C" w:rsidRDefault="003663AF" w:rsidP="00E804B7">
            <w:pPr>
              <w:pStyle w:val="Normal6"/>
              <w:jc w:val="right"/>
              <w:rPr>
                <w:b/>
                <w:i/>
                <w:sz w:val="20"/>
              </w:rPr>
            </w:pPr>
            <w:r w:rsidRPr="00B7760C">
              <w:rPr>
                <w:b/>
                <w:i/>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6E845B7B" w14:textId="77777777" w:rsidR="003663AF" w:rsidRPr="00B7760C" w:rsidRDefault="003663AF" w:rsidP="00E804B7">
            <w:pPr>
              <w:pStyle w:val="Normal6"/>
              <w:jc w:val="right"/>
              <w:rPr>
                <w:b/>
                <w:i/>
                <w:sz w:val="20"/>
              </w:rPr>
            </w:pPr>
            <w:r w:rsidRPr="00B7760C">
              <w:rPr>
                <w:b/>
                <w:i/>
                <w:sz w:val="20"/>
              </w:rPr>
              <w:t>X</w:t>
            </w:r>
          </w:p>
        </w:tc>
      </w:tr>
      <w:tr w:rsidR="003663AF" w:rsidRPr="00B7760C" w14:paraId="621DAD3F" w14:textId="77777777" w:rsidTr="00E804B7">
        <w:trPr>
          <w:cantSplit/>
          <w:trHeight w:val="255"/>
          <w:jc w:val="center"/>
        </w:trPr>
        <w:tc>
          <w:tcPr>
            <w:tcW w:w="11442" w:type="dxa"/>
            <w:gridSpan w:val="7"/>
            <w:tcBorders>
              <w:top w:val="single" w:sz="4" w:space="0" w:color="auto"/>
              <w:left w:val="nil"/>
              <w:bottom w:val="single" w:sz="4" w:space="0" w:color="auto"/>
              <w:right w:val="nil"/>
            </w:tcBorders>
            <w:vAlign w:val="center"/>
          </w:tcPr>
          <w:p w14:paraId="01B7C2D6" w14:textId="77777777" w:rsidR="003663AF" w:rsidRPr="00B7760C" w:rsidRDefault="003663AF" w:rsidP="00E804B7">
            <w:pPr>
              <w:pStyle w:val="Normal6"/>
              <w:rPr>
                <w:sz w:val="20"/>
              </w:rPr>
            </w:pPr>
          </w:p>
        </w:tc>
        <w:tc>
          <w:tcPr>
            <w:tcW w:w="1781" w:type="dxa"/>
            <w:tcBorders>
              <w:top w:val="single" w:sz="4" w:space="0" w:color="auto"/>
              <w:left w:val="nil"/>
              <w:bottom w:val="single" w:sz="4" w:space="0" w:color="auto"/>
              <w:right w:val="nil"/>
            </w:tcBorders>
          </w:tcPr>
          <w:p w14:paraId="01BA460A" w14:textId="77777777" w:rsidR="003663AF" w:rsidRPr="00B7760C" w:rsidRDefault="003663AF" w:rsidP="00E804B7">
            <w:pPr>
              <w:pStyle w:val="Normal6"/>
              <w:rPr>
                <w:sz w:val="20"/>
              </w:rPr>
            </w:pPr>
          </w:p>
        </w:tc>
      </w:tr>
    </w:tbl>
    <w:p w14:paraId="278C42E5" w14:textId="77777777" w:rsidR="003663AF" w:rsidRPr="00B7760C" w:rsidRDefault="003663AF" w:rsidP="003663AF"/>
    <w:p w14:paraId="4AEF0470" w14:textId="77777777" w:rsidR="003663AF" w:rsidRPr="00B7760C" w:rsidRDefault="003663AF" w:rsidP="003663AF"/>
    <w:p w14:paraId="4E8A0DD6" w14:textId="1B11B36B" w:rsidR="003663AF" w:rsidRPr="00B7760C" w:rsidRDefault="00877691" w:rsidP="003663AF">
      <w:pPr>
        <w:pStyle w:val="AMNumberTabs"/>
        <w:keepNext/>
      </w:pPr>
      <w:r w:rsidRPr="00B7760C">
        <w:t>Sprememba</w:t>
      </w:r>
      <w:r w:rsidR="003663AF" w:rsidRPr="00B7760C">
        <w:tab/>
      </w:r>
      <w:r w:rsidR="003663AF" w:rsidRPr="00B7760C">
        <w:tab/>
        <w:t>722</w:t>
      </w:r>
    </w:p>
    <w:p w14:paraId="214199B8" w14:textId="77777777" w:rsidR="003663AF" w:rsidRPr="00B7760C" w:rsidRDefault="003663AF" w:rsidP="003663AF">
      <w:pPr>
        <w:pStyle w:val="NormalBold12b"/>
        <w:keepNext/>
      </w:pPr>
      <w:r w:rsidRPr="00B7760C">
        <w:t>Predlog uredbe</w:t>
      </w:r>
    </w:p>
    <w:p w14:paraId="6CB2EC8D" w14:textId="77777777" w:rsidR="003663AF" w:rsidRPr="00B7760C" w:rsidRDefault="003663AF" w:rsidP="003663AF">
      <w:pPr>
        <w:pStyle w:val="NormalBold"/>
        <w:keepNext/>
      </w:pPr>
      <w:r w:rsidRPr="00B7760C">
        <w:t>Priloga IX – preglednica</w:t>
      </w:r>
    </w:p>
    <w:p w14:paraId="2729CCB8" w14:textId="77777777" w:rsidR="003663AF" w:rsidRPr="00B7760C" w:rsidRDefault="003663AF" w:rsidP="003663AF"/>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3663AF" w:rsidRPr="00B7760C" w14:paraId="4429A2D7" w14:textId="77777777" w:rsidTr="00E804B7">
        <w:tc>
          <w:tcPr>
            <w:tcW w:w="14502" w:type="dxa"/>
            <w:hideMark/>
          </w:tcPr>
          <w:p w14:paraId="099F6D1D" w14:textId="77777777" w:rsidR="003663AF" w:rsidRPr="00B7760C" w:rsidRDefault="003663AF" w:rsidP="00E804B7">
            <w:pPr>
              <w:pStyle w:val="ColumnHeading"/>
            </w:pPr>
            <w:r w:rsidRPr="00B7760C">
              <w:t>Besedilo, ki ga predlaga Komisija</w:t>
            </w:r>
          </w:p>
        </w:tc>
      </w:tr>
      <w:tr w:rsidR="003663AF" w:rsidRPr="00B7760C" w14:paraId="479D5466" w14:textId="77777777" w:rsidTr="00E804B7">
        <w:tc>
          <w:tcPr>
            <w:tcW w:w="14502" w:type="dxa"/>
            <w:hideMark/>
          </w:tcPr>
          <w:p w14:paraId="0C58D984" w14:textId="77777777" w:rsidR="003663AF" w:rsidRPr="00B7760C" w:rsidRDefault="003663AF" w:rsidP="00E804B7">
            <w:pPr>
              <w:pStyle w:val="ColumnHeading"/>
              <w:jc w:val="left"/>
            </w:pPr>
            <w:r w:rsidRPr="00B7760C">
              <w:rPr>
                <w:sz w:val="20"/>
              </w:rPr>
              <w:t>RAZČLENITEV PODPORE UNIJE ZA VRSTE INTERVENCIJ ZA RAZVOJ PODEŽELJA (od leta 2021 do leta 2027) IZ ČLENA 83(3)</w:t>
            </w:r>
          </w:p>
        </w:tc>
      </w:tr>
    </w:tbl>
    <w:p w14:paraId="79BBB6C6" w14:textId="77777777" w:rsidR="003663AF" w:rsidRPr="00B7760C" w:rsidRDefault="003663AF" w:rsidP="003663AF">
      <w:pPr>
        <w:pStyle w:val="Normal6"/>
        <w:jc w:val="right"/>
        <w:rPr>
          <w:sz w:val="20"/>
        </w:rPr>
      </w:pPr>
      <w:r w:rsidRPr="00B7760C">
        <w:rPr>
          <w:sz w:val="20"/>
        </w:rPr>
        <w:t xml:space="preserve"> (tekoče cene v EUR)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936"/>
        <w:gridCol w:w="937"/>
        <w:gridCol w:w="937"/>
        <w:gridCol w:w="937"/>
        <w:gridCol w:w="937"/>
        <w:gridCol w:w="835"/>
        <w:gridCol w:w="102"/>
        <w:gridCol w:w="898"/>
        <w:gridCol w:w="39"/>
        <w:gridCol w:w="1159"/>
      </w:tblGrid>
      <w:tr w:rsidR="003663AF" w:rsidRPr="00B7760C" w14:paraId="5F89EEDC" w14:textId="77777777" w:rsidTr="00E804B7">
        <w:trPr>
          <w:cantSplit/>
          <w:trHeight w:val="255"/>
          <w:tblHeader/>
          <w:jc w:val="center"/>
        </w:trPr>
        <w:tc>
          <w:tcPr>
            <w:tcW w:w="1580" w:type="dxa"/>
            <w:tcBorders>
              <w:top w:val="single" w:sz="4" w:space="0" w:color="auto"/>
              <w:left w:val="single" w:sz="4" w:space="0" w:color="auto"/>
              <w:bottom w:val="single" w:sz="4" w:space="0" w:color="auto"/>
              <w:right w:val="single" w:sz="4" w:space="0" w:color="auto"/>
            </w:tcBorders>
            <w:vAlign w:val="center"/>
            <w:hideMark/>
          </w:tcPr>
          <w:p w14:paraId="315FD573" w14:textId="77777777" w:rsidR="003663AF" w:rsidRPr="00B7760C" w:rsidRDefault="003663AF" w:rsidP="00E804B7">
            <w:pPr>
              <w:pStyle w:val="Normal6"/>
              <w:rPr>
                <w:sz w:val="20"/>
              </w:rPr>
            </w:pPr>
            <w:r w:rsidRPr="00B7760C">
              <w:rPr>
                <w:sz w:val="20"/>
              </w:rPr>
              <w:t>Leto</w:t>
            </w:r>
          </w:p>
        </w:tc>
        <w:tc>
          <w:tcPr>
            <w:tcW w:w="1580" w:type="dxa"/>
            <w:tcBorders>
              <w:top w:val="single" w:sz="4" w:space="0" w:color="auto"/>
              <w:left w:val="single" w:sz="4" w:space="0" w:color="auto"/>
              <w:bottom w:val="single" w:sz="4" w:space="0" w:color="auto"/>
              <w:right w:val="single" w:sz="4" w:space="0" w:color="auto"/>
            </w:tcBorders>
            <w:vAlign w:val="center"/>
            <w:hideMark/>
          </w:tcPr>
          <w:p w14:paraId="448C58A5" w14:textId="77777777" w:rsidR="003663AF" w:rsidRPr="00B7760C" w:rsidRDefault="003663AF" w:rsidP="00E804B7">
            <w:pPr>
              <w:pStyle w:val="Normal6"/>
              <w:rPr>
                <w:sz w:val="20"/>
              </w:rPr>
            </w:pPr>
            <w:r w:rsidRPr="00B7760C">
              <w:rPr>
                <w:sz w:val="20"/>
              </w:rPr>
              <w:t>2021</w:t>
            </w:r>
          </w:p>
        </w:tc>
        <w:tc>
          <w:tcPr>
            <w:tcW w:w="1580" w:type="dxa"/>
            <w:tcBorders>
              <w:top w:val="single" w:sz="4" w:space="0" w:color="auto"/>
              <w:left w:val="single" w:sz="4" w:space="0" w:color="auto"/>
              <w:bottom w:val="single" w:sz="4" w:space="0" w:color="auto"/>
              <w:right w:val="single" w:sz="4" w:space="0" w:color="auto"/>
            </w:tcBorders>
            <w:vAlign w:val="center"/>
            <w:hideMark/>
          </w:tcPr>
          <w:p w14:paraId="573190CD" w14:textId="77777777" w:rsidR="003663AF" w:rsidRPr="00B7760C" w:rsidRDefault="003663AF" w:rsidP="00E804B7">
            <w:pPr>
              <w:pStyle w:val="Normal6"/>
              <w:rPr>
                <w:sz w:val="20"/>
              </w:rPr>
            </w:pPr>
            <w:r w:rsidRPr="00B7760C">
              <w:rPr>
                <w:sz w:val="20"/>
              </w:rPr>
              <w:t>2022</w:t>
            </w:r>
          </w:p>
        </w:tc>
        <w:tc>
          <w:tcPr>
            <w:tcW w:w="1580" w:type="dxa"/>
            <w:tcBorders>
              <w:top w:val="single" w:sz="4" w:space="0" w:color="auto"/>
              <w:left w:val="single" w:sz="4" w:space="0" w:color="auto"/>
              <w:bottom w:val="single" w:sz="4" w:space="0" w:color="auto"/>
              <w:right w:val="single" w:sz="4" w:space="0" w:color="auto"/>
            </w:tcBorders>
            <w:vAlign w:val="center"/>
            <w:hideMark/>
          </w:tcPr>
          <w:p w14:paraId="238CE0AA" w14:textId="77777777" w:rsidR="003663AF" w:rsidRPr="00B7760C" w:rsidRDefault="003663AF" w:rsidP="00E804B7">
            <w:pPr>
              <w:pStyle w:val="Normal6"/>
              <w:rPr>
                <w:sz w:val="20"/>
              </w:rPr>
            </w:pPr>
            <w:r w:rsidRPr="00B7760C">
              <w:rPr>
                <w:sz w:val="20"/>
              </w:rPr>
              <w:t>2023</w:t>
            </w:r>
          </w:p>
        </w:tc>
        <w:tc>
          <w:tcPr>
            <w:tcW w:w="1580" w:type="dxa"/>
            <w:tcBorders>
              <w:top w:val="single" w:sz="4" w:space="0" w:color="auto"/>
              <w:left w:val="single" w:sz="4" w:space="0" w:color="auto"/>
              <w:bottom w:val="single" w:sz="4" w:space="0" w:color="auto"/>
              <w:right w:val="single" w:sz="4" w:space="0" w:color="auto"/>
            </w:tcBorders>
            <w:vAlign w:val="center"/>
            <w:hideMark/>
          </w:tcPr>
          <w:p w14:paraId="6E93AB94" w14:textId="77777777" w:rsidR="003663AF" w:rsidRPr="00B7760C" w:rsidRDefault="003663AF" w:rsidP="00E804B7">
            <w:pPr>
              <w:pStyle w:val="Normal6"/>
              <w:rPr>
                <w:sz w:val="20"/>
              </w:rPr>
            </w:pPr>
            <w:r w:rsidRPr="00B7760C">
              <w:rPr>
                <w:sz w:val="20"/>
              </w:rPr>
              <w:t>2024</w:t>
            </w:r>
          </w:p>
        </w:tc>
        <w:tc>
          <w:tcPr>
            <w:tcW w:w="1580" w:type="dxa"/>
            <w:tcBorders>
              <w:top w:val="single" w:sz="4" w:space="0" w:color="auto"/>
              <w:left w:val="single" w:sz="4" w:space="0" w:color="auto"/>
              <w:bottom w:val="single" w:sz="4" w:space="0" w:color="auto"/>
              <w:right w:val="single" w:sz="4" w:space="0" w:color="auto"/>
            </w:tcBorders>
            <w:vAlign w:val="center"/>
            <w:hideMark/>
          </w:tcPr>
          <w:p w14:paraId="322A3418" w14:textId="77777777" w:rsidR="003663AF" w:rsidRPr="00B7760C" w:rsidRDefault="003663AF" w:rsidP="00E804B7">
            <w:pPr>
              <w:pStyle w:val="Normal6"/>
              <w:rPr>
                <w:sz w:val="20"/>
              </w:rPr>
            </w:pPr>
            <w:r w:rsidRPr="00B7760C">
              <w:rPr>
                <w:sz w:val="20"/>
              </w:rPr>
              <w:t>2025</w:t>
            </w:r>
          </w:p>
        </w:tc>
        <w:tc>
          <w:tcPr>
            <w:tcW w:w="1580" w:type="dxa"/>
            <w:gridSpan w:val="2"/>
            <w:tcBorders>
              <w:top w:val="single" w:sz="4" w:space="0" w:color="auto"/>
              <w:left w:val="single" w:sz="4" w:space="0" w:color="auto"/>
              <w:bottom w:val="single" w:sz="4" w:space="0" w:color="auto"/>
              <w:right w:val="single" w:sz="4" w:space="0" w:color="auto"/>
            </w:tcBorders>
            <w:vAlign w:val="center"/>
            <w:hideMark/>
          </w:tcPr>
          <w:p w14:paraId="181D42C8" w14:textId="77777777" w:rsidR="003663AF" w:rsidRPr="00B7760C" w:rsidRDefault="003663AF" w:rsidP="00E804B7">
            <w:pPr>
              <w:pStyle w:val="Normal6"/>
              <w:rPr>
                <w:sz w:val="20"/>
              </w:rPr>
            </w:pPr>
            <w:r w:rsidRPr="00B7760C">
              <w:rPr>
                <w:sz w:val="20"/>
              </w:rPr>
              <w:t>2026</w:t>
            </w:r>
          </w:p>
        </w:tc>
        <w:tc>
          <w:tcPr>
            <w:tcW w:w="1580" w:type="dxa"/>
            <w:gridSpan w:val="2"/>
            <w:tcBorders>
              <w:top w:val="single" w:sz="4" w:space="0" w:color="auto"/>
              <w:left w:val="single" w:sz="4" w:space="0" w:color="auto"/>
              <w:bottom w:val="single" w:sz="4" w:space="0" w:color="auto"/>
              <w:right w:val="single" w:sz="4" w:space="0" w:color="auto"/>
            </w:tcBorders>
            <w:vAlign w:val="center"/>
            <w:hideMark/>
          </w:tcPr>
          <w:p w14:paraId="35979FC4" w14:textId="77777777" w:rsidR="003663AF" w:rsidRPr="00B7760C" w:rsidRDefault="003663AF" w:rsidP="00E804B7">
            <w:pPr>
              <w:pStyle w:val="Normal6"/>
              <w:rPr>
                <w:sz w:val="20"/>
              </w:rPr>
            </w:pPr>
            <w:r w:rsidRPr="00B7760C">
              <w:rPr>
                <w:sz w:val="20"/>
              </w:rPr>
              <w:t>2027</w:t>
            </w:r>
          </w:p>
        </w:tc>
        <w:tc>
          <w:tcPr>
            <w:tcW w:w="1580" w:type="dxa"/>
            <w:tcBorders>
              <w:top w:val="single" w:sz="4" w:space="0" w:color="auto"/>
              <w:left w:val="single" w:sz="4" w:space="0" w:color="auto"/>
              <w:bottom w:val="single" w:sz="4" w:space="0" w:color="auto"/>
              <w:right w:val="single" w:sz="4" w:space="0" w:color="auto"/>
            </w:tcBorders>
            <w:vAlign w:val="center"/>
            <w:hideMark/>
          </w:tcPr>
          <w:p w14:paraId="14D8E305" w14:textId="77777777" w:rsidR="003663AF" w:rsidRPr="00B7760C" w:rsidRDefault="003663AF" w:rsidP="00E804B7">
            <w:pPr>
              <w:pStyle w:val="Normal6"/>
              <w:rPr>
                <w:sz w:val="20"/>
              </w:rPr>
            </w:pPr>
            <w:r w:rsidRPr="00B7760C">
              <w:rPr>
                <w:sz w:val="20"/>
              </w:rPr>
              <w:t>SKUPAJ 2021–2027</w:t>
            </w:r>
          </w:p>
        </w:tc>
      </w:tr>
      <w:tr w:rsidR="003663AF" w:rsidRPr="00B7760C" w14:paraId="065DC9FA" w14:textId="77777777" w:rsidTr="00E804B7">
        <w:trPr>
          <w:cantSplit/>
          <w:trHeight w:val="255"/>
          <w:jc w:val="center"/>
        </w:trPr>
        <w:tc>
          <w:tcPr>
            <w:tcW w:w="1580" w:type="dxa"/>
            <w:tcBorders>
              <w:top w:val="single" w:sz="4" w:space="0" w:color="auto"/>
              <w:left w:val="single" w:sz="4" w:space="0" w:color="auto"/>
              <w:bottom w:val="single" w:sz="4" w:space="0" w:color="auto"/>
              <w:right w:val="single" w:sz="4" w:space="0" w:color="auto"/>
            </w:tcBorders>
            <w:vAlign w:val="center"/>
            <w:hideMark/>
          </w:tcPr>
          <w:p w14:paraId="499D6907" w14:textId="77777777" w:rsidR="003663AF" w:rsidRPr="00B7760C" w:rsidRDefault="003663AF" w:rsidP="00E804B7">
            <w:pPr>
              <w:pStyle w:val="Normal6"/>
              <w:rPr>
                <w:sz w:val="20"/>
              </w:rPr>
            </w:pPr>
            <w:r w:rsidRPr="00B7760C">
              <w:rPr>
                <w:sz w:val="20"/>
              </w:rPr>
              <w:t>Belgija</w:t>
            </w:r>
          </w:p>
        </w:tc>
        <w:tc>
          <w:tcPr>
            <w:tcW w:w="1580" w:type="dxa"/>
            <w:tcBorders>
              <w:top w:val="single" w:sz="4" w:space="0" w:color="auto"/>
              <w:left w:val="single" w:sz="4" w:space="0" w:color="auto"/>
              <w:bottom w:val="single" w:sz="4" w:space="0" w:color="auto"/>
              <w:right w:val="single" w:sz="4" w:space="0" w:color="auto"/>
            </w:tcBorders>
            <w:vAlign w:val="center"/>
            <w:hideMark/>
          </w:tcPr>
          <w:p w14:paraId="36D31C18" w14:textId="77777777" w:rsidR="003663AF" w:rsidRPr="00B7760C" w:rsidRDefault="003663AF" w:rsidP="00E804B7">
            <w:pPr>
              <w:pStyle w:val="Normal6"/>
              <w:jc w:val="right"/>
              <w:rPr>
                <w:b/>
                <w:bCs/>
                <w:i/>
                <w:iCs/>
                <w:sz w:val="20"/>
              </w:rPr>
            </w:pPr>
            <w:r w:rsidRPr="00B7760C">
              <w:rPr>
                <w:b/>
                <w:bCs/>
                <w:i/>
                <w:iCs/>
                <w:sz w:val="20"/>
              </w:rPr>
              <w:t>67 178 046</w:t>
            </w:r>
          </w:p>
        </w:tc>
        <w:tc>
          <w:tcPr>
            <w:tcW w:w="1580" w:type="dxa"/>
            <w:tcBorders>
              <w:top w:val="single" w:sz="4" w:space="0" w:color="auto"/>
              <w:left w:val="single" w:sz="4" w:space="0" w:color="auto"/>
              <w:bottom w:val="single" w:sz="4" w:space="0" w:color="auto"/>
              <w:right w:val="single" w:sz="4" w:space="0" w:color="auto"/>
            </w:tcBorders>
            <w:vAlign w:val="center"/>
            <w:hideMark/>
          </w:tcPr>
          <w:p w14:paraId="5BE9836F" w14:textId="77777777" w:rsidR="003663AF" w:rsidRPr="00B7760C" w:rsidRDefault="003663AF" w:rsidP="00E804B7">
            <w:pPr>
              <w:pStyle w:val="Normal6"/>
              <w:jc w:val="right"/>
              <w:rPr>
                <w:b/>
                <w:bCs/>
                <w:i/>
                <w:iCs/>
                <w:sz w:val="20"/>
              </w:rPr>
            </w:pPr>
            <w:r w:rsidRPr="00B7760C">
              <w:rPr>
                <w:b/>
                <w:bCs/>
                <w:i/>
                <w:iCs/>
                <w:sz w:val="20"/>
              </w:rPr>
              <w:t>67 178 046</w:t>
            </w:r>
          </w:p>
        </w:tc>
        <w:tc>
          <w:tcPr>
            <w:tcW w:w="1580" w:type="dxa"/>
            <w:tcBorders>
              <w:top w:val="single" w:sz="4" w:space="0" w:color="auto"/>
              <w:left w:val="single" w:sz="4" w:space="0" w:color="auto"/>
              <w:bottom w:val="single" w:sz="4" w:space="0" w:color="auto"/>
              <w:right w:val="single" w:sz="4" w:space="0" w:color="auto"/>
            </w:tcBorders>
            <w:vAlign w:val="center"/>
            <w:hideMark/>
          </w:tcPr>
          <w:p w14:paraId="28641470" w14:textId="77777777" w:rsidR="003663AF" w:rsidRPr="00B7760C" w:rsidRDefault="003663AF" w:rsidP="00E804B7">
            <w:pPr>
              <w:pStyle w:val="Normal6"/>
              <w:jc w:val="right"/>
              <w:rPr>
                <w:b/>
                <w:bCs/>
                <w:i/>
                <w:iCs/>
                <w:sz w:val="20"/>
              </w:rPr>
            </w:pPr>
            <w:r w:rsidRPr="00B7760C">
              <w:rPr>
                <w:b/>
                <w:bCs/>
                <w:i/>
                <w:iCs/>
                <w:sz w:val="20"/>
              </w:rPr>
              <w:t>67 178 046</w:t>
            </w:r>
          </w:p>
        </w:tc>
        <w:tc>
          <w:tcPr>
            <w:tcW w:w="1580" w:type="dxa"/>
            <w:tcBorders>
              <w:top w:val="single" w:sz="4" w:space="0" w:color="auto"/>
              <w:left w:val="single" w:sz="4" w:space="0" w:color="auto"/>
              <w:bottom w:val="single" w:sz="4" w:space="0" w:color="auto"/>
              <w:right w:val="single" w:sz="4" w:space="0" w:color="auto"/>
            </w:tcBorders>
            <w:vAlign w:val="center"/>
            <w:hideMark/>
          </w:tcPr>
          <w:p w14:paraId="2270E1BC" w14:textId="77777777" w:rsidR="003663AF" w:rsidRPr="00B7760C" w:rsidRDefault="003663AF" w:rsidP="00E804B7">
            <w:pPr>
              <w:pStyle w:val="Normal6"/>
              <w:jc w:val="right"/>
              <w:rPr>
                <w:b/>
                <w:bCs/>
                <w:i/>
                <w:iCs/>
                <w:sz w:val="20"/>
              </w:rPr>
            </w:pPr>
            <w:r w:rsidRPr="00B7760C">
              <w:rPr>
                <w:b/>
                <w:bCs/>
                <w:i/>
                <w:iCs/>
                <w:sz w:val="20"/>
              </w:rPr>
              <w:t>67 178 046</w:t>
            </w:r>
          </w:p>
        </w:tc>
        <w:tc>
          <w:tcPr>
            <w:tcW w:w="1580" w:type="dxa"/>
            <w:tcBorders>
              <w:top w:val="single" w:sz="4" w:space="0" w:color="auto"/>
              <w:left w:val="single" w:sz="4" w:space="0" w:color="auto"/>
              <w:bottom w:val="single" w:sz="4" w:space="0" w:color="auto"/>
              <w:right w:val="single" w:sz="4" w:space="0" w:color="auto"/>
            </w:tcBorders>
            <w:vAlign w:val="center"/>
            <w:hideMark/>
          </w:tcPr>
          <w:p w14:paraId="5F90A2FD" w14:textId="77777777" w:rsidR="003663AF" w:rsidRPr="00B7760C" w:rsidRDefault="003663AF" w:rsidP="00E804B7">
            <w:pPr>
              <w:pStyle w:val="Normal6"/>
              <w:jc w:val="right"/>
              <w:rPr>
                <w:b/>
                <w:bCs/>
                <w:i/>
                <w:iCs/>
                <w:sz w:val="20"/>
              </w:rPr>
            </w:pPr>
            <w:r w:rsidRPr="00B7760C">
              <w:rPr>
                <w:b/>
                <w:bCs/>
                <w:i/>
                <w:iCs/>
                <w:sz w:val="20"/>
              </w:rPr>
              <w:t>67 178 046</w:t>
            </w:r>
          </w:p>
        </w:tc>
        <w:tc>
          <w:tcPr>
            <w:tcW w:w="1580" w:type="dxa"/>
            <w:gridSpan w:val="2"/>
            <w:tcBorders>
              <w:top w:val="single" w:sz="4" w:space="0" w:color="auto"/>
              <w:left w:val="single" w:sz="4" w:space="0" w:color="auto"/>
              <w:bottom w:val="single" w:sz="4" w:space="0" w:color="auto"/>
              <w:right w:val="single" w:sz="4" w:space="0" w:color="auto"/>
            </w:tcBorders>
            <w:vAlign w:val="center"/>
            <w:hideMark/>
          </w:tcPr>
          <w:p w14:paraId="4AC9BEDE" w14:textId="77777777" w:rsidR="003663AF" w:rsidRPr="00B7760C" w:rsidRDefault="003663AF" w:rsidP="00E804B7">
            <w:pPr>
              <w:pStyle w:val="Normal6"/>
              <w:jc w:val="right"/>
              <w:rPr>
                <w:b/>
                <w:bCs/>
                <w:i/>
                <w:iCs/>
                <w:sz w:val="20"/>
              </w:rPr>
            </w:pPr>
            <w:r w:rsidRPr="00B7760C">
              <w:rPr>
                <w:b/>
                <w:bCs/>
                <w:i/>
                <w:iCs/>
                <w:sz w:val="20"/>
              </w:rPr>
              <w:t>67 178 046</w:t>
            </w:r>
          </w:p>
        </w:tc>
        <w:tc>
          <w:tcPr>
            <w:tcW w:w="1580" w:type="dxa"/>
            <w:gridSpan w:val="2"/>
            <w:tcBorders>
              <w:top w:val="single" w:sz="4" w:space="0" w:color="auto"/>
              <w:left w:val="single" w:sz="4" w:space="0" w:color="auto"/>
              <w:bottom w:val="single" w:sz="4" w:space="0" w:color="auto"/>
              <w:right w:val="single" w:sz="4" w:space="0" w:color="auto"/>
            </w:tcBorders>
            <w:vAlign w:val="center"/>
            <w:hideMark/>
          </w:tcPr>
          <w:p w14:paraId="38AC2743" w14:textId="77777777" w:rsidR="003663AF" w:rsidRPr="00B7760C" w:rsidRDefault="003663AF" w:rsidP="00E804B7">
            <w:pPr>
              <w:pStyle w:val="Normal6"/>
              <w:jc w:val="right"/>
              <w:rPr>
                <w:b/>
                <w:bCs/>
                <w:i/>
                <w:iCs/>
                <w:sz w:val="20"/>
              </w:rPr>
            </w:pPr>
            <w:r w:rsidRPr="00B7760C">
              <w:rPr>
                <w:b/>
                <w:bCs/>
                <w:i/>
                <w:iCs/>
                <w:sz w:val="20"/>
              </w:rPr>
              <w:t>67 178 046</w:t>
            </w:r>
          </w:p>
        </w:tc>
        <w:tc>
          <w:tcPr>
            <w:tcW w:w="1580" w:type="dxa"/>
            <w:tcBorders>
              <w:top w:val="single" w:sz="4" w:space="0" w:color="auto"/>
              <w:left w:val="single" w:sz="4" w:space="0" w:color="auto"/>
              <w:bottom w:val="single" w:sz="4" w:space="0" w:color="auto"/>
              <w:right w:val="single" w:sz="4" w:space="0" w:color="auto"/>
            </w:tcBorders>
            <w:vAlign w:val="center"/>
            <w:hideMark/>
          </w:tcPr>
          <w:p w14:paraId="3F6AFC4C" w14:textId="77777777" w:rsidR="003663AF" w:rsidRPr="00B7760C" w:rsidRDefault="003663AF" w:rsidP="00E804B7">
            <w:pPr>
              <w:pStyle w:val="Normal6"/>
              <w:jc w:val="right"/>
              <w:rPr>
                <w:b/>
                <w:bCs/>
                <w:i/>
                <w:iCs/>
                <w:sz w:val="20"/>
              </w:rPr>
            </w:pPr>
            <w:r w:rsidRPr="00B7760C">
              <w:rPr>
                <w:b/>
                <w:bCs/>
                <w:i/>
                <w:iCs/>
                <w:sz w:val="20"/>
              </w:rPr>
              <w:t>470 246 322</w:t>
            </w:r>
          </w:p>
        </w:tc>
      </w:tr>
      <w:tr w:rsidR="003663AF" w:rsidRPr="00B7760C" w14:paraId="69A3716B" w14:textId="77777777" w:rsidTr="00E804B7">
        <w:trPr>
          <w:cantSplit/>
          <w:trHeight w:val="255"/>
          <w:jc w:val="center"/>
        </w:trPr>
        <w:tc>
          <w:tcPr>
            <w:tcW w:w="1580" w:type="dxa"/>
            <w:tcBorders>
              <w:top w:val="single" w:sz="4" w:space="0" w:color="auto"/>
              <w:left w:val="single" w:sz="4" w:space="0" w:color="auto"/>
              <w:bottom w:val="single" w:sz="4" w:space="0" w:color="auto"/>
              <w:right w:val="single" w:sz="4" w:space="0" w:color="auto"/>
            </w:tcBorders>
            <w:vAlign w:val="center"/>
            <w:hideMark/>
          </w:tcPr>
          <w:p w14:paraId="571A318B" w14:textId="77777777" w:rsidR="003663AF" w:rsidRPr="00B7760C" w:rsidRDefault="003663AF" w:rsidP="00E804B7">
            <w:pPr>
              <w:pStyle w:val="Normal6"/>
              <w:rPr>
                <w:sz w:val="20"/>
              </w:rPr>
            </w:pPr>
            <w:r w:rsidRPr="00B7760C">
              <w:rPr>
                <w:sz w:val="20"/>
              </w:rPr>
              <w:t>Bolgarija</w:t>
            </w:r>
          </w:p>
        </w:tc>
        <w:tc>
          <w:tcPr>
            <w:tcW w:w="1580" w:type="dxa"/>
            <w:tcBorders>
              <w:top w:val="single" w:sz="4" w:space="0" w:color="auto"/>
              <w:left w:val="single" w:sz="4" w:space="0" w:color="auto"/>
              <w:bottom w:val="single" w:sz="4" w:space="0" w:color="auto"/>
              <w:right w:val="single" w:sz="4" w:space="0" w:color="auto"/>
            </w:tcBorders>
            <w:vAlign w:val="center"/>
            <w:hideMark/>
          </w:tcPr>
          <w:p w14:paraId="22EB8467" w14:textId="77777777" w:rsidR="003663AF" w:rsidRPr="00B7760C" w:rsidRDefault="003663AF" w:rsidP="00E804B7">
            <w:pPr>
              <w:pStyle w:val="Normal6"/>
              <w:jc w:val="right"/>
              <w:rPr>
                <w:b/>
                <w:bCs/>
                <w:i/>
                <w:iCs/>
                <w:sz w:val="20"/>
              </w:rPr>
            </w:pPr>
            <w:r w:rsidRPr="00B7760C">
              <w:rPr>
                <w:b/>
                <w:bCs/>
                <w:i/>
                <w:iCs/>
                <w:sz w:val="20"/>
              </w:rPr>
              <w:t>281 711 396</w:t>
            </w:r>
          </w:p>
        </w:tc>
        <w:tc>
          <w:tcPr>
            <w:tcW w:w="1580" w:type="dxa"/>
            <w:tcBorders>
              <w:top w:val="single" w:sz="4" w:space="0" w:color="auto"/>
              <w:left w:val="single" w:sz="4" w:space="0" w:color="auto"/>
              <w:bottom w:val="single" w:sz="4" w:space="0" w:color="auto"/>
              <w:right w:val="single" w:sz="4" w:space="0" w:color="auto"/>
            </w:tcBorders>
            <w:vAlign w:val="center"/>
            <w:hideMark/>
          </w:tcPr>
          <w:p w14:paraId="40433444" w14:textId="77777777" w:rsidR="003663AF" w:rsidRPr="00B7760C" w:rsidRDefault="003663AF" w:rsidP="00E804B7">
            <w:pPr>
              <w:pStyle w:val="Normal6"/>
              <w:jc w:val="right"/>
              <w:rPr>
                <w:b/>
                <w:bCs/>
                <w:i/>
                <w:iCs/>
                <w:sz w:val="20"/>
              </w:rPr>
            </w:pPr>
            <w:r w:rsidRPr="00B7760C">
              <w:rPr>
                <w:b/>
                <w:bCs/>
                <w:i/>
                <w:iCs/>
                <w:sz w:val="20"/>
              </w:rPr>
              <w:t>281 711 396</w:t>
            </w:r>
          </w:p>
        </w:tc>
        <w:tc>
          <w:tcPr>
            <w:tcW w:w="1580" w:type="dxa"/>
            <w:tcBorders>
              <w:top w:val="single" w:sz="4" w:space="0" w:color="auto"/>
              <w:left w:val="single" w:sz="4" w:space="0" w:color="auto"/>
              <w:bottom w:val="single" w:sz="4" w:space="0" w:color="auto"/>
              <w:right w:val="single" w:sz="4" w:space="0" w:color="auto"/>
            </w:tcBorders>
            <w:vAlign w:val="center"/>
            <w:hideMark/>
          </w:tcPr>
          <w:p w14:paraId="6D38EE2A" w14:textId="77777777" w:rsidR="003663AF" w:rsidRPr="00B7760C" w:rsidRDefault="003663AF" w:rsidP="00E804B7">
            <w:pPr>
              <w:pStyle w:val="Normal6"/>
              <w:jc w:val="right"/>
              <w:rPr>
                <w:b/>
                <w:bCs/>
                <w:i/>
                <w:iCs/>
                <w:sz w:val="20"/>
              </w:rPr>
            </w:pPr>
            <w:r w:rsidRPr="00B7760C">
              <w:rPr>
                <w:b/>
                <w:bCs/>
                <w:i/>
                <w:iCs/>
                <w:sz w:val="20"/>
              </w:rPr>
              <w:t>281 711 396</w:t>
            </w:r>
          </w:p>
        </w:tc>
        <w:tc>
          <w:tcPr>
            <w:tcW w:w="1580" w:type="dxa"/>
            <w:tcBorders>
              <w:top w:val="single" w:sz="4" w:space="0" w:color="auto"/>
              <w:left w:val="single" w:sz="4" w:space="0" w:color="auto"/>
              <w:bottom w:val="single" w:sz="4" w:space="0" w:color="auto"/>
              <w:right w:val="single" w:sz="4" w:space="0" w:color="auto"/>
            </w:tcBorders>
            <w:vAlign w:val="center"/>
            <w:hideMark/>
          </w:tcPr>
          <w:p w14:paraId="3C15BCD1" w14:textId="77777777" w:rsidR="003663AF" w:rsidRPr="00B7760C" w:rsidRDefault="003663AF" w:rsidP="00E804B7">
            <w:pPr>
              <w:pStyle w:val="Normal6"/>
              <w:jc w:val="right"/>
              <w:rPr>
                <w:b/>
                <w:bCs/>
                <w:i/>
                <w:iCs/>
                <w:sz w:val="20"/>
              </w:rPr>
            </w:pPr>
            <w:r w:rsidRPr="00B7760C">
              <w:rPr>
                <w:b/>
                <w:bCs/>
                <w:i/>
                <w:iCs/>
                <w:sz w:val="20"/>
              </w:rPr>
              <w:t>281 711 396</w:t>
            </w:r>
          </w:p>
        </w:tc>
        <w:tc>
          <w:tcPr>
            <w:tcW w:w="1580" w:type="dxa"/>
            <w:tcBorders>
              <w:top w:val="single" w:sz="4" w:space="0" w:color="auto"/>
              <w:left w:val="single" w:sz="4" w:space="0" w:color="auto"/>
              <w:bottom w:val="single" w:sz="4" w:space="0" w:color="auto"/>
              <w:right w:val="single" w:sz="4" w:space="0" w:color="auto"/>
            </w:tcBorders>
            <w:vAlign w:val="center"/>
            <w:hideMark/>
          </w:tcPr>
          <w:p w14:paraId="28F965A2" w14:textId="77777777" w:rsidR="003663AF" w:rsidRPr="00B7760C" w:rsidRDefault="003663AF" w:rsidP="00E804B7">
            <w:pPr>
              <w:pStyle w:val="Normal6"/>
              <w:jc w:val="right"/>
              <w:rPr>
                <w:b/>
                <w:bCs/>
                <w:i/>
                <w:iCs/>
                <w:sz w:val="20"/>
              </w:rPr>
            </w:pPr>
            <w:r w:rsidRPr="00B7760C">
              <w:rPr>
                <w:b/>
                <w:bCs/>
                <w:i/>
                <w:iCs/>
                <w:sz w:val="20"/>
              </w:rPr>
              <w:t>281 711 396</w:t>
            </w:r>
          </w:p>
        </w:tc>
        <w:tc>
          <w:tcPr>
            <w:tcW w:w="1580" w:type="dxa"/>
            <w:gridSpan w:val="2"/>
            <w:tcBorders>
              <w:top w:val="single" w:sz="4" w:space="0" w:color="auto"/>
              <w:left w:val="single" w:sz="4" w:space="0" w:color="auto"/>
              <w:bottom w:val="single" w:sz="4" w:space="0" w:color="auto"/>
              <w:right w:val="single" w:sz="4" w:space="0" w:color="auto"/>
            </w:tcBorders>
            <w:vAlign w:val="center"/>
            <w:hideMark/>
          </w:tcPr>
          <w:p w14:paraId="02BCCB2D" w14:textId="77777777" w:rsidR="003663AF" w:rsidRPr="00B7760C" w:rsidRDefault="003663AF" w:rsidP="00E804B7">
            <w:pPr>
              <w:pStyle w:val="Normal6"/>
              <w:jc w:val="right"/>
              <w:rPr>
                <w:b/>
                <w:bCs/>
                <w:i/>
                <w:iCs/>
                <w:sz w:val="20"/>
              </w:rPr>
            </w:pPr>
            <w:r w:rsidRPr="00B7760C">
              <w:rPr>
                <w:b/>
                <w:bCs/>
                <w:i/>
                <w:iCs/>
                <w:sz w:val="20"/>
              </w:rPr>
              <w:t>281 711 396</w:t>
            </w:r>
          </w:p>
        </w:tc>
        <w:tc>
          <w:tcPr>
            <w:tcW w:w="1580" w:type="dxa"/>
            <w:gridSpan w:val="2"/>
            <w:tcBorders>
              <w:top w:val="single" w:sz="4" w:space="0" w:color="auto"/>
              <w:left w:val="single" w:sz="4" w:space="0" w:color="auto"/>
              <w:bottom w:val="single" w:sz="4" w:space="0" w:color="auto"/>
              <w:right w:val="single" w:sz="4" w:space="0" w:color="auto"/>
            </w:tcBorders>
            <w:vAlign w:val="center"/>
            <w:hideMark/>
          </w:tcPr>
          <w:p w14:paraId="1FCB303A" w14:textId="77777777" w:rsidR="003663AF" w:rsidRPr="00B7760C" w:rsidRDefault="003663AF" w:rsidP="00E804B7">
            <w:pPr>
              <w:pStyle w:val="Normal6"/>
              <w:jc w:val="right"/>
              <w:rPr>
                <w:b/>
                <w:bCs/>
                <w:i/>
                <w:iCs/>
                <w:sz w:val="20"/>
              </w:rPr>
            </w:pPr>
            <w:r w:rsidRPr="00B7760C">
              <w:rPr>
                <w:b/>
                <w:bCs/>
                <w:i/>
                <w:iCs/>
                <w:sz w:val="20"/>
              </w:rPr>
              <w:t>281 711 396</w:t>
            </w:r>
          </w:p>
        </w:tc>
        <w:tc>
          <w:tcPr>
            <w:tcW w:w="1580" w:type="dxa"/>
            <w:tcBorders>
              <w:top w:val="single" w:sz="4" w:space="0" w:color="auto"/>
              <w:left w:val="single" w:sz="4" w:space="0" w:color="auto"/>
              <w:bottom w:val="single" w:sz="4" w:space="0" w:color="auto"/>
              <w:right w:val="single" w:sz="4" w:space="0" w:color="auto"/>
            </w:tcBorders>
            <w:vAlign w:val="center"/>
            <w:hideMark/>
          </w:tcPr>
          <w:p w14:paraId="5105E15C" w14:textId="77777777" w:rsidR="003663AF" w:rsidRPr="00B7760C" w:rsidRDefault="003663AF" w:rsidP="00E804B7">
            <w:pPr>
              <w:pStyle w:val="Normal6"/>
              <w:jc w:val="right"/>
              <w:rPr>
                <w:b/>
                <w:bCs/>
                <w:i/>
                <w:iCs/>
                <w:sz w:val="20"/>
              </w:rPr>
            </w:pPr>
            <w:r w:rsidRPr="00B7760C">
              <w:rPr>
                <w:b/>
                <w:bCs/>
                <w:i/>
                <w:iCs/>
                <w:sz w:val="20"/>
              </w:rPr>
              <w:t>1 971 979 772</w:t>
            </w:r>
          </w:p>
        </w:tc>
      </w:tr>
      <w:tr w:rsidR="003663AF" w:rsidRPr="00B7760C" w14:paraId="695FB4F6" w14:textId="77777777" w:rsidTr="00E804B7">
        <w:trPr>
          <w:cantSplit/>
          <w:trHeight w:val="497"/>
          <w:jc w:val="center"/>
        </w:trPr>
        <w:tc>
          <w:tcPr>
            <w:tcW w:w="1580" w:type="dxa"/>
            <w:tcBorders>
              <w:top w:val="single" w:sz="4" w:space="0" w:color="auto"/>
              <w:left w:val="single" w:sz="4" w:space="0" w:color="auto"/>
              <w:bottom w:val="single" w:sz="4" w:space="0" w:color="auto"/>
              <w:right w:val="single" w:sz="4" w:space="0" w:color="auto"/>
            </w:tcBorders>
            <w:vAlign w:val="center"/>
            <w:hideMark/>
          </w:tcPr>
          <w:p w14:paraId="3E42FE66" w14:textId="77777777" w:rsidR="003663AF" w:rsidRPr="00B7760C" w:rsidRDefault="003663AF" w:rsidP="00E804B7">
            <w:pPr>
              <w:pStyle w:val="Normal6"/>
              <w:rPr>
                <w:sz w:val="20"/>
              </w:rPr>
            </w:pPr>
            <w:r w:rsidRPr="00B7760C">
              <w:rPr>
                <w:sz w:val="20"/>
              </w:rPr>
              <w:t>Češka</w:t>
            </w:r>
          </w:p>
        </w:tc>
        <w:tc>
          <w:tcPr>
            <w:tcW w:w="1580" w:type="dxa"/>
            <w:tcBorders>
              <w:top w:val="single" w:sz="4" w:space="0" w:color="auto"/>
              <w:left w:val="single" w:sz="4" w:space="0" w:color="auto"/>
              <w:bottom w:val="single" w:sz="4" w:space="0" w:color="auto"/>
              <w:right w:val="single" w:sz="4" w:space="0" w:color="auto"/>
            </w:tcBorders>
            <w:vAlign w:val="center"/>
            <w:hideMark/>
          </w:tcPr>
          <w:p w14:paraId="2B265171" w14:textId="77777777" w:rsidR="003663AF" w:rsidRPr="00B7760C" w:rsidRDefault="003663AF" w:rsidP="00E804B7">
            <w:pPr>
              <w:pStyle w:val="Normal6"/>
              <w:jc w:val="right"/>
              <w:rPr>
                <w:b/>
                <w:bCs/>
                <w:i/>
                <w:iCs/>
                <w:sz w:val="20"/>
              </w:rPr>
            </w:pPr>
            <w:r w:rsidRPr="00B7760C">
              <w:rPr>
                <w:b/>
                <w:bCs/>
                <w:i/>
                <w:iCs/>
                <w:sz w:val="20"/>
              </w:rPr>
              <w:t>258 773 203</w:t>
            </w:r>
          </w:p>
        </w:tc>
        <w:tc>
          <w:tcPr>
            <w:tcW w:w="1580" w:type="dxa"/>
            <w:tcBorders>
              <w:top w:val="single" w:sz="4" w:space="0" w:color="auto"/>
              <w:left w:val="single" w:sz="4" w:space="0" w:color="auto"/>
              <w:bottom w:val="single" w:sz="4" w:space="0" w:color="auto"/>
              <w:right w:val="single" w:sz="4" w:space="0" w:color="auto"/>
            </w:tcBorders>
            <w:vAlign w:val="center"/>
            <w:hideMark/>
          </w:tcPr>
          <w:p w14:paraId="780F3357" w14:textId="77777777" w:rsidR="003663AF" w:rsidRPr="00B7760C" w:rsidRDefault="003663AF" w:rsidP="00E804B7">
            <w:pPr>
              <w:pStyle w:val="Normal6"/>
              <w:jc w:val="right"/>
              <w:rPr>
                <w:b/>
                <w:bCs/>
                <w:i/>
                <w:iCs/>
                <w:sz w:val="20"/>
              </w:rPr>
            </w:pPr>
            <w:r w:rsidRPr="00B7760C">
              <w:rPr>
                <w:b/>
                <w:bCs/>
                <w:i/>
                <w:iCs/>
                <w:sz w:val="20"/>
              </w:rPr>
              <w:t>258 773 203</w:t>
            </w:r>
          </w:p>
        </w:tc>
        <w:tc>
          <w:tcPr>
            <w:tcW w:w="1580" w:type="dxa"/>
            <w:tcBorders>
              <w:top w:val="single" w:sz="4" w:space="0" w:color="auto"/>
              <w:left w:val="single" w:sz="4" w:space="0" w:color="auto"/>
              <w:bottom w:val="single" w:sz="4" w:space="0" w:color="auto"/>
              <w:right w:val="single" w:sz="4" w:space="0" w:color="auto"/>
            </w:tcBorders>
            <w:vAlign w:val="center"/>
            <w:hideMark/>
          </w:tcPr>
          <w:p w14:paraId="7A3181E5" w14:textId="77777777" w:rsidR="003663AF" w:rsidRPr="00B7760C" w:rsidRDefault="003663AF" w:rsidP="00E804B7">
            <w:pPr>
              <w:pStyle w:val="Normal6"/>
              <w:jc w:val="right"/>
              <w:rPr>
                <w:b/>
                <w:bCs/>
                <w:i/>
                <w:iCs/>
                <w:sz w:val="20"/>
              </w:rPr>
            </w:pPr>
            <w:r w:rsidRPr="00B7760C">
              <w:rPr>
                <w:b/>
                <w:bCs/>
                <w:i/>
                <w:iCs/>
                <w:sz w:val="20"/>
              </w:rPr>
              <w:t>258 773 203</w:t>
            </w:r>
          </w:p>
        </w:tc>
        <w:tc>
          <w:tcPr>
            <w:tcW w:w="1580" w:type="dxa"/>
            <w:tcBorders>
              <w:top w:val="single" w:sz="4" w:space="0" w:color="auto"/>
              <w:left w:val="single" w:sz="4" w:space="0" w:color="auto"/>
              <w:bottom w:val="single" w:sz="4" w:space="0" w:color="auto"/>
              <w:right w:val="single" w:sz="4" w:space="0" w:color="auto"/>
            </w:tcBorders>
            <w:vAlign w:val="center"/>
            <w:hideMark/>
          </w:tcPr>
          <w:p w14:paraId="5851209B" w14:textId="77777777" w:rsidR="003663AF" w:rsidRPr="00B7760C" w:rsidRDefault="003663AF" w:rsidP="00E804B7">
            <w:pPr>
              <w:pStyle w:val="Normal6"/>
              <w:jc w:val="right"/>
              <w:rPr>
                <w:b/>
                <w:bCs/>
                <w:i/>
                <w:iCs/>
                <w:sz w:val="20"/>
              </w:rPr>
            </w:pPr>
            <w:r w:rsidRPr="00B7760C">
              <w:rPr>
                <w:b/>
                <w:bCs/>
                <w:i/>
                <w:iCs/>
                <w:sz w:val="20"/>
              </w:rPr>
              <w:t>258 773 203</w:t>
            </w:r>
          </w:p>
        </w:tc>
        <w:tc>
          <w:tcPr>
            <w:tcW w:w="1580" w:type="dxa"/>
            <w:tcBorders>
              <w:top w:val="single" w:sz="4" w:space="0" w:color="auto"/>
              <w:left w:val="single" w:sz="4" w:space="0" w:color="auto"/>
              <w:bottom w:val="single" w:sz="4" w:space="0" w:color="auto"/>
              <w:right w:val="single" w:sz="4" w:space="0" w:color="auto"/>
            </w:tcBorders>
            <w:vAlign w:val="center"/>
            <w:hideMark/>
          </w:tcPr>
          <w:p w14:paraId="3B5CC23C" w14:textId="77777777" w:rsidR="003663AF" w:rsidRPr="00B7760C" w:rsidRDefault="003663AF" w:rsidP="00E804B7">
            <w:pPr>
              <w:pStyle w:val="Normal6"/>
              <w:jc w:val="right"/>
              <w:rPr>
                <w:b/>
                <w:bCs/>
                <w:i/>
                <w:iCs/>
                <w:sz w:val="20"/>
              </w:rPr>
            </w:pPr>
            <w:r w:rsidRPr="00B7760C">
              <w:rPr>
                <w:b/>
                <w:bCs/>
                <w:i/>
                <w:iCs/>
                <w:sz w:val="20"/>
              </w:rPr>
              <w:t>258 773 203</w:t>
            </w:r>
          </w:p>
        </w:tc>
        <w:tc>
          <w:tcPr>
            <w:tcW w:w="1580" w:type="dxa"/>
            <w:gridSpan w:val="2"/>
            <w:tcBorders>
              <w:top w:val="single" w:sz="4" w:space="0" w:color="auto"/>
              <w:left w:val="single" w:sz="4" w:space="0" w:color="auto"/>
              <w:bottom w:val="single" w:sz="4" w:space="0" w:color="auto"/>
              <w:right w:val="single" w:sz="4" w:space="0" w:color="auto"/>
            </w:tcBorders>
            <w:vAlign w:val="center"/>
            <w:hideMark/>
          </w:tcPr>
          <w:p w14:paraId="70944F29" w14:textId="77777777" w:rsidR="003663AF" w:rsidRPr="00B7760C" w:rsidRDefault="003663AF" w:rsidP="00E804B7">
            <w:pPr>
              <w:pStyle w:val="Normal6"/>
              <w:jc w:val="right"/>
              <w:rPr>
                <w:b/>
                <w:bCs/>
                <w:i/>
                <w:iCs/>
                <w:sz w:val="20"/>
              </w:rPr>
            </w:pPr>
            <w:r w:rsidRPr="00B7760C">
              <w:rPr>
                <w:b/>
                <w:bCs/>
                <w:i/>
                <w:iCs/>
                <w:sz w:val="20"/>
              </w:rPr>
              <w:t>258 773 203</w:t>
            </w:r>
          </w:p>
        </w:tc>
        <w:tc>
          <w:tcPr>
            <w:tcW w:w="1580" w:type="dxa"/>
            <w:gridSpan w:val="2"/>
            <w:tcBorders>
              <w:top w:val="single" w:sz="4" w:space="0" w:color="auto"/>
              <w:left w:val="single" w:sz="4" w:space="0" w:color="auto"/>
              <w:bottom w:val="single" w:sz="4" w:space="0" w:color="auto"/>
              <w:right w:val="single" w:sz="4" w:space="0" w:color="auto"/>
            </w:tcBorders>
            <w:vAlign w:val="center"/>
            <w:hideMark/>
          </w:tcPr>
          <w:p w14:paraId="04ADD029" w14:textId="77777777" w:rsidR="003663AF" w:rsidRPr="00B7760C" w:rsidRDefault="003663AF" w:rsidP="00E804B7">
            <w:pPr>
              <w:pStyle w:val="Normal6"/>
              <w:jc w:val="right"/>
              <w:rPr>
                <w:b/>
                <w:bCs/>
                <w:i/>
                <w:iCs/>
                <w:sz w:val="20"/>
              </w:rPr>
            </w:pPr>
            <w:r w:rsidRPr="00B7760C">
              <w:rPr>
                <w:b/>
                <w:bCs/>
                <w:i/>
                <w:iCs/>
                <w:sz w:val="20"/>
              </w:rPr>
              <w:t>258 773 203</w:t>
            </w:r>
          </w:p>
        </w:tc>
        <w:tc>
          <w:tcPr>
            <w:tcW w:w="1580" w:type="dxa"/>
            <w:tcBorders>
              <w:top w:val="single" w:sz="4" w:space="0" w:color="auto"/>
              <w:left w:val="single" w:sz="4" w:space="0" w:color="auto"/>
              <w:bottom w:val="single" w:sz="4" w:space="0" w:color="auto"/>
              <w:right w:val="single" w:sz="4" w:space="0" w:color="auto"/>
            </w:tcBorders>
            <w:vAlign w:val="center"/>
            <w:hideMark/>
          </w:tcPr>
          <w:p w14:paraId="1B17568A" w14:textId="77777777" w:rsidR="003663AF" w:rsidRPr="00B7760C" w:rsidRDefault="003663AF" w:rsidP="00E804B7">
            <w:pPr>
              <w:pStyle w:val="Normal6"/>
              <w:jc w:val="right"/>
              <w:rPr>
                <w:b/>
                <w:bCs/>
                <w:i/>
                <w:iCs/>
                <w:sz w:val="20"/>
              </w:rPr>
            </w:pPr>
            <w:r w:rsidRPr="00B7760C">
              <w:rPr>
                <w:b/>
                <w:bCs/>
                <w:i/>
                <w:iCs/>
                <w:sz w:val="20"/>
              </w:rPr>
              <w:t>1 811 412 421</w:t>
            </w:r>
          </w:p>
        </w:tc>
      </w:tr>
      <w:tr w:rsidR="003663AF" w:rsidRPr="00B7760C" w14:paraId="4626EC92" w14:textId="77777777" w:rsidTr="00E804B7">
        <w:trPr>
          <w:cantSplit/>
          <w:trHeight w:val="255"/>
          <w:jc w:val="center"/>
        </w:trPr>
        <w:tc>
          <w:tcPr>
            <w:tcW w:w="1580" w:type="dxa"/>
            <w:tcBorders>
              <w:top w:val="single" w:sz="4" w:space="0" w:color="auto"/>
              <w:left w:val="single" w:sz="4" w:space="0" w:color="auto"/>
              <w:bottom w:val="single" w:sz="4" w:space="0" w:color="auto"/>
              <w:right w:val="single" w:sz="4" w:space="0" w:color="auto"/>
            </w:tcBorders>
            <w:vAlign w:val="center"/>
            <w:hideMark/>
          </w:tcPr>
          <w:p w14:paraId="17AE307D" w14:textId="77777777" w:rsidR="003663AF" w:rsidRPr="00B7760C" w:rsidRDefault="003663AF" w:rsidP="00E804B7">
            <w:pPr>
              <w:pStyle w:val="Normal6"/>
              <w:rPr>
                <w:sz w:val="20"/>
              </w:rPr>
            </w:pPr>
            <w:r w:rsidRPr="00B7760C">
              <w:rPr>
                <w:sz w:val="20"/>
              </w:rPr>
              <w:t>Danska</w:t>
            </w:r>
          </w:p>
        </w:tc>
        <w:tc>
          <w:tcPr>
            <w:tcW w:w="1580" w:type="dxa"/>
            <w:tcBorders>
              <w:top w:val="single" w:sz="4" w:space="0" w:color="auto"/>
              <w:left w:val="single" w:sz="4" w:space="0" w:color="auto"/>
              <w:bottom w:val="single" w:sz="4" w:space="0" w:color="auto"/>
              <w:right w:val="single" w:sz="4" w:space="0" w:color="auto"/>
            </w:tcBorders>
            <w:vAlign w:val="center"/>
            <w:hideMark/>
          </w:tcPr>
          <w:p w14:paraId="1086ED33" w14:textId="77777777" w:rsidR="003663AF" w:rsidRPr="00B7760C" w:rsidRDefault="003663AF" w:rsidP="00E804B7">
            <w:pPr>
              <w:pStyle w:val="Normal6"/>
              <w:jc w:val="right"/>
              <w:rPr>
                <w:b/>
                <w:bCs/>
                <w:i/>
                <w:iCs/>
                <w:sz w:val="20"/>
              </w:rPr>
            </w:pPr>
            <w:r w:rsidRPr="00B7760C">
              <w:rPr>
                <w:b/>
                <w:bCs/>
                <w:i/>
                <w:iCs/>
                <w:sz w:val="20"/>
              </w:rPr>
              <w:t>75 812 623</w:t>
            </w:r>
          </w:p>
        </w:tc>
        <w:tc>
          <w:tcPr>
            <w:tcW w:w="1580" w:type="dxa"/>
            <w:tcBorders>
              <w:top w:val="single" w:sz="4" w:space="0" w:color="auto"/>
              <w:left w:val="single" w:sz="4" w:space="0" w:color="auto"/>
              <w:bottom w:val="single" w:sz="4" w:space="0" w:color="auto"/>
              <w:right w:val="single" w:sz="4" w:space="0" w:color="auto"/>
            </w:tcBorders>
            <w:vAlign w:val="center"/>
            <w:hideMark/>
          </w:tcPr>
          <w:p w14:paraId="23468370" w14:textId="77777777" w:rsidR="003663AF" w:rsidRPr="00B7760C" w:rsidRDefault="003663AF" w:rsidP="00E804B7">
            <w:pPr>
              <w:pStyle w:val="Normal6"/>
              <w:jc w:val="right"/>
              <w:rPr>
                <w:b/>
                <w:bCs/>
                <w:i/>
                <w:iCs/>
                <w:sz w:val="20"/>
              </w:rPr>
            </w:pPr>
            <w:r w:rsidRPr="00B7760C">
              <w:rPr>
                <w:b/>
                <w:bCs/>
                <w:i/>
                <w:iCs/>
                <w:sz w:val="20"/>
              </w:rPr>
              <w:t>75 812 623</w:t>
            </w:r>
          </w:p>
        </w:tc>
        <w:tc>
          <w:tcPr>
            <w:tcW w:w="1580" w:type="dxa"/>
            <w:tcBorders>
              <w:top w:val="single" w:sz="4" w:space="0" w:color="auto"/>
              <w:left w:val="single" w:sz="4" w:space="0" w:color="auto"/>
              <w:bottom w:val="single" w:sz="4" w:space="0" w:color="auto"/>
              <w:right w:val="single" w:sz="4" w:space="0" w:color="auto"/>
            </w:tcBorders>
            <w:vAlign w:val="center"/>
            <w:hideMark/>
          </w:tcPr>
          <w:p w14:paraId="632D2538" w14:textId="77777777" w:rsidR="003663AF" w:rsidRPr="00B7760C" w:rsidRDefault="003663AF" w:rsidP="00E804B7">
            <w:pPr>
              <w:pStyle w:val="Normal6"/>
              <w:jc w:val="right"/>
              <w:rPr>
                <w:b/>
                <w:bCs/>
                <w:i/>
                <w:iCs/>
                <w:sz w:val="20"/>
              </w:rPr>
            </w:pPr>
            <w:r w:rsidRPr="00B7760C">
              <w:rPr>
                <w:b/>
                <w:bCs/>
                <w:i/>
                <w:iCs/>
                <w:sz w:val="20"/>
              </w:rPr>
              <w:t>75 812 623</w:t>
            </w:r>
          </w:p>
        </w:tc>
        <w:tc>
          <w:tcPr>
            <w:tcW w:w="1580" w:type="dxa"/>
            <w:tcBorders>
              <w:top w:val="single" w:sz="4" w:space="0" w:color="auto"/>
              <w:left w:val="single" w:sz="4" w:space="0" w:color="auto"/>
              <w:bottom w:val="single" w:sz="4" w:space="0" w:color="auto"/>
              <w:right w:val="single" w:sz="4" w:space="0" w:color="auto"/>
            </w:tcBorders>
            <w:vAlign w:val="center"/>
            <w:hideMark/>
          </w:tcPr>
          <w:p w14:paraId="55F9C4C3" w14:textId="77777777" w:rsidR="003663AF" w:rsidRPr="00B7760C" w:rsidRDefault="003663AF" w:rsidP="00E804B7">
            <w:pPr>
              <w:pStyle w:val="Normal6"/>
              <w:jc w:val="right"/>
              <w:rPr>
                <w:b/>
                <w:bCs/>
                <w:i/>
                <w:iCs/>
                <w:sz w:val="20"/>
              </w:rPr>
            </w:pPr>
            <w:r w:rsidRPr="00B7760C">
              <w:rPr>
                <w:b/>
                <w:bCs/>
                <w:i/>
                <w:iCs/>
                <w:sz w:val="20"/>
              </w:rPr>
              <w:t>75 812 623</w:t>
            </w:r>
          </w:p>
        </w:tc>
        <w:tc>
          <w:tcPr>
            <w:tcW w:w="1580" w:type="dxa"/>
            <w:tcBorders>
              <w:top w:val="single" w:sz="4" w:space="0" w:color="auto"/>
              <w:left w:val="single" w:sz="4" w:space="0" w:color="auto"/>
              <w:bottom w:val="single" w:sz="4" w:space="0" w:color="auto"/>
              <w:right w:val="single" w:sz="4" w:space="0" w:color="auto"/>
            </w:tcBorders>
            <w:vAlign w:val="center"/>
            <w:hideMark/>
          </w:tcPr>
          <w:p w14:paraId="69FE4A7F" w14:textId="77777777" w:rsidR="003663AF" w:rsidRPr="00B7760C" w:rsidRDefault="003663AF" w:rsidP="00E804B7">
            <w:pPr>
              <w:pStyle w:val="Normal6"/>
              <w:jc w:val="right"/>
              <w:rPr>
                <w:b/>
                <w:bCs/>
                <w:i/>
                <w:iCs/>
                <w:sz w:val="20"/>
              </w:rPr>
            </w:pPr>
            <w:r w:rsidRPr="00B7760C">
              <w:rPr>
                <w:b/>
                <w:bCs/>
                <w:i/>
                <w:iCs/>
                <w:sz w:val="20"/>
              </w:rPr>
              <w:t>75 812 623</w:t>
            </w:r>
          </w:p>
        </w:tc>
        <w:tc>
          <w:tcPr>
            <w:tcW w:w="1580" w:type="dxa"/>
            <w:gridSpan w:val="2"/>
            <w:tcBorders>
              <w:top w:val="single" w:sz="4" w:space="0" w:color="auto"/>
              <w:left w:val="single" w:sz="4" w:space="0" w:color="auto"/>
              <w:bottom w:val="single" w:sz="4" w:space="0" w:color="auto"/>
              <w:right w:val="single" w:sz="4" w:space="0" w:color="auto"/>
            </w:tcBorders>
            <w:vAlign w:val="center"/>
            <w:hideMark/>
          </w:tcPr>
          <w:p w14:paraId="5B7CEC49" w14:textId="77777777" w:rsidR="003663AF" w:rsidRPr="00B7760C" w:rsidRDefault="003663AF" w:rsidP="00E804B7">
            <w:pPr>
              <w:pStyle w:val="Normal6"/>
              <w:jc w:val="right"/>
              <w:rPr>
                <w:b/>
                <w:bCs/>
                <w:i/>
                <w:iCs/>
                <w:sz w:val="20"/>
              </w:rPr>
            </w:pPr>
            <w:r w:rsidRPr="00B7760C">
              <w:rPr>
                <w:b/>
                <w:bCs/>
                <w:i/>
                <w:iCs/>
                <w:sz w:val="20"/>
              </w:rPr>
              <w:t>75 812 623</w:t>
            </w:r>
          </w:p>
        </w:tc>
        <w:tc>
          <w:tcPr>
            <w:tcW w:w="1580" w:type="dxa"/>
            <w:gridSpan w:val="2"/>
            <w:tcBorders>
              <w:top w:val="single" w:sz="4" w:space="0" w:color="auto"/>
              <w:left w:val="single" w:sz="4" w:space="0" w:color="auto"/>
              <w:bottom w:val="single" w:sz="4" w:space="0" w:color="auto"/>
              <w:right w:val="single" w:sz="4" w:space="0" w:color="auto"/>
            </w:tcBorders>
            <w:vAlign w:val="center"/>
            <w:hideMark/>
          </w:tcPr>
          <w:p w14:paraId="628199EA" w14:textId="77777777" w:rsidR="003663AF" w:rsidRPr="00B7760C" w:rsidRDefault="003663AF" w:rsidP="00E804B7">
            <w:pPr>
              <w:pStyle w:val="Normal6"/>
              <w:jc w:val="right"/>
              <w:rPr>
                <w:b/>
                <w:bCs/>
                <w:i/>
                <w:iCs/>
                <w:sz w:val="20"/>
              </w:rPr>
            </w:pPr>
            <w:r w:rsidRPr="00B7760C">
              <w:rPr>
                <w:b/>
                <w:bCs/>
                <w:i/>
                <w:iCs/>
                <w:sz w:val="20"/>
              </w:rPr>
              <w:t>75 812 623</w:t>
            </w:r>
          </w:p>
        </w:tc>
        <w:tc>
          <w:tcPr>
            <w:tcW w:w="1580" w:type="dxa"/>
            <w:tcBorders>
              <w:top w:val="single" w:sz="4" w:space="0" w:color="auto"/>
              <w:left w:val="single" w:sz="4" w:space="0" w:color="auto"/>
              <w:bottom w:val="single" w:sz="4" w:space="0" w:color="auto"/>
              <w:right w:val="single" w:sz="4" w:space="0" w:color="auto"/>
            </w:tcBorders>
            <w:vAlign w:val="center"/>
            <w:hideMark/>
          </w:tcPr>
          <w:p w14:paraId="20FA8758" w14:textId="77777777" w:rsidR="003663AF" w:rsidRPr="00B7760C" w:rsidRDefault="003663AF" w:rsidP="00E804B7">
            <w:pPr>
              <w:pStyle w:val="Normal6"/>
              <w:jc w:val="right"/>
              <w:rPr>
                <w:b/>
                <w:bCs/>
                <w:i/>
                <w:iCs/>
                <w:sz w:val="20"/>
              </w:rPr>
            </w:pPr>
            <w:r w:rsidRPr="00B7760C">
              <w:rPr>
                <w:b/>
                <w:bCs/>
                <w:i/>
                <w:iCs/>
                <w:sz w:val="20"/>
              </w:rPr>
              <w:t>530 688 361</w:t>
            </w:r>
          </w:p>
        </w:tc>
      </w:tr>
      <w:tr w:rsidR="003663AF" w:rsidRPr="00B7760C" w14:paraId="549D9C71" w14:textId="77777777" w:rsidTr="00E804B7">
        <w:trPr>
          <w:cantSplit/>
          <w:trHeight w:val="255"/>
          <w:jc w:val="center"/>
        </w:trPr>
        <w:tc>
          <w:tcPr>
            <w:tcW w:w="1580" w:type="dxa"/>
            <w:tcBorders>
              <w:top w:val="single" w:sz="4" w:space="0" w:color="auto"/>
              <w:left w:val="single" w:sz="4" w:space="0" w:color="auto"/>
              <w:bottom w:val="single" w:sz="4" w:space="0" w:color="auto"/>
              <w:right w:val="single" w:sz="4" w:space="0" w:color="auto"/>
            </w:tcBorders>
            <w:vAlign w:val="center"/>
            <w:hideMark/>
          </w:tcPr>
          <w:p w14:paraId="5E4E8051" w14:textId="77777777" w:rsidR="003663AF" w:rsidRPr="00B7760C" w:rsidRDefault="003663AF" w:rsidP="00E804B7">
            <w:pPr>
              <w:pStyle w:val="Normal6"/>
              <w:rPr>
                <w:sz w:val="20"/>
              </w:rPr>
            </w:pPr>
            <w:r w:rsidRPr="00B7760C">
              <w:rPr>
                <w:sz w:val="20"/>
              </w:rPr>
              <w:t>Nemčija</w:t>
            </w:r>
          </w:p>
        </w:tc>
        <w:tc>
          <w:tcPr>
            <w:tcW w:w="1580" w:type="dxa"/>
            <w:tcBorders>
              <w:top w:val="single" w:sz="4" w:space="0" w:color="auto"/>
              <w:left w:val="single" w:sz="4" w:space="0" w:color="auto"/>
              <w:bottom w:val="single" w:sz="4" w:space="0" w:color="auto"/>
              <w:right w:val="single" w:sz="4" w:space="0" w:color="auto"/>
            </w:tcBorders>
            <w:vAlign w:val="center"/>
            <w:hideMark/>
          </w:tcPr>
          <w:p w14:paraId="049D971E" w14:textId="77777777" w:rsidR="003663AF" w:rsidRPr="00B7760C" w:rsidRDefault="003663AF" w:rsidP="00E804B7">
            <w:pPr>
              <w:pStyle w:val="Normal6"/>
              <w:jc w:val="right"/>
              <w:rPr>
                <w:b/>
                <w:bCs/>
                <w:i/>
                <w:iCs/>
                <w:sz w:val="20"/>
              </w:rPr>
            </w:pPr>
            <w:r w:rsidRPr="00B7760C">
              <w:rPr>
                <w:b/>
                <w:bCs/>
                <w:i/>
                <w:iCs/>
                <w:sz w:val="20"/>
              </w:rPr>
              <w:t>989 924 996</w:t>
            </w:r>
          </w:p>
        </w:tc>
        <w:tc>
          <w:tcPr>
            <w:tcW w:w="1580" w:type="dxa"/>
            <w:tcBorders>
              <w:top w:val="single" w:sz="4" w:space="0" w:color="auto"/>
              <w:left w:val="single" w:sz="4" w:space="0" w:color="auto"/>
              <w:bottom w:val="single" w:sz="4" w:space="0" w:color="auto"/>
              <w:right w:val="single" w:sz="4" w:space="0" w:color="auto"/>
            </w:tcBorders>
            <w:vAlign w:val="center"/>
            <w:hideMark/>
          </w:tcPr>
          <w:p w14:paraId="2CBB1EC2" w14:textId="77777777" w:rsidR="003663AF" w:rsidRPr="00B7760C" w:rsidRDefault="003663AF" w:rsidP="00E804B7">
            <w:pPr>
              <w:pStyle w:val="Normal6"/>
              <w:jc w:val="right"/>
              <w:rPr>
                <w:b/>
                <w:bCs/>
                <w:i/>
                <w:iCs/>
                <w:sz w:val="20"/>
              </w:rPr>
            </w:pPr>
            <w:r w:rsidRPr="00B7760C">
              <w:rPr>
                <w:b/>
                <w:bCs/>
                <w:i/>
                <w:iCs/>
                <w:sz w:val="20"/>
              </w:rPr>
              <w:t>989 924 996</w:t>
            </w:r>
          </w:p>
        </w:tc>
        <w:tc>
          <w:tcPr>
            <w:tcW w:w="1580" w:type="dxa"/>
            <w:tcBorders>
              <w:top w:val="single" w:sz="4" w:space="0" w:color="auto"/>
              <w:left w:val="single" w:sz="4" w:space="0" w:color="auto"/>
              <w:bottom w:val="single" w:sz="4" w:space="0" w:color="auto"/>
              <w:right w:val="single" w:sz="4" w:space="0" w:color="auto"/>
            </w:tcBorders>
            <w:vAlign w:val="center"/>
            <w:hideMark/>
          </w:tcPr>
          <w:p w14:paraId="2197CF8C" w14:textId="77777777" w:rsidR="003663AF" w:rsidRPr="00B7760C" w:rsidRDefault="003663AF" w:rsidP="00E804B7">
            <w:pPr>
              <w:pStyle w:val="Normal6"/>
              <w:jc w:val="right"/>
              <w:rPr>
                <w:b/>
                <w:bCs/>
                <w:i/>
                <w:iCs/>
                <w:sz w:val="20"/>
              </w:rPr>
            </w:pPr>
            <w:r w:rsidRPr="00B7760C">
              <w:rPr>
                <w:b/>
                <w:bCs/>
                <w:i/>
                <w:iCs/>
                <w:sz w:val="20"/>
              </w:rPr>
              <w:t>989 924 996</w:t>
            </w:r>
          </w:p>
        </w:tc>
        <w:tc>
          <w:tcPr>
            <w:tcW w:w="1580" w:type="dxa"/>
            <w:tcBorders>
              <w:top w:val="single" w:sz="4" w:space="0" w:color="auto"/>
              <w:left w:val="single" w:sz="4" w:space="0" w:color="auto"/>
              <w:bottom w:val="single" w:sz="4" w:space="0" w:color="auto"/>
              <w:right w:val="single" w:sz="4" w:space="0" w:color="auto"/>
            </w:tcBorders>
            <w:vAlign w:val="center"/>
            <w:hideMark/>
          </w:tcPr>
          <w:p w14:paraId="5801E3E2" w14:textId="77777777" w:rsidR="003663AF" w:rsidRPr="00B7760C" w:rsidRDefault="003663AF" w:rsidP="00E804B7">
            <w:pPr>
              <w:pStyle w:val="Normal6"/>
              <w:jc w:val="right"/>
              <w:rPr>
                <w:b/>
                <w:bCs/>
                <w:i/>
                <w:iCs/>
                <w:sz w:val="20"/>
              </w:rPr>
            </w:pPr>
            <w:r w:rsidRPr="00B7760C">
              <w:rPr>
                <w:b/>
                <w:bCs/>
                <w:i/>
                <w:iCs/>
                <w:sz w:val="20"/>
              </w:rPr>
              <w:t>989 924 996</w:t>
            </w:r>
          </w:p>
        </w:tc>
        <w:tc>
          <w:tcPr>
            <w:tcW w:w="1580" w:type="dxa"/>
            <w:tcBorders>
              <w:top w:val="single" w:sz="4" w:space="0" w:color="auto"/>
              <w:left w:val="single" w:sz="4" w:space="0" w:color="auto"/>
              <w:bottom w:val="single" w:sz="4" w:space="0" w:color="auto"/>
              <w:right w:val="single" w:sz="4" w:space="0" w:color="auto"/>
            </w:tcBorders>
            <w:vAlign w:val="center"/>
            <w:hideMark/>
          </w:tcPr>
          <w:p w14:paraId="5B902D84" w14:textId="77777777" w:rsidR="003663AF" w:rsidRPr="00B7760C" w:rsidRDefault="003663AF" w:rsidP="00E804B7">
            <w:pPr>
              <w:pStyle w:val="Normal6"/>
              <w:jc w:val="right"/>
              <w:rPr>
                <w:b/>
                <w:bCs/>
                <w:i/>
                <w:iCs/>
                <w:sz w:val="20"/>
              </w:rPr>
            </w:pPr>
            <w:r w:rsidRPr="00B7760C">
              <w:rPr>
                <w:b/>
                <w:bCs/>
                <w:i/>
                <w:iCs/>
                <w:sz w:val="20"/>
              </w:rPr>
              <w:t>989 924 996</w:t>
            </w:r>
          </w:p>
        </w:tc>
        <w:tc>
          <w:tcPr>
            <w:tcW w:w="1580" w:type="dxa"/>
            <w:gridSpan w:val="2"/>
            <w:tcBorders>
              <w:top w:val="single" w:sz="4" w:space="0" w:color="auto"/>
              <w:left w:val="single" w:sz="4" w:space="0" w:color="auto"/>
              <w:bottom w:val="single" w:sz="4" w:space="0" w:color="auto"/>
              <w:right w:val="single" w:sz="4" w:space="0" w:color="auto"/>
            </w:tcBorders>
            <w:vAlign w:val="center"/>
            <w:hideMark/>
          </w:tcPr>
          <w:p w14:paraId="452F07AE" w14:textId="77777777" w:rsidR="003663AF" w:rsidRPr="00B7760C" w:rsidRDefault="003663AF" w:rsidP="00E804B7">
            <w:pPr>
              <w:pStyle w:val="Normal6"/>
              <w:jc w:val="right"/>
              <w:rPr>
                <w:b/>
                <w:bCs/>
                <w:i/>
                <w:iCs/>
                <w:sz w:val="20"/>
              </w:rPr>
            </w:pPr>
            <w:r w:rsidRPr="00B7760C">
              <w:rPr>
                <w:b/>
                <w:bCs/>
                <w:i/>
                <w:iCs/>
                <w:sz w:val="20"/>
              </w:rPr>
              <w:t>989 924 996</w:t>
            </w:r>
          </w:p>
        </w:tc>
        <w:tc>
          <w:tcPr>
            <w:tcW w:w="1580" w:type="dxa"/>
            <w:gridSpan w:val="2"/>
            <w:tcBorders>
              <w:top w:val="single" w:sz="4" w:space="0" w:color="auto"/>
              <w:left w:val="single" w:sz="4" w:space="0" w:color="auto"/>
              <w:bottom w:val="single" w:sz="4" w:space="0" w:color="auto"/>
              <w:right w:val="single" w:sz="4" w:space="0" w:color="auto"/>
            </w:tcBorders>
            <w:vAlign w:val="center"/>
            <w:hideMark/>
          </w:tcPr>
          <w:p w14:paraId="3846792D" w14:textId="77777777" w:rsidR="003663AF" w:rsidRPr="00B7760C" w:rsidRDefault="003663AF" w:rsidP="00E804B7">
            <w:pPr>
              <w:pStyle w:val="Normal6"/>
              <w:jc w:val="right"/>
              <w:rPr>
                <w:b/>
                <w:bCs/>
                <w:i/>
                <w:iCs/>
                <w:sz w:val="20"/>
              </w:rPr>
            </w:pPr>
            <w:r w:rsidRPr="00B7760C">
              <w:rPr>
                <w:b/>
                <w:bCs/>
                <w:i/>
                <w:iCs/>
                <w:sz w:val="20"/>
              </w:rPr>
              <w:t>989 924 996</w:t>
            </w:r>
          </w:p>
        </w:tc>
        <w:tc>
          <w:tcPr>
            <w:tcW w:w="1580" w:type="dxa"/>
            <w:tcBorders>
              <w:top w:val="single" w:sz="4" w:space="0" w:color="auto"/>
              <w:left w:val="single" w:sz="4" w:space="0" w:color="auto"/>
              <w:bottom w:val="single" w:sz="4" w:space="0" w:color="auto"/>
              <w:right w:val="single" w:sz="4" w:space="0" w:color="auto"/>
            </w:tcBorders>
            <w:vAlign w:val="center"/>
            <w:hideMark/>
          </w:tcPr>
          <w:p w14:paraId="02A37A75" w14:textId="77777777" w:rsidR="003663AF" w:rsidRPr="00B7760C" w:rsidRDefault="003663AF" w:rsidP="00E804B7">
            <w:pPr>
              <w:pStyle w:val="Normal6"/>
              <w:jc w:val="right"/>
              <w:rPr>
                <w:b/>
                <w:bCs/>
                <w:i/>
                <w:iCs/>
                <w:sz w:val="20"/>
              </w:rPr>
            </w:pPr>
            <w:r w:rsidRPr="00B7760C">
              <w:rPr>
                <w:b/>
                <w:bCs/>
                <w:i/>
                <w:iCs/>
                <w:sz w:val="20"/>
              </w:rPr>
              <w:t>6 929 474 972</w:t>
            </w:r>
          </w:p>
        </w:tc>
      </w:tr>
      <w:tr w:rsidR="003663AF" w:rsidRPr="00B7760C" w14:paraId="1E2D75E8" w14:textId="77777777" w:rsidTr="00E804B7">
        <w:trPr>
          <w:cantSplit/>
          <w:trHeight w:val="255"/>
          <w:jc w:val="center"/>
        </w:trPr>
        <w:tc>
          <w:tcPr>
            <w:tcW w:w="1580" w:type="dxa"/>
            <w:tcBorders>
              <w:top w:val="single" w:sz="4" w:space="0" w:color="auto"/>
              <w:left w:val="single" w:sz="4" w:space="0" w:color="auto"/>
              <w:bottom w:val="single" w:sz="4" w:space="0" w:color="auto"/>
              <w:right w:val="single" w:sz="4" w:space="0" w:color="auto"/>
            </w:tcBorders>
            <w:vAlign w:val="center"/>
            <w:hideMark/>
          </w:tcPr>
          <w:p w14:paraId="3D876EE6" w14:textId="77777777" w:rsidR="003663AF" w:rsidRPr="00B7760C" w:rsidRDefault="003663AF" w:rsidP="00E804B7">
            <w:pPr>
              <w:pStyle w:val="Normal6"/>
              <w:rPr>
                <w:sz w:val="20"/>
              </w:rPr>
            </w:pPr>
            <w:r w:rsidRPr="00B7760C">
              <w:rPr>
                <w:sz w:val="20"/>
              </w:rPr>
              <w:t>Estonija</w:t>
            </w:r>
          </w:p>
        </w:tc>
        <w:tc>
          <w:tcPr>
            <w:tcW w:w="1580" w:type="dxa"/>
            <w:tcBorders>
              <w:top w:val="single" w:sz="4" w:space="0" w:color="auto"/>
              <w:left w:val="single" w:sz="4" w:space="0" w:color="auto"/>
              <w:bottom w:val="single" w:sz="4" w:space="0" w:color="auto"/>
              <w:right w:val="single" w:sz="4" w:space="0" w:color="auto"/>
            </w:tcBorders>
            <w:vAlign w:val="center"/>
            <w:hideMark/>
          </w:tcPr>
          <w:p w14:paraId="0FB641DA" w14:textId="77777777" w:rsidR="003663AF" w:rsidRPr="00B7760C" w:rsidRDefault="003663AF" w:rsidP="00E804B7">
            <w:pPr>
              <w:pStyle w:val="Normal6"/>
              <w:jc w:val="right"/>
              <w:rPr>
                <w:b/>
                <w:bCs/>
                <w:i/>
                <w:iCs/>
                <w:sz w:val="20"/>
              </w:rPr>
            </w:pPr>
            <w:r w:rsidRPr="00B7760C">
              <w:rPr>
                <w:b/>
                <w:bCs/>
                <w:i/>
                <w:iCs/>
                <w:sz w:val="20"/>
              </w:rPr>
              <w:t>87 875 887</w:t>
            </w:r>
          </w:p>
        </w:tc>
        <w:tc>
          <w:tcPr>
            <w:tcW w:w="1580" w:type="dxa"/>
            <w:tcBorders>
              <w:top w:val="single" w:sz="4" w:space="0" w:color="auto"/>
              <w:left w:val="single" w:sz="4" w:space="0" w:color="auto"/>
              <w:bottom w:val="single" w:sz="4" w:space="0" w:color="auto"/>
              <w:right w:val="single" w:sz="4" w:space="0" w:color="auto"/>
            </w:tcBorders>
            <w:vAlign w:val="center"/>
            <w:hideMark/>
          </w:tcPr>
          <w:p w14:paraId="5E0908EF" w14:textId="77777777" w:rsidR="003663AF" w:rsidRPr="00B7760C" w:rsidRDefault="003663AF" w:rsidP="00E804B7">
            <w:pPr>
              <w:pStyle w:val="Normal6"/>
              <w:jc w:val="right"/>
              <w:rPr>
                <w:b/>
                <w:bCs/>
                <w:i/>
                <w:iCs/>
                <w:sz w:val="20"/>
              </w:rPr>
            </w:pPr>
            <w:r w:rsidRPr="00B7760C">
              <w:rPr>
                <w:b/>
                <w:bCs/>
                <w:i/>
                <w:iCs/>
                <w:sz w:val="20"/>
              </w:rPr>
              <w:t>87 875 887</w:t>
            </w:r>
          </w:p>
        </w:tc>
        <w:tc>
          <w:tcPr>
            <w:tcW w:w="1580" w:type="dxa"/>
            <w:tcBorders>
              <w:top w:val="single" w:sz="4" w:space="0" w:color="auto"/>
              <w:left w:val="single" w:sz="4" w:space="0" w:color="auto"/>
              <w:bottom w:val="single" w:sz="4" w:space="0" w:color="auto"/>
              <w:right w:val="single" w:sz="4" w:space="0" w:color="auto"/>
            </w:tcBorders>
            <w:vAlign w:val="center"/>
            <w:hideMark/>
          </w:tcPr>
          <w:p w14:paraId="1BA89045" w14:textId="77777777" w:rsidR="003663AF" w:rsidRPr="00B7760C" w:rsidRDefault="003663AF" w:rsidP="00E804B7">
            <w:pPr>
              <w:pStyle w:val="Normal6"/>
              <w:jc w:val="right"/>
              <w:rPr>
                <w:b/>
                <w:bCs/>
                <w:i/>
                <w:iCs/>
                <w:sz w:val="20"/>
              </w:rPr>
            </w:pPr>
            <w:r w:rsidRPr="00B7760C">
              <w:rPr>
                <w:b/>
                <w:bCs/>
                <w:i/>
                <w:iCs/>
                <w:sz w:val="20"/>
              </w:rPr>
              <w:t>87 875 887</w:t>
            </w:r>
          </w:p>
        </w:tc>
        <w:tc>
          <w:tcPr>
            <w:tcW w:w="1580" w:type="dxa"/>
            <w:tcBorders>
              <w:top w:val="single" w:sz="4" w:space="0" w:color="auto"/>
              <w:left w:val="single" w:sz="4" w:space="0" w:color="auto"/>
              <w:bottom w:val="single" w:sz="4" w:space="0" w:color="auto"/>
              <w:right w:val="single" w:sz="4" w:space="0" w:color="auto"/>
            </w:tcBorders>
            <w:vAlign w:val="center"/>
            <w:hideMark/>
          </w:tcPr>
          <w:p w14:paraId="2CB35992" w14:textId="77777777" w:rsidR="003663AF" w:rsidRPr="00B7760C" w:rsidRDefault="003663AF" w:rsidP="00E804B7">
            <w:pPr>
              <w:pStyle w:val="Normal6"/>
              <w:jc w:val="right"/>
              <w:rPr>
                <w:b/>
                <w:bCs/>
                <w:i/>
                <w:iCs/>
                <w:sz w:val="20"/>
              </w:rPr>
            </w:pPr>
            <w:r w:rsidRPr="00B7760C">
              <w:rPr>
                <w:b/>
                <w:bCs/>
                <w:i/>
                <w:iCs/>
                <w:sz w:val="20"/>
              </w:rPr>
              <w:t>87 875 887</w:t>
            </w:r>
          </w:p>
        </w:tc>
        <w:tc>
          <w:tcPr>
            <w:tcW w:w="1580" w:type="dxa"/>
            <w:tcBorders>
              <w:top w:val="single" w:sz="4" w:space="0" w:color="auto"/>
              <w:left w:val="single" w:sz="4" w:space="0" w:color="auto"/>
              <w:bottom w:val="single" w:sz="4" w:space="0" w:color="auto"/>
              <w:right w:val="single" w:sz="4" w:space="0" w:color="auto"/>
            </w:tcBorders>
            <w:vAlign w:val="center"/>
            <w:hideMark/>
          </w:tcPr>
          <w:p w14:paraId="777FF9D9" w14:textId="77777777" w:rsidR="003663AF" w:rsidRPr="00B7760C" w:rsidRDefault="003663AF" w:rsidP="00E804B7">
            <w:pPr>
              <w:pStyle w:val="Normal6"/>
              <w:jc w:val="right"/>
              <w:rPr>
                <w:b/>
                <w:bCs/>
                <w:i/>
                <w:iCs/>
                <w:sz w:val="20"/>
              </w:rPr>
            </w:pPr>
            <w:r w:rsidRPr="00B7760C">
              <w:rPr>
                <w:b/>
                <w:bCs/>
                <w:i/>
                <w:iCs/>
                <w:sz w:val="20"/>
              </w:rPr>
              <w:t>87 875 887</w:t>
            </w:r>
          </w:p>
        </w:tc>
        <w:tc>
          <w:tcPr>
            <w:tcW w:w="1580" w:type="dxa"/>
            <w:gridSpan w:val="2"/>
            <w:tcBorders>
              <w:top w:val="single" w:sz="4" w:space="0" w:color="auto"/>
              <w:left w:val="single" w:sz="4" w:space="0" w:color="auto"/>
              <w:bottom w:val="single" w:sz="4" w:space="0" w:color="auto"/>
              <w:right w:val="single" w:sz="4" w:space="0" w:color="auto"/>
            </w:tcBorders>
            <w:vAlign w:val="center"/>
            <w:hideMark/>
          </w:tcPr>
          <w:p w14:paraId="03A0E270" w14:textId="77777777" w:rsidR="003663AF" w:rsidRPr="00B7760C" w:rsidRDefault="003663AF" w:rsidP="00E804B7">
            <w:pPr>
              <w:pStyle w:val="Normal6"/>
              <w:jc w:val="right"/>
              <w:rPr>
                <w:b/>
                <w:bCs/>
                <w:i/>
                <w:iCs/>
                <w:sz w:val="20"/>
              </w:rPr>
            </w:pPr>
            <w:r w:rsidRPr="00B7760C">
              <w:rPr>
                <w:b/>
                <w:bCs/>
                <w:i/>
                <w:iCs/>
                <w:sz w:val="20"/>
              </w:rPr>
              <w:t>87 875 887</w:t>
            </w:r>
          </w:p>
        </w:tc>
        <w:tc>
          <w:tcPr>
            <w:tcW w:w="1580" w:type="dxa"/>
            <w:gridSpan w:val="2"/>
            <w:tcBorders>
              <w:top w:val="single" w:sz="4" w:space="0" w:color="auto"/>
              <w:left w:val="single" w:sz="4" w:space="0" w:color="auto"/>
              <w:bottom w:val="single" w:sz="4" w:space="0" w:color="auto"/>
              <w:right w:val="single" w:sz="4" w:space="0" w:color="auto"/>
            </w:tcBorders>
            <w:vAlign w:val="center"/>
            <w:hideMark/>
          </w:tcPr>
          <w:p w14:paraId="4E1B85AE" w14:textId="77777777" w:rsidR="003663AF" w:rsidRPr="00B7760C" w:rsidRDefault="003663AF" w:rsidP="00E804B7">
            <w:pPr>
              <w:pStyle w:val="Normal6"/>
              <w:jc w:val="right"/>
              <w:rPr>
                <w:b/>
                <w:bCs/>
                <w:i/>
                <w:iCs/>
                <w:sz w:val="20"/>
              </w:rPr>
            </w:pPr>
            <w:r w:rsidRPr="00B7760C">
              <w:rPr>
                <w:b/>
                <w:bCs/>
                <w:i/>
                <w:iCs/>
                <w:sz w:val="20"/>
              </w:rPr>
              <w:t>87 875 887</w:t>
            </w:r>
          </w:p>
        </w:tc>
        <w:tc>
          <w:tcPr>
            <w:tcW w:w="1580" w:type="dxa"/>
            <w:tcBorders>
              <w:top w:val="single" w:sz="4" w:space="0" w:color="auto"/>
              <w:left w:val="single" w:sz="4" w:space="0" w:color="auto"/>
              <w:bottom w:val="single" w:sz="4" w:space="0" w:color="auto"/>
              <w:right w:val="single" w:sz="4" w:space="0" w:color="auto"/>
            </w:tcBorders>
            <w:vAlign w:val="center"/>
            <w:hideMark/>
          </w:tcPr>
          <w:p w14:paraId="10E43762" w14:textId="77777777" w:rsidR="003663AF" w:rsidRPr="00B7760C" w:rsidRDefault="003663AF" w:rsidP="00E804B7">
            <w:pPr>
              <w:pStyle w:val="Normal6"/>
              <w:jc w:val="right"/>
              <w:rPr>
                <w:b/>
                <w:bCs/>
                <w:i/>
                <w:iCs/>
                <w:sz w:val="20"/>
              </w:rPr>
            </w:pPr>
            <w:r w:rsidRPr="00B7760C">
              <w:rPr>
                <w:b/>
                <w:bCs/>
                <w:i/>
                <w:iCs/>
                <w:sz w:val="20"/>
              </w:rPr>
              <w:t>615 131 209</w:t>
            </w:r>
          </w:p>
        </w:tc>
      </w:tr>
      <w:tr w:rsidR="003663AF" w:rsidRPr="00B7760C" w14:paraId="763B8744" w14:textId="77777777" w:rsidTr="00E804B7">
        <w:trPr>
          <w:cantSplit/>
          <w:trHeight w:val="255"/>
          <w:jc w:val="center"/>
        </w:trPr>
        <w:tc>
          <w:tcPr>
            <w:tcW w:w="1580" w:type="dxa"/>
            <w:tcBorders>
              <w:top w:val="single" w:sz="4" w:space="0" w:color="auto"/>
              <w:left w:val="single" w:sz="4" w:space="0" w:color="auto"/>
              <w:bottom w:val="single" w:sz="4" w:space="0" w:color="auto"/>
              <w:right w:val="single" w:sz="4" w:space="0" w:color="auto"/>
            </w:tcBorders>
            <w:vAlign w:val="center"/>
            <w:hideMark/>
          </w:tcPr>
          <w:p w14:paraId="51110DD0" w14:textId="77777777" w:rsidR="003663AF" w:rsidRPr="00B7760C" w:rsidRDefault="003663AF" w:rsidP="00E804B7">
            <w:pPr>
              <w:pStyle w:val="Normal6"/>
              <w:rPr>
                <w:sz w:val="20"/>
              </w:rPr>
            </w:pPr>
            <w:r w:rsidRPr="00B7760C">
              <w:rPr>
                <w:sz w:val="20"/>
              </w:rPr>
              <w:t>Irska</w:t>
            </w:r>
          </w:p>
        </w:tc>
        <w:tc>
          <w:tcPr>
            <w:tcW w:w="1580" w:type="dxa"/>
            <w:tcBorders>
              <w:top w:val="single" w:sz="4" w:space="0" w:color="auto"/>
              <w:left w:val="single" w:sz="4" w:space="0" w:color="auto"/>
              <w:bottom w:val="single" w:sz="4" w:space="0" w:color="auto"/>
              <w:right w:val="single" w:sz="4" w:space="0" w:color="auto"/>
            </w:tcBorders>
            <w:vAlign w:val="center"/>
            <w:hideMark/>
          </w:tcPr>
          <w:p w14:paraId="164BB7D0" w14:textId="77777777" w:rsidR="003663AF" w:rsidRPr="00B7760C" w:rsidRDefault="003663AF" w:rsidP="00E804B7">
            <w:pPr>
              <w:pStyle w:val="Normal6"/>
              <w:jc w:val="right"/>
              <w:rPr>
                <w:b/>
                <w:bCs/>
                <w:i/>
                <w:iCs/>
                <w:sz w:val="20"/>
              </w:rPr>
            </w:pPr>
            <w:r w:rsidRPr="00B7760C">
              <w:rPr>
                <w:b/>
                <w:bCs/>
                <w:i/>
                <w:iCs/>
                <w:sz w:val="20"/>
              </w:rPr>
              <w:t>264 670 951</w:t>
            </w:r>
          </w:p>
        </w:tc>
        <w:tc>
          <w:tcPr>
            <w:tcW w:w="1580" w:type="dxa"/>
            <w:tcBorders>
              <w:top w:val="single" w:sz="4" w:space="0" w:color="auto"/>
              <w:left w:val="single" w:sz="4" w:space="0" w:color="auto"/>
              <w:bottom w:val="single" w:sz="4" w:space="0" w:color="auto"/>
              <w:right w:val="single" w:sz="4" w:space="0" w:color="auto"/>
            </w:tcBorders>
            <w:vAlign w:val="center"/>
            <w:hideMark/>
          </w:tcPr>
          <w:p w14:paraId="71D75278" w14:textId="77777777" w:rsidR="003663AF" w:rsidRPr="00B7760C" w:rsidRDefault="003663AF" w:rsidP="00E804B7">
            <w:pPr>
              <w:pStyle w:val="Normal6"/>
              <w:jc w:val="right"/>
              <w:rPr>
                <w:b/>
                <w:bCs/>
                <w:i/>
                <w:iCs/>
                <w:sz w:val="20"/>
              </w:rPr>
            </w:pPr>
            <w:r w:rsidRPr="00B7760C">
              <w:rPr>
                <w:b/>
                <w:bCs/>
                <w:i/>
                <w:iCs/>
                <w:sz w:val="20"/>
              </w:rPr>
              <w:t>264 670 951</w:t>
            </w:r>
          </w:p>
        </w:tc>
        <w:tc>
          <w:tcPr>
            <w:tcW w:w="1580" w:type="dxa"/>
            <w:tcBorders>
              <w:top w:val="single" w:sz="4" w:space="0" w:color="auto"/>
              <w:left w:val="single" w:sz="4" w:space="0" w:color="auto"/>
              <w:bottom w:val="single" w:sz="4" w:space="0" w:color="auto"/>
              <w:right w:val="single" w:sz="4" w:space="0" w:color="auto"/>
            </w:tcBorders>
            <w:vAlign w:val="center"/>
            <w:hideMark/>
          </w:tcPr>
          <w:p w14:paraId="6C83B05D" w14:textId="77777777" w:rsidR="003663AF" w:rsidRPr="00B7760C" w:rsidRDefault="003663AF" w:rsidP="00E804B7">
            <w:pPr>
              <w:pStyle w:val="Normal6"/>
              <w:jc w:val="right"/>
              <w:rPr>
                <w:b/>
                <w:bCs/>
                <w:i/>
                <w:iCs/>
                <w:sz w:val="20"/>
              </w:rPr>
            </w:pPr>
            <w:r w:rsidRPr="00B7760C">
              <w:rPr>
                <w:b/>
                <w:bCs/>
                <w:i/>
                <w:iCs/>
                <w:sz w:val="20"/>
              </w:rPr>
              <w:t>264 670 951</w:t>
            </w:r>
          </w:p>
        </w:tc>
        <w:tc>
          <w:tcPr>
            <w:tcW w:w="1580" w:type="dxa"/>
            <w:tcBorders>
              <w:top w:val="single" w:sz="4" w:space="0" w:color="auto"/>
              <w:left w:val="single" w:sz="4" w:space="0" w:color="auto"/>
              <w:bottom w:val="single" w:sz="4" w:space="0" w:color="auto"/>
              <w:right w:val="single" w:sz="4" w:space="0" w:color="auto"/>
            </w:tcBorders>
            <w:vAlign w:val="center"/>
            <w:hideMark/>
          </w:tcPr>
          <w:p w14:paraId="1311D9D9" w14:textId="77777777" w:rsidR="003663AF" w:rsidRPr="00B7760C" w:rsidRDefault="003663AF" w:rsidP="00E804B7">
            <w:pPr>
              <w:pStyle w:val="Normal6"/>
              <w:jc w:val="right"/>
              <w:rPr>
                <w:b/>
                <w:bCs/>
                <w:i/>
                <w:iCs/>
                <w:sz w:val="20"/>
              </w:rPr>
            </w:pPr>
            <w:r w:rsidRPr="00B7760C">
              <w:rPr>
                <w:b/>
                <w:bCs/>
                <w:i/>
                <w:iCs/>
                <w:sz w:val="20"/>
              </w:rPr>
              <w:t>264 670 951</w:t>
            </w:r>
          </w:p>
        </w:tc>
        <w:tc>
          <w:tcPr>
            <w:tcW w:w="1580" w:type="dxa"/>
            <w:tcBorders>
              <w:top w:val="single" w:sz="4" w:space="0" w:color="auto"/>
              <w:left w:val="single" w:sz="4" w:space="0" w:color="auto"/>
              <w:bottom w:val="single" w:sz="4" w:space="0" w:color="auto"/>
              <w:right w:val="single" w:sz="4" w:space="0" w:color="auto"/>
            </w:tcBorders>
            <w:vAlign w:val="center"/>
            <w:hideMark/>
          </w:tcPr>
          <w:p w14:paraId="2EDF0943" w14:textId="77777777" w:rsidR="003663AF" w:rsidRPr="00B7760C" w:rsidRDefault="003663AF" w:rsidP="00E804B7">
            <w:pPr>
              <w:pStyle w:val="Normal6"/>
              <w:jc w:val="right"/>
              <w:rPr>
                <w:b/>
                <w:bCs/>
                <w:i/>
                <w:iCs/>
                <w:sz w:val="20"/>
              </w:rPr>
            </w:pPr>
            <w:r w:rsidRPr="00B7760C">
              <w:rPr>
                <w:b/>
                <w:bCs/>
                <w:i/>
                <w:iCs/>
                <w:sz w:val="20"/>
              </w:rPr>
              <w:t>264 670 951</w:t>
            </w:r>
          </w:p>
        </w:tc>
        <w:tc>
          <w:tcPr>
            <w:tcW w:w="1580" w:type="dxa"/>
            <w:gridSpan w:val="2"/>
            <w:tcBorders>
              <w:top w:val="single" w:sz="4" w:space="0" w:color="auto"/>
              <w:left w:val="single" w:sz="4" w:space="0" w:color="auto"/>
              <w:bottom w:val="single" w:sz="4" w:space="0" w:color="auto"/>
              <w:right w:val="single" w:sz="4" w:space="0" w:color="auto"/>
            </w:tcBorders>
            <w:vAlign w:val="center"/>
            <w:hideMark/>
          </w:tcPr>
          <w:p w14:paraId="3D73285B" w14:textId="77777777" w:rsidR="003663AF" w:rsidRPr="00B7760C" w:rsidRDefault="003663AF" w:rsidP="00E804B7">
            <w:pPr>
              <w:pStyle w:val="Normal6"/>
              <w:jc w:val="right"/>
              <w:rPr>
                <w:b/>
                <w:bCs/>
                <w:i/>
                <w:iCs/>
                <w:sz w:val="20"/>
              </w:rPr>
            </w:pPr>
            <w:r w:rsidRPr="00B7760C">
              <w:rPr>
                <w:b/>
                <w:bCs/>
                <w:i/>
                <w:iCs/>
                <w:sz w:val="20"/>
              </w:rPr>
              <w:t>264 670 951</w:t>
            </w:r>
          </w:p>
        </w:tc>
        <w:tc>
          <w:tcPr>
            <w:tcW w:w="1580" w:type="dxa"/>
            <w:gridSpan w:val="2"/>
            <w:tcBorders>
              <w:top w:val="single" w:sz="4" w:space="0" w:color="auto"/>
              <w:left w:val="single" w:sz="4" w:space="0" w:color="auto"/>
              <w:bottom w:val="single" w:sz="4" w:space="0" w:color="auto"/>
              <w:right w:val="single" w:sz="4" w:space="0" w:color="auto"/>
            </w:tcBorders>
            <w:vAlign w:val="center"/>
            <w:hideMark/>
          </w:tcPr>
          <w:p w14:paraId="05DFFCCF" w14:textId="77777777" w:rsidR="003663AF" w:rsidRPr="00B7760C" w:rsidRDefault="003663AF" w:rsidP="00E804B7">
            <w:pPr>
              <w:pStyle w:val="Normal6"/>
              <w:jc w:val="right"/>
              <w:rPr>
                <w:b/>
                <w:bCs/>
                <w:i/>
                <w:iCs/>
                <w:sz w:val="20"/>
              </w:rPr>
            </w:pPr>
            <w:r w:rsidRPr="00B7760C">
              <w:rPr>
                <w:b/>
                <w:bCs/>
                <w:i/>
                <w:iCs/>
                <w:sz w:val="20"/>
              </w:rPr>
              <w:t>264 670 951</w:t>
            </w:r>
          </w:p>
        </w:tc>
        <w:tc>
          <w:tcPr>
            <w:tcW w:w="1580" w:type="dxa"/>
            <w:tcBorders>
              <w:top w:val="single" w:sz="4" w:space="0" w:color="auto"/>
              <w:left w:val="single" w:sz="4" w:space="0" w:color="auto"/>
              <w:bottom w:val="single" w:sz="4" w:space="0" w:color="auto"/>
              <w:right w:val="single" w:sz="4" w:space="0" w:color="auto"/>
            </w:tcBorders>
            <w:vAlign w:val="center"/>
            <w:hideMark/>
          </w:tcPr>
          <w:p w14:paraId="7CF24B31" w14:textId="77777777" w:rsidR="003663AF" w:rsidRPr="00B7760C" w:rsidRDefault="003663AF" w:rsidP="00E804B7">
            <w:pPr>
              <w:pStyle w:val="Normal6"/>
              <w:jc w:val="right"/>
              <w:rPr>
                <w:b/>
                <w:bCs/>
                <w:i/>
                <w:iCs/>
                <w:sz w:val="20"/>
              </w:rPr>
            </w:pPr>
            <w:r w:rsidRPr="00B7760C">
              <w:rPr>
                <w:b/>
                <w:bCs/>
                <w:i/>
                <w:iCs/>
                <w:sz w:val="20"/>
              </w:rPr>
              <w:t>1 852 696 657</w:t>
            </w:r>
          </w:p>
        </w:tc>
      </w:tr>
      <w:tr w:rsidR="003663AF" w:rsidRPr="00B7760C" w14:paraId="27821F37" w14:textId="77777777" w:rsidTr="00E804B7">
        <w:trPr>
          <w:cantSplit/>
          <w:trHeight w:val="255"/>
          <w:jc w:val="center"/>
        </w:trPr>
        <w:tc>
          <w:tcPr>
            <w:tcW w:w="1580" w:type="dxa"/>
            <w:tcBorders>
              <w:top w:val="single" w:sz="4" w:space="0" w:color="auto"/>
              <w:left w:val="single" w:sz="4" w:space="0" w:color="auto"/>
              <w:bottom w:val="single" w:sz="4" w:space="0" w:color="auto"/>
              <w:right w:val="single" w:sz="4" w:space="0" w:color="auto"/>
            </w:tcBorders>
            <w:vAlign w:val="center"/>
            <w:hideMark/>
          </w:tcPr>
          <w:p w14:paraId="64C12E44" w14:textId="77777777" w:rsidR="003663AF" w:rsidRPr="00B7760C" w:rsidRDefault="003663AF" w:rsidP="00E804B7">
            <w:pPr>
              <w:pStyle w:val="Normal6"/>
              <w:rPr>
                <w:sz w:val="20"/>
              </w:rPr>
            </w:pPr>
            <w:r w:rsidRPr="00B7760C">
              <w:rPr>
                <w:sz w:val="20"/>
              </w:rPr>
              <w:t>Grčija</w:t>
            </w:r>
          </w:p>
        </w:tc>
        <w:tc>
          <w:tcPr>
            <w:tcW w:w="1580" w:type="dxa"/>
            <w:tcBorders>
              <w:top w:val="single" w:sz="4" w:space="0" w:color="auto"/>
              <w:left w:val="single" w:sz="4" w:space="0" w:color="auto"/>
              <w:bottom w:val="single" w:sz="4" w:space="0" w:color="auto"/>
              <w:right w:val="single" w:sz="4" w:space="0" w:color="auto"/>
            </w:tcBorders>
            <w:vAlign w:val="center"/>
            <w:hideMark/>
          </w:tcPr>
          <w:p w14:paraId="6218DC90" w14:textId="77777777" w:rsidR="003663AF" w:rsidRPr="00B7760C" w:rsidRDefault="003663AF" w:rsidP="00E804B7">
            <w:pPr>
              <w:pStyle w:val="Normal6"/>
              <w:jc w:val="right"/>
              <w:rPr>
                <w:b/>
                <w:bCs/>
                <w:i/>
                <w:iCs/>
                <w:sz w:val="20"/>
              </w:rPr>
            </w:pPr>
            <w:r w:rsidRPr="00B7760C">
              <w:rPr>
                <w:b/>
                <w:bCs/>
                <w:i/>
                <w:iCs/>
                <w:sz w:val="20"/>
              </w:rPr>
              <w:t>509 591 606</w:t>
            </w:r>
          </w:p>
        </w:tc>
        <w:tc>
          <w:tcPr>
            <w:tcW w:w="1580" w:type="dxa"/>
            <w:tcBorders>
              <w:top w:val="single" w:sz="4" w:space="0" w:color="auto"/>
              <w:left w:val="single" w:sz="4" w:space="0" w:color="auto"/>
              <w:bottom w:val="single" w:sz="4" w:space="0" w:color="auto"/>
              <w:right w:val="single" w:sz="4" w:space="0" w:color="auto"/>
            </w:tcBorders>
            <w:vAlign w:val="center"/>
            <w:hideMark/>
          </w:tcPr>
          <w:p w14:paraId="6ED275CC" w14:textId="77777777" w:rsidR="003663AF" w:rsidRPr="00B7760C" w:rsidRDefault="003663AF" w:rsidP="00E804B7">
            <w:pPr>
              <w:pStyle w:val="Normal6"/>
              <w:jc w:val="right"/>
              <w:rPr>
                <w:b/>
                <w:bCs/>
                <w:i/>
                <w:iCs/>
                <w:sz w:val="20"/>
              </w:rPr>
            </w:pPr>
            <w:r w:rsidRPr="00B7760C">
              <w:rPr>
                <w:b/>
                <w:bCs/>
                <w:i/>
                <w:iCs/>
                <w:sz w:val="20"/>
              </w:rPr>
              <w:t>509 591 606</w:t>
            </w:r>
          </w:p>
        </w:tc>
        <w:tc>
          <w:tcPr>
            <w:tcW w:w="1580" w:type="dxa"/>
            <w:tcBorders>
              <w:top w:val="single" w:sz="4" w:space="0" w:color="auto"/>
              <w:left w:val="single" w:sz="4" w:space="0" w:color="auto"/>
              <w:bottom w:val="single" w:sz="4" w:space="0" w:color="auto"/>
              <w:right w:val="single" w:sz="4" w:space="0" w:color="auto"/>
            </w:tcBorders>
            <w:vAlign w:val="center"/>
            <w:hideMark/>
          </w:tcPr>
          <w:p w14:paraId="1AFE0C1F" w14:textId="77777777" w:rsidR="003663AF" w:rsidRPr="00B7760C" w:rsidRDefault="003663AF" w:rsidP="00E804B7">
            <w:pPr>
              <w:pStyle w:val="Normal6"/>
              <w:jc w:val="right"/>
              <w:rPr>
                <w:b/>
                <w:bCs/>
                <w:i/>
                <w:iCs/>
                <w:sz w:val="20"/>
              </w:rPr>
            </w:pPr>
            <w:r w:rsidRPr="00B7760C">
              <w:rPr>
                <w:b/>
                <w:bCs/>
                <w:i/>
                <w:iCs/>
                <w:sz w:val="20"/>
              </w:rPr>
              <w:t>509 591 606</w:t>
            </w:r>
          </w:p>
        </w:tc>
        <w:tc>
          <w:tcPr>
            <w:tcW w:w="1580" w:type="dxa"/>
            <w:tcBorders>
              <w:top w:val="single" w:sz="4" w:space="0" w:color="auto"/>
              <w:left w:val="single" w:sz="4" w:space="0" w:color="auto"/>
              <w:bottom w:val="single" w:sz="4" w:space="0" w:color="auto"/>
              <w:right w:val="single" w:sz="4" w:space="0" w:color="auto"/>
            </w:tcBorders>
            <w:vAlign w:val="center"/>
            <w:hideMark/>
          </w:tcPr>
          <w:p w14:paraId="1F23C23A" w14:textId="77777777" w:rsidR="003663AF" w:rsidRPr="00B7760C" w:rsidRDefault="003663AF" w:rsidP="00E804B7">
            <w:pPr>
              <w:pStyle w:val="Normal6"/>
              <w:jc w:val="right"/>
              <w:rPr>
                <w:b/>
                <w:bCs/>
                <w:i/>
                <w:iCs/>
                <w:sz w:val="20"/>
              </w:rPr>
            </w:pPr>
            <w:r w:rsidRPr="00B7760C">
              <w:rPr>
                <w:b/>
                <w:bCs/>
                <w:i/>
                <w:iCs/>
                <w:sz w:val="20"/>
              </w:rPr>
              <w:t>509 591 606</w:t>
            </w:r>
          </w:p>
        </w:tc>
        <w:tc>
          <w:tcPr>
            <w:tcW w:w="1580" w:type="dxa"/>
            <w:tcBorders>
              <w:top w:val="single" w:sz="4" w:space="0" w:color="auto"/>
              <w:left w:val="single" w:sz="4" w:space="0" w:color="auto"/>
              <w:bottom w:val="single" w:sz="4" w:space="0" w:color="auto"/>
              <w:right w:val="single" w:sz="4" w:space="0" w:color="auto"/>
            </w:tcBorders>
            <w:vAlign w:val="center"/>
            <w:hideMark/>
          </w:tcPr>
          <w:p w14:paraId="39DEF10E" w14:textId="77777777" w:rsidR="003663AF" w:rsidRPr="00B7760C" w:rsidRDefault="003663AF" w:rsidP="00E804B7">
            <w:pPr>
              <w:pStyle w:val="Normal6"/>
              <w:jc w:val="right"/>
              <w:rPr>
                <w:b/>
                <w:bCs/>
                <w:i/>
                <w:iCs/>
                <w:sz w:val="20"/>
              </w:rPr>
            </w:pPr>
            <w:r w:rsidRPr="00B7760C">
              <w:rPr>
                <w:b/>
                <w:bCs/>
                <w:i/>
                <w:iCs/>
                <w:sz w:val="20"/>
              </w:rPr>
              <w:t>509 591 606</w:t>
            </w:r>
          </w:p>
        </w:tc>
        <w:tc>
          <w:tcPr>
            <w:tcW w:w="1580" w:type="dxa"/>
            <w:gridSpan w:val="2"/>
            <w:tcBorders>
              <w:top w:val="single" w:sz="4" w:space="0" w:color="auto"/>
              <w:left w:val="single" w:sz="4" w:space="0" w:color="auto"/>
              <w:bottom w:val="single" w:sz="4" w:space="0" w:color="auto"/>
              <w:right w:val="single" w:sz="4" w:space="0" w:color="auto"/>
            </w:tcBorders>
            <w:vAlign w:val="center"/>
            <w:hideMark/>
          </w:tcPr>
          <w:p w14:paraId="38D27297" w14:textId="77777777" w:rsidR="003663AF" w:rsidRPr="00B7760C" w:rsidRDefault="003663AF" w:rsidP="00E804B7">
            <w:pPr>
              <w:pStyle w:val="Normal6"/>
              <w:jc w:val="right"/>
              <w:rPr>
                <w:b/>
                <w:bCs/>
                <w:i/>
                <w:iCs/>
                <w:sz w:val="20"/>
              </w:rPr>
            </w:pPr>
            <w:r w:rsidRPr="00B7760C">
              <w:rPr>
                <w:b/>
                <w:bCs/>
                <w:i/>
                <w:iCs/>
                <w:sz w:val="20"/>
              </w:rPr>
              <w:t>509 591 606</w:t>
            </w:r>
          </w:p>
        </w:tc>
        <w:tc>
          <w:tcPr>
            <w:tcW w:w="1580" w:type="dxa"/>
            <w:gridSpan w:val="2"/>
            <w:tcBorders>
              <w:top w:val="single" w:sz="4" w:space="0" w:color="auto"/>
              <w:left w:val="single" w:sz="4" w:space="0" w:color="auto"/>
              <w:bottom w:val="single" w:sz="4" w:space="0" w:color="auto"/>
              <w:right w:val="single" w:sz="4" w:space="0" w:color="auto"/>
            </w:tcBorders>
            <w:vAlign w:val="center"/>
            <w:hideMark/>
          </w:tcPr>
          <w:p w14:paraId="7C82CFC9" w14:textId="77777777" w:rsidR="003663AF" w:rsidRPr="00B7760C" w:rsidRDefault="003663AF" w:rsidP="00E804B7">
            <w:pPr>
              <w:pStyle w:val="Normal6"/>
              <w:jc w:val="right"/>
              <w:rPr>
                <w:b/>
                <w:bCs/>
                <w:i/>
                <w:iCs/>
                <w:sz w:val="20"/>
              </w:rPr>
            </w:pPr>
            <w:r w:rsidRPr="00B7760C">
              <w:rPr>
                <w:b/>
                <w:bCs/>
                <w:i/>
                <w:iCs/>
                <w:sz w:val="20"/>
              </w:rPr>
              <w:t>509 591 606</w:t>
            </w:r>
          </w:p>
        </w:tc>
        <w:tc>
          <w:tcPr>
            <w:tcW w:w="1580" w:type="dxa"/>
            <w:tcBorders>
              <w:top w:val="single" w:sz="4" w:space="0" w:color="auto"/>
              <w:left w:val="single" w:sz="4" w:space="0" w:color="auto"/>
              <w:bottom w:val="single" w:sz="4" w:space="0" w:color="auto"/>
              <w:right w:val="single" w:sz="4" w:space="0" w:color="auto"/>
            </w:tcBorders>
            <w:vAlign w:val="center"/>
            <w:hideMark/>
          </w:tcPr>
          <w:p w14:paraId="416A566B" w14:textId="77777777" w:rsidR="003663AF" w:rsidRPr="00B7760C" w:rsidRDefault="003663AF" w:rsidP="00E804B7">
            <w:pPr>
              <w:pStyle w:val="Normal6"/>
              <w:jc w:val="right"/>
              <w:rPr>
                <w:b/>
                <w:bCs/>
                <w:i/>
                <w:iCs/>
                <w:sz w:val="20"/>
              </w:rPr>
            </w:pPr>
            <w:r w:rsidRPr="00B7760C">
              <w:rPr>
                <w:b/>
                <w:bCs/>
                <w:i/>
                <w:iCs/>
                <w:sz w:val="20"/>
              </w:rPr>
              <w:t>3 567 141 242</w:t>
            </w:r>
          </w:p>
        </w:tc>
      </w:tr>
      <w:tr w:rsidR="003663AF" w:rsidRPr="00B7760C" w14:paraId="023D3AE6" w14:textId="77777777" w:rsidTr="00E804B7">
        <w:trPr>
          <w:cantSplit/>
          <w:trHeight w:val="255"/>
          <w:jc w:val="center"/>
        </w:trPr>
        <w:tc>
          <w:tcPr>
            <w:tcW w:w="1580" w:type="dxa"/>
            <w:tcBorders>
              <w:top w:val="single" w:sz="4" w:space="0" w:color="auto"/>
              <w:left w:val="single" w:sz="4" w:space="0" w:color="auto"/>
              <w:bottom w:val="single" w:sz="4" w:space="0" w:color="auto"/>
              <w:right w:val="single" w:sz="4" w:space="0" w:color="auto"/>
            </w:tcBorders>
            <w:vAlign w:val="center"/>
            <w:hideMark/>
          </w:tcPr>
          <w:p w14:paraId="45F43A60" w14:textId="77777777" w:rsidR="003663AF" w:rsidRPr="00B7760C" w:rsidRDefault="003663AF" w:rsidP="00E804B7">
            <w:pPr>
              <w:pStyle w:val="Normal6"/>
              <w:rPr>
                <w:sz w:val="20"/>
              </w:rPr>
            </w:pPr>
            <w:r w:rsidRPr="00B7760C">
              <w:rPr>
                <w:sz w:val="20"/>
              </w:rPr>
              <w:t>Španija</w:t>
            </w:r>
          </w:p>
        </w:tc>
        <w:tc>
          <w:tcPr>
            <w:tcW w:w="1580" w:type="dxa"/>
            <w:tcBorders>
              <w:top w:val="single" w:sz="4" w:space="0" w:color="auto"/>
              <w:left w:val="single" w:sz="4" w:space="0" w:color="auto"/>
              <w:bottom w:val="single" w:sz="4" w:space="0" w:color="auto"/>
              <w:right w:val="single" w:sz="4" w:space="0" w:color="auto"/>
            </w:tcBorders>
            <w:vAlign w:val="center"/>
            <w:hideMark/>
          </w:tcPr>
          <w:p w14:paraId="457053F6" w14:textId="77777777" w:rsidR="003663AF" w:rsidRPr="00B7760C" w:rsidRDefault="003663AF" w:rsidP="00E804B7">
            <w:pPr>
              <w:pStyle w:val="Normal6"/>
              <w:jc w:val="right"/>
              <w:rPr>
                <w:b/>
                <w:bCs/>
                <w:i/>
                <w:iCs/>
                <w:sz w:val="20"/>
              </w:rPr>
            </w:pPr>
            <w:r w:rsidRPr="00B7760C">
              <w:rPr>
                <w:b/>
                <w:bCs/>
                <w:i/>
                <w:iCs/>
                <w:sz w:val="20"/>
              </w:rPr>
              <w:t>1 001 202 880</w:t>
            </w:r>
          </w:p>
        </w:tc>
        <w:tc>
          <w:tcPr>
            <w:tcW w:w="1580" w:type="dxa"/>
            <w:tcBorders>
              <w:top w:val="single" w:sz="4" w:space="0" w:color="auto"/>
              <w:left w:val="single" w:sz="4" w:space="0" w:color="auto"/>
              <w:bottom w:val="single" w:sz="4" w:space="0" w:color="auto"/>
              <w:right w:val="single" w:sz="4" w:space="0" w:color="auto"/>
            </w:tcBorders>
            <w:vAlign w:val="center"/>
            <w:hideMark/>
          </w:tcPr>
          <w:p w14:paraId="0151CB1B" w14:textId="77777777" w:rsidR="003663AF" w:rsidRPr="00B7760C" w:rsidRDefault="003663AF" w:rsidP="00E804B7">
            <w:pPr>
              <w:pStyle w:val="Normal6"/>
              <w:jc w:val="right"/>
              <w:rPr>
                <w:b/>
                <w:bCs/>
                <w:i/>
                <w:iCs/>
                <w:sz w:val="20"/>
              </w:rPr>
            </w:pPr>
            <w:r w:rsidRPr="00B7760C">
              <w:rPr>
                <w:b/>
                <w:bCs/>
                <w:i/>
                <w:iCs/>
                <w:sz w:val="20"/>
              </w:rPr>
              <w:t>1 001 202 880</w:t>
            </w:r>
          </w:p>
        </w:tc>
        <w:tc>
          <w:tcPr>
            <w:tcW w:w="1580" w:type="dxa"/>
            <w:tcBorders>
              <w:top w:val="single" w:sz="4" w:space="0" w:color="auto"/>
              <w:left w:val="single" w:sz="4" w:space="0" w:color="auto"/>
              <w:bottom w:val="single" w:sz="4" w:space="0" w:color="auto"/>
              <w:right w:val="single" w:sz="4" w:space="0" w:color="auto"/>
            </w:tcBorders>
            <w:vAlign w:val="center"/>
            <w:hideMark/>
          </w:tcPr>
          <w:p w14:paraId="39E969E8" w14:textId="77777777" w:rsidR="003663AF" w:rsidRPr="00B7760C" w:rsidRDefault="003663AF" w:rsidP="00E804B7">
            <w:pPr>
              <w:pStyle w:val="Normal6"/>
              <w:jc w:val="right"/>
              <w:rPr>
                <w:b/>
                <w:bCs/>
                <w:i/>
                <w:iCs/>
                <w:sz w:val="20"/>
              </w:rPr>
            </w:pPr>
            <w:r w:rsidRPr="00B7760C">
              <w:rPr>
                <w:b/>
                <w:bCs/>
                <w:i/>
                <w:iCs/>
                <w:sz w:val="20"/>
              </w:rPr>
              <w:t>1 001 202 880</w:t>
            </w:r>
          </w:p>
        </w:tc>
        <w:tc>
          <w:tcPr>
            <w:tcW w:w="1580" w:type="dxa"/>
            <w:tcBorders>
              <w:top w:val="single" w:sz="4" w:space="0" w:color="auto"/>
              <w:left w:val="single" w:sz="4" w:space="0" w:color="auto"/>
              <w:bottom w:val="single" w:sz="4" w:space="0" w:color="auto"/>
              <w:right w:val="single" w:sz="4" w:space="0" w:color="auto"/>
            </w:tcBorders>
            <w:vAlign w:val="center"/>
            <w:hideMark/>
          </w:tcPr>
          <w:p w14:paraId="4A90AB5E" w14:textId="77777777" w:rsidR="003663AF" w:rsidRPr="00B7760C" w:rsidRDefault="003663AF" w:rsidP="00E804B7">
            <w:pPr>
              <w:pStyle w:val="Normal6"/>
              <w:jc w:val="right"/>
              <w:rPr>
                <w:b/>
                <w:bCs/>
                <w:i/>
                <w:iCs/>
                <w:sz w:val="20"/>
              </w:rPr>
            </w:pPr>
            <w:r w:rsidRPr="00B7760C">
              <w:rPr>
                <w:b/>
                <w:bCs/>
                <w:i/>
                <w:iCs/>
                <w:sz w:val="20"/>
              </w:rPr>
              <w:t>1 001 202 880</w:t>
            </w:r>
          </w:p>
        </w:tc>
        <w:tc>
          <w:tcPr>
            <w:tcW w:w="1580" w:type="dxa"/>
            <w:tcBorders>
              <w:top w:val="single" w:sz="4" w:space="0" w:color="auto"/>
              <w:left w:val="single" w:sz="4" w:space="0" w:color="auto"/>
              <w:bottom w:val="single" w:sz="4" w:space="0" w:color="auto"/>
              <w:right w:val="single" w:sz="4" w:space="0" w:color="auto"/>
            </w:tcBorders>
            <w:vAlign w:val="center"/>
            <w:hideMark/>
          </w:tcPr>
          <w:p w14:paraId="2B0B2265" w14:textId="77777777" w:rsidR="003663AF" w:rsidRPr="00B7760C" w:rsidRDefault="003663AF" w:rsidP="00E804B7">
            <w:pPr>
              <w:pStyle w:val="Normal6"/>
              <w:jc w:val="right"/>
              <w:rPr>
                <w:b/>
                <w:bCs/>
                <w:i/>
                <w:iCs/>
                <w:sz w:val="20"/>
              </w:rPr>
            </w:pPr>
            <w:r w:rsidRPr="00B7760C">
              <w:rPr>
                <w:b/>
                <w:bCs/>
                <w:i/>
                <w:iCs/>
                <w:sz w:val="20"/>
              </w:rPr>
              <w:t>1 001 202 880</w:t>
            </w:r>
          </w:p>
        </w:tc>
        <w:tc>
          <w:tcPr>
            <w:tcW w:w="1580" w:type="dxa"/>
            <w:gridSpan w:val="2"/>
            <w:tcBorders>
              <w:top w:val="single" w:sz="4" w:space="0" w:color="auto"/>
              <w:left w:val="single" w:sz="4" w:space="0" w:color="auto"/>
              <w:bottom w:val="single" w:sz="4" w:space="0" w:color="auto"/>
              <w:right w:val="single" w:sz="4" w:space="0" w:color="auto"/>
            </w:tcBorders>
            <w:vAlign w:val="center"/>
            <w:hideMark/>
          </w:tcPr>
          <w:p w14:paraId="65335016" w14:textId="77777777" w:rsidR="003663AF" w:rsidRPr="00B7760C" w:rsidRDefault="003663AF" w:rsidP="00E804B7">
            <w:pPr>
              <w:pStyle w:val="Normal6"/>
              <w:jc w:val="right"/>
              <w:rPr>
                <w:b/>
                <w:bCs/>
                <w:i/>
                <w:iCs/>
                <w:sz w:val="20"/>
              </w:rPr>
            </w:pPr>
            <w:r w:rsidRPr="00B7760C">
              <w:rPr>
                <w:b/>
                <w:bCs/>
                <w:i/>
                <w:iCs/>
                <w:sz w:val="20"/>
              </w:rPr>
              <w:t>1 001 202 880</w:t>
            </w:r>
          </w:p>
        </w:tc>
        <w:tc>
          <w:tcPr>
            <w:tcW w:w="1580" w:type="dxa"/>
            <w:gridSpan w:val="2"/>
            <w:tcBorders>
              <w:top w:val="single" w:sz="4" w:space="0" w:color="auto"/>
              <w:left w:val="single" w:sz="4" w:space="0" w:color="auto"/>
              <w:bottom w:val="single" w:sz="4" w:space="0" w:color="auto"/>
              <w:right w:val="single" w:sz="4" w:space="0" w:color="auto"/>
            </w:tcBorders>
            <w:vAlign w:val="center"/>
            <w:hideMark/>
          </w:tcPr>
          <w:p w14:paraId="7C943C32" w14:textId="77777777" w:rsidR="003663AF" w:rsidRPr="00B7760C" w:rsidRDefault="003663AF" w:rsidP="00E804B7">
            <w:pPr>
              <w:pStyle w:val="Normal6"/>
              <w:jc w:val="right"/>
              <w:rPr>
                <w:b/>
                <w:bCs/>
                <w:i/>
                <w:iCs/>
                <w:sz w:val="20"/>
              </w:rPr>
            </w:pPr>
            <w:r w:rsidRPr="00B7760C">
              <w:rPr>
                <w:b/>
                <w:bCs/>
                <w:i/>
                <w:iCs/>
                <w:sz w:val="20"/>
              </w:rPr>
              <w:t>1 001 202 880</w:t>
            </w:r>
          </w:p>
        </w:tc>
        <w:tc>
          <w:tcPr>
            <w:tcW w:w="1580" w:type="dxa"/>
            <w:tcBorders>
              <w:top w:val="single" w:sz="4" w:space="0" w:color="auto"/>
              <w:left w:val="single" w:sz="4" w:space="0" w:color="auto"/>
              <w:bottom w:val="single" w:sz="4" w:space="0" w:color="auto"/>
              <w:right w:val="single" w:sz="4" w:space="0" w:color="auto"/>
            </w:tcBorders>
            <w:vAlign w:val="center"/>
            <w:hideMark/>
          </w:tcPr>
          <w:p w14:paraId="5DD6530E" w14:textId="77777777" w:rsidR="003663AF" w:rsidRPr="00B7760C" w:rsidRDefault="003663AF" w:rsidP="00E804B7">
            <w:pPr>
              <w:pStyle w:val="Normal6"/>
              <w:jc w:val="right"/>
              <w:rPr>
                <w:b/>
                <w:bCs/>
                <w:i/>
                <w:iCs/>
                <w:sz w:val="20"/>
              </w:rPr>
            </w:pPr>
            <w:r w:rsidRPr="00B7760C">
              <w:rPr>
                <w:b/>
                <w:bCs/>
                <w:i/>
                <w:iCs/>
                <w:sz w:val="20"/>
              </w:rPr>
              <w:t>7 008 420 160</w:t>
            </w:r>
          </w:p>
        </w:tc>
      </w:tr>
      <w:tr w:rsidR="003663AF" w:rsidRPr="00B7760C" w14:paraId="474F5F4D" w14:textId="77777777" w:rsidTr="00E804B7">
        <w:trPr>
          <w:cantSplit/>
          <w:trHeight w:val="255"/>
          <w:jc w:val="center"/>
        </w:trPr>
        <w:tc>
          <w:tcPr>
            <w:tcW w:w="1580" w:type="dxa"/>
            <w:tcBorders>
              <w:top w:val="single" w:sz="4" w:space="0" w:color="auto"/>
              <w:left w:val="single" w:sz="4" w:space="0" w:color="auto"/>
              <w:bottom w:val="single" w:sz="4" w:space="0" w:color="auto"/>
              <w:right w:val="single" w:sz="4" w:space="0" w:color="auto"/>
            </w:tcBorders>
            <w:vAlign w:val="center"/>
            <w:hideMark/>
          </w:tcPr>
          <w:p w14:paraId="020931DF" w14:textId="77777777" w:rsidR="003663AF" w:rsidRPr="00B7760C" w:rsidRDefault="003663AF" w:rsidP="00E804B7">
            <w:pPr>
              <w:pStyle w:val="Normal6"/>
              <w:rPr>
                <w:sz w:val="20"/>
              </w:rPr>
            </w:pPr>
            <w:r w:rsidRPr="00B7760C">
              <w:rPr>
                <w:sz w:val="20"/>
              </w:rPr>
              <w:t>Francija</w:t>
            </w:r>
          </w:p>
        </w:tc>
        <w:tc>
          <w:tcPr>
            <w:tcW w:w="1580" w:type="dxa"/>
            <w:tcBorders>
              <w:top w:val="single" w:sz="4" w:space="0" w:color="auto"/>
              <w:left w:val="single" w:sz="4" w:space="0" w:color="auto"/>
              <w:bottom w:val="single" w:sz="4" w:space="0" w:color="auto"/>
              <w:right w:val="single" w:sz="4" w:space="0" w:color="auto"/>
            </w:tcBorders>
            <w:vAlign w:val="center"/>
            <w:hideMark/>
          </w:tcPr>
          <w:p w14:paraId="35CAE0DA" w14:textId="77777777" w:rsidR="003663AF" w:rsidRPr="00B7760C" w:rsidRDefault="003663AF" w:rsidP="00E804B7">
            <w:pPr>
              <w:pStyle w:val="Normal6"/>
              <w:jc w:val="right"/>
              <w:rPr>
                <w:b/>
                <w:bCs/>
                <w:i/>
                <w:iCs/>
                <w:sz w:val="20"/>
              </w:rPr>
            </w:pPr>
            <w:r w:rsidRPr="00B7760C">
              <w:rPr>
                <w:b/>
                <w:bCs/>
                <w:i/>
                <w:iCs/>
                <w:sz w:val="20"/>
              </w:rPr>
              <w:t>1 209 259 199</w:t>
            </w:r>
          </w:p>
        </w:tc>
        <w:tc>
          <w:tcPr>
            <w:tcW w:w="1580" w:type="dxa"/>
            <w:tcBorders>
              <w:top w:val="single" w:sz="4" w:space="0" w:color="auto"/>
              <w:left w:val="single" w:sz="4" w:space="0" w:color="auto"/>
              <w:bottom w:val="single" w:sz="4" w:space="0" w:color="auto"/>
              <w:right w:val="single" w:sz="4" w:space="0" w:color="auto"/>
            </w:tcBorders>
            <w:vAlign w:val="center"/>
            <w:hideMark/>
          </w:tcPr>
          <w:p w14:paraId="4320D572" w14:textId="77777777" w:rsidR="003663AF" w:rsidRPr="00B7760C" w:rsidRDefault="003663AF" w:rsidP="00E804B7">
            <w:pPr>
              <w:pStyle w:val="Normal6"/>
              <w:jc w:val="right"/>
              <w:rPr>
                <w:b/>
                <w:bCs/>
                <w:i/>
                <w:iCs/>
                <w:sz w:val="20"/>
              </w:rPr>
            </w:pPr>
            <w:r w:rsidRPr="00B7760C">
              <w:rPr>
                <w:b/>
                <w:bCs/>
                <w:i/>
                <w:iCs/>
                <w:sz w:val="20"/>
              </w:rPr>
              <w:t>1 209 259 199</w:t>
            </w:r>
          </w:p>
        </w:tc>
        <w:tc>
          <w:tcPr>
            <w:tcW w:w="1580" w:type="dxa"/>
            <w:tcBorders>
              <w:top w:val="single" w:sz="4" w:space="0" w:color="auto"/>
              <w:left w:val="single" w:sz="4" w:space="0" w:color="auto"/>
              <w:bottom w:val="single" w:sz="4" w:space="0" w:color="auto"/>
              <w:right w:val="single" w:sz="4" w:space="0" w:color="auto"/>
            </w:tcBorders>
            <w:vAlign w:val="center"/>
            <w:hideMark/>
          </w:tcPr>
          <w:p w14:paraId="5DA948D5" w14:textId="77777777" w:rsidR="003663AF" w:rsidRPr="00B7760C" w:rsidRDefault="003663AF" w:rsidP="00E804B7">
            <w:pPr>
              <w:pStyle w:val="Normal6"/>
              <w:jc w:val="right"/>
              <w:rPr>
                <w:b/>
                <w:bCs/>
                <w:i/>
                <w:iCs/>
                <w:sz w:val="20"/>
              </w:rPr>
            </w:pPr>
            <w:r w:rsidRPr="00B7760C">
              <w:rPr>
                <w:b/>
                <w:bCs/>
                <w:i/>
                <w:iCs/>
                <w:sz w:val="20"/>
              </w:rPr>
              <w:t>1 209 259 199</w:t>
            </w:r>
          </w:p>
        </w:tc>
        <w:tc>
          <w:tcPr>
            <w:tcW w:w="1580" w:type="dxa"/>
            <w:tcBorders>
              <w:top w:val="single" w:sz="4" w:space="0" w:color="auto"/>
              <w:left w:val="single" w:sz="4" w:space="0" w:color="auto"/>
              <w:bottom w:val="single" w:sz="4" w:space="0" w:color="auto"/>
              <w:right w:val="single" w:sz="4" w:space="0" w:color="auto"/>
            </w:tcBorders>
            <w:vAlign w:val="center"/>
            <w:hideMark/>
          </w:tcPr>
          <w:p w14:paraId="425C0C17" w14:textId="77777777" w:rsidR="003663AF" w:rsidRPr="00B7760C" w:rsidRDefault="003663AF" w:rsidP="00E804B7">
            <w:pPr>
              <w:pStyle w:val="Normal6"/>
              <w:jc w:val="right"/>
              <w:rPr>
                <w:b/>
                <w:bCs/>
                <w:i/>
                <w:iCs/>
                <w:sz w:val="20"/>
              </w:rPr>
            </w:pPr>
            <w:r w:rsidRPr="00B7760C">
              <w:rPr>
                <w:b/>
                <w:bCs/>
                <w:i/>
                <w:iCs/>
                <w:sz w:val="20"/>
              </w:rPr>
              <w:t>1 209 259 199</w:t>
            </w:r>
          </w:p>
        </w:tc>
        <w:tc>
          <w:tcPr>
            <w:tcW w:w="1580" w:type="dxa"/>
            <w:tcBorders>
              <w:top w:val="single" w:sz="4" w:space="0" w:color="auto"/>
              <w:left w:val="single" w:sz="4" w:space="0" w:color="auto"/>
              <w:bottom w:val="single" w:sz="4" w:space="0" w:color="auto"/>
              <w:right w:val="single" w:sz="4" w:space="0" w:color="auto"/>
            </w:tcBorders>
            <w:vAlign w:val="center"/>
            <w:hideMark/>
          </w:tcPr>
          <w:p w14:paraId="604899BB" w14:textId="77777777" w:rsidR="003663AF" w:rsidRPr="00B7760C" w:rsidRDefault="003663AF" w:rsidP="00E804B7">
            <w:pPr>
              <w:pStyle w:val="Normal6"/>
              <w:jc w:val="right"/>
              <w:rPr>
                <w:b/>
                <w:bCs/>
                <w:i/>
                <w:iCs/>
                <w:sz w:val="20"/>
              </w:rPr>
            </w:pPr>
            <w:r w:rsidRPr="00B7760C">
              <w:rPr>
                <w:b/>
                <w:bCs/>
                <w:i/>
                <w:iCs/>
                <w:sz w:val="20"/>
              </w:rPr>
              <w:t>1 209 259 199</w:t>
            </w:r>
          </w:p>
        </w:tc>
        <w:tc>
          <w:tcPr>
            <w:tcW w:w="1580" w:type="dxa"/>
            <w:gridSpan w:val="2"/>
            <w:tcBorders>
              <w:top w:val="single" w:sz="4" w:space="0" w:color="auto"/>
              <w:left w:val="single" w:sz="4" w:space="0" w:color="auto"/>
              <w:bottom w:val="single" w:sz="4" w:space="0" w:color="auto"/>
              <w:right w:val="single" w:sz="4" w:space="0" w:color="auto"/>
            </w:tcBorders>
            <w:vAlign w:val="center"/>
            <w:hideMark/>
          </w:tcPr>
          <w:p w14:paraId="5C3E90CB" w14:textId="77777777" w:rsidR="003663AF" w:rsidRPr="00B7760C" w:rsidRDefault="003663AF" w:rsidP="00E804B7">
            <w:pPr>
              <w:pStyle w:val="Normal6"/>
              <w:jc w:val="right"/>
              <w:rPr>
                <w:b/>
                <w:bCs/>
                <w:i/>
                <w:iCs/>
                <w:sz w:val="20"/>
              </w:rPr>
            </w:pPr>
            <w:r w:rsidRPr="00B7760C">
              <w:rPr>
                <w:b/>
                <w:bCs/>
                <w:i/>
                <w:iCs/>
                <w:sz w:val="20"/>
              </w:rPr>
              <w:t>1 209 259 199</w:t>
            </w:r>
          </w:p>
        </w:tc>
        <w:tc>
          <w:tcPr>
            <w:tcW w:w="1580" w:type="dxa"/>
            <w:gridSpan w:val="2"/>
            <w:tcBorders>
              <w:top w:val="single" w:sz="4" w:space="0" w:color="auto"/>
              <w:left w:val="single" w:sz="4" w:space="0" w:color="auto"/>
              <w:bottom w:val="single" w:sz="4" w:space="0" w:color="auto"/>
              <w:right w:val="single" w:sz="4" w:space="0" w:color="auto"/>
            </w:tcBorders>
            <w:vAlign w:val="center"/>
            <w:hideMark/>
          </w:tcPr>
          <w:p w14:paraId="6745B13B" w14:textId="77777777" w:rsidR="003663AF" w:rsidRPr="00B7760C" w:rsidRDefault="003663AF" w:rsidP="00E804B7">
            <w:pPr>
              <w:pStyle w:val="Normal6"/>
              <w:jc w:val="right"/>
              <w:rPr>
                <w:b/>
                <w:bCs/>
                <w:i/>
                <w:iCs/>
                <w:sz w:val="20"/>
              </w:rPr>
            </w:pPr>
            <w:r w:rsidRPr="00B7760C">
              <w:rPr>
                <w:b/>
                <w:bCs/>
                <w:i/>
                <w:iCs/>
                <w:sz w:val="20"/>
              </w:rPr>
              <w:t>1 209 259 199</w:t>
            </w:r>
          </w:p>
        </w:tc>
        <w:tc>
          <w:tcPr>
            <w:tcW w:w="1580" w:type="dxa"/>
            <w:tcBorders>
              <w:top w:val="single" w:sz="4" w:space="0" w:color="auto"/>
              <w:left w:val="single" w:sz="4" w:space="0" w:color="auto"/>
              <w:bottom w:val="single" w:sz="4" w:space="0" w:color="auto"/>
              <w:right w:val="single" w:sz="4" w:space="0" w:color="auto"/>
            </w:tcBorders>
            <w:vAlign w:val="center"/>
            <w:hideMark/>
          </w:tcPr>
          <w:p w14:paraId="77AD1D71" w14:textId="77777777" w:rsidR="003663AF" w:rsidRPr="00B7760C" w:rsidRDefault="003663AF" w:rsidP="00E804B7">
            <w:pPr>
              <w:pStyle w:val="Normal6"/>
              <w:jc w:val="right"/>
              <w:rPr>
                <w:b/>
                <w:bCs/>
                <w:i/>
                <w:iCs/>
                <w:sz w:val="20"/>
              </w:rPr>
            </w:pPr>
            <w:r w:rsidRPr="00B7760C">
              <w:rPr>
                <w:b/>
                <w:bCs/>
                <w:i/>
                <w:iCs/>
                <w:sz w:val="20"/>
              </w:rPr>
              <w:t>8 464 814 393</w:t>
            </w:r>
          </w:p>
        </w:tc>
      </w:tr>
      <w:tr w:rsidR="003663AF" w:rsidRPr="00B7760C" w14:paraId="1613CD8E" w14:textId="77777777" w:rsidTr="00E804B7">
        <w:trPr>
          <w:cantSplit/>
          <w:trHeight w:val="255"/>
          <w:jc w:val="center"/>
        </w:trPr>
        <w:tc>
          <w:tcPr>
            <w:tcW w:w="1580" w:type="dxa"/>
            <w:tcBorders>
              <w:top w:val="single" w:sz="4" w:space="0" w:color="auto"/>
              <w:left w:val="single" w:sz="4" w:space="0" w:color="auto"/>
              <w:bottom w:val="single" w:sz="4" w:space="0" w:color="auto"/>
              <w:right w:val="single" w:sz="4" w:space="0" w:color="auto"/>
            </w:tcBorders>
            <w:vAlign w:val="center"/>
            <w:hideMark/>
          </w:tcPr>
          <w:p w14:paraId="4B07F280" w14:textId="77777777" w:rsidR="003663AF" w:rsidRPr="00B7760C" w:rsidRDefault="003663AF" w:rsidP="00E804B7">
            <w:pPr>
              <w:pStyle w:val="Normal6"/>
              <w:rPr>
                <w:sz w:val="20"/>
              </w:rPr>
            </w:pPr>
            <w:r w:rsidRPr="00B7760C">
              <w:rPr>
                <w:sz w:val="20"/>
              </w:rPr>
              <w:t>Hrvaška</w:t>
            </w:r>
          </w:p>
        </w:tc>
        <w:tc>
          <w:tcPr>
            <w:tcW w:w="1580" w:type="dxa"/>
            <w:tcBorders>
              <w:top w:val="single" w:sz="4" w:space="0" w:color="auto"/>
              <w:left w:val="single" w:sz="4" w:space="0" w:color="auto"/>
              <w:bottom w:val="single" w:sz="4" w:space="0" w:color="auto"/>
              <w:right w:val="single" w:sz="4" w:space="0" w:color="auto"/>
            </w:tcBorders>
            <w:vAlign w:val="center"/>
            <w:hideMark/>
          </w:tcPr>
          <w:p w14:paraId="0AEEF710" w14:textId="77777777" w:rsidR="003663AF" w:rsidRPr="00B7760C" w:rsidRDefault="003663AF" w:rsidP="00E804B7">
            <w:pPr>
              <w:pStyle w:val="Normal6"/>
              <w:jc w:val="right"/>
              <w:rPr>
                <w:b/>
                <w:bCs/>
                <w:i/>
                <w:iCs/>
                <w:sz w:val="20"/>
              </w:rPr>
            </w:pPr>
            <w:r w:rsidRPr="00B7760C">
              <w:rPr>
                <w:b/>
                <w:bCs/>
                <w:i/>
                <w:iCs/>
                <w:sz w:val="20"/>
              </w:rPr>
              <w:t>281 341 503</w:t>
            </w:r>
          </w:p>
        </w:tc>
        <w:tc>
          <w:tcPr>
            <w:tcW w:w="1580" w:type="dxa"/>
            <w:tcBorders>
              <w:top w:val="single" w:sz="4" w:space="0" w:color="auto"/>
              <w:left w:val="single" w:sz="4" w:space="0" w:color="auto"/>
              <w:bottom w:val="single" w:sz="4" w:space="0" w:color="auto"/>
              <w:right w:val="single" w:sz="4" w:space="0" w:color="auto"/>
            </w:tcBorders>
            <w:vAlign w:val="center"/>
            <w:hideMark/>
          </w:tcPr>
          <w:p w14:paraId="0C88DD22" w14:textId="77777777" w:rsidR="003663AF" w:rsidRPr="00B7760C" w:rsidRDefault="003663AF" w:rsidP="00E804B7">
            <w:pPr>
              <w:pStyle w:val="Normal6"/>
              <w:jc w:val="right"/>
              <w:rPr>
                <w:b/>
                <w:bCs/>
                <w:i/>
                <w:iCs/>
                <w:sz w:val="20"/>
              </w:rPr>
            </w:pPr>
            <w:r w:rsidRPr="00B7760C">
              <w:rPr>
                <w:b/>
                <w:bCs/>
                <w:i/>
                <w:iCs/>
                <w:sz w:val="20"/>
              </w:rPr>
              <w:t>281 341 503</w:t>
            </w:r>
          </w:p>
        </w:tc>
        <w:tc>
          <w:tcPr>
            <w:tcW w:w="1580" w:type="dxa"/>
            <w:tcBorders>
              <w:top w:val="single" w:sz="4" w:space="0" w:color="auto"/>
              <w:left w:val="single" w:sz="4" w:space="0" w:color="auto"/>
              <w:bottom w:val="single" w:sz="4" w:space="0" w:color="auto"/>
              <w:right w:val="single" w:sz="4" w:space="0" w:color="auto"/>
            </w:tcBorders>
            <w:vAlign w:val="center"/>
            <w:hideMark/>
          </w:tcPr>
          <w:p w14:paraId="79981D4A" w14:textId="77777777" w:rsidR="003663AF" w:rsidRPr="00B7760C" w:rsidRDefault="003663AF" w:rsidP="00E804B7">
            <w:pPr>
              <w:pStyle w:val="Normal6"/>
              <w:jc w:val="right"/>
              <w:rPr>
                <w:b/>
                <w:bCs/>
                <w:i/>
                <w:iCs/>
                <w:sz w:val="20"/>
              </w:rPr>
            </w:pPr>
            <w:r w:rsidRPr="00B7760C">
              <w:rPr>
                <w:b/>
                <w:bCs/>
                <w:i/>
                <w:iCs/>
                <w:sz w:val="20"/>
              </w:rPr>
              <w:t>281 341 503</w:t>
            </w:r>
          </w:p>
        </w:tc>
        <w:tc>
          <w:tcPr>
            <w:tcW w:w="1580" w:type="dxa"/>
            <w:tcBorders>
              <w:top w:val="single" w:sz="4" w:space="0" w:color="auto"/>
              <w:left w:val="single" w:sz="4" w:space="0" w:color="auto"/>
              <w:bottom w:val="single" w:sz="4" w:space="0" w:color="auto"/>
              <w:right w:val="single" w:sz="4" w:space="0" w:color="auto"/>
            </w:tcBorders>
            <w:vAlign w:val="center"/>
            <w:hideMark/>
          </w:tcPr>
          <w:p w14:paraId="5BA8AC13" w14:textId="77777777" w:rsidR="003663AF" w:rsidRPr="00B7760C" w:rsidRDefault="003663AF" w:rsidP="00E804B7">
            <w:pPr>
              <w:pStyle w:val="Normal6"/>
              <w:jc w:val="right"/>
              <w:rPr>
                <w:b/>
                <w:bCs/>
                <w:i/>
                <w:iCs/>
                <w:sz w:val="20"/>
              </w:rPr>
            </w:pPr>
            <w:r w:rsidRPr="00B7760C">
              <w:rPr>
                <w:b/>
                <w:bCs/>
                <w:i/>
                <w:iCs/>
                <w:sz w:val="20"/>
              </w:rPr>
              <w:t>281 341 503</w:t>
            </w:r>
          </w:p>
        </w:tc>
        <w:tc>
          <w:tcPr>
            <w:tcW w:w="1580" w:type="dxa"/>
            <w:tcBorders>
              <w:top w:val="single" w:sz="4" w:space="0" w:color="auto"/>
              <w:left w:val="single" w:sz="4" w:space="0" w:color="auto"/>
              <w:bottom w:val="single" w:sz="4" w:space="0" w:color="auto"/>
              <w:right w:val="single" w:sz="4" w:space="0" w:color="auto"/>
            </w:tcBorders>
            <w:vAlign w:val="center"/>
            <w:hideMark/>
          </w:tcPr>
          <w:p w14:paraId="70DE290B" w14:textId="77777777" w:rsidR="003663AF" w:rsidRPr="00B7760C" w:rsidRDefault="003663AF" w:rsidP="00E804B7">
            <w:pPr>
              <w:pStyle w:val="Normal6"/>
              <w:jc w:val="right"/>
              <w:rPr>
                <w:b/>
                <w:bCs/>
                <w:i/>
                <w:iCs/>
                <w:sz w:val="20"/>
              </w:rPr>
            </w:pPr>
            <w:r w:rsidRPr="00B7760C">
              <w:rPr>
                <w:b/>
                <w:bCs/>
                <w:i/>
                <w:iCs/>
                <w:sz w:val="20"/>
              </w:rPr>
              <w:t>281 341 503</w:t>
            </w:r>
          </w:p>
        </w:tc>
        <w:tc>
          <w:tcPr>
            <w:tcW w:w="1580" w:type="dxa"/>
            <w:gridSpan w:val="2"/>
            <w:tcBorders>
              <w:top w:val="single" w:sz="4" w:space="0" w:color="auto"/>
              <w:left w:val="single" w:sz="4" w:space="0" w:color="auto"/>
              <w:bottom w:val="single" w:sz="4" w:space="0" w:color="auto"/>
              <w:right w:val="single" w:sz="4" w:space="0" w:color="auto"/>
            </w:tcBorders>
            <w:vAlign w:val="center"/>
            <w:hideMark/>
          </w:tcPr>
          <w:p w14:paraId="15D98A87" w14:textId="77777777" w:rsidR="003663AF" w:rsidRPr="00B7760C" w:rsidRDefault="003663AF" w:rsidP="00E804B7">
            <w:pPr>
              <w:pStyle w:val="Normal6"/>
              <w:jc w:val="right"/>
              <w:rPr>
                <w:b/>
                <w:bCs/>
                <w:i/>
                <w:iCs/>
                <w:sz w:val="20"/>
              </w:rPr>
            </w:pPr>
            <w:r w:rsidRPr="00B7760C">
              <w:rPr>
                <w:b/>
                <w:bCs/>
                <w:i/>
                <w:iCs/>
                <w:sz w:val="20"/>
              </w:rPr>
              <w:t>281 341 503</w:t>
            </w:r>
          </w:p>
        </w:tc>
        <w:tc>
          <w:tcPr>
            <w:tcW w:w="1580" w:type="dxa"/>
            <w:gridSpan w:val="2"/>
            <w:tcBorders>
              <w:top w:val="single" w:sz="4" w:space="0" w:color="auto"/>
              <w:left w:val="single" w:sz="4" w:space="0" w:color="auto"/>
              <w:bottom w:val="single" w:sz="4" w:space="0" w:color="auto"/>
              <w:right w:val="single" w:sz="4" w:space="0" w:color="auto"/>
            </w:tcBorders>
            <w:vAlign w:val="center"/>
            <w:hideMark/>
          </w:tcPr>
          <w:p w14:paraId="55A41683" w14:textId="77777777" w:rsidR="003663AF" w:rsidRPr="00B7760C" w:rsidRDefault="003663AF" w:rsidP="00E804B7">
            <w:pPr>
              <w:pStyle w:val="Normal6"/>
              <w:jc w:val="right"/>
              <w:rPr>
                <w:b/>
                <w:bCs/>
                <w:i/>
                <w:iCs/>
                <w:sz w:val="20"/>
              </w:rPr>
            </w:pPr>
            <w:r w:rsidRPr="00B7760C">
              <w:rPr>
                <w:b/>
                <w:bCs/>
                <w:i/>
                <w:iCs/>
                <w:sz w:val="20"/>
              </w:rPr>
              <w:t>281 341 503</w:t>
            </w:r>
          </w:p>
        </w:tc>
        <w:tc>
          <w:tcPr>
            <w:tcW w:w="1580" w:type="dxa"/>
            <w:tcBorders>
              <w:top w:val="single" w:sz="4" w:space="0" w:color="auto"/>
              <w:left w:val="single" w:sz="4" w:space="0" w:color="auto"/>
              <w:bottom w:val="single" w:sz="4" w:space="0" w:color="auto"/>
              <w:right w:val="single" w:sz="4" w:space="0" w:color="auto"/>
            </w:tcBorders>
            <w:vAlign w:val="center"/>
            <w:hideMark/>
          </w:tcPr>
          <w:p w14:paraId="130085A5" w14:textId="77777777" w:rsidR="003663AF" w:rsidRPr="00B7760C" w:rsidRDefault="003663AF" w:rsidP="00E804B7">
            <w:pPr>
              <w:pStyle w:val="Normal6"/>
              <w:jc w:val="right"/>
              <w:rPr>
                <w:b/>
                <w:bCs/>
                <w:i/>
                <w:iCs/>
                <w:sz w:val="20"/>
              </w:rPr>
            </w:pPr>
            <w:r w:rsidRPr="00B7760C">
              <w:rPr>
                <w:b/>
                <w:bCs/>
                <w:i/>
                <w:iCs/>
                <w:sz w:val="20"/>
              </w:rPr>
              <w:t>1 969 390 521</w:t>
            </w:r>
          </w:p>
        </w:tc>
      </w:tr>
      <w:tr w:rsidR="003663AF" w:rsidRPr="00B7760C" w14:paraId="19B1B147" w14:textId="77777777" w:rsidTr="00E804B7">
        <w:trPr>
          <w:cantSplit/>
          <w:trHeight w:val="255"/>
          <w:jc w:val="center"/>
        </w:trPr>
        <w:tc>
          <w:tcPr>
            <w:tcW w:w="1580" w:type="dxa"/>
            <w:tcBorders>
              <w:top w:val="single" w:sz="4" w:space="0" w:color="auto"/>
              <w:left w:val="single" w:sz="4" w:space="0" w:color="auto"/>
              <w:bottom w:val="single" w:sz="4" w:space="0" w:color="auto"/>
              <w:right w:val="single" w:sz="4" w:space="0" w:color="auto"/>
            </w:tcBorders>
            <w:vAlign w:val="center"/>
            <w:hideMark/>
          </w:tcPr>
          <w:p w14:paraId="10C1866C" w14:textId="77777777" w:rsidR="003663AF" w:rsidRPr="00B7760C" w:rsidRDefault="003663AF" w:rsidP="00E804B7">
            <w:pPr>
              <w:pStyle w:val="Normal6"/>
              <w:rPr>
                <w:sz w:val="20"/>
              </w:rPr>
            </w:pPr>
            <w:r w:rsidRPr="00B7760C">
              <w:rPr>
                <w:sz w:val="20"/>
              </w:rPr>
              <w:t>Italija</w:t>
            </w:r>
          </w:p>
        </w:tc>
        <w:tc>
          <w:tcPr>
            <w:tcW w:w="1580" w:type="dxa"/>
            <w:tcBorders>
              <w:top w:val="single" w:sz="4" w:space="0" w:color="auto"/>
              <w:left w:val="single" w:sz="4" w:space="0" w:color="auto"/>
              <w:bottom w:val="single" w:sz="4" w:space="0" w:color="auto"/>
              <w:right w:val="single" w:sz="4" w:space="0" w:color="auto"/>
            </w:tcBorders>
            <w:vAlign w:val="center"/>
            <w:hideMark/>
          </w:tcPr>
          <w:p w14:paraId="6B4E9BCC" w14:textId="77777777" w:rsidR="003663AF" w:rsidRPr="00B7760C" w:rsidRDefault="003663AF" w:rsidP="00E804B7">
            <w:pPr>
              <w:pStyle w:val="Normal6"/>
              <w:jc w:val="right"/>
              <w:rPr>
                <w:b/>
                <w:bCs/>
                <w:i/>
                <w:iCs/>
                <w:sz w:val="20"/>
              </w:rPr>
            </w:pPr>
            <w:r w:rsidRPr="00B7760C">
              <w:rPr>
                <w:b/>
                <w:bCs/>
                <w:i/>
                <w:iCs/>
                <w:sz w:val="20"/>
              </w:rPr>
              <w:t>1 270 310 371</w:t>
            </w:r>
          </w:p>
        </w:tc>
        <w:tc>
          <w:tcPr>
            <w:tcW w:w="1580" w:type="dxa"/>
            <w:tcBorders>
              <w:top w:val="single" w:sz="4" w:space="0" w:color="auto"/>
              <w:left w:val="single" w:sz="4" w:space="0" w:color="auto"/>
              <w:bottom w:val="single" w:sz="4" w:space="0" w:color="auto"/>
              <w:right w:val="single" w:sz="4" w:space="0" w:color="auto"/>
            </w:tcBorders>
            <w:vAlign w:val="center"/>
            <w:hideMark/>
          </w:tcPr>
          <w:p w14:paraId="41BBD4A6" w14:textId="77777777" w:rsidR="003663AF" w:rsidRPr="00B7760C" w:rsidRDefault="003663AF" w:rsidP="00E804B7">
            <w:pPr>
              <w:pStyle w:val="Normal6"/>
              <w:jc w:val="right"/>
              <w:rPr>
                <w:b/>
                <w:bCs/>
                <w:i/>
                <w:iCs/>
                <w:sz w:val="20"/>
              </w:rPr>
            </w:pPr>
            <w:r w:rsidRPr="00B7760C">
              <w:rPr>
                <w:b/>
                <w:bCs/>
                <w:i/>
                <w:iCs/>
                <w:sz w:val="20"/>
              </w:rPr>
              <w:t>1 270 310 371</w:t>
            </w:r>
          </w:p>
        </w:tc>
        <w:tc>
          <w:tcPr>
            <w:tcW w:w="1580" w:type="dxa"/>
            <w:tcBorders>
              <w:top w:val="single" w:sz="4" w:space="0" w:color="auto"/>
              <w:left w:val="single" w:sz="4" w:space="0" w:color="auto"/>
              <w:bottom w:val="single" w:sz="4" w:space="0" w:color="auto"/>
              <w:right w:val="single" w:sz="4" w:space="0" w:color="auto"/>
            </w:tcBorders>
            <w:vAlign w:val="center"/>
            <w:hideMark/>
          </w:tcPr>
          <w:p w14:paraId="5DD9C1BD" w14:textId="77777777" w:rsidR="003663AF" w:rsidRPr="00B7760C" w:rsidRDefault="003663AF" w:rsidP="00E804B7">
            <w:pPr>
              <w:pStyle w:val="Normal6"/>
              <w:jc w:val="right"/>
              <w:rPr>
                <w:b/>
                <w:bCs/>
                <w:i/>
                <w:iCs/>
                <w:sz w:val="20"/>
              </w:rPr>
            </w:pPr>
            <w:r w:rsidRPr="00B7760C">
              <w:rPr>
                <w:b/>
                <w:bCs/>
                <w:i/>
                <w:iCs/>
                <w:sz w:val="20"/>
              </w:rPr>
              <w:t>1 270 310 371</w:t>
            </w:r>
          </w:p>
        </w:tc>
        <w:tc>
          <w:tcPr>
            <w:tcW w:w="1580" w:type="dxa"/>
            <w:tcBorders>
              <w:top w:val="single" w:sz="4" w:space="0" w:color="auto"/>
              <w:left w:val="single" w:sz="4" w:space="0" w:color="auto"/>
              <w:bottom w:val="single" w:sz="4" w:space="0" w:color="auto"/>
              <w:right w:val="single" w:sz="4" w:space="0" w:color="auto"/>
            </w:tcBorders>
            <w:vAlign w:val="center"/>
            <w:hideMark/>
          </w:tcPr>
          <w:p w14:paraId="05EA5CE9" w14:textId="77777777" w:rsidR="003663AF" w:rsidRPr="00B7760C" w:rsidRDefault="003663AF" w:rsidP="00E804B7">
            <w:pPr>
              <w:pStyle w:val="Normal6"/>
              <w:jc w:val="right"/>
              <w:rPr>
                <w:b/>
                <w:bCs/>
                <w:i/>
                <w:iCs/>
                <w:sz w:val="20"/>
              </w:rPr>
            </w:pPr>
            <w:r w:rsidRPr="00B7760C">
              <w:rPr>
                <w:b/>
                <w:bCs/>
                <w:i/>
                <w:iCs/>
                <w:sz w:val="20"/>
              </w:rPr>
              <w:t>1 270 310 371</w:t>
            </w:r>
          </w:p>
        </w:tc>
        <w:tc>
          <w:tcPr>
            <w:tcW w:w="1580" w:type="dxa"/>
            <w:tcBorders>
              <w:top w:val="single" w:sz="4" w:space="0" w:color="auto"/>
              <w:left w:val="single" w:sz="4" w:space="0" w:color="auto"/>
              <w:bottom w:val="single" w:sz="4" w:space="0" w:color="auto"/>
              <w:right w:val="single" w:sz="4" w:space="0" w:color="auto"/>
            </w:tcBorders>
            <w:vAlign w:val="center"/>
            <w:hideMark/>
          </w:tcPr>
          <w:p w14:paraId="0AFB03AE" w14:textId="77777777" w:rsidR="003663AF" w:rsidRPr="00B7760C" w:rsidRDefault="003663AF" w:rsidP="00E804B7">
            <w:pPr>
              <w:pStyle w:val="Normal6"/>
              <w:jc w:val="right"/>
              <w:rPr>
                <w:b/>
                <w:bCs/>
                <w:i/>
                <w:iCs/>
                <w:sz w:val="20"/>
              </w:rPr>
            </w:pPr>
            <w:r w:rsidRPr="00B7760C">
              <w:rPr>
                <w:b/>
                <w:bCs/>
                <w:i/>
                <w:iCs/>
                <w:sz w:val="20"/>
              </w:rPr>
              <w:t>1 270 310 371</w:t>
            </w:r>
          </w:p>
        </w:tc>
        <w:tc>
          <w:tcPr>
            <w:tcW w:w="1580" w:type="dxa"/>
            <w:gridSpan w:val="2"/>
            <w:tcBorders>
              <w:top w:val="single" w:sz="4" w:space="0" w:color="auto"/>
              <w:left w:val="single" w:sz="4" w:space="0" w:color="auto"/>
              <w:bottom w:val="single" w:sz="4" w:space="0" w:color="auto"/>
              <w:right w:val="single" w:sz="4" w:space="0" w:color="auto"/>
            </w:tcBorders>
            <w:vAlign w:val="center"/>
            <w:hideMark/>
          </w:tcPr>
          <w:p w14:paraId="5AC8E40E" w14:textId="77777777" w:rsidR="003663AF" w:rsidRPr="00B7760C" w:rsidRDefault="003663AF" w:rsidP="00E804B7">
            <w:pPr>
              <w:pStyle w:val="Normal6"/>
              <w:jc w:val="right"/>
              <w:rPr>
                <w:b/>
                <w:bCs/>
                <w:i/>
                <w:iCs/>
                <w:sz w:val="20"/>
              </w:rPr>
            </w:pPr>
            <w:r w:rsidRPr="00B7760C">
              <w:rPr>
                <w:b/>
                <w:bCs/>
                <w:i/>
                <w:iCs/>
                <w:sz w:val="20"/>
              </w:rPr>
              <w:t>1 270 310 371</w:t>
            </w:r>
          </w:p>
        </w:tc>
        <w:tc>
          <w:tcPr>
            <w:tcW w:w="1580" w:type="dxa"/>
            <w:gridSpan w:val="2"/>
            <w:tcBorders>
              <w:top w:val="single" w:sz="4" w:space="0" w:color="auto"/>
              <w:left w:val="single" w:sz="4" w:space="0" w:color="auto"/>
              <w:bottom w:val="single" w:sz="4" w:space="0" w:color="auto"/>
              <w:right w:val="single" w:sz="4" w:space="0" w:color="auto"/>
            </w:tcBorders>
            <w:vAlign w:val="center"/>
            <w:hideMark/>
          </w:tcPr>
          <w:p w14:paraId="67E1CF9D" w14:textId="77777777" w:rsidR="003663AF" w:rsidRPr="00B7760C" w:rsidRDefault="003663AF" w:rsidP="00E804B7">
            <w:pPr>
              <w:pStyle w:val="Normal6"/>
              <w:jc w:val="right"/>
              <w:rPr>
                <w:b/>
                <w:bCs/>
                <w:i/>
                <w:iCs/>
                <w:sz w:val="20"/>
              </w:rPr>
            </w:pPr>
            <w:r w:rsidRPr="00B7760C">
              <w:rPr>
                <w:b/>
                <w:bCs/>
                <w:i/>
                <w:iCs/>
                <w:sz w:val="20"/>
              </w:rPr>
              <w:t>1 270 310 371</w:t>
            </w:r>
          </w:p>
        </w:tc>
        <w:tc>
          <w:tcPr>
            <w:tcW w:w="1580" w:type="dxa"/>
            <w:tcBorders>
              <w:top w:val="single" w:sz="4" w:space="0" w:color="auto"/>
              <w:left w:val="single" w:sz="4" w:space="0" w:color="auto"/>
              <w:bottom w:val="single" w:sz="4" w:space="0" w:color="auto"/>
              <w:right w:val="single" w:sz="4" w:space="0" w:color="auto"/>
            </w:tcBorders>
            <w:vAlign w:val="center"/>
            <w:hideMark/>
          </w:tcPr>
          <w:p w14:paraId="5CE6B4C4" w14:textId="77777777" w:rsidR="003663AF" w:rsidRPr="00B7760C" w:rsidRDefault="003663AF" w:rsidP="00E804B7">
            <w:pPr>
              <w:pStyle w:val="Normal6"/>
              <w:jc w:val="right"/>
              <w:rPr>
                <w:b/>
                <w:bCs/>
                <w:i/>
                <w:iCs/>
                <w:sz w:val="20"/>
              </w:rPr>
            </w:pPr>
            <w:r w:rsidRPr="00B7760C">
              <w:rPr>
                <w:b/>
                <w:bCs/>
                <w:i/>
                <w:iCs/>
                <w:sz w:val="20"/>
              </w:rPr>
              <w:t>8 892 172 597</w:t>
            </w:r>
          </w:p>
        </w:tc>
      </w:tr>
      <w:tr w:rsidR="003663AF" w:rsidRPr="00B7760C" w14:paraId="758A5535" w14:textId="77777777" w:rsidTr="00E804B7">
        <w:trPr>
          <w:cantSplit/>
          <w:trHeight w:val="255"/>
          <w:jc w:val="center"/>
        </w:trPr>
        <w:tc>
          <w:tcPr>
            <w:tcW w:w="1580" w:type="dxa"/>
            <w:tcBorders>
              <w:top w:val="single" w:sz="4" w:space="0" w:color="auto"/>
              <w:left w:val="single" w:sz="4" w:space="0" w:color="auto"/>
              <w:bottom w:val="single" w:sz="4" w:space="0" w:color="auto"/>
              <w:right w:val="single" w:sz="4" w:space="0" w:color="auto"/>
            </w:tcBorders>
            <w:vAlign w:val="center"/>
            <w:hideMark/>
          </w:tcPr>
          <w:p w14:paraId="50EA9DC0" w14:textId="77777777" w:rsidR="003663AF" w:rsidRPr="00B7760C" w:rsidRDefault="003663AF" w:rsidP="00E804B7">
            <w:pPr>
              <w:pStyle w:val="Normal6"/>
              <w:rPr>
                <w:sz w:val="20"/>
              </w:rPr>
            </w:pPr>
            <w:r w:rsidRPr="00B7760C">
              <w:rPr>
                <w:sz w:val="20"/>
              </w:rPr>
              <w:t>Ciper</w:t>
            </w:r>
          </w:p>
        </w:tc>
        <w:tc>
          <w:tcPr>
            <w:tcW w:w="1580" w:type="dxa"/>
            <w:tcBorders>
              <w:top w:val="single" w:sz="4" w:space="0" w:color="auto"/>
              <w:left w:val="single" w:sz="4" w:space="0" w:color="auto"/>
              <w:bottom w:val="single" w:sz="4" w:space="0" w:color="auto"/>
              <w:right w:val="single" w:sz="4" w:space="0" w:color="auto"/>
            </w:tcBorders>
            <w:vAlign w:val="center"/>
            <w:hideMark/>
          </w:tcPr>
          <w:p w14:paraId="53B2A7FD" w14:textId="77777777" w:rsidR="003663AF" w:rsidRPr="00B7760C" w:rsidRDefault="003663AF" w:rsidP="00E804B7">
            <w:pPr>
              <w:pStyle w:val="Normal6"/>
              <w:jc w:val="right"/>
              <w:rPr>
                <w:b/>
                <w:bCs/>
                <w:i/>
                <w:iCs/>
                <w:sz w:val="20"/>
              </w:rPr>
            </w:pPr>
            <w:r w:rsidRPr="00B7760C">
              <w:rPr>
                <w:b/>
                <w:bCs/>
                <w:i/>
                <w:iCs/>
                <w:sz w:val="20"/>
              </w:rPr>
              <w:t>15 987 284</w:t>
            </w:r>
          </w:p>
        </w:tc>
        <w:tc>
          <w:tcPr>
            <w:tcW w:w="1580" w:type="dxa"/>
            <w:tcBorders>
              <w:top w:val="single" w:sz="4" w:space="0" w:color="auto"/>
              <w:left w:val="single" w:sz="4" w:space="0" w:color="auto"/>
              <w:bottom w:val="single" w:sz="4" w:space="0" w:color="auto"/>
              <w:right w:val="single" w:sz="4" w:space="0" w:color="auto"/>
            </w:tcBorders>
            <w:vAlign w:val="center"/>
            <w:hideMark/>
          </w:tcPr>
          <w:p w14:paraId="07E37B91" w14:textId="77777777" w:rsidR="003663AF" w:rsidRPr="00B7760C" w:rsidRDefault="003663AF" w:rsidP="00E804B7">
            <w:pPr>
              <w:pStyle w:val="Normal6"/>
              <w:jc w:val="right"/>
              <w:rPr>
                <w:b/>
                <w:bCs/>
                <w:i/>
                <w:iCs/>
                <w:sz w:val="20"/>
              </w:rPr>
            </w:pPr>
            <w:r w:rsidRPr="00B7760C">
              <w:rPr>
                <w:b/>
                <w:bCs/>
                <w:i/>
                <w:iCs/>
                <w:sz w:val="20"/>
              </w:rPr>
              <w:t>15 987 284</w:t>
            </w:r>
          </w:p>
        </w:tc>
        <w:tc>
          <w:tcPr>
            <w:tcW w:w="1580" w:type="dxa"/>
            <w:tcBorders>
              <w:top w:val="single" w:sz="4" w:space="0" w:color="auto"/>
              <w:left w:val="single" w:sz="4" w:space="0" w:color="auto"/>
              <w:bottom w:val="single" w:sz="4" w:space="0" w:color="auto"/>
              <w:right w:val="single" w:sz="4" w:space="0" w:color="auto"/>
            </w:tcBorders>
            <w:vAlign w:val="center"/>
            <w:hideMark/>
          </w:tcPr>
          <w:p w14:paraId="3D08174F" w14:textId="77777777" w:rsidR="003663AF" w:rsidRPr="00B7760C" w:rsidRDefault="003663AF" w:rsidP="00E804B7">
            <w:pPr>
              <w:pStyle w:val="Normal6"/>
              <w:jc w:val="right"/>
              <w:rPr>
                <w:b/>
                <w:bCs/>
                <w:i/>
                <w:iCs/>
                <w:sz w:val="20"/>
              </w:rPr>
            </w:pPr>
            <w:r w:rsidRPr="00B7760C">
              <w:rPr>
                <w:b/>
                <w:bCs/>
                <w:i/>
                <w:iCs/>
                <w:sz w:val="20"/>
              </w:rPr>
              <w:t>15 987 284</w:t>
            </w:r>
          </w:p>
        </w:tc>
        <w:tc>
          <w:tcPr>
            <w:tcW w:w="1580" w:type="dxa"/>
            <w:tcBorders>
              <w:top w:val="single" w:sz="4" w:space="0" w:color="auto"/>
              <w:left w:val="single" w:sz="4" w:space="0" w:color="auto"/>
              <w:bottom w:val="single" w:sz="4" w:space="0" w:color="auto"/>
              <w:right w:val="single" w:sz="4" w:space="0" w:color="auto"/>
            </w:tcBorders>
            <w:vAlign w:val="center"/>
            <w:hideMark/>
          </w:tcPr>
          <w:p w14:paraId="7A72FCED" w14:textId="77777777" w:rsidR="003663AF" w:rsidRPr="00B7760C" w:rsidRDefault="003663AF" w:rsidP="00E804B7">
            <w:pPr>
              <w:pStyle w:val="Normal6"/>
              <w:jc w:val="right"/>
              <w:rPr>
                <w:b/>
                <w:bCs/>
                <w:i/>
                <w:iCs/>
                <w:sz w:val="20"/>
              </w:rPr>
            </w:pPr>
            <w:r w:rsidRPr="00B7760C">
              <w:rPr>
                <w:b/>
                <w:bCs/>
                <w:i/>
                <w:iCs/>
                <w:sz w:val="20"/>
              </w:rPr>
              <w:t>15 987 284</w:t>
            </w:r>
          </w:p>
        </w:tc>
        <w:tc>
          <w:tcPr>
            <w:tcW w:w="1580" w:type="dxa"/>
            <w:tcBorders>
              <w:top w:val="single" w:sz="4" w:space="0" w:color="auto"/>
              <w:left w:val="single" w:sz="4" w:space="0" w:color="auto"/>
              <w:bottom w:val="single" w:sz="4" w:space="0" w:color="auto"/>
              <w:right w:val="single" w:sz="4" w:space="0" w:color="auto"/>
            </w:tcBorders>
            <w:vAlign w:val="center"/>
            <w:hideMark/>
          </w:tcPr>
          <w:p w14:paraId="285DF806" w14:textId="77777777" w:rsidR="003663AF" w:rsidRPr="00B7760C" w:rsidRDefault="003663AF" w:rsidP="00E804B7">
            <w:pPr>
              <w:pStyle w:val="Normal6"/>
              <w:jc w:val="right"/>
              <w:rPr>
                <w:b/>
                <w:bCs/>
                <w:i/>
                <w:iCs/>
                <w:sz w:val="20"/>
              </w:rPr>
            </w:pPr>
            <w:r w:rsidRPr="00B7760C">
              <w:rPr>
                <w:b/>
                <w:bCs/>
                <w:i/>
                <w:iCs/>
                <w:sz w:val="20"/>
              </w:rPr>
              <w:t>15 987 284</w:t>
            </w:r>
          </w:p>
        </w:tc>
        <w:tc>
          <w:tcPr>
            <w:tcW w:w="1580" w:type="dxa"/>
            <w:gridSpan w:val="2"/>
            <w:tcBorders>
              <w:top w:val="single" w:sz="4" w:space="0" w:color="auto"/>
              <w:left w:val="single" w:sz="4" w:space="0" w:color="auto"/>
              <w:bottom w:val="single" w:sz="4" w:space="0" w:color="auto"/>
              <w:right w:val="single" w:sz="4" w:space="0" w:color="auto"/>
            </w:tcBorders>
            <w:vAlign w:val="center"/>
            <w:hideMark/>
          </w:tcPr>
          <w:p w14:paraId="3800D59F" w14:textId="77777777" w:rsidR="003663AF" w:rsidRPr="00B7760C" w:rsidRDefault="003663AF" w:rsidP="00E804B7">
            <w:pPr>
              <w:pStyle w:val="Normal6"/>
              <w:jc w:val="right"/>
              <w:rPr>
                <w:b/>
                <w:bCs/>
                <w:i/>
                <w:iCs/>
                <w:sz w:val="20"/>
              </w:rPr>
            </w:pPr>
            <w:r w:rsidRPr="00B7760C">
              <w:rPr>
                <w:b/>
                <w:bCs/>
                <w:i/>
                <w:iCs/>
                <w:sz w:val="20"/>
              </w:rPr>
              <w:t>15 987 284</w:t>
            </w:r>
          </w:p>
        </w:tc>
        <w:tc>
          <w:tcPr>
            <w:tcW w:w="1580" w:type="dxa"/>
            <w:gridSpan w:val="2"/>
            <w:tcBorders>
              <w:top w:val="single" w:sz="4" w:space="0" w:color="auto"/>
              <w:left w:val="single" w:sz="4" w:space="0" w:color="auto"/>
              <w:bottom w:val="single" w:sz="4" w:space="0" w:color="auto"/>
              <w:right w:val="single" w:sz="4" w:space="0" w:color="auto"/>
            </w:tcBorders>
            <w:vAlign w:val="center"/>
            <w:hideMark/>
          </w:tcPr>
          <w:p w14:paraId="13100DA1" w14:textId="77777777" w:rsidR="003663AF" w:rsidRPr="00B7760C" w:rsidRDefault="003663AF" w:rsidP="00E804B7">
            <w:pPr>
              <w:pStyle w:val="Normal6"/>
              <w:jc w:val="right"/>
              <w:rPr>
                <w:b/>
                <w:bCs/>
                <w:i/>
                <w:iCs/>
                <w:sz w:val="20"/>
              </w:rPr>
            </w:pPr>
            <w:r w:rsidRPr="00B7760C">
              <w:rPr>
                <w:b/>
                <w:bCs/>
                <w:i/>
                <w:iCs/>
                <w:sz w:val="20"/>
              </w:rPr>
              <w:t>15 987 284</w:t>
            </w:r>
          </w:p>
        </w:tc>
        <w:tc>
          <w:tcPr>
            <w:tcW w:w="1580" w:type="dxa"/>
            <w:tcBorders>
              <w:top w:val="single" w:sz="4" w:space="0" w:color="auto"/>
              <w:left w:val="single" w:sz="4" w:space="0" w:color="auto"/>
              <w:bottom w:val="single" w:sz="4" w:space="0" w:color="auto"/>
              <w:right w:val="single" w:sz="4" w:space="0" w:color="auto"/>
            </w:tcBorders>
            <w:vAlign w:val="center"/>
            <w:hideMark/>
          </w:tcPr>
          <w:p w14:paraId="69E79D4C" w14:textId="77777777" w:rsidR="003663AF" w:rsidRPr="00B7760C" w:rsidRDefault="003663AF" w:rsidP="00E804B7">
            <w:pPr>
              <w:pStyle w:val="Normal6"/>
              <w:jc w:val="right"/>
              <w:rPr>
                <w:b/>
                <w:bCs/>
                <w:i/>
                <w:iCs/>
                <w:sz w:val="20"/>
              </w:rPr>
            </w:pPr>
            <w:r w:rsidRPr="00B7760C">
              <w:rPr>
                <w:b/>
                <w:bCs/>
                <w:i/>
                <w:iCs/>
                <w:sz w:val="20"/>
              </w:rPr>
              <w:t>111 910 988</w:t>
            </w:r>
          </w:p>
        </w:tc>
      </w:tr>
      <w:tr w:rsidR="003663AF" w:rsidRPr="00B7760C" w14:paraId="7BEE90CA" w14:textId="77777777" w:rsidTr="00E804B7">
        <w:trPr>
          <w:cantSplit/>
          <w:trHeight w:val="255"/>
          <w:jc w:val="center"/>
        </w:trPr>
        <w:tc>
          <w:tcPr>
            <w:tcW w:w="1580" w:type="dxa"/>
            <w:tcBorders>
              <w:top w:val="single" w:sz="4" w:space="0" w:color="auto"/>
              <w:left w:val="single" w:sz="4" w:space="0" w:color="auto"/>
              <w:bottom w:val="single" w:sz="4" w:space="0" w:color="auto"/>
              <w:right w:val="single" w:sz="4" w:space="0" w:color="auto"/>
            </w:tcBorders>
            <w:vAlign w:val="center"/>
            <w:hideMark/>
          </w:tcPr>
          <w:p w14:paraId="56F3C1F9" w14:textId="77777777" w:rsidR="003663AF" w:rsidRPr="00B7760C" w:rsidRDefault="003663AF" w:rsidP="00E804B7">
            <w:pPr>
              <w:pStyle w:val="Normal6"/>
              <w:rPr>
                <w:sz w:val="20"/>
              </w:rPr>
            </w:pPr>
            <w:r w:rsidRPr="00B7760C">
              <w:rPr>
                <w:sz w:val="20"/>
              </w:rPr>
              <w:t>Latvija</w:t>
            </w:r>
          </w:p>
        </w:tc>
        <w:tc>
          <w:tcPr>
            <w:tcW w:w="1580" w:type="dxa"/>
            <w:tcBorders>
              <w:top w:val="single" w:sz="4" w:space="0" w:color="auto"/>
              <w:left w:val="single" w:sz="4" w:space="0" w:color="auto"/>
              <w:bottom w:val="single" w:sz="4" w:space="0" w:color="auto"/>
              <w:right w:val="single" w:sz="4" w:space="0" w:color="auto"/>
            </w:tcBorders>
            <w:vAlign w:val="center"/>
            <w:hideMark/>
          </w:tcPr>
          <w:p w14:paraId="606540B3" w14:textId="77777777" w:rsidR="003663AF" w:rsidRPr="00B7760C" w:rsidRDefault="003663AF" w:rsidP="00E804B7">
            <w:pPr>
              <w:pStyle w:val="Normal6"/>
              <w:jc w:val="right"/>
              <w:rPr>
                <w:b/>
                <w:bCs/>
                <w:i/>
                <w:iCs/>
                <w:sz w:val="20"/>
              </w:rPr>
            </w:pPr>
            <w:r w:rsidRPr="00B7760C">
              <w:rPr>
                <w:b/>
                <w:bCs/>
                <w:i/>
                <w:iCs/>
                <w:sz w:val="20"/>
              </w:rPr>
              <w:t>117 307 269</w:t>
            </w:r>
          </w:p>
        </w:tc>
        <w:tc>
          <w:tcPr>
            <w:tcW w:w="1580" w:type="dxa"/>
            <w:tcBorders>
              <w:top w:val="single" w:sz="4" w:space="0" w:color="auto"/>
              <w:left w:val="single" w:sz="4" w:space="0" w:color="auto"/>
              <w:bottom w:val="single" w:sz="4" w:space="0" w:color="auto"/>
              <w:right w:val="single" w:sz="4" w:space="0" w:color="auto"/>
            </w:tcBorders>
            <w:vAlign w:val="center"/>
            <w:hideMark/>
          </w:tcPr>
          <w:p w14:paraId="27700BAA" w14:textId="77777777" w:rsidR="003663AF" w:rsidRPr="00B7760C" w:rsidRDefault="003663AF" w:rsidP="00E804B7">
            <w:pPr>
              <w:pStyle w:val="Normal6"/>
              <w:jc w:val="right"/>
              <w:rPr>
                <w:b/>
                <w:bCs/>
                <w:i/>
                <w:iCs/>
                <w:sz w:val="20"/>
              </w:rPr>
            </w:pPr>
            <w:r w:rsidRPr="00B7760C">
              <w:rPr>
                <w:b/>
                <w:bCs/>
                <w:i/>
                <w:iCs/>
                <w:sz w:val="20"/>
              </w:rPr>
              <w:t>117 307 269</w:t>
            </w:r>
          </w:p>
        </w:tc>
        <w:tc>
          <w:tcPr>
            <w:tcW w:w="1580" w:type="dxa"/>
            <w:tcBorders>
              <w:top w:val="single" w:sz="4" w:space="0" w:color="auto"/>
              <w:left w:val="single" w:sz="4" w:space="0" w:color="auto"/>
              <w:bottom w:val="single" w:sz="4" w:space="0" w:color="auto"/>
              <w:right w:val="single" w:sz="4" w:space="0" w:color="auto"/>
            </w:tcBorders>
            <w:vAlign w:val="center"/>
            <w:hideMark/>
          </w:tcPr>
          <w:p w14:paraId="107C3D2C" w14:textId="77777777" w:rsidR="003663AF" w:rsidRPr="00B7760C" w:rsidRDefault="003663AF" w:rsidP="00E804B7">
            <w:pPr>
              <w:pStyle w:val="Normal6"/>
              <w:jc w:val="right"/>
              <w:rPr>
                <w:b/>
                <w:bCs/>
                <w:i/>
                <w:iCs/>
                <w:sz w:val="20"/>
              </w:rPr>
            </w:pPr>
            <w:r w:rsidRPr="00B7760C">
              <w:rPr>
                <w:b/>
                <w:bCs/>
                <w:i/>
                <w:iCs/>
                <w:sz w:val="20"/>
              </w:rPr>
              <w:t>117 307 269</w:t>
            </w:r>
          </w:p>
        </w:tc>
        <w:tc>
          <w:tcPr>
            <w:tcW w:w="1580" w:type="dxa"/>
            <w:tcBorders>
              <w:top w:val="single" w:sz="4" w:space="0" w:color="auto"/>
              <w:left w:val="single" w:sz="4" w:space="0" w:color="auto"/>
              <w:bottom w:val="single" w:sz="4" w:space="0" w:color="auto"/>
              <w:right w:val="single" w:sz="4" w:space="0" w:color="auto"/>
            </w:tcBorders>
            <w:vAlign w:val="center"/>
            <w:hideMark/>
          </w:tcPr>
          <w:p w14:paraId="09436E3F" w14:textId="77777777" w:rsidR="003663AF" w:rsidRPr="00B7760C" w:rsidRDefault="003663AF" w:rsidP="00E804B7">
            <w:pPr>
              <w:pStyle w:val="Normal6"/>
              <w:jc w:val="right"/>
              <w:rPr>
                <w:b/>
                <w:bCs/>
                <w:i/>
                <w:iCs/>
                <w:sz w:val="20"/>
              </w:rPr>
            </w:pPr>
            <w:r w:rsidRPr="00B7760C">
              <w:rPr>
                <w:b/>
                <w:bCs/>
                <w:i/>
                <w:iCs/>
                <w:sz w:val="20"/>
              </w:rPr>
              <w:t>117 307 269</w:t>
            </w:r>
          </w:p>
        </w:tc>
        <w:tc>
          <w:tcPr>
            <w:tcW w:w="1580" w:type="dxa"/>
            <w:tcBorders>
              <w:top w:val="single" w:sz="4" w:space="0" w:color="auto"/>
              <w:left w:val="single" w:sz="4" w:space="0" w:color="auto"/>
              <w:bottom w:val="single" w:sz="4" w:space="0" w:color="auto"/>
              <w:right w:val="single" w:sz="4" w:space="0" w:color="auto"/>
            </w:tcBorders>
            <w:vAlign w:val="center"/>
            <w:hideMark/>
          </w:tcPr>
          <w:p w14:paraId="7AE90F45" w14:textId="77777777" w:rsidR="003663AF" w:rsidRPr="00B7760C" w:rsidRDefault="003663AF" w:rsidP="00E804B7">
            <w:pPr>
              <w:pStyle w:val="Normal6"/>
              <w:jc w:val="right"/>
              <w:rPr>
                <w:b/>
                <w:bCs/>
                <w:i/>
                <w:iCs/>
                <w:sz w:val="20"/>
              </w:rPr>
            </w:pPr>
            <w:r w:rsidRPr="00B7760C">
              <w:rPr>
                <w:b/>
                <w:bCs/>
                <w:i/>
                <w:iCs/>
                <w:sz w:val="20"/>
              </w:rPr>
              <w:t>117 307 269</w:t>
            </w:r>
          </w:p>
        </w:tc>
        <w:tc>
          <w:tcPr>
            <w:tcW w:w="1580" w:type="dxa"/>
            <w:gridSpan w:val="2"/>
            <w:tcBorders>
              <w:top w:val="single" w:sz="4" w:space="0" w:color="auto"/>
              <w:left w:val="single" w:sz="4" w:space="0" w:color="auto"/>
              <w:bottom w:val="single" w:sz="4" w:space="0" w:color="auto"/>
              <w:right w:val="single" w:sz="4" w:space="0" w:color="auto"/>
            </w:tcBorders>
            <w:vAlign w:val="center"/>
            <w:hideMark/>
          </w:tcPr>
          <w:p w14:paraId="59FBC699" w14:textId="77777777" w:rsidR="003663AF" w:rsidRPr="00B7760C" w:rsidRDefault="003663AF" w:rsidP="00E804B7">
            <w:pPr>
              <w:pStyle w:val="Normal6"/>
              <w:jc w:val="right"/>
              <w:rPr>
                <w:b/>
                <w:bCs/>
                <w:i/>
                <w:iCs/>
                <w:sz w:val="20"/>
              </w:rPr>
            </w:pPr>
            <w:r w:rsidRPr="00B7760C">
              <w:rPr>
                <w:b/>
                <w:bCs/>
                <w:i/>
                <w:iCs/>
                <w:sz w:val="20"/>
              </w:rPr>
              <w:t>117 307 269</w:t>
            </w:r>
          </w:p>
        </w:tc>
        <w:tc>
          <w:tcPr>
            <w:tcW w:w="1580" w:type="dxa"/>
            <w:gridSpan w:val="2"/>
            <w:tcBorders>
              <w:top w:val="single" w:sz="4" w:space="0" w:color="auto"/>
              <w:left w:val="single" w:sz="4" w:space="0" w:color="auto"/>
              <w:bottom w:val="single" w:sz="4" w:space="0" w:color="auto"/>
              <w:right w:val="single" w:sz="4" w:space="0" w:color="auto"/>
            </w:tcBorders>
            <w:vAlign w:val="center"/>
            <w:hideMark/>
          </w:tcPr>
          <w:p w14:paraId="2AFEB13A" w14:textId="77777777" w:rsidR="003663AF" w:rsidRPr="00B7760C" w:rsidRDefault="003663AF" w:rsidP="00E804B7">
            <w:pPr>
              <w:pStyle w:val="Normal6"/>
              <w:jc w:val="right"/>
              <w:rPr>
                <w:b/>
                <w:bCs/>
                <w:i/>
                <w:iCs/>
                <w:sz w:val="20"/>
              </w:rPr>
            </w:pPr>
            <w:r w:rsidRPr="00B7760C">
              <w:rPr>
                <w:b/>
                <w:bCs/>
                <w:i/>
                <w:iCs/>
                <w:sz w:val="20"/>
              </w:rPr>
              <w:t>117 307 269</w:t>
            </w:r>
          </w:p>
        </w:tc>
        <w:tc>
          <w:tcPr>
            <w:tcW w:w="1580" w:type="dxa"/>
            <w:tcBorders>
              <w:top w:val="single" w:sz="4" w:space="0" w:color="auto"/>
              <w:left w:val="single" w:sz="4" w:space="0" w:color="auto"/>
              <w:bottom w:val="single" w:sz="4" w:space="0" w:color="auto"/>
              <w:right w:val="single" w:sz="4" w:space="0" w:color="auto"/>
            </w:tcBorders>
            <w:vAlign w:val="center"/>
            <w:hideMark/>
          </w:tcPr>
          <w:p w14:paraId="07E1C927" w14:textId="77777777" w:rsidR="003663AF" w:rsidRPr="00B7760C" w:rsidRDefault="003663AF" w:rsidP="00E804B7">
            <w:pPr>
              <w:pStyle w:val="Normal6"/>
              <w:jc w:val="right"/>
              <w:rPr>
                <w:b/>
                <w:bCs/>
                <w:i/>
                <w:iCs/>
                <w:sz w:val="20"/>
              </w:rPr>
            </w:pPr>
            <w:r w:rsidRPr="00B7760C">
              <w:rPr>
                <w:b/>
                <w:bCs/>
                <w:i/>
                <w:iCs/>
                <w:sz w:val="20"/>
              </w:rPr>
              <w:t>821 150 883</w:t>
            </w:r>
          </w:p>
        </w:tc>
      </w:tr>
      <w:tr w:rsidR="003663AF" w:rsidRPr="00B7760C" w14:paraId="482ACF65" w14:textId="77777777" w:rsidTr="00E804B7">
        <w:trPr>
          <w:cantSplit/>
          <w:trHeight w:val="255"/>
          <w:jc w:val="center"/>
        </w:trPr>
        <w:tc>
          <w:tcPr>
            <w:tcW w:w="1580" w:type="dxa"/>
            <w:tcBorders>
              <w:top w:val="single" w:sz="4" w:space="0" w:color="auto"/>
              <w:left w:val="single" w:sz="4" w:space="0" w:color="auto"/>
              <w:bottom w:val="single" w:sz="4" w:space="0" w:color="auto"/>
              <w:right w:val="single" w:sz="4" w:space="0" w:color="auto"/>
            </w:tcBorders>
            <w:vAlign w:val="center"/>
            <w:hideMark/>
          </w:tcPr>
          <w:p w14:paraId="0A359B5C" w14:textId="77777777" w:rsidR="003663AF" w:rsidRPr="00B7760C" w:rsidRDefault="003663AF" w:rsidP="00E804B7">
            <w:pPr>
              <w:pStyle w:val="Normal6"/>
              <w:rPr>
                <w:sz w:val="20"/>
              </w:rPr>
            </w:pPr>
            <w:r w:rsidRPr="00B7760C">
              <w:rPr>
                <w:sz w:val="20"/>
              </w:rPr>
              <w:t>Litva</w:t>
            </w:r>
          </w:p>
        </w:tc>
        <w:tc>
          <w:tcPr>
            <w:tcW w:w="1580" w:type="dxa"/>
            <w:tcBorders>
              <w:top w:val="single" w:sz="4" w:space="0" w:color="auto"/>
              <w:left w:val="single" w:sz="4" w:space="0" w:color="auto"/>
              <w:bottom w:val="single" w:sz="4" w:space="0" w:color="auto"/>
              <w:right w:val="single" w:sz="4" w:space="0" w:color="auto"/>
            </w:tcBorders>
            <w:vAlign w:val="center"/>
            <w:hideMark/>
          </w:tcPr>
          <w:p w14:paraId="4595C335" w14:textId="77777777" w:rsidR="003663AF" w:rsidRPr="00B7760C" w:rsidRDefault="003663AF" w:rsidP="00E804B7">
            <w:pPr>
              <w:pStyle w:val="Normal6"/>
              <w:jc w:val="right"/>
              <w:rPr>
                <w:b/>
                <w:bCs/>
                <w:i/>
                <w:iCs/>
                <w:sz w:val="20"/>
              </w:rPr>
            </w:pPr>
            <w:r w:rsidRPr="00B7760C">
              <w:rPr>
                <w:b/>
                <w:bCs/>
                <w:i/>
                <w:iCs/>
                <w:sz w:val="20"/>
              </w:rPr>
              <w:t>195 182 517</w:t>
            </w:r>
          </w:p>
        </w:tc>
        <w:tc>
          <w:tcPr>
            <w:tcW w:w="1580" w:type="dxa"/>
            <w:tcBorders>
              <w:top w:val="single" w:sz="4" w:space="0" w:color="auto"/>
              <w:left w:val="single" w:sz="4" w:space="0" w:color="auto"/>
              <w:bottom w:val="single" w:sz="4" w:space="0" w:color="auto"/>
              <w:right w:val="single" w:sz="4" w:space="0" w:color="auto"/>
            </w:tcBorders>
            <w:vAlign w:val="center"/>
            <w:hideMark/>
          </w:tcPr>
          <w:p w14:paraId="1D6E973B" w14:textId="77777777" w:rsidR="003663AF" w:rsidRPr="00B7760C" w:rsidRDefault="003663AF" w:rsidP="00E804B7">
            <w:pPr>
              <w:pStyle w:val="Normal6"/>
              <w:jc w:val="right"/>
              <w:rPr>
                <w:b/>
                <w:bCs/>
                <w:i/>
                <w:iCs/>
                <w:sz w:val="20"/>
              </w:rPr>
            </w:pPr>
            <w:r w:rsidRPr="00B7760C">
              <w:rPr>
                <w:b/>
                <w:bCs/>
                <w:i/>
                <w:iCs/>
                <w:sz w:val="20"/>
              </w:rPr>
              <w:t>195 182 517</w:t>
            </w:r>
          </w:p>
        </w:tc>
        <w:tc>
          <w:tcPr>
            <w:tcW w:w="1580" w:type="dxa"/>
            <w:tcBorders>
              <w:top w:val="single" w:sz="4" w:space="0" w:color="auto"/>
              <w:left w:val="single" w:sz="4" w:space="0" w:color="auto"/>
              <w:bottom w:val="single" w:sz="4" w:space="0" w:color="auto"/>
              <w:right w:val="single" w:sz="4" w:space="0" w:color="auto"/>
            </w:tcBorders>
            <w:vAlign w:val="center"/>
            <w:hideMark/>
          </w:tcPr>
          <w:p w14:paraId="36AC7725" w14:textId="77777777" w:rsidR="003663AF" w:rsidRPr="00B7760C" w:rsidRDefault="003663AF" w:rsidP="00E804B7">
            <w:pPr>
              <w:pStyle w:val="Normal6"/>
              <w:jc w:val="right"/>
              <w:rPr>
                <w:b/>
                <w:bCs/>
                <w:i/>
                <w:iCs/>
                <w:sz w:val="20"/>
              </w:rPr>
            </w:pPr>
            <w:r w:rsidRPr="00B7760C">
              <w:rPr>
                <w:b/>
                <w:bCs/>
                <w:i/>
                <w:iCs/>
                <w:sz w:val="20"/>
              </w:rPr>
              <w:t>195 182 517</w:t>
            </w:r>
          </w:p>
        </w:tc>
        <w:tc>
          <w:tcPr>
            <w:tcW w:w="1580" w:type="dxa"/>
            <w:tcBorders>
              <w:top w:val="single" w:sz="4" w:space="0" w:color="auto"/>
              <w:left w:val="single" w:sz="4" w:space="0" w:color="auto"/>
              <w:bottom w:val="single" w:sz="4" w:space="0" w:color="auto"/>
              <w:right w:val="single" w:sz="4" w:space="0" w:color="auto"/>
            </w:tcBorders>
            <w:vAlign w:val="center"/>
            <w:hideMark/>
          </w:tcPr>
          <w:p w14:paraId="11638F93" w14:textId="77777777" w:rsidR="003663AF" w:rsidRPr="00B7760C" w:rsidRDefault="003663AF" w:rsidP="00E804B7">
            <w:pPr>
              <w:pStyle w:val="Normal6"/>
              <w:jc w:val="right"/>
              <w:rPr>
                <w:b/>
                <w:bCs/>
                <w:i/>
                <w:iCs/>
                <w:sz w:val="20"/>
              </w:rPr>
            </w:pPr>
            <w:r w:rsidRPr="00B7760C">
              <w:rPr>
                <w:b/>
                <w:bCs/>
                <w:i/>
                <w:iCs/>
                <w:sz w:val="20"/>
              </w:rPr>
              <w:t>195 182 517</w:t>
            </w:r>
          </w:p>
        </w:tc>
        <w:tc>
          <w:tcPr>
            <w:tcW w:w="1580" w:type="dxa"/>
            <w:tcBorders>
              <w:top w:val="single" w:sz="4" w:space="0" w:color="auto"/>
              <w:left w:val="single" w:sz="4" w:space="0" w:color="auto"/>
              <w:bottom w:val="single" w:sz="4" w:space="0" w:color="auto"/>
              <w:right w:val="single" w:sz="4" w:space="0" w:color="auto"/>
            </w:tcBorders>
            <w:vAlign w:val="center"/>
            <w:hideMark/>
          </w:tcPr>
          <w:p w14:paraId="3387B8AB" w14:textId="77777777" w:rsidR="003663AF" w:rsidRPr="00B7760C" w:rsidRDefault="003663AF" w:rsidP="00E804B7">
            <w:pPr>
              <w:pStyle w:val="Normal6"/>
              <w:jc w:val="right"/>
              <w:rPr>
                <w:b/>
                <w:bCs/>
                <w:i/>
                <w:iCs/>
                <w:sz w:val="20"/>
              </w:rPr>
            </w:pPr>
            <w:r w:rsidRPr="00B7760C">
              <w:rPr>
                <w:b/>
                <w:bCs/>
                <w:i/>
                <w:iCs/>
                <w:sz w:val="20"/>
              </w:rPr>
              <w:t>195 182 517</w:t>
            </w:r>
          </w:p>
        </w:tc>
        <w:tc>
          <w:tcPr>
            <w:tcW w:w="1580" w:type="dxa"/>
            <w:gridSpan w:val="2"/>
            <w:tcBorders>
              <w:top w:val="single" w:sz="4" w:space="0" w:color="auto"/>
              <w:left w:val="single" w:sz="4" w:space="0" w:color="auto"/>
              <w:bottom w:val="single" w:sz="4" w:space="0" w:color="auto"/>
              <w:right w:val="single" w:sz="4" w:space="0" w:color="auto"/>
            </w:tcBorders>
            <w:vAlign w:val="center"/>
            <w:hideMark/>
          </w:tcPr>
          <w:p w14:paraId="78C44FC9" w14:textId="77777777" w:rsidR="003663AF" w:rsidRPr="00B7760C" w:rsidRDefault="003663AF" w:rsidP="00E804B7">
            <w:pPr>
              <w:pStyle w:val="Normal6"/>
              <w:jc w:val="right"/>
              <w:rPr>
                <w:b/>
                <w:bCs/>
                <w:i/>
                <w:iCs/>
                <w:sz w:val="20"/>
              </w:rPr>
            </w:pPr>
            <w:r w:rsidRPr="00B7760C">
              <w:rPr>
                <w:b/>
                <w:bCs/>
                <w:i/>
                <w:iCs/>
                <w:sz w:val="20"/>
              </w:rPr>
              <w:t>195 182 517</w:t>
            </w:r>
          </w:p>
        </w:tc>
        <w:tc>
          <w:tcPr>
            <w:tcW w:w="1580" w:type="dxa"/>
            <w:gridSpan w:val="2"/>
            <w:tcBorders>
              <w:top w:val="single" w:sz="4" w:space="0" w:color="auto"/>
              <w:left w:val="single" w:sz="4" w:space="0" w:color="auto"/>
              <w:bottom w:val="single" w:sz="4" w:space="0" w:color="auto"/>
              <w:right w:val="single" w:sz="4" w:space="0" w:color="auto"/>
            </w:tcBorders>
            <w:vAlign w:val="center"/>
            <w:hideMark/>
          </w:tcPr>
          <w:p w14:paraId="1E35BFCB" w14:textId="77777777" w:rsidR="003663AF" w:rsidRPr="00B7760C" w:rsidRDefault="003663AF" w:rsidP="00E804B7">
            <w:pPr>
              <w:pStyle w:val="Normal6"/>
              <w:jc w:val="right"/>
              <w:rPr>
                <w:b/>
                <w:bCs/>
                <w:i/>
                <w:iCs/>
                <w:sz w:val="20"/>
              </w:rPr>
            </w:pPr>
            <w:r w:rsidRPr="00B7760C">
              <w:rPr>
                <w:b/>
                <w:bCs/>
                <w:i/>
                <w:iCs/>
                <w:sz w:val="20"/>
              </w:rPr>
              <w:t>195 182 517</w:t>
            </w:r>
          </w:p>
        </w:tc>
        <w:tc>
          <w:tcPr>
            <w:tcW w:w="1580" w:type="dxa"/>
            <w:tcBorders>
              <w:top w:val="single" w:sz="4" w:space="0" w:color="auto"/>
              <w:left w:val="single" w:sz="4" w:space="0" w:color="auto"/>
              <w:bottom w:val="single" w:sz="4" w:space="0" w:color="auto"/>
              <w:right w:val="single" w:sz="4" w:space="0" w:color="auto"/>
            </w:tcBorders>
            <w:vAlign w:val="center"/>
            <w:hideMark/>
          </w:tcPr>
          <w:p w14:paraId="0F0B8645" w14:textId="77777777" w:rsidR="003663AF" w:rsidRPr="00B7760C" w:rsidRDefault="003663AF" w:rsidP="00E804B7">
            <w:pPr>
              <w:pStyle w:val="Normal6"/>
              <w:jc w:val="right"/>
              <w:rPr>
                <w:b/>
                <w:bCs/>
                <w:i/>
                <w:iCs/>
                <w:sz w:val="20"/>
              </w:rPr>
            </w:pPr>
            <w:r w:rsidRPr="00B7760C">
              <w:rPr>
                <w:b/>
                <w:bCs/>
                <w:i/>
                <w:iCs/>
                <w:sz w:val="20"/>
              </w:rPr>
              <w:t>1 366 277 619</w:t>
            </w:r>
          </w:p>
        </w:tc>
      </w:tr>
      <w:tr w:rsidR="003663AF" w:rsidRPr="00B7760C" w14:paraId="2DAACF18" w14:textId="77777777" w:rsidTr="00E804B7">
        <w:trPr>
          <w:cantSplit/>
          <w:trHeight w:val="255"/>
          <w:jc w:val="center"/>
        </w:trPr>
        <w:tc>
          <w:tcPr>
            <w:tcW w:w="1580" w:type="dxa"/>
            <w:tcBorders>
              <w:top w:val="single" w:sz="4" w:space="0" w:color="auto"/>
              <w:left w:val="single" w:sz="4" w:space="0" w:color="auto"/>
              <w:bottom w:val="single" w:sz="4" w:space="0" w:color="auto"/>
              <w:right w:val="single" w:sz="4" w:space="0" w:color="auto"/>
            </w:tcBorders>
            <w:vAlign w:val="center"/>
            <w:hideMark/>
          </w:tcPr>
          <w:p w14:paraId="2D6336BA" w14:textId="77777777" w:rsidR="003663AF" w:rsidRPr="00B7760C" w:rsidRDefault="003663AF" w:rsidP="00E804B7">
            <w:pPr>
              <w:pStyle w:val="Normal6"/>
              <w:rPr>
                <w:sz w:val="20"/>
              </w:rPr>
            </w:pPr>
            <w:r w:rsidRPr="00B7760C">
              <w:rPr>
                <w:sz w:val="20"/>
              </w:rPr>
              <w:t>Luksemburg</w:t>
            </w:r>
          </w:p>
        </w:tc>
        <w:tc>
          <w:tcPr>
            <w:tcW w:w="1580" w:type="dxa"/>
            <w:tcBorders>
              <w:top w:val="single" w:sz="4" w:space="0" w:color="auto"/>
              <w:left w:val="single" w:sz="4" w:space="0" w:color="auto"/>
              <w:bottom w:val="single" w:sz="4" w:space="0" w:color="auto"/>
              <w:right w:val="single" w:sz="4" w:space="0" w:color="auto"/>
            </w:tcBorders>
            <w:vAlign w:val="center"/>
            <w:hideMark/>
          </w:tcPr>
          <w:p w14:paraId="523739A9" w14:textId="77777777" w:rsidR="003663AF" w:rsidRPr="00B7760C" w:rsidRDefault="003663AF" w:rsidP="00E804B7">
            <w:pPr>
              <w:pStyle w:val="Normal6"/>
              <w:jc w:val="right"/>
              <w:rPr>
                <w:b/>
                <w:bCs/>
                <w:i/>
                <w:iCs/>
                <w:sz w:val="20"/>
              </w:rPr>
            </w:pPr>
            <w:r w:rsidRPr="00B7760C">
              <w:rPr>
                <w:b/>
                <w:bCs/>
                <w:i/>
                <w:iCs/>
                <w:sz w:val="20"/>
              </w:rPr>
              <w:t>12 290 956</w:t>
            </w:r>
          </w:p>
        </w:tc>
        <w:tc>
          <w:tcPr>
            <w:tcW w:w="1580" w:type="dxa"/>
            <w:tcBorders>
              <w:top w:val="single" w:sz="4" w:space="0" w:color="auto"/>
              <w:left w:val="single" w:sz="4" w:space="0" w:color="auto"/>
              <w:bottom w:val="single" w:sz="4" w:space="0" w:color="auto"/>
              <w:right w:val="single" w:sz="4" w:space="0" w:color="auto"/>
            </w:tcBorders>
            <w:vAlign w:val="center"/>
            <w:hideMark/>
          </w:tcPr>
          <w:p w14:paraId="2BABFC29" w14:textId="77777777" w:rsidR="003663AF" w:rsidRPr="00B7760C" w:rsidRDefault="003663AF" w:rsidP="00E804B7">
            <w:pPr>
              <w:pStyle w:val="Normal6"/>
              <w:jc w:val="right"/>
              <w:rPr>
                <w:b/>
                <w:bCs/>
                <w:i/>
                <w:iCs/>
                <w:sz w:val="20"/>
              </w:rPr>
            </w:pPr>
            <w:r w:rsidRPr="00B7760C">
              <w:rPr>
                <w:b/>
                <w:bCs/>
                <w:i/>
                <w:iCs/>
                <w:sz w:val="20"/>
              </w:rPr>
              <w:t>12 290 956</w:t>
            </w:r>
          </w:p>
        </w:tc>
        <w:tc>
          <w:tcPr>
            <w:tcW w:w="1580" w:type="dxa"/>
            <w:tcBorders>
              <w:top w:val="single" w:sz="4" w:space="0" w:color="auto"/>
              <w:left w:val="single" w:sz="4" w:space="0" w:color="auto"/>
              <w:bottom w:val="single" w:sz="4" w:space="0" w:color="auto"/>
              <w:right w:val="single" w:sz="4" w:space="0" w:color="auto"/>
            </w:tcBorders>
            <w:vAlign w:val="center"/>
            <w:hideMark/>
          </w:tcPr>
          <w:p w14:paraId="7FF57CB8" w14:textId="77777777" w:rsidR="003663AF" w:rsidRPr="00B7760C" w:rsidRDefault="003663AF" w:rsidP="00E804B7">
            <w:pPr>
              <w:pStyle w:val="Normal6"/>
              <w:jc w:val="right"/>
              <w:rPr>
                <w:b/>
                <w:bCs/>
                <w:i/>
                <w:iCs/>
                <w:sz w:val="20"/>
              </w:rPr>
            </w:pPr>
            <w:r w:rsidRPr="00B7760C">
              <w:rPr>
                <w:b/>
                <w:bCs/>
                <w:i/>
                <w:iCs/>
                <w:sz w:val="20"/>
              </w:rPr>
              <w:t>12 290 956</w:t>
            </w:r>
          </w:p>
        </w:tc>
        <w:tc>
          <w:tcPr>
            <w:tcW w:w="1580" w:type="dxa"/>
            <w:tcBorders>
              <w:top w:val="single" w:sz="4" w:space="0" w:color="auto"/>
              <w:left w:val="single" w:sz="4" w:space="0" w:color="auto"/>
              <w:bottom w:val="single" w:sz="4" w:space="0" w:color="auto"/>
              <w:right w:val="single" w:sz="4" w:space="0" w:color="auto"/>
            </w:tcBorders>
            <w:vAlign w:val="center"/>
            <w:hideMark/>
          </w:tcPr>
          <w:p w14:paraId="07BE9828" w14:textId="77777777" w:rsidR="003663AF" w:rsidRPr="00B7760C" w:rsidRDefault="003663AF" w:rsidP="00E804B7">
            <w:pPr>
              <w:pStyle w:val="Normal6"/>
              <w:jc w:val="right"/>
              <w:rPr>
                <w:b/>
                <w:bCs/>
                <w:i/>
                <w:iCs/>
                <w:sz w:val="20"/>
              </w:rPr>
            </w:pPr>
            <w:r w:rsidRPr="00B7760C">
              <w:rPr>
                <w:b/>
                <w:bCs/>
                <w:i/>
                <w:iCs/>
                <w:sz w:val="20"/>
              </w:rPr>
              <w:t>12 290 956</w:t>
            </w:r>
          </w:p>
        </w:tc>
        <w:tc>
          <w:tcPr>
            <w:tcW w:w="1580" w:type="dxa"/>
            <w:tcBorders>
              <w:top w:val="single" w:sz="4" w:space="0" w:color="auto"/>
              <w:left w:val="single" w:sz="4" w:space="0" w:color="auto"/>
              <w:bottom w:val="single" w:sz="4" w:space="0" w:color="auto"/>
              <w:right w:val="single" w:sz="4" w:space="0" w:color="auto"/>
            </w:tcBorders>
            <w:vAlign w:val="center"/>
            <w:hideMark/>
          </w:tcPr>
          <w:p w14:paraId="35DFED01" w14:textId="77777777" w:rsidR="003663AF" w:rsidRPr="00B7760C" w:rsidRDefault="003663AF" w:rsidP="00E804B7">
            <w:pPr>
              <w:pStyle w:val="Normal6"/>
              <w:jc w:val="right"/>
              <w:rPr>
                <w:b/>
                <w:bCs/>
                <w:i/>
                <w:iCs/>
                <w:sz w:val="20"/>
              </w:rPr>
            </w:pPr>
            <w:r w:rsidRPr="00B7760C">
              <w:rPr>
                <w:b/>
                <w:bCs/>
                <w:i/>
                <w:iCs/>
                <w:sz w:val="20"/>
              </w:rPr>
              <w:t>12 290 956</w:t>
            </w:r>
          </w:p>
        </w:tc>
        <w:tc>
          <w:tcPr>
            <w:tcW w:w="1580" w:type="dxa"/>
            <w:gridSpan w:val="2"/>
            <w:tcBorders>
              <w:top w:val="single" w:sz="4" w:space="0" w:color="auto"/>
              <w:left w:val="single" w:sz="4" w:space="0" w:color="auto"/>
              <w:bottom w:val="single" w:sz="4" w:space="0" w:color="auto"/>
              <w:right w:val="single" w:sz="4" w:space="0" w:color="auto"/>
            </w:tcBorders>
            <w:vAlign w:val="center"/>
            <w:hideMark/>
          </w:tcPr>
          <w:p w14:paraId="6A941B39" w14:textId="77777777" w:rsidR="003663AF" w:rsidRPr="00B7760C" w:rsidRDefault="003663AF" w:rsidP="00E804B7">
            <w:pPr>
              <w:pStyle w:val="Normal6"/>
              <w:jc w:val="right"/>
              <w:rPr>
                <w:b/>
                <w:bCs/>
                <w:i/>
                <w:iCs/>
                <w:sz w:val="20"/>
              </w:rPr>
            </w:pPr>
            <w:r w:rsidRPr="00B7760C">
              <w:rPr>
                <w:b/>
                <w:bCs/>
                <w:i/>
                <w:iCs/>
                <w:sz w:val="20"/>
              </w:rPr>
              <w:t>12 290 956</w:t>
            </w:r>
          </w:p>
        </w:tc>
        <w:tc>
          <w:tcPr>
            <w:tcW w:w="1580" w:type="dxa"/>
            <w:gridSpan w:val="2"/>
            <w:tcBorders>
              <w:top w:val="single" w:sz="4" w:space="0" w:color="auto"/>
              <w:left w:val="single" w:sz="4" w:space="0" w:color="auto"/>
              <w:bottom w:val="single" w:sz="4" w:space="0" w:color="auto"/>
              <w:right w:val="single" w:sz="4" w:space="0" w:color="auto"/>
            </w:tcBorders>
            <w:vAlign w:val="center"/>
            <w:hideMark/>
          </w:tcPr>
          <w:p w14:paraId="4EE54E12" w14:textId="77777777" w:rsidR="003663AF" w:rsidRPr="00B7760C" w:rsidRDefault="003663AF" w:rsidP="00E804B7">
            <w:pPr>
              <w:pStyle w:val="Normal6"/>
              <w:jc w:val="right"/>
              <w:rPr>
                <w:b/>
                <w:bCs/>
                <w:i/>
                <w:iCs/>
                <w:sz w:val="20"/>
              </w:rPr>
            </w:pPr>
            <w:r w:rsidRPr="00B7760C">
              <w:rPr>
                <w:b/>
                <w:bCs/>
                <w:i/>
                <w:iCs/>
                <w:sz w:val="20"/>
              </w:rPr>
              <w:t>12 290 956</w:t>
            </w:r>
          </w:p>
        </w:tc>
        <w:tc>
          <w:tcPr>
            <w:tcW w:w="1580" w:type="dxa"/>
            <w:tcBorders>
              <w:top w:val="single" w:sz="4" w:space="0" w:color="auto"/>
              <w:left w:val="single" w:sz="4" w:space="0" w:color="auto"/>
              <w:bottom w:val="single" w:sz="4" w:space="0" w:color="auto"/>
              <w:right w:val="single" w:sz="4" w:space="0" w:color="auto"/>
            </w:tcBorders>
            <w:vAlign w:val="center"/>
            <w:hideMark/>
          </w:tcPr>
          <w:p w14:paraId="4DF0E5C0" w14:textId="77777777" w:rsidR="003663AF" w:rsidRPr="00B7760C" w:rsidRDefault="003663AF" w:rsidP="00E804B7">
            <w:pPr>
              <w:pStyle w:val="Normal6"/>
              <w:jc w:val="right"/>
              <w:rPr>
                <w:b/>
                <w:bCs/>
                <w:i/>
                <w:iCs/>
                <w:sz w:val="20"/>
              </w:rPr>
            </w:pPr>
            <w:r w:rsidRPr="00B7760C">
              <w:rPr>
                <w:b/>
                <w:bCs/>
                <w:i/>
                <w:iCs/>
                <w:sz w:val="20"/>
              </w:rPr>
              <w:t>86 036 692</w:t>
            </w:r>
          </w:p>
        </w:tc>
      </w:tr>
      <w:tr w:rsidR="003663AF" w:rsidRPr="00B7760C" w14:paraId="2D03E672" w14:textId="77777777" w:rsidTr="00E804B7">
        <w:trPr>
          <w:cantSplit/>
          <w:trHeight w:val="255"/>
          <w:jc w:val="center"/>
        </w:trPr>
        <w:tc>
          <w:tcPr>
            <w:tcW w:w="1580" w:type="dxa"/>
            <w:tcBorders>
              <w:top w:val="single" w:sz="4" w:space="0" w:color="auto"/>
              <w:left w:val="single" w:sz="4" w:space="0" w:color="auto"/>
              <w:bottom w:val="single" w:sz="4" w:space="0" w:color="auto"/>
              <w:right w:val="single" w:sz="4" w:space="0" w:color="auto"/>
            </w:tcBorders>
            <w:vAlign w:val="center"/>
            <w:hideMark/>
          </w:tcPr>
          <w:p w14:paraId="0CD7851E" w14:textId="77777777" w:rsidR="003663AF" w:rsidRPr="00B7760C" w:rsidRDefault="003663AF" w:rsidP="00E804B7">
            <w:pPr>
              <w:pStyle w:val="Normal6"/>
              <w:rPr>
                <w:sz w:val="20"/>
              </w:rPr>
            </w:pPr>
            <w:r w:rsidRPr="00B7760C">
              <w:rPr>
                <w:sz w:val="20"/>
              </w:rPr>
              <w:t>Madžarska</w:t>
            </w:r>
          </w:p>
        </w:tc>
        <w:tc>
          <w:tcPr>
            <w:tcW w:w="1580" w:type="dxa"/>
            <w:tcBorders>
              <w:top w:val="single" w:sz="4" w:space="0" w:color="auto"/>
              <w:left w:val="single" w:sz="4" w:space="0" w:color="auto"/>
              <w:bottom w:val="single" w:sz="4" w:space="0" w:color="auto"/>
              <w:right w:val="single" w:sz="4" w:space="0" w:color="auto"/>
            </w:tcBorders>
            <w:vAlign w:val="center"/>
            <w:hideMark/>
          </w:tcPr>
          <w:p w14:paraId="431A889F" w14:textId="77777777" w:rsidR="003663AF" w:rsidRPr="00B7760C" w:rsidRDefault="003663AF" w:rsidP="00E804B7">
            <w:pPr>
              <w:pStyle w:val="Normal6"/>
              <w:jc w:val="right"/>
              <w:rPr>
                <w:b/>
                <w:bCs/>
                <w:i/>
                <w:iCs/>
                <w:sz w:val="20"/>
              </w:rPr>
            </w:pPr>
            <w:r w:rsidRPr="00B7760C">
              <w:rPr>
                <w:b/>
                <w:bCs/>
                <w:i/>
                <w:iCs/>
                <w:sz w:val="20"/>
              </w:rPr>
              <w:t>416 202 472</w:t>
            </w:r>
          </w:p>
        </w:tc>
        <w:tc>
          <w:tcPr>
            <w:tcW w:w="1580" w:type="dxa"/>
            <w:tcBorders>
              <w:top w:val="single" w:sz="4" w:space="0" w:color="auto"/>
              <w:left w:val="single" w:sz="4" w:space="0" w:color="auto"/>
              <w:bottom w:val="single" w:sz="4" w:space="0" w:color="auto"/>
              <w:right w:val="single" w:sz="4" w:space="0" w:color="auto"/>
            </w:tcBorders>
            <w:vAlign w:val="center"/>
            <w:hideMark/>
          </w:tcPr>
          <w:p w14:paraId="6BF8027E" w14:textId="77777777" w:rsidR="003663AF" w:rsidRPr="00B7760C" w:rsidRDefault="003663AF" w:rsidP="00E804B7">
            <w:pPr>
              <w:pStyle w:val="Normal6"/>
              <w:jc w:val="right"/>
              <w:rPr>
                <w:b/>
                <w:bCs/>
                <w:i/>
                <w:iCs/>
                <w:sz w:val="20"/>
              </w:rPr>
            </w:pPr>
            <w:r w:rsidRPr="00B7760C">
              <w:rPr>
                <w:b/>
                <w:bCs/>
                <w:i/>
                <w:iCs/>
                <w:sz w:val="20"/>
              </w:rPr>
              <w:t>416 202 472</w:t>
            </w:r>
          </w:p>
        </w:tc>
        <w:tc>
          <w:tcPr>
            <w:tcW w:w="1580" w:type="dxa"/>
            <w:tcBorders>
              <w:top w:val="single" w:sz="4" w:space="0" w:color="auto"/>
              <w:left w:val="single" w:sz="4" w:space="0" w:color="auto"/>
              <w:bottom w:val="single" w:sz="4" w:space="0" w:color="auto"/>
              <w:right w:val="single" w:sz="4" w:space="0" w:color="auto"/>
            </w:tcBorders>
            <w:vAlign w:val="center"/>
            <w:hideMark/>
          </w:tcPr>
          <w:p w14:paraId="24848799" w14:textId="77777777" w:rsidR="003663AF" w:rsidRPr="00B7760C" w:rsidRDefault="003663AF" w:rsidP="00E804B7">
            <w:pPr>
              <w:pStyle w:val="Normal6"/>
              <w:jc w:val="right"/>
              <w:rPr>
                <w:b/>
                <w:bCs/>
                <w:i/>
                <w:iCs/>
                <w:sz w:val="20"/>
              </w:rPr>
            </w:pPr>
            <w:r w:rsidRPr="00B7760C">
              <w:rPr>
                <w:b/>
                <w:bCs/>
                <w:i/>
                <w:iCs/>
                <w:sz w:val="20"/>
              </w:rPr>
              <w:t>416 202 472</w:t>
            </w:r>
          </w:p>
        </w:tc>
        <w:tc>
          <w:tcPr>
            <w:tcW w:w="1580" w:type="dxa"/>
            <w:tcBorders>
              <w:top w:val="single" w:sz="4" w:space="0" w:color="auto"/>
              <w:left w:val="single" w:sz="4" w:space="0" w:color="auto"/>
              <w:bottom w:val="single" w:sz="4" w:space="0" w:color="auto"/>
              <w:right w:val="single" w:sz="4" w:space="0" w:color="auto"/>
            </w:tcBorders>
            <w:vAlign w:val="center"/>
            <w:hideMark/>
          </w:tcPr>
          <w:p w14:paraId="0B52BABF" w14:textId="77777777" w:rsidR="003663AF" w:rsidRPr="00B7760C" w:rsidRDefault="003663AF" w:rsidP="00E804B7">
            <w:pPr>
              <w:pStyle w:val="Normal6"/>
              <w:jc w:val="right"/>
              <w:rPr>
                <w:b/>
                <w:bCs/>
                <w:i/>
                <w:iCs/>
                <w:sz w:val="20"/>
              </w:rPr>
            </w:pPr>
            <w:r w:rsidRPr="00B7760C">
              <w:rPr>
                <w:b/>
                <w:bCs/>
                <w:i/>
                <w:iCs/>
                <w:sz w:val="20"/>
              </w:rPr>
              <w:t>416 202 472</w:t>
            </w:r>
          </w:p>
        </w:tc>
        <w:tc>
          <w:tcPr>
            <w:tcW w:w="1580" w:type="dxa"/>
            <w:tcBorders>
              <w:top w:val="single" w:sz="4" w:space="0" w:color="auto"/>
              <w:left w:val="single" w:sz="4" w:space="0" w:color="auto"/>
              <w:bottom w:val="single" w:sz="4" w:space="0" w:color="auto"/>
              <w:right w:val="single" w:sz="4" w:space="0" w:color="auto"/>
            </w:tcBorders>
            <w:vAlign w:val="center"/>
            <w:hideMark/>
          </w:tcPr>
          <w:p w14:paraId="7FD2F3C5" w14:textId="77777777" w:rsidR="003663AF" w:rsidRPr="00B7760C" w:rsidRDefault="003663AF" w:rsidP="00E804B7">
            <w:pPr>
              <w:pStyle w:val="Normal6"/>
              <w:jc w:val="right"/>
              <w:rPr>
                <w:b/>
                <w:bCs/>
                <w:i/>
                <w:iCs/>
                <w:sz w:val="20"/>
              </w:rPr>
            </w:pPr>
            <w:r w:rsidRPr="00B7760C">
              <w:rPr>
                <w:b/>
                <w:bCs/>
                <w:i/>
                <w:iCs/>
                <w:sz w:val="20"/>
              </w:rPr>
              <w:t>416 202 472</w:t>
            </w:r>
          </w:p>
        </w:tc>
        <w:tc>
          <w:tcPr>
            <w:tcW w:w="1580" w:type="dxa"/>
            <w:gridSpan w:val="2"/>
            <w:tcBorders>
              <w:top w:val="single" w:sz="4" w:space="0" w:color="auto"/>
              <w:left w:val="single" w:sz="4" w:space="0" w:color="auto"/>
              <w:bottom w:val="single" w:sz="4" w:space="0" w:color="auto"/>
              <w:right w:val="single" w:sz="4" w:space="0" w:color="auto"/>
            </w:tcBorders>
            <w:vAlign w:val="center"/>
            <w:hideMark/>
          </w:tcPr>
          <w:p w14:paraId="5ADECA38" w14:textId="77777777" w:rsidR="003663AF" w:rsidRPr="00B7760C" w:rsidRDefault="003663AF" w:rsidP="00E804B7">
            <w:pPr>
              <w:pStyle w:val="Normal6"/>
              <w:jc w:val="right"/>
              <w:rPr>
                <w:b/>
                <w:bCs/>
                <w:i/>
                <w:iCs/>
                <w:sz w:val="20"/>
              </w:rPr>
            </w:pPr>
            <w:r w:rsidRPr="00B7760C">
              <w:rPr>
                <w:b/>
                <w:bCs/>
                <w:i/>
                <w:iCs/>
                <w:sz w:val="20"/>
              </w:rPr>
              <w:t>416 202 472</w:t>
            </w:r>
          </w:p>
        </w:tc>
        <w:tc>
          <w:tcPr>
            <w:tcW w:w="1580" w:type="dxa"/>
            <w:gridSpan w:val="2"/>
            <w:tcBorders>
              <w:top w:val="single" w:sz="4" w:space="0" w:color="auto"/>
              <w:left w:val="single" w:sz="4" w:space="0" w:color="auto"/>
              <w:bottom w:val="single" w:sz="4" w:space="0" w:color="auto"/>
              <w:right w:val="single" w:sz="4" w:space="0" w:color="auto"/>
            </w:tcBorders>
            <w:vAlign w:val="center"/>
            <w:hideMark/>
          </w:tcPr>
          <w:p w14:paraId="3000B7B6" w14:textId="77777777" w:rsidR="003663AF" w:rsidRPr="00B7760C" w:rsidRDefault="003663AF" w:rsidP="00E804B7">
            <w:pPr>
              <w:pStyle w:val="Normal6"/>
              <w:jc w:val="right"/>
              <w:rPr>
                <w:b/>
                <w:bCs/>
                <w:i/>
                <w:iCs/>
                <w:sz w:val="20"/>
              </w:rPr>
            </w:pPr>
            <w:r w:rsidRPr="00B7760C">
              <w:rPr>
                <w:b/>
                <w:bCs/>
                <w:i/>
                <w:iCs/>
                <w:sz w:val="20"/>
              </w:rPr>
              <w:t>416 202 472</w:t>
            </w:r>
          </w:p>
        </w:tc>
        <w:tc>
          <w:tcPr>
            <w:tcW w:w="1580" w:type="dxa"/>
            <w:tcBorders>
              <w:top w:val="single" w:sz="4" w:space="0" w:color="auto"/>
              <w:left w:val="single" w:sz="4" w:space="0" w:color="auto"/>
              <w:bottom w:val="single" w:sz="4" w:space="0" w:color="auto"/>
              <w:right w:val="single" w:sz="4" w:space="0" w:color="auto"/>
            </w:tcBorders>
            <w:vAlign w:val="center"/>
            <w:hideMark/>
          </w:tcPr>
          <w:p w14:paraId="26949424" w14:textId="77777777" w:rsidR="003663AF" w:rsidRPr="00B7760C" w:rsidRDefault="003663AF" w:rsidP="00E804B7">
            <w:pPr>
              <w:pStyle w:val="Normal6"/>
              <w:jc w:val="right"/>
              <w:rPr>
                <w:b/>
                <w:bCs/>
                <w:i/>
                <w:iCs/>
                <w:sz w:val="20"/>
              </w:rPr>
            </w:pPr>
            <w:r w:rsidRPr="00B7760C">
              <w:rPr>
                <w:b/>
                <w:bCs/>
                <w:i/>
                <w:iCs/>
                <w:sz w:val="20"/>
              </w:rPr>
              <w:t>2 913 417 304</w:t>
            </w:r>
          </w:p>
        </w:tc>
      </w:tr>
      <w:tr w:rsidR="003663AF" w:rsidRPr="00B7760C" w14:paraId="1EE75DF5" w14:textId="77777777" w:rsidTr="00E804B7">
        <w:trPr>
          <w:cantSplit/>
          <w:trHeight w:val="255"/>
          <w:jc w:val="center"/>
        </w:trPr>
        <w:tc>
          <w:tcPr>
            <w:tcW w:w="1580" w:type="dxa"/>
            <w:tcBorders>
              <w:top w:val="single" w:sz="4" w:space="0" w:color="auto"/>
              <w:left w:val="single" w:sz="4" w:space="0" w:color="auto"/>
              <w:bottom w:val="single" w:sz="4" w:space="0" w:color="auto"/>
              <w:right w:val="single" w:sz="4" w:space="0" w:color="auto"/>
            </w:tcBorders>
            <w:vAlign w:val="center"/>
            <w:hideMark/>
          </w:tcPr>
          <w:p w14:paraId="09AC7431" w14:textId="77777777" w:rsidR="003663AF" w:rsidRPr="00B7760C" w:rsidRDefault="003663AF" w:rsidP="00E804B7">
            <w:pPr>
              <w:pStyle w:val="Normal6"/>
              <w:rPr>
                <w:sz w:val="20"/>
              </w:rPr>
            </w:pPr>
            <w:r w:rsidRPr="00B7760C">
              <w:rPr>
                <w:sz w:val="20"/>
              </w:rPr>
              <w:t>Malta</w:t>
            </w:r>
          </w:p>
        </w:tc>
        <w:tc>
          <w:tcPr>
            <w:tcW w:w="1580" w:type="dxa"/>
            <w:tcBorders>
              <w:top w:val="single" w:sz="4" w:space="0" w:color="auto"/>
              <w:left w:val="single" w:sz="4" w:space="0" w:color="auto"/>
              <w:bottom w:val="single" w:sz="4" w:space="0" w:color="auto"/>
              <w:right w:val="single" w:sz="4" w:space="0" w:color="auto"/>
            </w:tcBorders>
            <w:vAlign w:val="center"/>
            <w:hideMark/>
          </w:tcPr>
          <w:p w14:paraId="37F227EF" w14:textId="77777777" w:rsidR="003663AF" w:rsidRPr="00B7760C" w:rsidRDefault="003663AF" w:rsidP="00E804B7">
            <w:pPr>
              <w:pStyle w:val="Normal6"/>
              <w:jc w:val="right"/>
              <w:rPr>
                <w:b/>
                <w:bCs/>
                <w:i/>
                <w:iCs/>
                <w:sz w:val="20"/>
              </w:rPr>
            </w:pPr>
            <w:r w:rsidRPr="00B7760C">
              <w:rPr>
                <w:b/>
                <w:bCs/>
                <w:i/>
                <w:iCs/>
                <w:sz w:val="20"/>
              </w:rPr>
              <w:t>12 207 322</w:t>
            </w:r>
          </w:p>
        </w:tc>
        <w:tc>
          <w:tcPr>
            <w:tcW w:w="1580" w:type="dxa"/>
            <w:tcBorders>
              <w:top w:val="single" w:sz="4" w:space="0" w:color="auto"/>
              <w:left w:val="single" w:sz="4" w:space="0" w:color="auto"/>
              <w:bottom w:val="single" w:sz="4" w:space="0" w:color="auto"/>
              <w:right w:val="single" w:sz="4" w:space="0" w:color="auto"/>
            </w:tcBorders>
            <w:vAlign w:val="center"/>
            <w:hideMark/>
          </w:tcPr>
          <w:p w14:paraId="5FF2D523" w14:textId="77777777" w:rsidR="003663AF" w:rsidRPr="00B7760C" w:rsidRDefault="003663AF" w:rsidP="00E804B7">
            <w:pPr>
              <w:pStyle w:val="Normal6"/>
              <w:jc w:val="right"/>
              <w:rPr>
                <w:b/>
                <w:bCs/>
                <w:i/>
                <w:iCs/>
                <w:sz w:val="20"/>
              </w:rPr>
            </w:pPr>
            <w:r w:rsidRPr="00B7760C">
              <w:rPr>
                <w:b/>
                <w:bCs/>
                <w:i/>
                <w:iCs/>
                <w:sz w:val="20"/>
              </w:rPr>
              <w:t>12 207 322</w:t>
            </w:r>
          </w:p>
        </w:tc>
        <w:tc>
          <w:tcPr>
            <w:tcW w:w="1580" w:type="dxa"/>
            <w:tcBorders>
              <w:top w:val="single" w:sz="4" w:space="0" w:color="auto"/>
              <w:left w:val="single" w:sz="4" w:space="0" w:color="auto"/>
              <w:bottom w:val="single" w:sz="4" w:space="0" w:color="auto"/>
              <w:right w:val="single" w:sz="4" w:space="0" w:color="auto"/>
            </w:tcBorders>
            <w:vAlign w:val="center"/>
            <w:hideMark/>
          </w:tcPr>
          <w:p w14:paraId="01E78D57" w14:textId="77777777" w:rsidR="003663AF" w:rsidRPr="00B7760C" w:rsidRDefault="003663AF" w:rsidP="00E804B7">
            <w:pPr>
              <w:pStyle w:val="Normal6"/>
              <w:jc w:val="right"/>
              <w:rPr>
                <w:b/>
                <w:bCs/>
                <w:i/>
                <w:iCs/>
                <w:sz w:val="20"/>
              </w:rPr>
            </w:pPr>
            <w:r w:rsidRPr="00B7760C">
              <w:rPr>
                <w:b/>
                <w:bCs/>
                <w:i/>
                <w:iCs/>
                <w:sz w:val="20"/>
              </w:rPr>
              <w:t>12 207 322</w:t>
            </w:r>
          </w:p>
        </w:tc>
        <w:tc>
          <w:tcPr>
            <w:tcW w:w="1580" w:type="dxa"/>
            <w:tcBorders>
              <w:top w:val="single" w:sz="4" w:space="0" w:color="auto"/>
              <w:left w:val="single" w:sz="4" w:space="0" w:color="auto"/>
              <w:bottom w:val="single" w:sz="4" w:space="0" w:color="auto"/>
              <w:right w:val="single" w:sz="4" w:space="0" w:color="auto"/>
            </w:tcBorders>
            <w:vAlign w:val="center"/>
            <w:hideMark/>
          </w:tcPr>
          <w:p w14:paraId="2B25EC1E" w14:textId="77777777" w:rsidR="003663AF" w:rsidRPr="00B7760C" w:rsidRDefault="003663AF" w:rsidP="00E804B7">
            <w:pPr>
              <w:pStyle w:val="Normal6"/>
              <w:jc w:val="right"/>
              <w:rPr>
                <w:b/>
                <w:bCs/>
                <w:i/>
                <w:iCs/>
                <w:sz w:val="20"/>
              </w:rPr>
            </w:pPr>
            <w:r w:rsidRPr="00B7760C">
              <w:rPr>
                <w:b/>
                <w:bCs/>
                <w:i/>
                <w:iCs/>
                <w:sz w:val="20"/>
              </w:rPr>
              <w:t>12 207 322</w:t>
            </w:r>
          </w:p>
        </w:tc>
        <w:tc>
          <w:tcPr>
            <w:tcW w:w="1580" w:type="dxa"/>
            <w:tcBorders>
              <w:top w:val="single" w:sz="4" w:space="0" w:color="auto"/>
              <w:left w:val="single" w:sz="4" w:space="0" w:color="auto"/>
              <w:bottom w:val="single" w:sz="4" w:space="0" w:color="auto"/>
              <w:right w:val="single" w:sz="4" w:space="0" w:color="auto"/>
            </w:tcBorders>
            <w:vAlign w:val="center"/>
            <w:hideMark/>
          </w:tcPr>
          <w:p w14:paraId="68E00680" w14:textId="77777777" w:rsidR="003663AF" w:rsidRPr="00B7760C" w:rsidRDefault="003663AF" w:rsidP="00E804B7">
            <w:pPr>
              <w:pStyle w:val="Normal6"/>
              <w:jc w:val="right"/>
              <w:rPr>
                <w:b/>
                <w:bCs/>
                <w:i/>
                <w:iCs/>
                <w:sz w:val="20"/>
              </w:rPr>
            </w:pPr>
            <w:r w:rsidRPr="00B7760C">
              <w:rPr>
                <w:b/>
                <w:bCs/>
                <w:i/>
                <w:iCs/>
                <w:sz w:val="20"/>
              </w:rPr>
              <w:t>12 207 322</w:t>
            </w:r>
          </w:p>
        </w:tc>
        <w:tc>
          <w:tcPr>
            <w:tcW w:w="1580" w:type="dxa"/>
            <w:gridSpan w:val="2"/>
            <w:tcBorders>
              <w:top w:val="single" w:sz="4" w:space="0" w:color="auto"/>
              <w:left w:val="single" w:sz="4" w:space="0" w:color="auto"/>
              <w:bottom w:val="single" w:sz="4" w:space="0" w:color="auto"/>
              <w:right w:val="single" w:sz="4" w:space="0" w:color="auto"/>
            </w:tcBorders>
            <w:vAlign w:val="center"/>
            <w:hideMark/>
          </w:tcPr>
          <w:p w14:paraId="756657E7" w14:textId="77777777" w:rsidR="003663AF" w:rsidRPr="00B7760C" w:rsidRDefault="003663AF" w:rsidP="00E804B7">
            <w:pPr>
              <w:pStyle w:val="Normal6"/>
              <w:jc w:val="right"/>
              <w:rPr>
                <w:b/>
                <w:bCs/>
                <w:i/>
                <w:iCs/>
                <w:sz w:val="20"/>
              </w:rPr>
            </w:pPr>
            <w:r w:rsidRPr="00B7760C">
              <w:rPr>
                <w:b/>
                <w:bCs/>
                <w:i/>
                <w:iCs/>
                <w:sz w:val="20"/>
              </w:rPr>
              <w:t>12 207 322</w:t>
            </w:r>
          </w:p>
        </w:tc>
        <w:tc>
          <w:tcPr>
            <w:tcW w:w="1580" w:type="dxa"/>
            <w:gridSpan w:val="2"/>
            <w:tcBorders>
              <w:top w:val="single" w:sz="4" w:space="0" w:color="auto"/>
              <w:left w:val="single" w:sz="4" w:space="0" w:color="auto"/>
              <w:bottom w:val="single" w:sz="4" w:space="0" w:color="auto"/>
              <w:right w:val="single" w:sz="4" w:space="0" w:color="auto"/>
            </w:tcBorders>
            <w:vAlign w:val="center"/>
            <w:hideMark/>
          </w:tcPr>
          <w:p w14:paraId="72473F56" w14:textId="77777777" w:rsidR="003663AF" w:rsidRPr="00B7760C" w:rsidRDefault="003663AF" w:rsidP="00E804B7">
            <w:pPr>
              <w:pStyle w:val="Normal6"/>
              <w:jc w:val="right"/>
              <w:rPr>
                <w:b/>
                <w:bCs/>
                <w:i/>
                <w:iCs/>
                <w:sz w:val="20"/>
              </w:rPr>
            </w:pPr>
            <w:r w:rsidRPr="00B7760C">
              <w:rPr>
                <w:b/>
                <w:bCs/>
                <w:i/>
                <w:iCs/>
                <w:sz w:val="20"/>
              </w:rPr>
              <w:t>12 207 322</w:t>
            </w:r>
          </w:p>
        </w:tc>
        <w:tc>
          <w:tcPr>
            <w:tcW w:w="1580" w:type="dxa"/>
            <w:tcBorders>
              <w:top w:val="single" w:sz="4" w:space="0" w:color="auto"/>
              <w:left w:val="single" w:sz="4" w:space="0" w:color="auto"/>
              <w:bottom w:val="single" w:sz="4" w:space="0" w:color="auto"/>
              <w:right w:val="single" w:sz="4" w:space="0" w:color="auto"/>
            </w:tcBorders>
            <w:vAlign w:val="center"/>
            <w:hideMark/>
          </w:tcPr>
          <w:p w14:paraId="3255C15A" w14:textId="77777777" w:rsidR="003663AF" w:rsidRPr="00B7760C" w:rsidRDefault="003663AF" w:rsidP="00E804B7">
            <w:pPr>
              <w:pStyle w:val="Normal6"/>
              <w:jc w:val="right"/>
              <w:rPr>
                <w:b/>
                <w:bCs/>
                <w:i/>
                <w:iCs/>
                <w:sz w:val="20"/>
              </w:rPr>
            </w:pPr>
            <w:r w:rsidRPr="00B7760C">
              <w:rPr>
                <w:b/>
                <w:bCs/>
                <w:i/>
                <w:iCs/>
                <w:sz w:val="20"/>
              </w:rPr>
              <w:t>85 451 254</w:t>
            </w:r>
          </w:p>
        </w:tc>
      </w:tr>
      <w:tr w:rsidR="003663AF" w:rsidRPr="00B7760C" w14:paraId="2AD09743" w14:textId="77777777" w:rsidTr="00E804B7">
        <w:trPr>
          <w:cantSplit/>
          <w:trHeight w:val="255"/>
          <w:jc w:val="center"/>
        </w:trPr>
        <w:tc>
          <w:tcPr>
            <w:tcW w:w="1580" w:type="dxa"/>
            <w:tcBorders>
              <w:top w:val="single" w:sz="4" w:space="0" w:color="auto"/>
              <w:left w:val="single" w:sz="4" w:space="0" w:color="auto"/>
              <w:bottom w:val="single" w:sz="4" w:space="0" w:color="auto"/>
              <w:right w:val="single" w:sz="4" w:space="0" w:color="auto"/>
            </w:tcBorders>
            <w:vAlign w:val="center"/>
            <w:hideMark/>
          </w:tcPr>
          <w:p w14:paraId="2D0C45B0" w14:textId="77777777" w:rsidR="003663AF" w:rsidRPr="00B7760C" w:rsidRDefault="003663AF" w:rsidP="00E804B7">
            <w:pPr>
              <w:pStyle w:val="Normal6"/>
              <w:rPr>
                <w:sz w:val="20"/>
              </w:rPr>
            </w:pPr>
            <w:r w:rsidRPr="00B7760C">
              <w:rPr>
                <w:sz w:val="20"/>
              </w:rPr>
              <w:t>Nizozemska</w:t>
            </w:r>
          </w:p>
        </w:tc>
        <w:tc>
          <w:tcPr>
            <w:tcW w:w="1580" w:type="dxa"/>
            <w:tcBorders>
              <w:top w:val="single" w:sz="4" w:space="0" w:color="auto"/>
              <w:left w:val="single" w:sz="4" w:space="0" w:color="auto"/>
              <w:bottom w:val="single" w:sz="4" w:space="0" w:color="auto"/>
              <w:right w:val="single" w:sz="4" w:space="0" w:color="auto"/>
            </w:tcBorders>
            <w:vAlign w:val="center"/>
            <w:hideMark/>
          </w:tcPr>
          <w:p w14:paraId="4ADA47EE" w14:textId="77777777" w:rsidR="003663AF" w:rsidRPr="00B7760C" w:rsidRDefault="003663AF" w:rsidP="00E804B7">
            <w:pPr>
              <w:pStyle w:val="Normal6"/>
              <w:jc w:val="right"/>
              <w:rPr>
                <w:b/>
                <w:bCs/>
                <w:i/>
                <w:iCs/>
                <w:sz w:val="20"/>
              </w:rPr>
            </w:pPr>
            <w:r w:rsidRPr="00B7760C">
              <w:rPr>
                <w:b/>
                <w:bCs/>
                <w:i/>
                <w:iCs/>
                <w:sz w:val="20"/>
              </w:rPr>
              <w:t>73 151 195</w:t>
            </w:r>
          </w:p>
        </w:tc>
        <w:tc>
          <w:tcPr>
            <w:tcW w:w="1580" w:type="dxa"/>
            <w:tcBorders>
              <w:top w:val="single" w:sz="4" w:space="0" w:color="auto"/>
              <w:left w:val="single" w:sz="4" w:space="0" w:color="auto"/>
              <w:bottom w:val="single" w:sz="4" w:space="0" w:color="auto"/>
              <w:right w:val="single" w:sz="4" w:space="0" w:color="auto"/>
            </w:tcBorders>
            <w:vAlign w:val="center"/>
            <w:hideMark/>
          </w:tcPr>
          <w:p w14:paraId="33064AE1" w14:textId="77777777" w:rsidR="003663AF" w:rsidRPr="00B7760C" w:rsidRDefault="003663AF" w:rsidP="00E804B7">
            <w:pPr>
              <w:pStyle w:val="Normal6"/>
              <w:jc w:val="right"/>
              <w:rPr>
                <w:b/>
                <w:bCs/>
                <w:i/>
                <w:iCs/>
                <w:sz w:val="20"/>
              </w:rPr>
            </w:pPr>
            <w:r w:rsidRPr="00B7760C">
              <w:rPr>
                <w:b/>
                <w:bCs/>
                <w:i/>
                <w:iCs/>
                <w:sz w:val="20"/>
              </w:rPr>
              <w:t>73 151 195</w:t>
            </w:r>
          </w:p>
        </w:tc>
        <w:tc>
          <w:tcPr>
            <w:tcW w:w="1580" w:type="dxa"/>
            <w:tcBorders>
              <w:top w:val="single" w:sz="4" w:space="0" w:color="auto"/>
              <w:left w:val="single" w:sz="4" w:space="0" w:color="auto"/>
              <w:bottom w:val="single" w:sz="4" w:space="0" w:color="auto"/>
              <w:right w:val="single" w:sz="4" w:space="0" w:color="auto"/>
            </w:tcBorders>
            <w:vAlign w:val="center"/>
            <w:hideMark/>
          </w:tcPr>
          <w:p w14:paraId="13737647" w14:textId="77777777" w:rsidR="003663AF" w:rsidRPr="00B7760C" w:rsidRDefault="003663AF" w:rsidP="00E804B7">
            <w:pPr>
              <w:pStyle w:val="Normal6"/>
              <w:jc w:val="right"/>
              <w:rPr>
                <w:b/>
                <w:bCs/>
                <w:i/>
                <w:iCs/>
                <w:sz w:val="20"/>
              </w:rPr>
            </w:pPr>
            <w:r w:rsidRPr="00B7760C">
              <w:rPr>
                <w:b/>
                <w:bCs/>
                <w:i/>
                <w:iCs/>
                <w:sz w:val="20"/>
              </w:rPr>
              <w:t>73 151 195</w:t>
            </w:r>
          </w:p>
        </w:tc>
        <w:tc>
          <w:tcPr>
            <w:tcW w:w="1580" w:type="dxa"/>
            <w:tcBorders>
              <w:top w:val="single" w:sz="4" w:space="0" w:color="auto"/>
              <w:left w:val="single" w:sz="4" w:space="0" w:color="auto"/>
              <w:bottom w:val="single" w:sz="4" w:space="0" w:color="auto"/>
              <w:right w:val="single" w:sz="4" w:space="0" w:color="auto"/>
            </w:tcBorders>
            <w:vAlign w:val="center"/>
            <w:hideMark/>
          </w:tcPr>
          <w:p w14:paraId="4F8D41C8" w14:textId="77777777" w:rsidR="003663AF" w:rsidRPr="00B7760C" w:rsidRDefault="003663AF" w:rsidP="00E804B7">
            <w:pPr>
              <w:pStyle w:val="Normal6"/>
              <w:jc w:val="right"/>
              <w:rPr>
                <w:b/>
                <w:bCs/>
                <w:i/>
                <w:iCs/>
                <w:sz w:val="20"/>
              </w:rPr>
            </w:pPr>
            <w:r w:rsidRPr="00B7760C">
              <w:rPr>
                <w:b/>
                <w:bCs/>
                <w:i/>
                <w:iCs/>
                <w:sz w:val="20"/>
              </w:rPr>
              <w:t>73 151 195</w:t>
            </w:r>
          </w:p>
        </w:tc>
        <w:tc>
          <w:tcPr>
            <w:tcW w:w="1580" w:type="dxa"/>
            <w:tcBorders>
              <w:top w:val="single" w:sz="4" w:space="0" w:color="auto"/>
              <w:left w:val="single" w:sz="4" w:space="0" w:color="auto"/>
              <w:bottom w:val="single" w:sz="4" w:space="0" w:color="auto"/>
              <w:right w:val="single" w:sz="4" w:space="0" w:color="auto"/>
            </w:tcBorders>
            <w:vAlign w:val="center"/>
            <w:hideMark/>
          </w:tcPr>
          <w:p w14:paraId="79217423" w14:textId="77777777" w:rsidR="003663AF" w:rsidRPr="00B7760C" w:rsidRDefault="003663AF" w:rsidP="00E804B7">
            <w:pPr>
              <w:pStyle w:val="Normal6"/>
              <w:jc w:val="right"/>
              <w:rPr>
                <w:b/>
                <w:bCs/>
                <w:i/>
                <w:iCs/>
                <w:sz w:val="20"/>
              </w:rPr>
            </w:pPr>
            <w:r w:rsidRPr="00B7760C">
              <w:rPr>
                <w:b/>
                <w:bCs/>
                <w:i/>
                <w:iCs/>
                <w:sz w:val="20"/>
              </w:rPr>
              <w:t>73 151 195</w:t>
            </w:r>
          </w:p>
        </w:tc>
        <w:tc>
          <w:tcPr>
            <w:tcW w:w="1580" w:type="dxa"/>
            <w:gridSpan w:val="2"/>
            <w:tcBorders>
              <w:top w:val="single" w:sz="4" w:space="0" w:color="auto"/>
              <w:left w:val="single" w:sz="4" w:space="0" w:color="auto"/>
              <w:bottom w:val="single" w:sz="4" w:space="0" w:color="auto"/>
              <w:right w:val="single" w:sz="4" w:space="0" w:color="auto"/>
            </w:tcBorders>
            <w:vAlign w:val="center"/>
            <w:hideMark/>
          </w:tcPr>
          <w:p w14:paraId="137164CB" w14:textId="77777777" w:rsidR="003663AF" w:rsidRPr="00B7760C" w:rsidRDefault="003663AF" w:rsidP="00E804B7">
            <w:pPr>
              <w:pStyle w:val="Normal6"/>
              <w:jc w:val="right"/>
              <w:rPr>
                <w:b/>
                <w:bCs/>
                <w:i/>
                <w:iCs/>
                <w:sz w:val="20"/>
              </w:rPr>
            </w:pPr>
            <w:r w:rsidRPr="00B7760C">
              <w:rPr>
                <w:b/>
                <w:bCs/>
                <w:i/>
                <w:iCs/>
                <w:sz w:val="20"/>
              </w:rPr>
              <w:t>73 151 195</w:t>
            </w:r>
          </w:p>
        </w:tc>
        <w:tc>
          <w:tcPr>
            <w:tcW w:w="1580" w:type="dxa"/>
            <w:gridSpan w:val="2"/>
            <w:tcBorders>
              <w:top w:val="single" w:sz="4" w:space="0" w:color="auto"/>
              <w:left w:val="single" w:sz="4" w:space="0" w:color="auto"/>
              <w:bottom w:val="single" w:sz="4" w:space="0" w:color="auto"/>
              <w:right w:val="single" w:sz="4" w:space="0" w:color="auto"/>
            </w:tcBorders>
            <w:vAlign w:val="center"/>
            <w:hideMark/>
          </w:tcPr>
          <w:p w14:paraId="00347FD0" w14:textId="77777777" w:rsidR="003663AF" w:rsidRPr="00B7760C" w:rsidRDefault="003663AF" w:rsidP="00E804B7">
            <w:pPr>
              <w:pStyle w:val="Normal6"/>
              <w:jc w:val="right"/>
              <w:rPr>
                <w:b/>
                <w:bCs/>
                <w:i/>
                <w:iCs/>
                <w:sz w:val="20"/>
              </w:rPr>
            </w:pPr>
            <w:r w:rsidRPr="00B7760C">
              <w:rPr>
                <w:b/>
                <w:bCs/>
                <w:i/>
                <w:iCs/>
                <w:sz w:val="20"/>
              </w:rPr>
              <w:t>73 151 195</w:t>
            </w:r>
          </w:p>
        </w:tc>
        <w:tc>
          <w:tcPr>
            <w:tcW w:w="1580" w:type="dxa"/>
            <w:tcBorders>
              <w:top w:val="single" w:sz="4" w:space="0" w:color="auto"/>
              <w:left w:val="single" w:sz="4" w:space="0" w:color="auto"/>
              <w:bottom w:val="single" w:sz="4" w:space="0" w:color="auto"/>
              <w:right w:val="single" w:sz="4" w:space="0" w:color="auto"/>
            </w:tcBorders>
            <w:vAlign w:val="center"/>
            <w:hideMark/>
          </w:tcPr>
          <w:p w14:paraId="79180DA6" w14:textId="77777777" w:rsidR="003663AF" w:rsidRPr="00B7760C" w:rsidRDefault="003663AF" w:rsidP="00E804B7">
            <w:pPr>
              <w:pStyle w:val="Normal6"/>
              <w:jc w:val="right"/>
              <w:rPr>
                <w:b/>
                <w:bCs/>
                <w:i/>
                <w:iCs/>
                <w:sz w:val="20"/>
              </w:rPr>
            </w:pPr>
            <w:r w:rsidRPr="00B7760C">
              <w:rPr>
                <w:b/>
                <w:bCs/>
                <w:i/>
                <w:iCs/>
                <w:sz w:val="20"/>
              </w:rPr>
              <w:t>512 058 365</w:t>
            </w:r>
          </w:p>
        </w:tc>
      </w:tr>
      <w:tr w:rsidR="003663AF" w:rsidRPr="00B7760C" w14:paraId="64ABA702" w14:textId="77777777" w:rsidTr="00E804B7">
        <w:trPr>
          <w:cantSplit/>
          <w:trHeight w:val="255"/>
          <w:jc w:val="center"/>
        </w:trPr>
        <w:tc>
          <w:tcPr>
            <w:tcW w:w="1580" w:type="dxa"/>
            <w:tcBorders>
              <w:top w:val="single" w:sz="4" w:space="0" w:color="auto"/>
              <w:left w:val="single" w:sz="4" w:space="0" w:color="auto"/>
              <w:bottom w:val="single" w:sz="4" w:space="0" w:color="auto"/>
              <w:right w:val="single" w:sz="4" w:space="0" w:color="auto"/>
            </w:tcBorders>
            <w:vAlign w:val="center"/>
            <w:hideMark/>
          </w:tcPr>
          <w:p w14:paraId="1F47B43E" w14:textId="77777777" w:rsidR="003663AF" w:rsidRPr="00B7760C" w:rsidRDefault="003663AF" w:rsidP="00E804B7">
            <w:pPr>
              <w:pStyle w:val="Normal6"/>
              <w:rPr>
                <w:sz w:val="20"/>
              </w:rPr>
            </w:pPr>
            <w:r w:rsidRPr="00B7760C">
              <w:rPr>
                <w:sz w:val="20"/>
              </w:rPr>
              <w:t>Avstrija</w:t>
            </w:r>
          </w:p>
        </w:tc>
        <w:tc>
          <w:tcPr>
            <w:tcW w:w="1580" w:type="dxa"/>
            <w:tcBorders>
              <w:top w:val="single" w:sz="4" w:space="0" w:color="auto"/>
              <w:left w:val="single" w:sz="4" w:space="0" w:color="auto"/>
              <w:bottom w:val="single" w:sz="4" w:space="0" w:color="auto"/>
              <w:right w:val="single" w:sz="4" w:space="0" w:color="auto"/>
            </w:tcBorders>
            <w:vAlign w:val="center"/>
            <w:hideMark/>
          </w:tcPr>
          <w:p w14:paraId="1CDA6C44" w14:textId="77777777" w:rsidR="003663AF" w:rsidRPr="00B7760C" w:rsidRDefault="003663AF" w:rsidP="00E804B7">
            <w:pPr>
              <w:pStyle w:val="Normal6"/>
              <w:jc w:val="right"/>
              <w:rPr>
                <w:b/>
                <w:bCs/>
                <w:i/>
                <w:iCs/>
                <w:sz w:val="20"/>
              </w:rPr>
            </w:pPr>
            <w:r w:rsidRPr="00B7760C">
              <w:rPr>
                <w:b/>
                <w:bCs/>
                <w:i/>
                <w:iCs/>
                <w:sz w:val="20"/>
              </w:rPr>
              <w:t>480 467 031</w:t>
            </w:r>
          </w:p>
        </w:tc>
        <w:tc>
          <w:tcPr>
            <w:tcW w:w="1580" w:type="dxa"/>
            <w:tcBorders>
              <w:top w:val="single" w:sz="4" w:space="0" w:color="auto"/>
              <w:left w:val="single" w:sz="4" w:space="0" w:color="auto"/>
              <w:bottom w:val="single" w:sz="4" w:space="0" w:color="auto"/>
              <w:right w:val="single" w:sz="4" w:space="0" w:color="auto"/>
            </w:tcBorders>
            <w:vAlign w:val="center"/>
            <w:hideMark/>
          </w:tcPr>
          <w:p w14:paraId="027839F5" w14:textId="77777777" w:rsidR="003663AF" w:rsidRPr="00B7760C" w:rsidRDefault="003663AF" w:rsidP="00E804B7">
            <w:pPr>
              <w:pStyle w:val="Normal6"/>
              <w:jc w:val="right"/>
              <w:rPr>
                <w:b/>
                <w:bCs/>
                <w:i/>
                <w:iCs/>
                <w:sz w:val="20"/>
              </w:rPr>
            </w:pPr>
            <w:r w:rsidRPr="00B7760C">
              <w:rPr>
                <w:b/>
                <w:bCs/>
                <w:i/>
                <w:iCs/>
                <w:sz w:val="20"/>
              </w:rPr>
              <w:t>480 467 031</w:t>
            </w:r>
          </w:p>
        </w:tc>
        <w:tc>
          <w:tcPr>
            <w:tcW w:w="1580" w:type="dxa"/>
            <w:tcBorders>
              <w:top w:val="single" w:sz="4" w:space="0" w:color="auto"/>
              <w:left w:val="single" w:sz="4" w:space="0" w:color="auto"/>
              <w:bottom w:val="single" w:sz="4" w:space="0" w:color="auto"/>
              <w:right w:val="single" w:sz="4" w:space="0" w:color="auto"/>
            </w:tcBorders>
            <w:vAlign w:val="center"/>
            <w:hideMark/>
          </w:tcPr>
          <w:p w14:paraId="595429E5" w14:textId="77777777" w:rsidR="003663AF" w:rsidRPr="00B7760C" w:rsidRDefault="003663AF" w:rsidP="00E804B7">
            <w:pPr>
              <w:pStyle w:val="Normal6"/>
              <w:jc w:val="right"/>
              <w:rPr>
                <w:b/>
                <w:bCs/>
                <w:i/>
                <w:iCs/>
                <w:sz w:val="20"/>
              </w:rPr>
            </w:pPr>
            <w:r w:rsidRPr="00B7760C">
              <w:rPr>
                <w:b/>
                <w:bCs/>
                <w:i/>
                <w:iCs/>
                <w:sz w:val="20"/>
              </w:rPr>
              <w:t>480 467 031</w:t>
            </w:r>
          </w:p>
        </w:tc>
        <w:tc>
          <w:tcPr>
            <w:tcW w:w="1580" w:type="dxa"/>
            <w:tcBorders>
              <w:top w:val="single" w:sz="4" w:space="0" w:color="auto"/>
              <w:left w:val="single" w:sz="4" w:space="0" w:color="auto"/>
              <w:bottom w:val="single" w:sz="4" w:space="0" w:color="auto"/>
              <w:right w:val="single" w:sz="4" w:space="0" w:color="auto"/>
            </w:tcBorders>
            <w:vAlign w:val="center"/>
            <w:hideMark/>
          </w:tcPr>
          <w:p w14:paraId="0CD81163" w14:textId="77777777" w:rsidR="003663AF" w:rsidRPr="00B7760C" w:rsidRDefault="003663AF" w:rsidP="00E804B7">
            <w:pPr>
              <w:pStyle w:val="Normal6"/>
              <w:jc w:val="right"/>
              <w:rPr>
                <w:b/>
                <w:bCs/>
                <w:i/>
                <w:iCs/>
                <w:sz w:val="20"/>
              </w:rPr>
            </w:pPr>
            <w:r w:rsidRPr="00B7760C">
              <w:rPr>
                <w:b/>
                <w:bCs/>
                <w:i/>
                <w:iCs/>
                <w:sz w:val="20"/>
              </w:rPr>
              <w:t>480 467 031</w:t>
            </w:r>
          </w:p>
        </w:tc>
        <w:tc>
          <w:tcPr>
            <w:tcW w:w="1580" w:type="dxa"/>
            <w:tcBorders>
              <w:top w:val="single" w:sz="4" w:space="0" w:color="auto"/>
              <w:left w:val="single" w:sz="4" w:space="0" w:color="auto"/>
              <w:bottom w:val="single" w:sz="4" w:space="0" w:color="auto"/>
              <w:right w:val="single" w:sz="4" w:space="0" w:color="auto"/>
            </w:tcBorders>
            <w:vAlign w:val="center"/>
            <w:hideMark/>
          </w:tcPr>
          <w:p w14:paraId="581FA941" w14:textId="77777777" w:rsidR="003663AF" w:rsidRPr="00B7760C" w:rsidRDefault="003663AF" w:rsidP="00E804B7">
            <w:pPr>
              <w:pStyle w:val="Normal6"/>
              <w:jc w:val="right"/>
              <w:rPr>
                <w:b/>
                <w:bCs/>
                <w:i/>
                <w:iCs/>
                <w:sz w:val="20"/>
              </w:rPr>
            </w:pPr>
            <w:r w:rsidRPr="00B7760C">
              <w:rPr>
                <w:b/>
                <w:bCs/>
                <w:i/>
                <w:iCs/>
                <w:sz w:val="20"/>
              </w:rPr>
              <w:t>480 467 031</w:t>
            </w:r>
          </w:p>
        </w:tc>
        <w:tc>
          <w:tcPr>
            <w:tcW w:w="1580" w:type="dxa"/>
            <w:gridSpan w:val="2"/>
            <w:tcBorders>
              <w:top w:val="single" w:sz="4" w:space="0" w:color="auto"/>
              <w:left w:val="single" w:sz="4" w:space="0" w:color="auto"/>
              <w:bottom w:val="single" w:sz="4" w:space="0" w:color="auto"/>
              <w:right w:val="single" w:sz="4" w:space="0" w:color="auto"/>
            </w:tcBorders>
            <w:vAlign w:val="center"/>
            <w:hideMark/>
          </w:tcPr>
          <w:p w14:paraId="51ACF57C" w14:textId="77777777" w:rsidR="003663AF" w:rsidRPr="00B7760C" w:rsidRDefault="003663AF" w:rsidP="00E804B7">
            <w:pPr>
              <w:pStyle w:val="Normal6"/>
              <w:jc w:val="right"/>
              <w:rPr>
                <w:b/>
                <w:bCs/>
                <w:i/>
                <w:iCs/>
                <w:sz w:val="20"/>
              </w:rPr>
            </w:pPr>
            <w:r w:rsidRPr="00B7760C">
              <w:rPr>
                <w:b/>
                <w:bCs/>
                <w:i/>
                <w:iCs/>
                <w:sz w:val="20"/>
              </w:rPr>
              <w:t>480 467 031</w:t>
            </w:r>
          </w:p>
        </w:tc>
        <w:tc>
          <w:tcPr>
            <w:tcW w:w="1580" w:type="dxa"/>
            <w:gridSpan w:val="2"/>
            <w:tcBorders>
              <w:top w:val="single" w:sz="4" w:space="0" w:color="auto"/>
              <w:left w:val="single" w:sz="4" w:space="0" w:color="auto"/>
              <w:bottom w:val="single" w:sz="4" w:space="0" w:color="auto"/>
              <w:right w:val="single" w:sz="4" w:space="0" w:color="auto"/>
            </w:tcBorders>
            <w:vAlign w:val="center"/>
            <w:hideMark/>
          </w:tcPr>
          <w:p w14:paraId="73526BD6" w14:textId="77777777" w:rsidR="003663AF" w:rsidRPr="00B7760C" w:rsidRDefault="003663AF" w:rsidP="00E804B7">
            <w:pPr>
              <w:pStyle w:val="Normal6"/>
              <w:jc w:val="right"/>
              <w:rPr>
                <w:b/>
                <w:bCs/>
                <w:i/>
                <w:iCs/>
                <w:sz w:val="20"/>
              </w:rPr>
            </w:pPr>
            <w:r w:rsidRPr="00B7760C">
              <w:rPr>
                <w:b/>
                <w:bCs/>
                <w:i/>
                <w:iCs/>
                <w:sz w:val="20"/>
              </w:rPr>
              <w:t>480 467 031</w:t>
            </w:r>
          </w:p>
        </w:tc>
        <w:tc>
          <w:tcPr>
            <w:tcW w:w="1580" w:type="dxa"/>
            <w:tcBorders>
              <w:top w:val="single" w:sz="4" w:space="0" w:color="auto"/>
              <w:left w:val="single" w:sz="4" w:space="0" w:color="auto"/>
              <w:bottom w:val="single" w:sz="4" w:space="0" w:color="auto"/>
              <w:right w:val="single" w:sz="4" w:space="0" w:color="auto"/>
            </w:tcBorders>
            <w:vAlign w:val="center"/>
            <w:hideMark/>
          </w:tcPr>
          <w:p w14:paraId="3BFFF01F" w14:textId="77777777" w:rsidR="003663AF" w:rsidRPr="00B7760C" w:rsidRDefault="003663AF" w:rsidP="00E804B7">
            <w:pPr>
              <w:pStyle w:val="Normal6"/>
              <w:jc w:val="right"/>
              <w:rPr>
                <w:b/>
                <w:bCs/>
                <w:i/>
                <w:iCs/>
                <w:sz w:val="20"/>
              </w:rPr>
            </w:pPr>
            <w:r w:rsidRPr="00B7760C">
              <w:rPr>
                <w:b/>
                <w:bCs/>
                <w:i/>
                <w:iCs/>
                <w:sz w:val="20"/>
              </w:rPr>
              <w:t>3 363 269 217</w:t>
            </w:r>
          </w:p>
        </w:tc>
      </w:tr>
      <w:tr w:rsidR="003663AF" w:rsidRPr="00B7760C" w14:paraId="2F4BEC94" w14:textId="77777777" w:rsidTr="00E804B7">
        <w:trPr>
          <w:cantSplit/>
          <w:trHeight w:val="255"/>
          <w:jc w:val="center"/>
        </w:trPr>
        <w:tc>
          <w:tcPr>
            <w:tcW w:w="1580" w:type="dxa"/>
            <w:tcBorders>
              <w:top w:val="single" w:sz="4" w:space="0" w:color="auto"/>
              <w:left w:val="single" w:sz="4" w:space="0" w:color="auto"/>
              <w:bottom w:val="single" w:sz="4" w:space="0" w:color="auto"/>
              <w:right w:val="single" w:sz="4" w:space="0" w:color="auto"/>
            </w:tcBorders>
            <w:vAlign w:val="center"/>
            <w:hideMark/>
          </w:tcPr>
          <w:p w14:paraId="2832D816" w14:textId="77777777" w:rsidR="003663AF" w:rsidRPr="00B7760C" w:rsidRDefault="003663AF" w:rsidP="00E804B7">
            <w:pPr>
              <w:pStyle w:val="Normal6"/>
              <w:rPr>
                <w:sz w:val="20"/>
              </w:rPr>
            </w:pPr>
            <w:r w:rsidRPr="00B7760C">
              <w:rPr>
                <w:sz w:val="20"/>
              </w:rPr>
              <w:t>Poljska</w:t>
            </w:r>
          </w:p>
        </w:tc>
        <w:tc>
          <w:tcPr>
            <w:tcW w:w="1580" w:type="dxa"/>
            <w:tcBorders>
              <w:top w:val="single" w:sz="4" w:space="0" w:color="auto"/>
              <w:left w:val="single" w:sz="4" w:space="0" w:color="auto"/>
              <w:bottom w:val="single" w:sz="4" w:space="0" w:color="auto"/>
              <w:right w:val="single" w:sz="4" w:space="0" w:color="auto"/>
            </w:tcBorders>
            <w:vAlign w:val="center"/>
            <w:hideMark/>
          </w:tcPr>
          <w:p w14:paraId="41988E19" w14:textId="77777777" w:rsidR="003663AF" w:rsidRPr="00B7760C" w:rsidRDefault="003663AF" w:rsidP="00E804B7">
            <w:pPr>
              <w:pStyle w:val="Normal6"/>
              <w:jc w:val="right"/>
              <w:rPr>
                <w:b/>
                <w:bCs/>
                <w:i/>
                <w:iCs/>
                <w:sz w:val="20"/>
              </w:rPr>
            </w:pPr>
            <w:r w:rsidRPr="00B7760C">
              <w:rPr>
                <w:b/>
                <w:bCs/>
                <w:i/>
                <w:iCs/>
                <w:sz w:val="20"/>
              </w:rPr>
              <w:t>1 317 890 530</w:t>
            </w:r>
          </w:p>
        </w:tc>
        <w:tc>
          <w:tcPr>
            <w:tcW w:w="1580" w:type="dxa"/>
            <w:tcBorders>
              <w:top w:val="single" w:sz="4" w:space="0" w:color="auto"/>
              <w:left w:val="single" w:sz="4" w:space="0" w:color="auto"/>
              <w:bottom w:val="single" w:sz="4" w:space="0" w:color="auto"/>
              <w:right w:val="single" w:sz="4" w:space="0" w:color="auto"/>
            </w:tcBorders>
            <w:vAlign w:val="center"/>
            <w:hideMark/>
          </w:tcPr>
          <w:p w14:paraId="14902136" w14:textId="77777777" w:rsidR="003663AF" w:rsidRPr="00B7760C" w:rsidRDefault="003663AF" w:rsidP="00E804B7">
            <w:pPr>
              <w:pStyle w:val="Normal6"/>
              <w:jc w:val="right"/>
              <w:rPr>
                <w:b/>
                <w:bCs/>
                <w:i/>
                <w:iCs/>
                <w:sz w:val="20"/>
              </w:rPr>
            </w:pPr>
            <w:r w:rsidRPr="00B7760C">
              <w:rPr>
                <w:b/>
                <w:bCs/>
                <w:i/>
                <w:iCs/>
                <w:sz w:val="20"/>
              </w:rPr>
              <w:t>1 317 890 530</w:t>
            </w:r>
          </w:p>
        </w:tc>
        <w:tc>
          <w:tcPr>
            <w:tcW w:w="1580" w:type="dxa"/>
            <w:tcBorders>
              <w:top w:val="single" w:sz="4" w:space="0" w:color="auto"/>
              <w:left w:val="single" w:sz="4" w:space="0" w:color="auto"/>
              <w:bottom w:val="single" w:sz="4" w:space="0" w:color="auto"/>
              <w:right w:val="single" w:sz="4" w:space="0" w:color="auto"/>
            </w:tcBorders>
            <w:vAlign w:val="center"/>
            <w:hideMark/>
          </w:tcPr>
          <w:p w14:paraId="7856DD12" w14:textId="77777777" w:rsidR="003663AF" w:rsidRPr="00B7760C" w:rsidRDefault="003663AF" w:rsidP="00E804B7">
            <w:pPr>
              <w:pStyle w:val="Normal6"/>
              <w:jc w:val="right"/>
              <w:rPr>
                <w:b/>
                <w:bCs/>
                <w:i/>
                <w:iCs/>
                <w:sz w:val="20"/>
              </w:rPr>
            </w:pPr>
            <w:r w:rsidRPr="00B7760C">
              <w:rPr>
                <w:b/>
                <w:bCs/>
                <w:i/>
                <w:iCs/>
                <w:sz w:val="20"/>
              </w:rPr>
              <w:t>1 317 890 530</w:t>
            </w:r>
          </w:p>
        </w:tc>
        <w:tc>
          <w:tcPr>
            <w:tcW w:w="1580" w:type="dxa"/>
            <w:tcBorders>
              <w:top w:val="single" w:sz="4" w:space="0" w:color="auto"/>
              <w:left w:val="single" w:sz="4" w:space="0" w:color="auto"/>
              <w:bottom w:val="single" w:sz="4" w:space="0" w:color="auto"/>
              <w:right w:val="single" w:sz="4" w:space="0" w:color="auto"/>
            </w:tcBorders>
            <w:vAlign w:val="center"/>
            <w:hideMark/>
          </w:tcPr>
          <w:p w14:paraId="376BEE2E" w14:textId="77777777" w:rsidR="003663AF" w:rsidRPr="00B7760C" w:rsidRDefault="003663AF" w:rsidP="00E804B7">
            <w:pPr>
              <w:pStyle w:val="Normal6"/>
              <w:jc w:val="right"/>
              <w:rPr>
                <w:b/>
                <w:bCs/>
                <w:i/>
                <w:iCs/>
                <w:sz w:val="20"/>
              </w:rPr>
            </w:pPr>
            <w:r w:rsidRPr="00B7760C">
              <w:rPr>
                <w:b/>
                <w:bCs/>
                <w:i/>
                <w:iCs/>
                <w:sz w:val="20"/>
              </w:rPr>
              <w:t>1 317 890 530</w:t>
            </w:r>
          </w:p>
        </w:tc>
        <w:tc>
          <w:tcPr>
            <w:tcW w:w="1580" w:type="dxa"/>
            <w:tcBorders>
              <w:top w:val="single" w:sz="4" w:space="0" w:color="auto"/>
              <w:left w:val="single" w:sz="4" w:space="0" w:color="auto"/>
              <w:bottom w:val="single" w:sz="4" w:space="0" w:color="auto"/>
              <w:right w:val="single" w:sz="4" w:space="0" w:color="auto"/>
            </w:tcBorders>
            <w:vAlign w:val="center"/>
            <w:hideMark/>
          </w:tcPr>
          <w:p w14:paraId="429D3141" w14:textId="77777777" w:rsidR="003663AF" w:rsidRPr="00B7760C" w:rsidRDefault="003663AF" w:rsidP="00E804B7">
            <w:pPr>
              <w:pStyle w:val="Normal6"/>
              <w:jc w:val="right"/>
              <w:rPr>
                <w:b/>
                <w:bCs/>
                <w:i/>
                <w:iCs/>
                <w:sz w:val="20"/>
              </w:rPr>
            </w:pPr>
            <w:r w:rsidRPr="00B7760C">
              <w:rPr>
                <w:b/>
                <w:bCs/>
                <w:i/>
                <w:iCs/>
                <w:sz w:val="20"/>
              </w:rPr>
              <w:t>1 317 890 530</w:t>
            </w:r>
          </w:p>
        </w:tc>
        <w:tc>
          <w:tcPr>
            <w:tcW w:w="1580" w:type="dxa"/>
            <w:gridSpan w:val="2"/>
            <w:tcBorders>
              <w:top w:val="single" w:sz="4" w:space="0" w:color="auto"/>
              <w:left w:val="single" w:sz="4" w:space="0" w:color="auto"/>
              <w:bottom w:val="single" w:sz="4" w:space="0" w:color="auto"/>
              <w:right w:val="single" w:sz="4" w:space="0" w:color="auto"/>
            </w:tcBorders>
            <w:vAlign w:val="center"/>
            <w:hideMark/>
          </w:tcPr>
          <w:p w14:paraId="23775C96" w14:textId="77777777" w:rsidR="003663AF" w:rsidRPr="00B7760C" w:rsidRDefault="003663AF" w:rsidP="00E804B7">
            <w:pPr>
              <w:pStyle w:val="Normal6"/>
              <w:jc w:val="right"/>
              <w:rPr>
                <w:b/>
                <w:bCs/>
                <w:i/>
                <w:iCs/>
                <w:sz w:val="20"/>
              </w:rPr>
            </w:pPr>
            <w:r w:rsidRPr="00B7760C">
              <w:rPr>
                <w:b/>
                <w:bCs/>
                <w:i/>
                <w:iCs/>
                <w:sz w:val="20"/>
              </w:rPr>
              <w:t>1 317 890 530</w:t>
            </w:r>
          </w:p>
        </w:tc>
        <w:tc>
          <w:tcPr>
            <w:tcW w:w="1580" w:type="dxa"/>
            <w:gridSpan w:val="2"/>
            <w:tcBorders>
              <w:top w:val="single" w:sz="4" w:space="0" w:color="auto"/>
              <w:left w:val="single" w:sz="4" w:space="0" w:color="auto"/>
              <w:bottom w:val="single" w:sz="4" w:space="0" w:color="auto"/>
              <w:right w:val="single" w:sz="4" w:space="0" w:color="auto"/>
            </w:tcBorders>
            <w:vAlign w:val="center"/>
            <w:hideMark/>
          </w:tcPr>
          <w:p w14:paraId="3527B565" w14:textId="77777777" w:rsidR="003663AF" w:rsidRPr="00B7760C" w:rsidRDefault="003663AF" w:rsidP="00E804B7">
            <w:pPr>
              <w:pStyle w:val="Normal6"/>
              <w:jc w:val="right"/>
              <w:rPr>
                <w:b/>
                <w:bCs/>
                <w:i/>
                <w:iCs/>
                <w:sz w:val="20"/>
              </w:rPr>
            </w:pPr>
            <w:r w:rsidRPr="00B7760C">
              <w:rPr>
                <w:b/>
                <w:bCs/>
                <w:i/>
                <w:iCs/>
                <w:sz w:val="20"/>
              </w:rPr>
              <w:t>1 317 890 530</w:t>
            </w:r>
          </w:p>
        </w:tc>
        <w:tc>
          <w:tcPr>
            <w:tcW w:w="1580" w:type="dxa"/>
            <w:tcBorders>
              <w:top w:val="single" w:sz="4" w:space="0" w:color="auto"/>
              <w:left w:val="single" w:sz="4" w:space="0" w:color="auto"/>
              <w:bottom w:val="single" w:sz="4" w:space="0" w:color="auto"/>
              <w:right w:val="single" w:sz="4" w:space="0" w:color="auto"/>
            </w:tcBorders>
            <w:vAlign w:val="center"/>
            <w:hideMark/>
          </w:tcPr>
          <w:p w14:paraId="4F66A16F" w14:textId="77777777" w:rsidR="003663AF" w:rsidRPr="00B7760C" w:rsidRDefault="003663AF" w:rsidP="00E804B7">
            <w:pPr>
              <w:pStyle w:val="Normal6"/>
              <w:jc w:val="right"/>
              <w:rPr>
                <w:b/>
                <w:bCs/>
                <w:i/>
                <w:iCs/>
                <w:sz w:val="20"/>
              </w:rPr>
            </w:pPr>
            <w:r w:rsidRPr="00B7760C">
              <w:rPr>
                <w:b/>
                <w:bCs/>
                <w:i/>
                <w:iCs/>
                <w:sz w:val="20"/>
              </w:rPr>
              <w:t>9 225 233 710</w:t>
            </w:r>
          </w:p>
        </w:tc>
      </w:tr>
      <w:tr w:rsidR="003663AF" w:rsidRPr="00B7760C" w14:paraId="20D94250" w14:textId="77777777" w:rsidTr="00E804B7">
        <w:trPr>
          <w:cantSplit/>
          <w:trHeight w:val="255"/>
          <w:jc w:val="center"/>
        </w:trPr>
        <w:tc>
          <w:tcPr>
            <w:tcW w:w="1580" w:type="dxa"/>
            <w:tcBorders>
              <w:top w:val="single" w:sz="4" w:space="0" w:color="auto"/>
              <w:left w:val="single" w:sz="4" w:space="0" w:color="auto"/>
              <w:bottom w:val="single" w:sz="4" w:space="0" w:color="auto"/>
              <w:right w:val="single" w:sz="4" w:space="0" w:color="auto"/>
            </w:tcBorders>
            <w:vAlign w:val="center"/>
            <w:hideMark/>
          </w:tcPr>
          <w:p w14:paraId="0EBFA7A9" w14:textId="77777777" w:rsidR="003663AF" w:rsidRPr="00B7760C" w:rsidRDefault="003663AF" w:rsidP="00E804B7">
            <w:pPr>
              <w:pStyle w:val="Normal6"/>
              <w:rPr>
                <w:sz w:val="20"/>
              </w:rPr>
            </w:pPr>
            <w:r w:rsidRPr="00B7760C">
              <w:rPr>
                <w:sz w:val="20"/>
              </w:rPr>
              <w:t>Portugalska</w:t>
            </w:r>
          </w:p>
        </w:tc>
        <w:tc>
          <w:tcPr>
            <w:tcW w:w="1580" w:type="dxa"/>
            <w:tcBorders>
              <w:top w:val="single" w:sz="4" w:space="0" w:color="auto"/>
              <w:left w:val="single" w:sz="4" w:space="0" w:color="auto"/>
              <w:bottom w:val="single" w:sz="4" w:space="0" w:color="auto"/>
              <w:right w:val="single" w:sz="4" w:space="0" w:color="auto"/>
            </w:tcBorders>
            <w:vAlign w:val="center"/>
            <w:hideMark/>
          </w:tcPr>
          <w:p w14:paraId="698FB337" w14:textId="77777777" w:rsidR="003663AF" w:rsidRPr="00B7760C" w:rsidRDefault="003663AF" w:rsidP="00E804B7">
            <w:pPr>
              <w:pStyle w:val="Normal6"/>
              <w:jc w:val="right"/>
              <w:rPr>
                <w:b/>
                <w:bCs/>
                <w:i/>
                <w:iCs/>
                <w:sz w:val="20"/>
              </w:rPr>
            </w:pPr>
            <w:r w:rsidRPr="00B7760C">
              <w:rPr>
                <w:b/>
                <w:bCs/>
                <w:i/>
                <w:iCs/>
                <w:sz w:val="20"/>
              </w:rPr>
              <w:t>493 214 858</w:t>
            </w:r>
          </w:p>
        </w:tc>
        <w:tc>
          <w:tcPr>
            <w:tcW w:w="1580" w:type="dxa"/>
            <w:tcBorders>
              <w:top w:val="single" w:sz="4" w:space="0" w:color="auto"/>
              <w:left w:val="single" w:sz="4" w:space="0" w:color="auto"/>
              <w:bottom w:val="single" w:sz="4" w:space="0" w:color="auto"/>
              <w:right w:val="single" w:sz="4" w:space="0" w:color="auto"/>
            </w:tcBorders>
            <w:vAlign w:val="center"/>
            <w:hideMark/>
          </w:tcPr>
          <w:p w14:paraId="48DB475B" w14:textId="77777777" w:rsidR="003663AF" w:rsidRPr="00B7760C" w:rsidRDefault="003663AF" w:rsidP="00E804B7">
            <w:pPr>
              <w:pStyle w:val="Normal6"/>
              <w:jc w:val="right"/>
              <w:rPr>
                <w:b/>
                <w:bCs/>
                <w:i/>
                <w:iCs/>
                <w:sz w:val="20"/>
              </w:rPr>
            </w:pPr>
            <w:r w:rsidRPr="00B7760C">
              <w:rPr>
                <w:b/>
                <w:bCs/>
                <w:i/>
                <w:iCs/>
                <w:sz w:val="20"/>
              </w:rPr>
              <w:t>493 214 858</w:t>
            </w:r>
          </w:p>
        </w:tc>
        <w:tc>
          <w:tcPr>
            <w:tcW w:w="1580" w:type="dxa"/>
            <w:tcBorders>
              <w:top w:val="single" w:sz="4" w:space="0" w:color="auto"/>
              <w:left w:val="single" w:sz="4" w:space="0" w:color="auto"/>
              <w:bottom w:val="single" w:sz="4" w:space="0" w:color="auto"/>
              <w:right w:val="single" w:sz="4" w:space="0" w:color="auto"/>
            </w:tcBorders>
            <w:vAlign w:val="center"/>
            <w:hideMark/>
          </w:tcPr>
          <w:p w14:paraId="1F4D49FF" w14:textId="77777777" w:rsidR="003663AF" w:rsidRPr="00B7760C" w:rsidRDefault="003663AF" w:rsidP="00E804B7">
            <w:pPr>
              <w:pStyle w:val="Normal6"/>
              <w:jc w:val="right"/>
              <w:rPr>
                <w:b/>
                <w:bCs/>
                <w:i/>
                <w:iCs/>
                <w:sz w:val="20"/>
              </w:rPr>
            </w:pPr>
            <w:r w:rsidRPr="00B7760C">
              <w:rPr>
                <w:b/>
                <w:bCs/>
                <w:i/>
                <w:iCs/>
                <w:sz w:val="20"/>
              </w:rPr>
              <w:t>493 214 858</w:t>
            </w:r>
          </w:p>
        </w:tc>
        <w:tc>
          <w:tcPr>
            <w:tcW w:w="1580" w:type="dxa"/>
            <w:tcBorders>
              <w:top w:val="single" w:sz="4" w:space="0" w:color="auto"/>
              <w:left w:val="single" w:sz="4" w:space="0" w:color="auto"/>
              <w:bottom w:val="single" w:sz="4" w:space="0" w:color="auto"/>
              <w:right w:val="single" w:sz="4" w:space="0" w:color="auto"/>
            </w:tcBorders>
            <w:vAlign w:val="center"/>
            <w:hideMark/>
          </w:tcPr>
          <w:p w14:paraId="731C909A" w14:textId="77777777" w:rsidR="003663AF" w:rsidRPr="00B7760C" w:rsidRDefault="003663AF" w:rsidP="00E804B7">
            <w:pPr>
              <w:pStyle w:val="Normal6"/>
              <w:jc w:val="right"/>
              <w:rPr>
                <w:b/>
                <w:bCs/>
                <w:i/>
                <w:iCs/>
                <w:sz w:val="20"/>
              </w:rPr>
            </w:pPr>
            <w:r w:rsidRPr="00B7760C">
              <w:rPr>
                <w:b/>
                <w:bCs/>
                <w:i/>
                <w:iCs/>
                <w:sz w:val="20"/>
              </w:rPr>
              <w:t>493 214 858</w:t>
            </w:r>
          </w:p>
        </w:tc>
        <w:tc>
          <w:tcPr>
            <w:tcW w:w="1580" w:type="dxa"/>
            <w:tcBorders>
              <w:top w:val="single" w:sz="4" w:space="0" w:color="auto"/>
              <w:left w:val="single" w:sz="4" w:space="0" w:color="auto"/>
              <w:bottom w:val="single" w:sz="4" w:space="0" w:color="auto"/>
              <w:right w:val="single" w:sz="4" w:space="0" w:color="auto"/>
            </w:tcBorders>
            <w:vAlign w:val="center"/>
            <w:hideMark/>
          </w:tcPr>
          <w:p w14:paraId="29E46366" w14:textId="77777777" w:rsidR="003663AF" w:rsidRPr="00B7760C" w:rsidRDefault="003663AF" w:rsidP="00E804B7">
            <w:pPr>
              <w:pStyle w:val="Normal6"/>
              <w:jc w:val="right"/>
              <w:rPr>
                <w:b/>
                <w:bCs/>
                <w:i/>
                <w:iCs/>
                <w:sz w:val="20"/>
              </w:rPr>
            </w:pPr>
            <w:r w:rsidRPr="00B7760C">
              <w:rPr>
                <w:b/>
                <w:bCs/>
                <w:i/>
                <w:iCs/>
                <w:sz w:val="20"/>
              </w:rPr>
              <w:t>493 214 858</w:t>
            </w:r>
          </w:p>
        </w:tc>
        <w:tc>
          <w:tcPr>
            <w:tcW w:w="1580" w:type="dxa"/>
            <w:gridSpan w:val="2"/>
            <w:tcBorders>
              <w:top w:val="single" w:sz="4" w:space="0" w:color="auto"/>
              <w:left w:val="single" w:sz="4" w:space="0" w:color="auto"/>
              <w:bottom w:val="single" w:sz="4" w:space="0" w:color="auto"/>
              <w:right w:val="single" w:sz="4" w:space="0" w:color="auto"/>
            </w:tcBorders>
            <w:vAlign w:val="center"/>
            <w:hideMark/>
          </w:tcPr>
          <w:p w14:paraId="39C618D8" w14:textId="77777777" w:rsidR="003663AF" w:rsidRPr="00B7760C" w:rsidRDefault="003663AF" w:rsidP="00E804B7">
            <w:pPr>
              <w:pStyle w:val="Normal6"/>
              <w:jc w:val="right"/>
              <w:rPr>
                <w:b/>
                <w:bCs/>
                <w:i/>
                <w:iCs/>
                <w:sz w:val="20"/>
              </w:rPr>
            </w:pPr>
            <w:r w:rsidRPr="00B7760C">
              <w:rPr>
                <w:b/>
                <w:bCs/>
                <w:i/>
                <w:iCs/>
                <w:sz w:val="20"/>
              </w:rPr>
              <w:t>493 214 858</w:t>
            </w:r>
          </w:p>
        </w:tc>
        <w:tc>
          <w:tcPr>
            <w:tcW w:w="1580" w:type="dxa"/>
            <w:gridSpan w:val="2"/>
            <w:tcBorders>
              <w:top w:val="single" w:sz="4" w:space="0" w:color="auto"/>
              <w:left w:val="single" w:sz="4" w:space="0" w:color="auto"/>
              <w:bottom w:val="single" w:sz="4" w:space="0" w:color="auto"/>
              <w:right w:val="single" w:sz="4" w:space="0" w:color="auto"/>
            </w:tcBorders>
            <w:vAlign w:val="center"/>
            <w:hideMark/>
          </w:tcPr>
          <w:p w14:paraId="7FB3F9AC" w14:textId="77777777" w:rsidR="003663AF" w:rsidRPr="00B7760C" w:rsidRDefault="003663AF" w:rsidP="00E804B7">
            <w:pPr>
              <w:pStyle w:val="Normal6"/>
              <w:jc w:val="right"/>
              <w:rPr>
                <w:b/>
                <w:bCs/>
                <w:i/>
                <w:iCs/>
                <w:sz w:val="20"/>
              </w:rPr>
            </w:pPr>
            <w:r w:rsidRPr="00B7760C">
              <w:rPr>
                <w:b/>
                <w:bCs/>
                <w:i/>
                <w:iCs/>
                <w:sz w:val="20"/>
              </w:rPr>
              <w:t>493 214 858</w:t>
            </w:r>
          </w:p>
        </w:tc>
        <w:tc>
          <w:tcPr>
            <w:tcW w:w="1580" w:type="dxa"/>
            <w:tcBorders>
              <w:top w:val="single" w:sz="4" w:space="0" w:color="auto"/>
              <w:left w:val="single" w:sz="4" w:space="0" w:color="auto"/>
              <w:bottom w:val="single" w:sz="4" w:space="0" w:color="auto"/>
              <w:right w:val="single" w:sz="4" w:space="0" w:color="auto"/>
            </w:tcBorders>
            <w:vAlign w:val="center"/>
            <w:hideMark/>
          </w:tcPr>
          <w:p w14:paraId="367E2835" w14:textId="77777777" w:rsidR="003663AF" w:rsidRPr="00B7760C" w:rsidRDefault="003663AF" w:rsidP="00E804B7">
            <w:pPr>
              <w:pStyle w:val="Normal6"/>
              <w:jc w:val="right"/>
              <w:rPr>
                <w:b/>
                <w:bCs/>
                <w:i/>
                <w:iCs/>
                <w:sz w:val="20"/>
              </w:rPr>
            </w:pPr>
            <w:r w:rsidRPr="00B7760C">
              <w:rPr>
                <w:b/>
                <w:bCs/>
                <w:i/>
                <w:iCs/>
                <w:sz w:val="20"/>
              </w:rPr>
              <w:t>3 452 504 006</w:t>
            </w:r>
          </w:p>
        </w:tc>
      </w:tr>
      <w:tr w:rsidR="003663AF" w:rsidRPr="00B7760C" w14:paraId="195E894A" w14:textId="77777777" w:rsidTr="00E804B7">
        <w:trPr>
          <w:cantSplit/>
          <w:trHeight w:val="255"/>
          <w:jc w:val="center"/>
        </w:trPr>
        <w:tc>
          <w:tcPr>
            <w:tcW w:w="1580" w:type="dxa"/>
            <w:tcBorders>
              <w:top w:val="single" w:sz="4" w:space="0" w:color="auto"/>
              <w:left w:val="single" w:sz="4" w:space="0" w:color="auto"/>
              <w:bottom w:val="single" w:sz="4" w:space="0" w:color="auto"/>
              <w:right w:val="single" w:sz="4" w:space="0" w:color="auto"/>
            </w:tcBorders>
            <w:vAlign w:val="center"/>
            <w:hideMark/>
          </w:tcPr>
          <w:p w14:paraId="49D1AE5C" w14:textId="77777777" w:rsidR="003663AF" w:rsidRPr="00B7760C" w:rsidRDefault="003663AF" w:rsidP="00E804B7">
            <w:pPr>
              <w:pStyle w:val="Normal6"/>
              <w:rPr>
                <w:sz w:val="20"/>
              </w:rPr>
            </w:pPr>
            <w:r w:rsidRPr="00B7760C">
              <w:rPr>
                <w:sz w:val="20"/>
              </w:rPr>
              <w:t>Romunija</w:t>
            </w:r>
          </w:p>
        </w:tc>
        <w:tc>
          <w:tcPr>
            <w:tcW w:w="1580" w:type="dxa"/>
            <w:tcBorders>
              <w:top w:val="single" w:sz="4" w:space="0" w:color="auto"/>
              <w:left w:val="single" w:sz="4" w:space="0" w:color="auto"/>
              <w:bottom w:val="single" w:sz="4" w:space="0" w:color="auto"/>
              <w:right w:val="single" w:sz="4" w:space="0" w:color="auto"/>
            </w:tcBorders>
            <w:vAlign w:val="center"/>
            <w:hideMark/>
          </w:tcPr>
          <w:p w14:paraId="0C1ADB36" w14:textId="77777777" w:rsidR="003663AF" w:rsidRPr="00B7760C" w:rsidRDefault="003663AF" w:rsidP="00E804B7">
            <w:pPr>
              <w:pStyle w:val="Normal6"/>
              <w:jc w:val="right"/>
              <w:rPr>
                <w:b/>
                <w:bCs/>
                <w:i/>
                <w:iCs/>
                <w:sz w:val="20"/>
              </w:rPr>
            </w:pPr>
            <w:r w:rsidRPr="00B7760C">
              <w:rPr>
                <w:b/>
                <w:bCs/>
                <w:i/>
                <w:iCs/>
                <w:sz w:val="20"/>
              </w:rPr>
              <w:t>965 503 339</w:t>
            </w:r>
          </w:p>
        </w:tc>
        <w:tc>
          <w:tcPr>
            <w:tcW w:w="1580" w:type="dxa"/>
            <w:tcBorders>
              <w:top w:val="single" w:sz="4" w:space="0" w:color="auto"/>
              <w:left w:val="single" w:sz="4" w:space="0" w:color="auto"/>
              <w:bottom w:val="single" w:sz="4" w:space="0" w:color="auto"/>
              <w:right w:val="single" w:sz="4" w:space="0" w:color="auto"/>
            </w:tcBorders>
            <w:vAlign w:val="center"/>
            <w:hideMark/>
          </w:tcPr>
          <w:p w14:paraId="7D586DA5" w14:textId="77777777" w:rsidR="003663AF" w:rsidRPr="00B7760C" w:rsidRDefault="003663AF" w:rsidP="00E804B7">
            <w:pPr>
              <w:pStyle w:val="Normal6"/>
              <w:jc w:val="right"/>
              <w:rPr>
                <w:b/>
                <w:bCs/>
                <w:i/>
                <w:iCs/>
                <w:sz w:val="20"/>
              </w:rPr>
            </w:pPr>
            <w:r w:rsidRPr="00B7760C">
              <w:rPr>
                <w:b/>
                <w:bCs/>
                <w:i/>
                <w:iCs/>
                <w:sz w:val="20"/>
              </w:rPr>
              <w:t>965 503 339</w:t>
            </w:r>
          </w:p>
        </w:tc>
        <w:tc>
          <w:tcPr>
            <w:tcW w:w="1580" w:type="dxa"/>
            <w:tcBorders>
              <w:top w:val="single" w:sz="4" w:space="0" w:color="auto"/>
              <w:left w:val="single" w:sz="4" w:space="0" w:color="auto"/>
              <w:bottom w:val="single" w:sz="4" w:space="0" w:color="auto"/>
              <w:right w:val="single" w:sz="4" w:space="0" w:color="auto"/>
            </w:tcBorders>
            <w:vAlign w:val="center"/>
            <w:hideMark/>
          </w:tcPr>
          <w:p w14:paraId="44735AA3" w14:textId="77777777" w:rsidR="003663AF" w:rsidRPr="00B7760C" w:rsidRDefault="003663AF" w:rsidP="00E804B7">
            <w:pPr>
              <w:pStyle w:val="Normal6"/>
              <w:jc w:val="right"/>
              <w:rPr>
                <w:b/>
                <w:bCs/>
                <w:i/>
                <w:iCs/>
                <w:sz w:val="20"/>
              </w:rPr>
            </w:pPr>
            <w:r w:rsidRPr="00B7760C">
              <w:rPr>
                <w:b/>
                <w:bCs/>
                <w:i/>
                <w:iCs/>
                <w:sz w:val="20"/>
              </w:rPr>
              <w:t>965 503 339</w:t>
            </w:r>
          </w:p>
        </w:tc>
        <w:tc>
          <w:tcPr>
            <w:tcW w:w="1580" w:type="dxa"/>
            <w:tcBorders>
              <w:top w:val="single" w:sz="4" w:space="0" w:color="auto"/>
              <w:left w:val="single" w:sz="4" w:space="0" w:color="auto"/>
              <w:bottom w:val="single" w:sz="4" w:space="0" w:color="auto"/>
              <w:right w:val="single" w:sz="4" w:space="0" w:color="auto"/>
            </w:tcBorders>
            <w:vAlign w:val="center"/>
            <w:hideMark/>
          </w:tcPr>
          <w:p w14:paraId="1868F742" w14:textId="77777777" w:rsidR="003663AF" w:rsidRPr="00B7760C" w:rsidRDefault="003663AF" w:rsidP="00E804B7">
            <w:pPr>
              <w:pStyle w:val="Normal6"/>
              <w:jc w:val="right"/>
              <w:rPr>
                <w:b/>
                <w:bCs/>
                <w:i/>
                <w:iCs/>
                <w:sz w:val="20"/>
              </w:rPr>
            </w:pPr>
            <w:r w:rsidRPr="00B7760C">
              <w:rPr>
                <w:b/>
                <w:bCs/>
                <w:i/>
                <w:iCs/>
                <w:sz w:val="20"/>
              </w:rPr>
              <w:t>965 503 339</w:t>
            </w:r>
          </w:p>
        </w:tc>
        <w:tc>
          <w:tcPr>
            <w:tcW w:w="1580" w:type="dxa"/>
            <w:tcBorders>
              <w:top w:val="single" w:sz="4" w:space="0" w:color="auto"/>
              <w:left w:val="single" w:sz="4" w:space="0" w:color="auto"/>
              <w:bottom w:val="single" w:sz="4" w:space="0" w:color="auto"/>
              <w:right w:val="single" w:sz="4" w:space="0" w:color="auto"/>
            </w:tcBorders>
            <w:vAlign w:val="center"/>
            <w:hideMark/>
          </w:tcPr>
          <w:p w14:paraId="0DE262DD" w14:textId="77777777" w:rsidR="003663AF" w:rsidRPr="00B7760C" w:rsidRDefault="003663AF" w:rsidP="00E804B7">
            <w:pPr>
              <w:pStyle w:val="Normal6"/>
              <w:jc w:val="right"/>
              <w:rPr>
                <w:b/>
                <w:bCs/>
                <w:i/>
                <w:iCs/>
                <w:sz w:val="20"/>
              </w:rPr>
            </w:pPr>
            <w:r w:rsidRPr="00B7760C">
              <w:rPr>
                <w:b/>
                <w:bCs/>
                <w:i/>
                <w:iCs/>
                <w:sz w:val="20"/>
              </w:rPr>
              <w:t>965 503 339</w:t>
            </w:r>
          </w:p>
        </w:tc>
        <w:tc>
          <w:tcPr>
            <w:tcW w:w="1580" w:type="dxa"/>
            <w:gridSpan w:val="2"/>
            <w:tcBorders>
              <w:top w:val="single" w:sz="4" w:space="0" w:color="auto"/>
              <w:left w:val="single" w:sz="4" w:space="0" w:color="auto"/>
              <w:bottom w:val="single" w:sz="4" w:space="0" w:color="auto"/>
              <w:right w:val="single" w:sz="4" w:space="0" w:color="auto"/>
            </w:tcBorders>
            <w:vAlign w:val="center"/>
            <w:hideMark/>
          </w:tcPr>
          <w:p w14:paraId="40F7817E" w14:textId="77777777" w:rsidR="003663AF" w:rsidRPr="00B7760C" w:rsidRDefault="003663AF" w:rsidP="00E804B7">
            <w:pPr>
              <w:pStyle w:val="Normal6"/>
              <w:jc w:val="right"/>
              <w:rPr>
                <w:b/>
                <w:bCs/>
                <w:i/>
                <w:iCs/>
                <w:sz w:val="20"/>
              </w:rPr>
            </w:pPr>
            <w:r w:rsidRPr="00B7760C">
              <w:rPr>
                <w:b/>
                <w:bCs/>
                <w:i/>
                <w:iCs/>
                <w:sz w:val="20"/>
              </w:rPr>
              <w:t>965 503 339</w:t>
            </w:r>
          </w:p>
        </w:tc>
        <w:tc>
          <w:tcPr>
            <w:tcW w:w="1580" w:type="dxa"/>
            <w:gridSpan w:val="2"/>
            <w:tcBorders>
              <w:top w:val="single" w:sz="4" w:space="0" w:color="auto"/>
              <w:left w:val="single" w:sz="4" w:space="0" w:color="auto"/>
              <w:bottom w:val="single" w:sz="4" w:space="0" w:color="auto"/>
              <w:right w:val="single" w:sz="4" w:space="0" w:color="auto"/>
            </w:tcBorders>
            <w:vAlign w:val="center"/>
            <w:hideMark/>
          </w:tcPr>
          <w:p w14:paraId="722F8401" w14:textId="77777777" w:rsidR="003663AF" w:rsidRPr="00B7760C" w:rsidRDefault="003663AF" w:rsidP="00E804B7">
            <w:pPr>
              <w:pStyle w:val="Normal6"/>
              <w:jc w:val="right"/>
              <w:rPr>
                <w:b/>
                <w:bCs/>
                <w:i/>
                <w:iCs/>
                <w:sz w:val="20"/>
              </w:rPr>
            </w:pPr>
            <w:r w:rsidRPr="00B7760C">
              <w:rPr>
                <w:b/>
                <w:bCs/>
                <w:i/>
                <w:iCs/>
                <w:sz w:val="20"/>
              </w:rPr>
              <w:t>965 503 339</w:t>
            </w:r>
          </w:p>
        </w:tc>
        <w:tc>
          <w:tcPr>
            <w:tcW w:w="1580" w:type="dxa"/>
            <w:tcBorders>
              <w:top w:val="single" w:sz="4" w:space="0" w:color="auto"/>
              <w:left w:val="single" w:sz="4" w:space="0" w:color="auto"/>
              <w:bottom w:val="single" w:sz="4" w:space="0" w:color="auto"/>
              <w:right w:val="single" w:sz="4" w:space="0" w:color="auto"/>
            </w:tcBorders>
            <w:vAlign w:val="center"/>
            <w:hideMark/>
          </w:tcPr>
          <w:p w14:paraId="23E81446" w14:textId="77777777" w:rsidR="003663AF" w:rsidRPr="00B7760C" w:rsidRDefault="003663AF" w:rsidP="00E804B7">
            <w:pPr>
              <w:pStyle w:val="Normal6"/>
              <w:jc w:val="right"/>
              <w:rPr>
                <w:b/>
                <w:bCs/>
                <w:i/>
                <w:iCs/>
                <w:sz w:val="20"/>
              </w:rPr>
            </w:pPr>
            <w:r w:rsidRPr="00B7760C">
              <w:rPr>
                <w:b/>
                <w:bCs/>
                <w:i/>
                <w:iCs/>
                <w:sz w:val="20"/>
              </w:rPr>
              <w:t>6 758 523 373</w:t>
            </w:r>
          </w:p>
        </w:tc>
      </w:tr>
      <w:tr w:rsidR="003663AF" w:rsidRPr="00B7760C" w14:paraId="141EC3D7" w14:textId="77777777" w:rsidTr="00E804B7">
        <w:trPr>
          <w:cantSplit/>
          <w:trHeight w:val="255"/>
          <w:jc w:val="center"/>
        </w:trPr>
        <w:tc>
          <w:tcPr>
            <w:tcW w:w="1580" w:type="dxa"/>
            <w:tcBorders>
              <w:top w:val="single" w:sz="4" w:space="0" w:color="auto"/>
              <w:left w:val="single" w:sz="4" w:space="0" w:color="auto"/>
              <w:bottom w:val="single" w:sz="4" w:space="0" w:color="auto"/>
              <w:right w:val="single" w:sz="4" w:space="0" w:color="auto"/>
            </w:tcBorders>
            <w:vAlign w:val="center"/>
            <w:hideMark/>
          </w:tcPr>
          <w:p w14:paraId="5AC596C6" w14:textId="77777777" w:rsidR="003663AF" w:rsidRPr="00B7760C" w:rsidRDefault="003663AF" w:rsidP="00E804B7">
            <w:pPr>
              <w:pStyle w:val="Normal6"/>
              <w:rPr>
                <w:sz w:val="20"/>
              </w:rPr>
            </w:pPr>
            <w:r w:rsidRPr="00B7760C">
              <w:rPr>
                <w:sz w:val="20"/>
              </w:rPr>
              <w:t>Slovenija</w:t>
            </w:r>
          </w:p>
        </w:tc>
        <w:tc>
          <w:tcPr>
            <w:tcW w:w="1580" w:type="dxa"/>
            <w:tcBorders>
              <w:top w:val="single" w:sz="4" w:space="0" w:color="auto"/>
              <w:left w:val="single" w:sz="4" w:space="0" w:color="auto"/>
              <w:bottom w:val="single" w:sz="4" w:space="0" w:color="auto"/>
              <w:right w:val="single" w:sz="4" w:space="0" w:color="auto"/>
            </w:tcBorders>
            <w:vAlign w:val="center"/>
            <w:hideMark/>
          </w:tcPr>
          <w:p w14:paraId="6936214A" w14:textId="77777777" w:rsidR="003663AF" w:rsidRPr="00B7760C" w:rsidRDefault="003663AF" w:rsidP="00E804B7">
            <w:pPr>
              <w:pStyle w:val="Normal6"/>
              <w:jc w:val="right"/>
              <w:rPr>
                <w:b/>
                <w:bCs/>
                <w:i/>
                <w:iCs/>
                <w:sz w:val="20"/>
              </w:rPr>
            </w:pPr>
            <w:r w:rsidRPr="00B7760C">
              <w:rPr>
                <w:b/>
                <w:bCs/>
                <w:i/>
                <w:iCs/>
                <w:sz w:val="20"/>
              </w:rPr>
              <w:t>102 248 788</w:t>
            </w:r>
          </w:p>
        </w:tc>
        <w:tc>
          <w:tcPr>
            <w:tcW w:w="1580" w:type="dxa"/>
            <w:tcBorders>
              <w:top w:val="single" w:sz="4" w:space="0" w:color="auto"/>
              <w:left w:val="single" w:sz="4" w:space="0" w:color="auto"/>
              <w:bottom w:val="single" w:sz="4" w:space="0" w:color="auto"/>
              <w:right w:val="single" w:sz="4" w:space="0" w:color="auto"/>
            </w:tcBorders>
            <w:vAlign w:val="center"/>
            <w:hideMark/>
          </w:tcPr>
          <w:p w14:paraId="5CA7FB48" w14:textId="77777777" w:rsidR="003663AF" w:rsidRPr="00B7760C" w:rsidRDefault="003663AF" w:rsidP="00E804B7">
            <w:pPr>
              <w:pStyle w:val="Normal6"/>
              <w:jc w:val="right"/>
              <w:rPr>
                <w:b/>
                <w:bCs/>
                <w:i/>
                <w:iCs/>
                <w:sz w:val="20"/>
              </w:rPr>
            </w:pPr>
            <w:r w:rsidRPr="00B7760C">
              <w:rPr>
                <w:b/>
                <w:bCs/>
                <w:i/>
                <w:iCs/>
                <w:sz w:val="20"/>
              </w:rPr>
              <w:t>102 248 788</w:t>
            </w:r>
          </w:p>
        </w:tc>
        <w:tc>
          <w:tcPr>
            <w:tcW w:w="1580" w:type="dxa"/>
            <w:tcBorders>
              <w:top w:val="single" w:sz="4" w:space="0" w:color="auto"/>
              <w:left w:val="single" w:sz="4" w:space="0" w:color="auto"/>
              <w:bottom w:val="single" w:sz="4" w:space="0" w:color="auto"/>
              <w:right w:val="single" w:sz="4" w:space="0" w:color="auto"/>
            </w:tcBorders>
            <w:vAlign w:val="center"/>
            <w:hideMark/>
          </w:tcPr>
          <w:p w14:paraId="335FEC79" w14:textId="77777777" w:rsidR="003663AF" w:rsidRPr="00B7760C" w:rsidRDefault="003663AF" w:rsidP="00E804B7">
            <w:pPr>
              <w:pStyle w:val="Normal6"/>
              <w:jc w:val="right"/>
              <w:rPr>
                <w:b/>
                <w:bCs/>
                <w:i/>
                <w:iCs/>
                <w:sz w:val="20"/>
              </w:rPr>
            </w:pPr>
            <w:r w:rsidRPr="00B7760C">
              <w:rPr>
                <w:b/>
                <w:bCs/>
                <w:i/>
                <w:iCs/>
                <w:sz w:val="20"/>
              </w:rPr>
              <w:t>102 248 788</w:t>
            </w:r>
          </w:p>
        </w:tc>
        <w:tc>
          <w:tcPr>
            <w:tcW w:w="1580" w:type="dxa"/>
            <w:tcBorders>
              <w:top w:val="single" w:sz="4" w:space="0" w:color="auto"/>
              <w:left w:val="single" w:sz="4" w:space="0" w:color="auto"/>
              <w:bottom w:val="single" w:sz="4" w:space="0" w:color="auto"/>
              <w:right w:val="single" w:sz="4" w:space="0" w:color="auto"/>
            </w:tcBorders>
            <w:vAlign w:val="center"/>
            <w:hideMark/>
          </w:tcPr>
          <w:p w14:paraId="01FFA658" w14:textId="77777777" w:rsidR="003663AF" w:rsidRPr="00B7760C" w:rsidRDefault="003663AF" w:rsidP="00E804B7">
            <w:pPr>
              <w:pStyle w:val="Normal6"/>
              <w:jc w:val="right"/>
              <w:rPr>
                <w:b/>
                <w:bCs/>
                <w:i/>
                <w:iCs/>
                <w:sz w:val="20"/>
              </w:rPr>
            </w:pPr>
            <w:r w:rsidRPr="00B7760C">
              <w:rPr>
                <w:b/>
                <w:bCs/>
                <w:i/>
                <w:iCs/>
                <w:sz w:val="20"/>
              </w:rPr>
              <w:t>102 248 788</w:t>
            </w:r>
          </w:p>
        </w:tc>
        <w:tc>
          <w:tcPr>
            <w:tcW w:w="1580" w:type="dxa"/>
            <w:tcBorders>
              <w:top w:val="single" w:sz="4" w:space="0" w:color="auto"/>
              <w:left w:val="single" w:sz="4" w:space="0" w:color="auto"/>
              <w:bottom w:val="single" w:sz="4" w:space="0" w:color="auto"/>
              <w:right w:val="single" w:sz="4" w:space="0" w:color="auto"/>
            </w:tcBorders>
            <w:vAlign w:val="center"/>
            <w:hideMark/>
          </w:tcPr>
          <w:p w14:paraId="479D1CEA" w14:textId="77777777" w:rsidR="003663AF" w:rsidRPr="00B7760C" w:rsidRDefault="003663AF" w:rsidP="00E804B7">
            <w:pPr>
              <w:pStyle w:val="Normal6"/>
              <w:jc w:val="right"/>
              <w:rPr>
                <w:b/>
                <w:bCs/>
                <w:i/>
                <w:iCs/>
                <w:sz w:val="20"/>
              </w:rPr>
            </w:pPr>
            <w:r w:rsidRPr="00B7760C">
              <w:rPr>
                <w:b/>
                <w:bCs/>
                <w:i/>
                <w:iCs/>
                <w:sz w:val="20"/>
              </w:rPr>
              <w:t>102 248 788</w:t>
            </w:r>
          </w:p>
        </w:tc>
        <w:tc>
          <w:tcPr>
            <w:tcW w:w="1580" w:type="dxa"/>
            <w:gridSpan w:val="2"/>
            <w:tcBorders>
              <w:top w:val="single" w:sz="4" w:space="0" w:color="auto"/>
              <w:left w:val="single" w:sz="4" w:space="0" w:color="auto"/>
              <w:bottom w:val="single" w:sz="4" w:space="0" w:color="auto"/>
              <w:right w:val="single" w:sz="4" w:space="0" w:color="auto"/>
            </w:tcBorders>
            <w:vAlign w:val="center"/>
            <w:hideMark/>
          </w:tcPr>
          <w:p w14:paraId="716B1785" w14:textId="77777777" w:rsidR="003663AF" w:rsidRPr="00B7760C" w:rsidRDefault="003663AF" w:rsidP="00E804B7">
            <w:pPr>
              <w:pStyle w:val="Normal6"/>
              <w:jc w:val="right"/>
              <w:rPr>
                <w:b/>
                <w:bCs/>
                <w:i/>
                <w:iCs/>
                <w:sz w:val="20"/>
              </w:rPr>
            </w:pPr>
            <w:r w:rsidRPr="00B7760C">
              <w:rPr>
                <w:b/>
                <w:bCs/>
                <w:i/>
                <w:iCs/>
                <w:sz w:val="20"/>
              </w:rPr>
              <w:t>102 248 788</w:t>
            </w:r>
          </w:p>
        </w:tc>
        <w:tc>
          <w:tcPr>
            <w:tcW w:w="1580" w:type="dxa"/>
            <w:gridSpan w:val="2"/>
            <w:tcBorders>
              <w:top w:val="single" w:sz="4" w:space="0" w:color="auto"/>
              <w:left w:val="single" w:sz="4" w:space="0" w:color="auto"/>
              <w:bottom w:val="single" w:sz="4" w:space="0" w:color="auto"/>
              <w:right w:val="single" w:sz="4" w:space="0" w:color="auto"/>
            </w:tcBorders>
            <w:vAlign w:val="center"/>
            <w:hideMark/>
          </w:tcPr>
          <w:p w14:paraId="34724A58" w14:textId="77777777" w:rsidR="003663AF" w:rsidRPr="00B7760C" w:rsidRDefault="003663AF" w:rsidP="00E804B7">
            <w:pPr>
              <w:pStyle w:val="Normal6"/>
              <w:jc w:val="right"/>
              <w:rPr>
                <w:b/>
                <w:bCs/>
                <w:i/>
                <w:iCs/>
                <w:sz w:val="20"/>
              </w:rPr>
            </w:pPr>
            <w:r w:rsidRPr="00B7760C">
              <w:rPr>
                <w:b/>
                <w:bCs/>
                <w:i/>
                <w:iCs/>
                <w:sz w:val="20"/>
              </w:rPr>
              <w:t>102 248 788</w:t>
            </w:r>
          </w:p>
        </w:tc>
        <w:tc>
          <w:tcPr>
            <w:tcW w:w="1580" w:type="dxa"/>
            <w:tcBorders>
              <w:top w:val="single" w:sz="4" w:space="0" w:color="auto"/>
              <w:left w:val="single" w:sz="4" w:space="0" w:color="auto"/>
              <w:bottom w:val="single" w:sz="4" w:space="0" w:color="auto"/>
              <w:right w:val="single" w:sz="4" w:space="0" w:color="auto"/>
            </w:tcBorders>
            <w:vAlign w:val="center"/>
            <w:hideMark/>
          </w:tcPr>
          <w:p w14:paraId="1F9AE3B8" w14:textId="77777777" w:rsidR="003663AF" w:rsidRPr="00B7760C" w:rsidRDefault="003663AF" w:rsidP="00E804B7">
            <w:pPr>
              <w:pStyle w:val="Normal6"/>
              <w:jc w:val="right"/>
              <w:rPr>
                <w:b/>
                <w:bCs/>
                <w:i/>
                <w:iCs/>
                <w:sz w:val="20"/>
              </w:rPr>
            </w:pPr>
            <w:r w:rsidRPr="00B7760C">
              <w:rPr>
                <w:b/>
                <w:bCs/>
                <w:i/>
                <w:iCs/>
                <w:sz w:val="20"/>
              </w:rPr>
              <w:t>715 741 516</w:t>
            </w:r>
          </w:p>
        </w:tc>
      </w:tr>
      <w:tr w:rsidR="003663AF" w:rsidRPr="00B7760C" w14:paraId="24170701" w14:textId="77777777" w:rsidTr="00E804B7">
        <w:trPr>
          <w:cantSplit/>
          <w:trHeight w:val="255"/>
          <w:jc w:val="center"/>
        </w:trPr>
        <w:tc>
          <w:tcPr>
            <w:tcW w:w="1580" w:type="dxa"/>
            <w:tcBorders>
              <w:top w:val="single" w:sz="4" w:space="0" w:color="auto"/>
              <w:left w:val="single" w:sz="4" w:space="0" w:color="auto"/>
              <w:bottom w:val="single" w:sz="4" w:space="0" w:color="auto"/>
              <w:right w:val="single" w:sz="4" w:space="0" w:color="auto"/>
            </w:tcBorders>
            <w:vAlign w:val="center"/>
            <w:hideMark/>
          </w:tcPr>
          <w:p w14:paraId="7B4BD935" w14:textId="77777777" w:rsidR="003663AF" w:rsidRPr="00B7760C" w:rsidRDefault="003663AF" w:rsidP="00E804B7">
            <w:pPr>
              <w:pStyle w:val="Normal6"/>
              <w:rPr>
                <w:sz w:val="20"/>
              </w:rPr>
            </w:pPr>
            <w:r w:rsidRPr="00B7760C">
              <w:rPr>
                <w:sz w:val="20"/>
              </w:rPr>
              <w:t>Slovaška</w:t>
            </w:r>
          </w:p>
        </w:tc>
        <w:tc>
          <w:tcPr>
            <w:tcW w:w="1580" w:type="dxa"/>
            <w:tcBorders>
              <w:top w:val="single" w:sz="4" w:space="0" w:color="auto"/>
              <w:left w:val="single" w:sz="4" w:space="0" w:color="auto"/>
              <w:bottom w:val="single" w:sz="4" w:space="0" w:color="auto"/>
              <w:right w:val="single" w:sz="4" w:space="0" w:color="auto"/>
            </w:tcBorders>
            <w:vAlign w:val="center"/>
            <w:hideMark/>
          </w:tcPr>
          <w:p w14:paraId="27D8B8BF" w14:textId="77777777" w:rsidR="003663AF" w:rsidRPr="00B7760C" w:rsidRDefault="003663AF" w:rsidP="00E804B7">
            <w:pPr>
              <w:pStyle w:val="Normal6"/>
              <w:jc w:val="right"/>
              <w:rPr>
                <w:b/>
                <w:bCs/>
                <w:i/>
                <w:iCs/>
                <w:sz w:val="20"/>
              </w:rPr>
            </w:pPr>
            <w:r w:rsidRPr="00B7760C">
              <w:rPr>
                <w:b/>
                <w:bCs/>
                <w:i/>
                <w:iCs/>
                <w:sz w:val="20"/>
              </w:rPr>
              <w:t>227 682 721</w:t>
            </w:r>
          </w:p>
        </w:tc>
        <w:tc>
          <w:tcPr>
            <w:tcW w:w="1580" w:type="dxa"/>
            <w:tcBorders>
              <w:top w:val="single" w:sz="4" w:space="0" w:color="auto"/>
              <w:left w:val="single" w:sz="4" w:space="0" w:color="auto"/>
              <w:bottom w:val="single" w:sz="4" w:space="0" w:color="auto"/>
              <w:right w:val="single" w:sz="4" w:space="0" w:color="auto"/>
            </w:tcBorders>
            <w:vAlign w:val="center"/>
            <w:hideMark/>
          </w:tcPr>
          <w:p w14:paraId="40343FD8" w14:textId="77777777" w:rsidR="003663AF" w:rsidRPr="00B7760C" w:rsidRDefault="003663AF" w:rsidP="00E804B7">
            <w:pPr>
              <w:pStyle w:val="Normal6"/>
              <w:jc w:val="right"/>
              <w:rPr>
                <w:b/>
                <w:bCs/>
                <w:i/>
                <w:iCs/>
                <w:sz w:val="20"/>
              </w:rPr>
            </w:pPr>
            <w:r w:rsidRPr="00B7760C">
              <w:rPr>
                <w:b/>
                <w:bCs/>
                <w:i/>
                <w:iCs/>
                <w:sz w:val="20"/>
              </w:rPr>
              <w:t>227 682 721</w:t>
            </w:r>
          </w:p>
        </w:tc>
        <w:tc>
          <w:tcPr>
            <w:tcW w:w="1580" w:type="dxa"/>
            <w:tcBorders>
              <w:top w:val="single" w:sz="4" w:space="0" w:color="auto"/>
              <w:left w:val="single" w:sz="4" w:space="0" w:color="auto"/>
              <w:bottom w:val="single" w:sz="4" w:space="0" w:color="auto"/>
              <w:right w:val="single" w:sz="4" w:space="0" w:color="auto"/>
            </w:tcBorders>
            <w:vAlign w:val="center"/>
            <w:hideMark/>
          </w:tcPr>
          <w:p w14:paraId="2F820DBF" w14:textId="77777777" w:rsidR="003663AF" w:rsidRPr="00B7760C" w:rsidRDefault="003663AF" w:rsidP="00E804B7">
            <w:pPr>
              <w:pStyle w:val="Normal6"/>
              <w:jc w:val="right"/>
              <w:rPr>
                <w:b/>
                <w:bCs/>
                <w:i/>
                <w:iCs/>
                <w:sz w:val="20"/>
              </w:rPr>
            </w:pPr>
            <w:r w:rsidRPr="00B7760C">
              <w:rPr>
                <w:b/>
                <w:bCs/>
                <w:i/>
                <w:iCs/>
                <w:sz w:val="20"/>
              </w:rPr>
              <w:t>227 682 721</w:t>
            </w:r>
          </w:p>
        </w:tc>
        <w:tc>
          <w:tcPr>
            <w:tcW w:w="1580" w:type="dxa"/>
            <w:tcBorders>
              <w:top w:val="single" w:sz="4" w:space="0" w:color="auto"/>
              <w:left w:val="single" w:sz="4" w:space="0" w:color="auto"/>
              <w:bottom w:val="single" w:sz="4" w:space="0" w:color="auto"/>
              <w:right w:val="single" w:sz="4" w:space="0" w:color="auto"/>
            </w:tcBorders>
            <w:vAlign w:val="center"/>
            <w:hideMark/>
          </w:tcPr>
          <w:p w14:paraId="2B562EC8" w14:textId="77777777" w:rsidR="003663AF" w:rsidRPr="00B7760C" w:rsidRDefault="003663AF" w:rsidP="00E804B7">
            <w:pPr>
              <w:pStyle w:val="Normal6"/>
              <w:jc w:val="right"/>
              <w:rPr>
                <w:b/>
                <w:bCs/>
                <w:i/>
                <w:iCs/>
                <w:sz w:val="20"/>
              </w:rPr>
            </w:pPr>
            <w:r w:rsidRPr="00B7760C">
              <w:rPr>
                <w:b/>
                <w:bCs/>
                <w:i/>
                <w:iCs/>
                <w:sz w:val="20"/>
              </w:rPr>
              <w:t>227 682 721</w:t>
            </w:r>
          </w:p>
        </w:tc>
        <w:tc>
          <w:tcPr>
            <w:tcW w:w="1580" w:type="dxa"/>
            <w:tcBorders>
              <w:top w:val="single" w:sz="4" w:space="0" w:color="auto"/>
              <w:left w:val="single" w:sz="4" w:space="0" w:color="auto"/>
              <w:bottom w:val="single" w:sz="4" w:space="0" w:color="auto"/>
              <w:right w:val="single" w:sz="4" w:space="0" w:color="auto"/>
            </w:tcBorders>
            <w:vAlign w:val="center"/>
            <w:hideMark/>
          </w:tcPr>
          <w:p w14:paraId="244D72B1" w14:textId="77777777" w:rsidR="003663AF" w:rsidRPr="00B7760C" w:rsidRDefault="003663AF" w:rsidP="00E804B7">
            <w:pPr>
              <w:pStyle w:val="Normal6"/>
              <w:jc w:val="right"/>
              <w:rPr>
                <w:b/>
                <w:bCs/>
                <w:i/>
                <w:iCs/>
                <w:sz w:val="20"/>
              </w:rPr>
            </w:pPr>
            <w:r w:rsidRPr="00B7760C">
              <w:rPr>
                <w:b/>
                <w:bCs/>
                <w:i/>
                <w:iCs/>
                <w:sz w:val="20"/>
              </w:rPr>
              <w:t>227 682 721</w:t>
            </w:r>
          </w:p>
        </w:tc>
        <w:tc>
          <w:tcPr>
            <w:tcW w:w="1580" w:type="dxa"/>
            <w:gridSpan w:val="2"/>
            <w:tcBorders>
              <w:top w:val="single" w:sz="4" w:space="0" w:color="auto"/>
              <w:left w:val="single" w:sz="4" w:space="0" w:color="auto"/>
              <w:bottom w:val="single" w:sz="4" w:space="0" w:color="auto"/>
              <w:right w:val="single" w:sz="4" w:space="0" w:color="auto"/>
            </w:tcBorders>
            <w:vAlign w:val="center"/>
            <w:hideMark/>
          </w:tcPr>
          <w:p w14:paraId="4A35C771" w14:textId="77777777" w:rsidR="003663AF" w:rsidRPr="00B7760C" w:rsidRDefault="003663AF" w:rsidP="00E804B7">
            <w:pPr>
              <w:pStyle w:val="Normal6"/>
              <w:jc w:val="right"/>
              <w:rPr>
                <w:b/>
                <w:bCs/>
                <w:i/>
                <w:iCs/>
                <w:sz w:val="20"/>
              </w:rPr>
            </w:pPr>
            <w:r w:rsidRPr="00B7760C">
              <w:rPr>
                <w:b/>
                <w:bCs/>
                <w:i/>
                <w:iCs/>
                <w:sz w:val="20"/>
              </w:rPr>
              <w:t>227 682 721</w:t>
            </w:r>
          </w:p>
        </w:tc>
        <w:tc>
          <w:tcPr>
            <w:tcW w:w="1580" w:type="dxa"/>
            <w:gridSpan w:val="2"/>
            <w:tcBorders>
              <w:top w:val="single" w:sz="4" w:space="0" w:color="auto"/>
              <w:left w:val="single" w:sz="4" w:space="0" w:color="auto"/>
              <w:bottom w:val="single" w:sz="4" w:space="0" w:color="auto"/>
              <w:right w:val="single" w:sz="4" w:space="0" w:color="auto"/>
            </w:tcBorders>
            <w:vAlign w:val="center"/>
            <w:hideMark/>
          </w:tcPr>
          <w:p w14:paraId="0C311D69" w14:textId="77777777" w:rsidR="003663AF" w:rsidRPr="00B7760C" w:rsidRDefault="003663AF" w:rsidP="00E804B7">
            <w:pPr>
              <w:pStyle w:val="Normal6"/>
              <w:jc w:val="right"/>
              <w:rPr>
                <w:b/>
                <w:bCs/>
                <w:i/>
                <w:iCs/>
                <w:sz w:val="20"/>
              </w:rPr>
            </w:pPr>
            <w:r w:rsidRPr="00B7760C">
              <w:rPr>
                <w:b/>
                <w:bCs/>
                <w:i/>
                <w:iCs/>
                <w:sz w:val="20"/>
              </w:rPr>
              <w:t>227 682 721</w:t>
            </w:r>
          </w:p>
        </w:tc>
        <w:tc>
          <w:tcPr>
            <w:tcW w:w="1580" w:type="dxa"/>
            <w:tcBorders>
              <w:top w:val="single" w:sz="4" w:space="0" w:color="auto"/>
              <w:left w:val="single" w:sz="4" w:space="0" w:color="auto"/>
              <w:bottom w:val="single" w:sz="4" w:space="0" w:color="auto"/>
              <w:right w:val="single" w:sz="4" w:space="0" w:color="auto"/>
            </w:tcBorders>
            <w:vAlign w:val="center"/>
            <w:hideMark/>
          </w:tcPr>
          <w:p w14:paraId="5341F313" w14:textId="77777777" w:rsidR="003663AF" w:rsidRPr="00B7760C" w:rsidRDefault="003663AF" w:rsidP="00E804B7">
            <w:pPr>
              <w:pStyle w:val="Normal6"/>
              <w:jc w:val="right"/>
              <w:rPr>
                <w:b/>
                <w:bCs/>
                <w:i/>
                <w:iCs/>
                <w:sz w:val="20"/>
              </w:rPr>
            </w:pPr>
            <w:r w:rsidRPr="00B7760C">
              <w:rPr>
                <w:b/>
                <w:bCs/>
                <w:i/>
                <w:iCs/>
                <w:sz w:val="20"/>
              </w:rPr>
              <w:t>1 593 779 047</w:t>
            </w:r>
          </w:p>
        </w:tc>
      </w:tr>
      <w:tr w:rsidR="003663AF" w:rsidRPr="00B7760C" w14:paraId="29845E02" w14:textId="77777777" w:rsidTr="00E804B7">
        <w:trPr>
          <w:cantSplit/>
          <w:trHeight w:val="255"/>
          <w:jc w:val="center"/>
        </w:trPr>
        <w:tc>
          <w:tcPr>
            <w:tcW w:w="1580" w:type="dxa"/>
            <w:tcBorders>
              <w:top w:val="single" w:sz="4" w:space="0" w:color="auto"/>
              <w:left w:val="single" w:sz="4" w:space="0" w:color="auto"/>
              <w:bottom w:val="single" w:sz="4" w:space="0" w:color="auto"/>
              <w:right w:val="single" w:sz="4" w:space="0" w:color="auto"/>
            </w:tcBorders>
            <w:vAlign w:val="center"/>
            <w:hideMark/>
          </w:tcPr>
          <w:p w14:paraId="227488CF" w14:textId="77777777" w:rsidR="003663AF" w:rsidRPr="00B7760C" w:rsidRDefault="003663AF" w:rsidP="00E804B7">
            <w:pPr>
              <w:pStyle w:val="Normal6"/>
              <w:rPr>
                <w:sz w:val="20"/>
              </w:rPr>
            </w:pPr>
            <w:r w:rsidRPr="00B7760C">
              <w:rPr>
                <w:sz w:val="20"/>
              </w:rPr>
              <w:t>Finska</w:t>
            </w:r>
          </w:p>
        </w:tc>
        <w:tc>
          <w:tcPr>
            <w:tcW w:w="1580" w:type="dxa"/>
            <w:tcBorders>
              <w:top w:val="single" w:sz="4" w:space="0" w:color="auto"/>
              <w:left w:val="single" w:sz="4" w:space="0" w:color="auto"/>
              <w:bottom w:val="single" w:sz="4" w:space="0" w:color="auto"/>
              <w:right w:val="single" w:sz="4" w:space="0" w:color="auto"/>
            </w:tcBorders>
            <w:vAlign w:val="center"/>
            <w:hideMark/>
          </w:tcPr>
          <w:p w14:paraId="6BB11FB3" w14:textId="77777777" w:rsidR="003663AF" w:rsidRPr="00B7760C" w:rsidRDefault="003663AF" w:rsidP="00E804B7">
            <w:pPr>
              <w:pStyle w:val="Normal6"/>
              <w:jc w:val="right"/>
              <w:rPr>
                <w:b/>
                <w:bCs/>
                <w:i/>
                <w:iCs/>
                <w:sz w:val="20"/>
              </w:rPr>
            </w:pPr>
            <w:r w:rsidRPr="00B7760C">
              <w:rPr>
                <w:b/>
                <w:bCs/>
                <w:i/>
                <w:iCs/>
                <w:sz w:val="20"/>
              </w:rPr>
              <w:t>292 021 227</w:t>
            </w:r>
          </w:p>
        </w:tc>
        <w:tc>
          <w:tcPr>
            <w:tcW w:w="1580" w:type="dxa"/>
            <w:tcBorders>
              <w:top w:val="single" w:sz="4" w:space="0" w:color="auto"/>
              <w:left w:val="single" w:sz="4" w:space="0" w:color="auto"/>
              <w:bottom w:val="single" w:sz="4" w:space="0" w:color="auto"/>
              <w:right w:val="single" w:sz="4" w:space="0" w:color="auto"/>
            </w:tcBorders>
            <w:vAlign w:val="center"/>
            <w:hideMark/>
          </w:tcPr>
          <w:p w14:paraId="051A0034" w14:textId="77777777" w:rsidR="003663AF" w:rsidRPr="00B7760C" w:rsidRDefault="003663AF" w:rsidP="00E804B7">
            <w:pPr>
              <w:pStyle w:val="Normal6"/>
              <w:jc w:val="right"/>
              <w:rPr>
                <w:b/>
                <w:bCs/>
                <w:i/>
                <w:iCs/>
                <w:sz w:val="20"/>
              </w:rPr>
            </w:pPr>
            <w:r w:rsidRPr="00B7760C">
              <w:rPr>
                <w:b/>
                <w:bCs/>
                <w:i/>
                <w:iCs/>
                <w:sz w:val="20"/>
              </w:rPr>
              <w:t>292 021 227</w:t>
            </w:r>
          </w:p>
        </w:tc>
        <w:tc>
          <w:tcPr>
            <w:tcW w:w="1580" w:type="dxa"/>
            <w:tcBorders>
              <w:top w:val="single" w:sz="4" w:space="0" w:color="auto"/>
              <w:left w:val="single" w:sz="4" w:space="0" w:color="auto"/>
              <w:bottom w:val="single" w:sz="4" w:space="0" w:color="auto"/>
              <w:right w:val="single" w:sz="4" w:space="0" w:color="auto"/>
            </w:tcBorders>
            <w:vAlign w:val="center"/>
            <w:hideMark/>
          </w:tcPr>
          <w:p w14:paraId="51868D34" w14:textId="77777777" w:rsidR="003663AF" w:rsidRPr="00B7760C" w:rsidRDefault="003663AF" w:rsidP="00E804B7">
            <w:pPr>
              <w:pStyle w:val="Normal6"/>
              <w:jc w:val="right"/>
              <w:rPr>
                <w:b/>
                <w:bCs/>
                <w:i/>
                <w:iCs/>
                <w:sz w:val="20"/>
              </w:rPr>
            </w:pPr>
            <w:r w:rsidRPr="00B7760C">
              <w:rPr>
                <w:b/>
                <w:bCs/>
                <w:i/>
                <w:iCs/>
                <w:sz w:val="20"/>
              </w:rPr>
              <w:t>292 021 227</w:t>
            </w:r>
          </w:p>
        </w:tc>
        <w:tc>
          <w:tcPr>
            <w:tcW w:w="1580" w:type="dxa"/>
            <w:tcBorders>
              <w:top w:val="single" w:sz="4" w:space="0" w:color="auto"/>
              <w:left w:val="single" w:sz="4" w:space="0" w:color="auto"/>
              <w:bottom w:val="single" w:sz="4" w:space="0" w:color="auto"/>
              <w:right w:val="single" w:sz="4" w:space="0" w:color="auto"/>
            </w:tcBorders>
            <w:vAlign w:val="center"/>
            <w:hideMark/>
          </w:tcPr>
          <w:p w14:paraId="31E3D437" w14:textId="77777777" w:rsidR="003663AF" w:rsidRPr="00B7760C" w:rsidRDefault="003663AF" w:rsidP="00E804B7">
            <w:pPr>
              <w:pStyle w:val="Normal6"/>
              <w:jc w:val="right"/>
              <w:rPr>
                <w:b/>
                <w:bCs/>
                <w:i/>
                <w:iCs/>
                <w:sz w:val="20"/>
              </w:rPr>
            </w:pPr>
            <w:r w:rsidRPr="00B7760C">
              <w:rPr>
                <w:b/>
                <w:bCs/>
                <w:i/>
                <w:iCs/>
                <w:sz w:val="20"/>
              </w:rPr>
              <w:t>292 021 227</w:t>
            </w:r>
          </w:p>
        </w:tc>
        <w:tc>
          <w:tcPr>
            <w:tcW w:w="1580" w:type="dxa"/>
            <w:tcBorders>
              <w:top w:val="single" w:sz="4" w:space="0" w:color="auto"/>
              <w:left w:val="single" w:sz="4" w:space="0" w:color="auto"/>
              <w:bottom w:val="single" w:sz="4" w:space="0" w:color="auto"/>
              <w:right w:val="single" w:sz="4" w:space="0" w:color="auto"/>
            </w:tcBorders>
            <w:vAlign w:val="center"/>
            <w:hideMark/>
          </w:tcPr>
          <w:p w14:paraId="0C511109" w14:textId="77777777" w:rsidR="003663AF" w:rsidRPr="00B7760C" w:rsidRDefault="003663AF" w:rsidP="00E804B7">
            <w:pPr>
              <w:pStyle w:val="Normal6"/>
              <w:jc w:val="right"/>
              <w:rPr>
                <w:b/>
                <w:bCs/>
                <w:i/>
                <w:iCs/>
                <w:sz w:val="20"/>
              </w:rPr>
            </w:pPr>
            <w:r w:rsidRPr="00B7760C">
              <w:rPr>
                <w:b/>
                <w:bCs/>
                <w:i/>
                <w:iCs/>
                <w:sz w:val="20"/>
              </w:rPr>
              <w:t>292 021 227</w:t>
            </w:r>
          </w:p>
        </w:tc>
        <w:tc>
          <w:tcPr>
            <w:tcW w:w="1580" w:type="dxa"/>
            <w:gridSpan w:val="2"/>
            <w:tcBorders>
              <w:top w:val="single" w:sz="4" w:space="0" w:color="auto"/>
              <w:left w:val="single" w:sz="4" w:space="0" w:color="auto"/>
              <w:bottom w:val="single" w:sz="4" w:space="0" w:color="auto"/>
              <w:right w:val="single" w:sz="4" w:space="0" w:color="auto"/>
            </w:tcBorders>
            <w:vAlign w:val="center"/>
            <w:hideMark/>
          </w:tcPr>
          <w:p w14:paraId="1D072B96" w14:textId="77777777" w:rsidR="003663AF" w:rsidRPr="00B7760C" w:rsidRDefault="003663AF" w:rsidP="00E804B7">
            <w:pPr>
              <w:pStyle w:val="Normal6"/>
              <w:jc w:val="right"/>
              <w:rPr>
                <w:b/>
                <w:bCs/>
                <w:i/>
                <w:iCs/>
                <w:sz w:val="20"/>
              </w:rPr>
            </w:pPr>
            <w:r w:rsidRPr="00B7760C">
              <w:rPr>
                <w:b/>
                <w:bCs/>
                <w:i/>
                <w:iCs/>
                <w:sz w:val="20"/>
              </w:rPr>
              <w:t>292 021 227</w:t>
            </w:r>
          </w:p>
        </w:tc>
        <w:tc>
          <w:tcPr>
            <w:tcW w:w="1580" w:type="dxa"/>
            <w:gridSpan w:val="2"/>
            <w:tcBorders>
              <w:top w:val="single" w:sz="4" w:space="0" w:color="auto"/>
              <w:left w:val="single" w:sz="4" w:space="0" w:color="auto"/>
              <w:bottom w:val="single" w:sz="4" w:space="0" w:color="auto"/>
              <w:right w:val="single" w:sz="4" w:space="0" w:color="auto"/>
            </w:tcBorders>
            <w:vAlign w:val="center"/>
            <w:hideMark/>
          </w:tcPr>
          <w:p w14:paraId="371FDE81" w14:textId="77777777" w:rsidR="003663AF" w:rsidRPr="00B7760C" w:rsidRDefault="003663AF" w:rsidP="00E804B7">
            <w:pPr>
              <w:pStyle w:val="Normal6"/>
              <w:jc w:val="right"/>
              <w:rPr>
                <w:b/>
                <w:bCs/>
                <w:i/>
                <w:iCs/>
                <w:sz w:val="20"/>
              </w:rPr>
            </w:pPr>
            <w:r w:rsidRPr="00B7760C">
              <w:rPr>
                <w:b/>
                <w:bCs/>
                <w:i/>
                <w:iCs/>
                <w:sz w:val="20"/>
              </w:rPr>
              <w:t>292 021 227</w:t>
            </w:r>
          </w:p>
        </w:tc>
        <w:tc>
          <w:tcPr>
            <w:tcW w:w="1580" w:type="dxa"/>
            <w:tcBorders>
              <w:top w:val="single" w:sz="4" w:space="0" w:color="auto"/>
              <w:left w:val="single" w:sz="4" w:space="0" w:color="auto"/>
              <w:bottom w:val="single" w:sz="4" w:space="0" w:color="auto"/>
              <w:right w:val="single" w:sz="4" w:space="0" w:color="auto"/>
            </w:tcBorders>
            <w:vAlign w:val="center"/>
            <w:hideMark/>
          </w:tcPr>
          <w:p w14:paraId="5CA7B980" w14:textId="77777777" w:rsidR="003663AF" w:rsidRPr="00B7760C" w:rsidRDefault="003663AF" w:rsidP="00E804B7">
            <w:pPr>
              <w:pStyle w:val="Normal6"/>
              <w:jc w:val="right"/>
              <w:rPr>
                <w:b/>
                <w:bCs/>
                <w:i/>
                <w:iCs/>
                <w:sz w:val="20"/>
              </w:rPr>
            </w:pPr>
            <w:r w:rsidRPr="00B7760C">
              <w:rPr>
                <w:b/>
                <w:bCs/>
                <w:i/>
                <w:iCs/>
                <w:sz w:val="20"/>
              </w:rPr>
              <w:t>2 044 148 589</w:t>
            </w:r>
          </w:p>
        </w:tc>
      </w:tr>
      <w:tr w:rsidR="003663AF" w:rsidRPr="00B7760C" w14:paraId="14C32E04" w14:textId="77777777" w:rsidTr="00E804B7">
        <w:trPr>
          <w:cantSplit/>
          <w:trHeight w:val="255"/>
          <w:jc w:val="center"/>
        </w:trPr>
        <w:tc>
          <w:tcPr>
            <w:tcW w:w="1580" w:type="dxa"/>
            <w:tcBorders>
              <w:top w:val="single" w:sz="4" w:space="0" w:color="auto"/>
              <w:left w:val="single" w:sz="4" w:space="0" w:color="auto"/>
              <w:bottom w:val="single" w:sz="4" w:space="0" w:color="auto"/>
              <w:right w:val="single" w:sz="4" w:space="0" w:color="auto"/>
            </w:tcBorders>
            <w:vAlign w:val="center"/>
            <w:hideMark/>
          </w:tcPr>
          <w:p w14:paraId="56174BE4" w14:textId="77777777" w:rsidR="003663AF" w:rsidRPr="00B7760C" w:rsidRDefault="003663AF" w:rsidP="00E804B7">
            <w:pPr>
              <w:pStyle w:val="Normal6"/>
              <w:rPr>
                <w:sz w:val="20"/>
              </w:rPr>
            </w:pPr>
            <w:r w:rsidRPr="00B7760C">
              <w:rPr>
                <w:sz w:val="20"/>
              </w:rPr>
              <w:t>Švedska</w:t>
            </w:r>
          </w:p>
        </w:tc>
        <w:tc>
          <w:tcPr>
            <w:tcW w:w="1580" w:type="dxa"/>
            <w:tcBorders>
              <w:top w:val="single" w:sz="4" w:space="0" w:color="auto"/>
              <w:left w:val="single" w:sz="4" w:space="0" w:color="auto"/>
              <w:bottom w:val="single" w:sz="4" w:space="0" w:color="auto"/>
              <w:right w:val="single" w:sz="4" w:space="0" w:color="auto"/>
            </w:tcBorders>
            <w:vAlign w:val="center"/>
            <w:hideMark/>
          </w:tcPr>
          <w:p w14:paraId="56C74983" w14:textId="77777777" w:rsidR="003663AF" w:rsidRPr="00B7760C" w:rsidRDefault="003663AF" w:rsidP="00E804B7">
            <w:pPr>
              <w:pStyle w:val="Normal6"/>
              <w:jc w:val="right"/>
              <w:rPr>
                <w:b/>
                <w:bCs/>
                <w:i/>
                <w:iCs/>
                <w:sz w:val="20"/>
              </w:rPr>
            </w:pPr>
            <w:r w:rsidRPr="00B7760C">
              <w:rPr>
                <w:b/>
                <w:bCs/>
                <w:i/>
                <w:iCs/>
                <w:sz w:val="20"/>
              </w:rPr>
              <w:t>211 550 876</w:t>
            </w:r>
          </w:p>
        </w:tc>
        <w:tc>
          <w:tcPr>
            <w:tcW w:w="1580" w:type="dxa"/>
            <w:tcBorders>
              <w:top w:val="single" w:sz="4" w:space="0" w:color="auto"/>
              <w:left w:val="single" w:sz="4" w:space="0" w:color="auto"/>
              <w:bottom w:val="single" w:sz="4" w:space="0" w:color="auto"/>
              <w:right w:val="single" w:sz="4" w:space="0" w:color="auto"/>
            </w:tcBorders>
            <w:vAlign w:val="center"/>
            <w:hideMark/>
          </w:tcPr>
          <w:p w14:paraId="365BFEB5" w14:textId="77777777" w:rsidR="003663AF" w:rsidRPr="00B7760C" w:rsidRDefault="003663AF" w:rsidP="00E804B7">
            <w:pPr>
              <w:pStyle w:val="Normal6"/>
              <w:jc w:val="right"/>
              <w:rPr>
                <w:b/>
                <w:bCs/>
                <w:i/>
                <w:iCs/>
                <w:sz w:val="20"/>
              </w:rPr>
            </w:pPr>
            <w:r w:rsidRPr="00B7760C">
              <w:rPr>
                <w:b/>
                <w:bCs/>
                <w:i/>
                <w:iCs/>
                <w:sz w:val="20"/>
              </w:rPr>
              <w:t>211 550 876</w:t>
            </w:r>
          </w:p>
        </w:tc>
        <w:tc>
          <w:tcPr>
            <w:tcW w:w="1580" w:type="dxa"/>
            <w:tcBorders>
              <w:top w:val="single" w:sz="4" w:space="0" w:color="auto"/>
              <w:left w:val="single" w:sz="4" w:space="0" w:color="auto"/>
              <w:bottom w:val="single" w:sz="4" w:space="0" w:color="auto"/>
              <w:right w:val="single" w:sz="4" w:space="0" w:color="auto"/>
            </w:tcBorders>
            <w:vAlign w:val="center"/>
            <w:hideMark/>
          </w:tcPr>
          <w:p w14:paraId="0247309D" w14:textId="77777777" w:rsidR="003663AF" w:rsidRPr="00B7760C" w:rsidRDefault="003663AF" w:rsidP="00E804B7">
            <w:pPr>
              <w:pStyle w:val="Normal6"/>
              <w:jc w:val="right"/>
              <w:rPr>
                <w:b/>
                <w:bCs/>
                <w:i/>
                <w:iCs/>
                <w:sz w:val="20"/>
              </w:rPr>
            </w:pPr>
            <w:r w:rsidRPr="00B7760C">
              <w:rPr>
                <w:b/>
                <w:bCs/>
                <w:i/>
                <w:iCs/>
                <w:sz w:val="20"/>
              </w:rPr>
              <w:t>211 550 876</w:t>
            </w:r>
          </w:p>
        </w:tc>
        <w:tc>
          <w:tcPr>
            <w:tcW w:w="1580" w:type="dxa"/>
            <w:tcBorders>
              <w:top w:val="single" w:sz="4" w:space="0" w:color="auto"/>
              <w:left w:val="single" w:sz="4" w:space="0" w:color="auto"/>
              <w:bottom w:val="single" w:sz="4" w:space="0" w:color="auto"/>
              <w:right w:val="single" w:sz="4" w:space="0" w:color="auto"/>
            </w:tcBorders>
            <w:vAlign w:val="center"/>
            <w:hideMark/>
          </w:tcPr>
          <w:p w14:paraId="002095C3" w14:textId="77777777" w:rsidR="003663AF" w:rsidRPr="00B7760C" w:rsidRDefault="003663AF" w:rsidP="00E804B7">
            <w:pPr>
              <w:pStyle w:val="Normal6"/>
              <w:jc w:val="right"/>
              <w:rPr>
                <w:b/>
                <w:bCs/>
                <w:i/>
                <w:iCs/>
                <w:sz w:val="20"/>
              </w:rPr>
            </w:pPr>
            <w:r w:rsidRPr="00B7760C">
              <w:rPr>
                <w:b/>
                <w:bCs/>
                <w:i/>
                <w:iCs/>
                <w:sz w:val="20"/>
              </w:rPr>
              <w:t>211 550 876</w:t>
            </w:r>
          </w:p>
        </w:tc>
        <w:tc>
          <w:tcPr>
            <w:tcW w:w="1580" w:type="dxa"/>
            <w:tcBorders>
              <w:top w:val="single" w:sz="4" w:space="0" w:color="auto"/>
              <w:left w:val="single" w:sz="4" w:space="0" w:color="auto"/>
              <w:bottom w:val="single" w:sz="4" w:space="0" w:color="auto"/>
              <w:right w:val="single" w:sz="4" w:space="0" w:color="auto"/>
            </w:tcBorders>
            <w:vAlign w:val="center"/>
            <w:hideMark/>
          </w:tcPr>
          <w:p w14:paraId="7D1DF915" w14:textId="77777777" w:rsidR="003663AF" w:rsidRPr="00B7760C" w:rsidRDefault="003663AF" w:rsidP="00E804B7">
            <w:pPr>
              <w:pStyle w:val="Normal6"/>
              <w:jc w:val="right"/>
              <w:rPr>
                <w:b/>
                <w:bCs/>
                <w:i/>
                <w:iCs/>
                <w:sz w:val="20"/>
              </w:rPr>
            </w:pPr>
            <w:r w:rsidRPr="00B7760C">
              <w:rPr>
                <w:b/>
                <w:bCs/>
                <w:i/>
                <w:iCs/>
                <w:sz w:val="20"/>
              </w:rPr>
              <w:t>211 550 876</w:t>
            </w:r>
          </w:p>
        </w:tc>
        <w:tc>
          <w:tcPr>
            <w:tcW w:w="1580" w:type="dxa"/>
            <w:gridSpan w:val="2"/>
            <w:tcBorders>
              <w:top w:val="single" w:sz="4" w:space="0" w:color="auto"/>
              <w:left w:val="single" w:sz="4" w:space="0" w:color="auto"/>
              <w:bottom w:val="single" w:sz="4" w:space="0" w:color="auto"/>
              <w:right w:val="single" w:sz="4" w:space="0" w:color="auto"/>
            </w:tcBorders>
            <w:vAlign w:val="center"/>
            <w:hideMark/>
          </w:tcPr>
          <w:p w14:paraId="01E9A804" w14:textId="77777777" w:rsidR="003663AF" w:rsidRPr="00B7760C" w:rsidRDefault="003663AF" w:rsidP="00E804B7">
            <w:pPr>
              <w:pStyle w:val="Normal6"/>
              <w:jc w:val="right"/>
              <w:rPr>
                <w:b/>
                <w:bCs/>
                <w:i/>
                <w:iCs/>
                <w:sz w:val="20"/>
              </w:rPr>
            </w:pPr>
            <w:r w:rsidRPr="00B7760C">
              <w:rPr>
                <w:b/>
                <w:bCs/>
                <w:i/>
                <w:iCs/>
                <w:sz w:val="20"/>
              </w:rPr>
              <w:t>211 550 876</w:t>
            </w:r>
          </w:p>
        </w:tc>
        <w:tc>
          <w:tcPr>
            <w:tcW w:w="1580" w:type="dxa"/>
            <w:gridSpan w:val="2"/>
            <w:tcBorders>
              <w:top w:val="single" w:sz="4" w:space="0" w:color="auto"/>
              <w:left w:val="single" w:sz="4" w:space="0" w:color="auto"/>
              <w:bottom w:val="single" w:sz="4" w:space="0" w:color="auto"/>
              <w:right w:val="single" w:sz="4" w:space="0" w:color="auto"/>
            </w:tcBorders>
            <w:vAlign w:val="center"/>
            <w:hideMark/>
          </w:tcPr>
          <w:p w14:paraId="7BDF61D0" w14:textId="77777777" w:rsidR="003663AF" w:rsidRPr="00B7760C" w:rsidRDefault="003663AF" w:rsidP="00E804B7">
            <w:pPr>
              <w:pStyle w:val="Normal6"/>
              <w:jc w:val="right"/>
              <w:rPr>
                <w:b/>
                <w:bCs/>
                <w:i/>
                <w:iCs/>
                <w:sz w:val="20"/>
              </w:rPr>
            </w:pPr>
            <w:r w:rsidRPr="00B7760C">
              <w:rPr>
                <w:b/>
                <w:bCs/>
                <w:i/>
                <w:iCs/>
                <w:sz w:val="20"/>
              </w:rPr>
              <w:t>211 550 876</w:t>
            </w:r>
          </w:p>
        </w:tc>
        <w:tc>
          <w:tcPr>
            <w:tcW w:w="1580" w:type="dxa"/>
            <w:tcBorders>
              <w:top w:val="single" w:sz="4" w:space="0" w:color="auto"/>
              <w:left w:val="single" w:sz="4" w:space="0" w:color="auto"/>
              <w:bottom w:val="single" w:sz="4" w:space="0" w:color="auto"/>
              <w:right w:val="single" w:sz="4" w:space="0" w:color="auto"/>
            </w:tcBorders>
            <w:vAlign w:val="center"/>
            <w:hideMark/>
          </w:tcPr>
          <w:p w14:paraId="43B869E4" w14:textId="77777777" w:rsidR="003663AF" w:rsidRPr="00B7760C" w:rsidRDefault="003663AF" w:rsidP="00E804B7">
            <w:pPr>
              <w:pStyle w:val="Normal6"/>
              <w:jc w:val="right"/>
              <w:rPr>
                <w:b/>
                <w:bCs/>
                <w:i/>
                <w:iCs/>
                <w:sz w:val="20"/>
              </w:rPr>
            </w:pPr>
            <w:r w:rsidRPr="00B7760C">
              <w:rPr>
                <w:b/>
                <w:bCs/>
                <w:i/>
                <w:iCs/>
                <w:sz w:val="20"/>
              </w:rPr>
              <w:t>1 480 856 132</w:t>
            </w:r>
          </w:p>
        </w:tc>
      </w:tr>
      <w:tr w:rsidR="003663AF" w:rsidRPr="00B7760C" w14:paraId="7D66F454" w14:textId="77777777" w:rsidTr="00E804B7">
        <w:trPr>
          <w:cantSplit/>
          <w:trHeight w:val="255"/>
          <w:jc w:val="center"/>
        </w:trPr>
        <w:tc>
          <w:tcPr>
            <w:tcW w:w="1580" w:type="dxa"/>
            <w:tcBorders>
              <w:top w:val="single" w:sz="4" w:space="0" w:color="auto"/>
              <w:left w:val="single" w:sz="4" w:space="0" w:color="auto"/>
              <w:bottom w:val="single" w:sz="4" w:space="0" w:color="auto"/>
              <w:right w:val="single" w:sz="4" w:space="0" w:color="auto"/>
            </w:tcBorders>
            <w:vAlign w:val="center"/>
            <w:hideMark/>
          </w:tcPr>
          <w:p w14:paraId="1EC90F4B" w14:textId="77777777" w:rsidR="003663AF" w:rsidRPr="00B7760C" w:rsidRDefault="003663AF" w:rsidP="00E804B7">
            <w:pPr>
              <w:pStyle w:val="Normal6"/>
              <w:rPr>
                <w:sz w:val="20"/>
              </w:rPr>
            </w:pPr>
            <w:r w:rsidRPr="00B7760C">
              <w:rPr>
                <w:sz w:val="20"/>
              </w:rPr>
              <w:t>EU-27 skupaj</w:t>
            </w:r>
          </w:p>
        </w:tc>
        <w:tc>
          <w:tcPr>
            <w:tcW w:w="1580" w:type="dxa"/>
            <w:tcBorders>
              <w:top w:val="single" w:sz="4" w:space="0" w:color="auto"/>
              <w:left w:val="single" w:sz="4" w:space="0" w:color="auto"/>
              <w:bottom w:val="single" w:sz="4" w:space="0" w:color="auto"/>
              <w:right w:val="single" w:sz="4" w:space="0" w:color="auto"/>
            </w:tcBorders>
            <w:vAlign w:val="center"/>
            <w:hideMark/>
          </w:tcPr>
          <w:p w14:paraId="225C80CC" w14:textId="77777777" w:rsidR="003663AF" w:rsidRPr="00B7760C" w:rsidRDefault="003663AF" w:rsidP="00E804B7">
            <w:pPr>
              <w:pStyle w:val="Normal6"/>
              <w:jc w:val="right"/>
              <w:rPr>
                <w:b/>
                <w:bCs/>
                <w:i/>
                <w:iCs/>
                <w:sz w:val="20"/>
              </w:rPr>
            </w:pPr>
            <w:r w:rsidRPr="00B7760C">
              <w:rPr>
                <w:b/>
                <w:bCs/>
                <w:i/>
                <w:iCs/>
                <w:sz w:val="20"/>
              </w:rPr>
              <w:t>11 230 561 046</w:t>
            </w:r>
          </w:p>
        </w:tc>
        <w:tc>
          <w:tcPr>
            <w:tcW w:w="1580" w:type="dxa"/>
            <w:tcBorders>
              <w:top w:val="single" w:sz="4" w:space="0" w:color="auto"/>
              <w:left w:val="single" w:sz="4" w:space="0" w:color="auto"/>
              <w:bottom w:val="single" w:sz="4" w:space="0" w:color="auto"/>
              <w:right w:val="single" w:sz="4" w:space="0" w:color="auto"/>
            </w:tcBorders>
            <w:vAlign w:val="center"/>
            <w:hideMark/>
          </w:tcPr>
          <w:p w14:paraId="51C5CFB3" w14:textId="77777777" w:rsidR="003663AF" w:rsidRPr="00B7760C" w:rsidRDefault="003663AF" w:rsidP="00E804B7">
            <w:pPr>
              <w:pStyle w:val="Normal6"/>
              <w:jc w:val="right"/>
              <w:rPr>
                <w:b/>
                <w:bCs/>
                <w:i/>
                <w:iCs/>
                <w:sz w:val="20"/>
              </w:rPr>
            </w:pPr>
            <w:r w:rsidRPr="00B7760C">
              <w:rPr>
                <w:b/>
                <w:bCs/>
                <w:i/>
                <w:iCs/>
                <w:sz w:val="20"/>
              </w:rPr>
              <w:t>11 230 561 046</w:t>
            </w:r>
          </w:p>
        </w:tc>
        <w:tc>
          <w:tcPr>
            <w:tcW w:w="1580" w:type="dxa"/>
            <w:tcBorders>
              <w:top w:val="single" w:sz="4" w:space="0" w:color="auto"/>
              <w:left w:val="single" w:sz="4" w:space="0" w:color="auto"/>
              <w:bottom w:val="single" w:sz="4" w:space="0" w:color="auto"/>
              <w:right w:val="single" w:sz="4" w:space="0" w:color="auto"/>
            </w:tcBorders>
            <w:vAlign w:val="center"/>
            <w:hideMark/>
          </w:tcPr>
          <w:p w14:paraId="2CBDEBB5" w14:textId="77777777" w:rsidR="003663AF" w:rsidRPr="00B7760C" w:rsidRDefault="003663AF" w:rsidP="00E804B7">
            <w:pPr>
              <w:pStyle w:val="Normal6"/>
              <w:jc w:val="right"/>
              <w:rPr>
                <w:b/>
                <w:bCs/>
                <w:i/>
                <w:iCs/>
                <w:sz w:val="20"/>
              </w:rPr>
            </w:pPr>
            <w:r w:rsidRPr="00B7760C">
              <w:rPr>
                <w:b/>
                <w:bCs/>
                <w:i/>
                <w:iCs/>
                <w:sz w:val="20"/>
              </w:rPr>
              <w:t>11 230 561 046</w:t>
            </w:r>
          </w:p>
        </w:tc>
        <w:tc>
          <w:tcPr>
            <w:tcW w:w="1580" w:type="dxa"/>
            <w:tcBorders>
              <w:top w:val="single" w:sz="4" w:space="0" w:color="auto"/>
              <w:left w:val="single" w:sz="4" w:space="0" w:color="auto"/>
              <w:bottom w:val="single" w:sz="4" w:space="0" w:color="auto"/>
              <w:right w:val="single" w:sz="4" w:space="0" w:color="auto"/>
            </w:tcBorders>
            <w:vAlign w:val="center"/>
            <w:hideMark/>
          </w:tcPr>
          <w:p w14:paraId="0D0844E4" w14:textId="77777777" w:rsidR="003663AF" w:rsidRPr="00B7760C" w:rsidRDefault="003663AF" w:rsidP="00E804B7">
            <w:pPr>
              <w:pStyle w:val="Normal6"/>
              <w:jc w:val="right"/>
              <w:rPr>
                <w:b/>
                <w:bCs/>
                <w:i/>
                <w:iCs/>
                <w:sz w:val="20"/>
              </w:rPr>
            </w:pPr>
            <w:r w:rsidRPr="00B7760C">
              <w:rPr>
                <w:b/>
                <w:bCs/>
                <w:i/>
                <w:iCs/>
                <w:sz w:val="20"/>
              </w:rPr>
              <w:t>11 230 561 046</w:t>
            </w:r>
          </w:p>
        </w:tc>
        <w:tc>
          <w:tcPr>
            <w:tcW w:w="1580" w:type="dxa"/>
            <w:tcBorders>
              <w:top w:val="single" w:sz="4" w:space="0" w:color="auto"/>
              <w:left w:val="single" w:sz="4" w:space="0" w:color="auto"/>
              <w:bottom w:val="single" w:sz="4" w:space="0" w:color="auto"/>
              <w:right w:val="single" w:sz="4" w:space="0" w:color="auto"/>
            </w:tcBorders>
            <w:vAlign w:val="center"/>
            <w:hideMark/>
          </w:tcPr>
          <w:p w14:paraId="114792E8" w14:textId="77777777" w:rsidR="003663AF" w:rsidRPr="00B7760C" w:rsidRDefault="003663AF" w:rsidP="00E804B7">
            <w:pPr>
              <w:pStyle w:val="Normal6"/>
              <w:jc w:val="right"/>
              <w:rPr>
                <w:b/>
                <w:bCs/>
                <w:i/>
                <w:iCs/>
                <w:sz w:val="20"/>
              </w:rPr>
            </w:pPr>
            <w:r w:rsidRPr="00B7760C">
              <w:rPr>
                <w:b/>
                <w:bCs/>
                <w:i/>
                <w:iCs/>
                <w:sz w:val="20"/>
              </w:rPr>
              <w:t>11 230 561 046</w:t>
            </w:r>
          </w:p>
        </w:tc>
        <w:tc>
          <w:tcPr>
            <w:tcW w:w="1580" w:type="dxa"/>
            <w:gridSpan w:val="2"/>
            <w:tcBorders>
              <w:top w:val="single" w:sz="4" w:space="0" w:color="auto"/>
              <w:left w:val="single" w:sz="4" w:space="0" w:color="auto"/>
              <w:bottom w:val="single" w:sz="4" w:space="0" w:color="auto"/>
              <w:right w:val="single" w:sz="4" w:space="0" w:color="auto"/>
            </w:tcBorders>
            <w:vAlign w:val="center"/>
            <w:hideMark/>
          </w:tcPr>
          <w:p w14:paraId="01DB8AFA" w14:textId="77777777" w:rsidR="003663AF" w:rsidRPr="00B7760C" w:rsidRDefault="003663AF" w:rsidP="00E804B7">
            <w:pPr>
              <w:pStyle w:val="Normal6"/>
              <w:jc w:val="right"/>
              <w:rPr>
                <w:b/>
                <w:bCs/>
                <w:i/>
                <w:iCs/>
                <w:sz w:val="20"/>
              </w:rPr>
            </w:pPr>
            <w:r w:rsidRPr="00B7760C">
              <w:rPr>
                <w:b/>
                <w:bCs/>
                <w:i/>
                <w:iCs/>
                <w:sz w:val="20"/>
              </w:rPr>
              <w:t>11 230 561 046</w:t>
            </w:r>
          </w:p>
        </w:tc>
        <w:tc>
          <w:tcPr>
            <w:tcW w:w="1580" w:type="dxa"/>
            <w:gridSpan w:val="2"/>
            <w:tcBorders>
              <w:top w:val="single" w:sz="4" w:space="0" w:color="auto"/>
              <w:left w:val="single" w:sz="4" w:space="0" w:color="auto"/>
              <w:bottom w:val="single" w:sz="4" w:space="0" w:color="auto"/>
              <w:right w:val="single" w:sz="4" w:space="0" w:color="auto"/>
            </w:tcBorders>
            <w:vAlign w:val="center"/>
            <w:hideMark/>
          </w:tcPr>
          <w:p w14:paraId="5E6F513D" w14:textId="77777777" w:rsidR="003663AF" w:rsidRPr="00B7760C" w:rsidRDefault="003663AF" w:rsidP="00E804B7">
            <w:pPr>
              <w:pStyle w:val="Normal6"/>
              <w:jc w:val="right"/>
              <w:rPr>
                <w:b/>
                <w:bCs/>
                <w:i/>
                <w:iCs/>
                <w:sz w:val="20"/>
              </w:rPr>
            </w:pPr>
            <w:r w:rsidRPr="00B7760C">
              <w:rPr>
                <w:b/>
                <w:bCs/>
                <w:i/>
                <w:iCs/>
                <w:sz w:val="20"/>
              </w:rPr>
              <w:t>11 230 561 046</w:t>
            </w:r>
          </w:p>
        </w:tc>
        <w:tc>
          <w:tcPr>
            <w:tcW w:w="1580" w:type="dxa"/>
            <w:tcBorders>
              <w:top w:val="single" w:sz="4" w:space="0" w:color="auto"/>
              <w:left w:val="single" w:sz="4" w:space="0" w:color="auto"/>
              <w:bottom w:val="single" w:sz="4" w:space="0" w:color="auto"/>
              <w:right w:val="single" w:sz="4" w:space="0" w:color="auto"/>
            </w:tcBorders>
            <w:vAlign w:val="center"/>
            <w:hideMark/>
          </w:tcPr>
          <w:p w14:paraId="6F8C88BF" w14:textId="77777777" w:rsidR="003663AF" w:rsidRPr="00B7760C" w:rsidRDefault="003663AF" w:rsidP="00E804B7">
            <w:pPr>
              <w:pStyle w:val="Normal6"/>
              <w:jc w:val="right"/>
              <w:rPr>
                <w:b/>
                <w:bCs/>
                <w:i/>
                <w:iCs/>
                <w:sz w:val="20"/>
              </w:rPr>
            </w:pPr>
            <w:r w:rsidRPr="00B7760C">
              <w:rPr>
                <w:b/>
                <w:bCs/>
                <w:i/>
                <w:iCs/>
                <w:sz w:val="20"/>
              </w:rPr>
              <w:t>78 613 927 322</w:t>
            </w:r>
          </w:p>
        </w:tc>
      </w:tr>
      <w:tr w:rsidR="003663AF" w:rsidRPr="00B7760C" w14:paraId="499FF7C1" w14:textId="77777777" w:rsidTr="00E804B7">
        <w:trPr>
          <w:cantSplit/>
          <w:trHeight w:val="255"/>
          <w:jc w:val="center"/>
        </w:trPr>
        <w:tc>
          <w:tcPr>
            <w:tcW w:w="1580" w:type="dxa"/>
            <w:tcBorders>
              <w:top w:val="single" w:sz="4" w:space="0" w:color="auto"/>
              <w:left w:val="nil"/>
              <w:bottom w:val="single" w:sz="4" w:space="0" w:color="auto"/>
              <w:right w:val="nil"/>
            </w:tcBorders>
            <w:vAlign w:val="center"/>
          </w:tcPr>
          <w:p w14:paraId="71B83EE9" w14:textId="77777777" w:rsidR="003663AF" w:rsidRPr="00B7760C" w:rsidRDefault="003663AF" w:rsidP="00E804B7">
            <w:pPr>
              <w:pStyle w:val="Normal6"/>
              <w:rPr>
                <w:sz w:val="20"/>
              </w:rPr>
            </w:pPr>
          </w:p>
        </w:tc>
        <w:tc>
          <w:tcPr>
            <w:tcW w:w="1580" w:type="dxa"/>
            <w:tcBorders>
              <w:top w:val="single" w:sz="4" w:space="0" w:color="auto"/>
              <w:left w:val="nil"/>
              <w:bottom w:val="single" w:sz="4" w:space="0" w:color="auto"/>
              <w:right w:val="nil"/>
            </w:tcBorders>
            <w:vAlign w:val="center"/>
          </w:tcPr>
          <w:p w14:paraId="44526F59" w14:textId="77777777" w:rsidR="003663AF" w:rsidRPr="00B7760C" w:rsidRDefault="003663AF" w:rsidP="00E804B7">
            <w:pPr>
              <w:pStyle w:val="Normal6"/>
              <w:rPr>
                <w:sz w:val="20"/>
              </w:rPr>
            </w:pPr>
          </w:p>
        </w:tc>
        <w:tc>
          <w:tcPr>
            <w:tcW w:w="1580" w:type="dxa"/>
            <w:tcBorders>
              <w:top w:val="single" w:sz="4" w:space="0" w:color="auto"/>
              <w:left w:val="nil"/>
              <w:bottom w:val="single" w:sz="4" w:space="0" w:color="auto"/>
              <w:right w:val="nil"/>
            </w:tcBorders>
            <w:vAlign w:val="center"/>
          </w:tcPr>
          <w:p w14:paraId="2986892B" w14:textId="77777777" w:rsidR="003663AF" w:rsidRPr="00B7760C" w:rsidRDefault="003663AF" w:rsidP="00E804B7">
            <w:pPr>
              <w:pStyle w:val="Normal6"/>
              <w:rPr>
                <w:sz w:val="20"/>
              </w:rPr>
            </w:pPr>
          </w:p>
        </w:tc>
        <w:tc>
          <w:tcPr>
            <w:tcW w:w="1580" w:type="dxa"/>
            <w:tcBorders>
              <w:top w:val="single" w:sz="4" w:space="0" w:color="auto"/>
              <w:left w:val="nil"/>
              <w:bottom w:val="single" w:sz="4" w:space="0" w:color="auto"/>
              <w:right w:val="nil"/>
            </w:tcBorders>
            <w:vAlign w:val="center"/>
          </w:tcPr>
          <w:p w14:paraId="2948F650" w14:textId="77777777" w:rsidR="003663AF" w:rsidRPr="00B7760C" w:rsidRDefault="003663AF" w:rsidP="00E804B7">
            <w:pPr>
              <w:pStyle w:val="Normal6"/>
              <w:rPr>
                <w:sz w:val="20"/>
              </w:rPr>
            </w:pPr>
          </w:p>
        </w:tc>
        <w:tc>
          <w:tcPr>
            <w:tcW w:w="1580" w:type="dxa"/>
            <w:tcBorders>
              <w:top w:val="single" w:sz="4" w:space="0" w:color="auto"/>
              <w:left w:val="nil"/>
              <w:bottom w:val="single" w:sz="4" w:space="0" w:color="auto"/>
              <w:right w:val="nil"/>
            </w:tcBorders>
            <w:vAlign w:val="center"/>
          </w:tcPr>
          <w:p w14:paraId="6F1E1DAC" w14:textId="77777777" w:rsidR="003663AF" w:rsidRPr="00B7760C" w:rsidRDefault="003663AF" w:rsidP="00E804B7">
            <w:pPr>
              <w:pStyle w:val="Normal6"/>
              <w:rPr>
                <w:sz w:val="20"/>
              </w:rPr>
            </w:pPr>
          </w:p>
        </w:tc>
        <w:tc>
          <w:tcPr>
            <w:tcW w:w="1580" w:type="dxa"/>
            <w:tcBorders>
              <w:top w:val="single" w:sz="4" w:space="0" w:color="auto"/>
              <w:left w:val="nil"/>
              <w:bottom w:val="single" w:sz="4" w:space="0" w:color="auto"/>
              <w:right w:val="nil"/>
            </w:tcBorders>
            <w:vAlign w:val="center"/>
          </w:tcPr>
          <w:p w14:paraId="71653BAE" w14:textId="77777777" w:rsidR="003663AF" w:rsidRPr="00B7760C" w:rsidRDefault="003663AF" w:rsidP="00E804B7">
            <w:pPr>
              <w:pStyle w:val="Normal6"/>
              <w:rPr>
                <w:sz w:val="20"/>
              </w:rPr>
            </w:pPr>
          </w:p>
        </w:tc>
        <w:tc>
          <w:tcPr>
            <w:tcW w:w="1580" w:type="dxa"/>
            <w:gridSpan w:val="2"/>
            <w:tcBorders>
              <w:top w:val="single" w:sz="4" w:space="0" w:color="auto"/>
              <w:left w:val="nil"/>
              <w:bottom w:val="single" w:sz="4" w:space="0" w:color="auto"/>
              <w:right w:val="nil"/>
            </w:tcBorders>
            <w:vAlign w:val="center"/>
          </w:tcPr>
          <w:p w14:paraId="53AF6723" w14:textId="77777777" w:rsidR="003663AF" w:rsidRPr="00B7760C" w:rsidRDefault="003663AF" w:rsidP="00E804B7">
            <w:pPr>
              <w:pStyle w:val="Normal6"/>
              <w:rPr>
                <w:sz w:val="20"/>
              </w:rPr>
            </w:pPr>
          </w:p>
        </w:tc>
        <w:tc>
          <w:tcPr>
            <w:tcW w:w="1580" w:type="dxa"/>
            <w:gridSpan w:val="2"/>
            <w:tcBorders>
              <w:top w:val="single" w:sz="4" w:space="0" w:color="auto"/>
              <w:left w:val="nil"/>
              <w:bottom w:val="single" w:sz="4" w:space="0" w:color="auto"/>
              <w:right w:val="nil"/>
            </w:tcBorders>
            <w:vAlign w:val="center"/>
          </w:tcPr>
          <w:p w14:paraId="0B149D55" w14:textId="77777777" w:rsidR="003663AF" w:rsidRPr="00B7760C" w:rsidRDefault="003663AF" w:rsidP="00E804B7">
            <w:pPr>
              <w:pStyle w:val="Normal6"/>
              <w:rPr>
                <w:sz w:val="20"/>
              </w:rPr>
            </w:pPr>
          </w:p>
        </w:tc>
        <w:tc>
          <w:tcPr>
            <w:tcW w:w="1580" w:type="dxa"/>
            <w:tcBorders>
              <w:top w:val="single" w:sz="4" w:space="0" w:color="auto"/>
              <w:left w:val="nil"/>
              <w:bottom w:val="single" w:sz="4" w:space="0" w:color="auto"/>
              <w:right w:val="nil"/>
            </w:tcBorders>
          </w:tcPr>
          <w:p w14:paraId="30E483C5" w14:textId="77777777" w:rsidR="003663AF" w:rsidRPr="00B7760C" w:rsidRDefault="003663AF" w:rsidP="00E804B7">
            <w:pPr>
              <w:pStyle w:val="Normal6"/>
              <w:rPr>
                <w:sz w:val="20"/>
              </w:rPr>
            </w:pPr>
          </w:p>
        </w:tc>
      </w:tr>
      <w:tr w:rsidR="003663AF" w:rsidRPr="00B7760C" w14:paraId="15E69883" w14:textId="77777777" w:rsidTr="00E804B7">
        <w:trPr>
          <w:cantSplit/>
          <w:trHeight w:val="255"/>
          <w:jc w:val="center"/>
        </w:trPr>
        <w:tc>
          <w:tcPr>
            <w:tcW w:w="1580" w:type="dxa"/>
            <w:tcBorders>
              <w:top w:val="single" w:sz="4" w:space="0" w:color="auto"/>
              <w:left w:val="single" w:sz="4" w:space="0" w:color="auto"/>
              <w:bottom w:val="single" w:sz="4" w:space="0" w:color="auto"/>
              <w:right w:val="single" w:sz="4" w:space="0" w:color="auto"/>
            </w:tcBorders>
            <w:vAlign w:val="center"/>
            <w:hideMark/>
          </w:tcPr>
          <w:p w14:paraId="18F08321" w14:textId="77777777" w:rsidR="003663AF" w:rsidRPr="00B7760C" w:rsidRDefault="003663AF" w:rsidP="00E804B7">
            <w:pPr>
              <w:pStyle w:val="Normal6"/>
              <w:rPr>
                <w:sz w:val="20"/>
              </w:rPr>
            </w:pPr>
            <w:r w:rsidRPr="00B7760C">
              <w:rPr>
                <w:sz w:val="20"/>
              </w:rPr>
              <w:t>Tehnična pomoč (0,25 %)</w:t>
            </w:r>
          </w:p>
        </w:tc>
        <w:tc>
          <w:tcPr>
            <w:tcW w:w="1580" w:type="dxa"/>
            <w:tcBorders>
              <w:top w:val="single" w:sz="4" w:space="0" w:color="auto"/>
              <w:left w:val="single" w:sz="4" w:space="0" w:color="auto"/>
              <w:bottom w:val="single" w:sz="4" w:space="0" w:color="auto"/>
              <w:right w:val="single" w:sz="4" w:space="0" w:color="auto"/>
            </w:tcBorders>
            <w:vAlign w:val="bottom"/>
            <w:hideMark/>
          </w:tcPr>
          <w:p w14:paraId="5DE33E8F" w14:textId="77777777" w:rsidR="003663AF" w:rsidRPr="00B7760C" w:rsidRDefault="003663AF" w:rsidP="00E804B7">
            <w:pPr>
              <w:pStyle w:val="Normal6"/>
              <w:jc w:val="right"/>
              <w:rPr>
                <w:b/>
                <w:bCs/>
                <w:i/>
                <w:iCs/>
                <w:sz w:val="20"/>
              </w:rPr>
            </w:pPr>
            <w:r w:rsidRPr="00B7760C">
              <w:rPr>
                <w:b/>
                <w:bCs/>
                <w:i/>
                <w:iCs/>
                <w:sz w:val="20"/>
              </w:rPr>
              <w:t>28 146 770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71E3EF47" w14:textId="77777777" w:rsidR="003663AF" w:rsidRPr="00B7760C" w:rsidRDefault="003663AF" w:rsidP="00E804B7">
            <w:pPr>
              <w:pStyle w:val="Normal6"/>
              <w:jc w:val="right"/>
              <w:rPr>
                <w:b/>
                <w:bCs/>
                <w:i/>
                <w:iCs/>
                <w:sz w:val="20"/>
              </w:rPr>
            </w:pPr>
            <w:r w:rsidRPr="00B7760C">
              <w:rPr>
                <w:b/>
                <w:bCs/>
                <w:i/>
                <w:iCs/>
                <w:sz w:val="20"/>
              </w:rPr>
              <w:t>28 146 770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505F763F" w14:textId="77777777" w:rsidR="003663AF" w:rsidRPr="00B7760C" w:rsidRDefault="003663AF" w:rsidP="00E804B7">
            <w:pPr>
              <w:pStyle w:val="Normal6"/>
              <w:jc w:val="right"/>
              <w:rPr>
                <w:b/>
                <w:bCs/>
                <w:i/>
                <w:iCs/>
                <w:sz w:val="20"/>
              </w:rPr>
            </w:pPr>
            <w:r w:rsidRPr="00B7760C">
              <w:rPr>
                <w:b/>
                <w:bCs/>
                <w:i/>
                <w:iCs/>
                <w:sz w:val="20"/>
              </w:rPr>
              <w:t>28 146 770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794827AC" w14:textId="77777777" w:rsidR="003663AF" w:rsidRPr="00B7760C" w:rsidRDefault="003663AF" w:rsidP="00E804B7">
            <w:pPr>
              <w:pStyle w:val="Normal6"/>
              <w:jc w:val="right"/>
              <w:rPr>
                <w:b/>
                <w:bCs/>
                <w:i/>
                <w:iCs/>
                <w:sz w:val="20"/>
              </w:rPr>
            </w:pPr>
            <w:r w:rsidRPr="00B7760C">
              <w:rPr>
                <w:b/>
                <w:bCs/>
                <w:i/>
                <w:iCs/>
                <w:sz w:val="20"/>
              </w:rPr>
              <w:t>28 146 770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6026FB0D" w14:textId="77777777" w:rsidR="003663AF" w:rsidRPr="00B7760C" w:rsidRDefault="003663AF" w:rsidP="00E804B7">
            <w:pPr>
              <w:pStyle w:val="Normal6"/>
              <w:jc w:val="right"/>
              <w:rPr>
                <w:b/>
                <w:bCs/>
                <w:i/>
                <w:iCs/>
                <w:sz w:val="20"/>
              </w:rPr>
            </w:pPr>
            <w:r w:rsidRPr="00B7760C">
              <w:rPr>
                <w:b/>
                <w:bCs/>
                <w:i/>
                <w:iCs/>
                <w:sz w:val="20"/>
              </w:rPr>
              <w:t>28 146 770</w:t>
            </w:r>
          </w:p>
        </w:tc>
        <w:tc>
          <w:tcPr>
            <w:tcW w:w="1580" w:type="dxa"/>
            <w:gridSpan w:val="2"/>
            <w:tcBorders>
              <w:top w:val="single" w:sz="4" w:space="0" w:color="auto"/>
              <w:left w:val="single" w:sz="4" w:space="0" w:color="auto"/>
              <w:bottom w:val="single" w:sz="4" w:space="0" w:color="auto"/>
              <w:right w:val="single" w:sz="4" w:space="0" w:color="auto"/>
            </w:tcBorders>
            <w:vAlign w:val="bottom"/>
            <w:hideMark/>
          </w:tcPr>
          <w:p w14:paraId="527A0E71" w14:textId="77777777" w:rsidR="003663AF" w:rsidRPr="00B7760C" w:rsidRDefault="003663AF" w:rsidP="00E804B7">
            <w:pPr>
              <w:pStyle w:val="Normal6"/>
              <w:jc w:val="right"/>
              <w:rPr>
                <w:b/>
                <w:bCs/>
                <w:i/>
                <w:iCs/>
                <w:sz w:val="20"/>
              </w:rPr>
            </w:pPr>
            <w:r w:rsidRPr="00B7760C">
              <w:rPr>
                <w:b/>
                <w:bCs/>
                <w:i/>
                <w:iCs/>
                <w:sz w:val="20"/>
              </w:rPr>
              <w:t>28 146 770</w:t>
            </w:r>
          </w:p>
        </w:tc>
        <w:tc>
          <w:tcPr>
            <w:tcW w:w="1580" w:type="dxa"/>
            <w:gridSpan w:val="2"/>
            <w:tcBorders>
              <w:top w:val="single" w:sz="4" w:space="0" w:color="auto"/>
              <w:left w:val="single" w:sz="4" w:space="0" w:color="auto"/>
              <w:bottom w:val="single" w:sz="4" w:space="0" w:color="auto"/>
              <w:right w:val="single" w:sz="4" w:space="0" w:color="auto"/>
            </w:tcBorders>
            <w:vAlign w:val="bottom"/>
            <w:hideMark/>
          </w:tcPr>
          <w:p w14:paraId="2F88F465" w14:textId="77777777" w:rsidR="003663AF" w:rsidRPr="00B7760C" w:rsidRDefault="003663AF" w:rsidP="00E804B7">
            <w:pPr>
              <w:pStyle w:val="Normal6"/>
              <w:jc w:val="right"/>
              <w:rPr>
                <w:b/>
                <w:bCs/>
                <w:i/>
                <w:iCs/>
                <w:sz w:val="20"/>
              </w:rPr>
            </w:pPr>
            <w:r w:rsidRPr="00B7760C">
              <w:rPr>
                <w:b/>
                <w:bCs/>
                <w:i/>
                <w:iCs/>
                <w:sz w:val="20"/>
              </w:rPr>
              <w:t>28 146 770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34149D62" w14:textId="77777777" w:rsidR="003663AF" w:rsidRPr="00B7760C" w:rsidRDefault="003663AF" w:rsidP="00E804B7">
            <w:pPr>
              <w:pStyle w:val="Normal6"/>
              <w:jc w:val="right"/>
              <w:rPr>
                <w:b/>
                <w:bCs/>
                <w:i/>
                <w:iCs/>
                <w:sz w:val="20"/>
              </w:rPr>
            </w:pPr>
            <w:r w:rsidRPr="00B7760C">
              <w:rPr>
                <w:b/>
                <w:bCs/>
                <w:i/>
                <w:iCs/>
                <w:sz w:val="20"/>
              </w:rPr>
              <w:t>197 027 390</w:t>
            </w:r>
          </w:p>
        </w:tc>
      </w:tr>
      <w:tr w:rsidR="003663AF" w:rsidRPr="00B7760C" w14:paraId="5D2E9F0D" w14:textId="77777777" w:rsidTr="00E804B7">
        <w:trPr>
          <w:cantSplit/>
          <w:trHeight w:val="255"/>
          <w:jc w:val="center"/>
        </w:trPr>
        <w:tc>
          <w:tcPr>
            <w:tcW w:w="1580" w:type="dxa"/>
            <w:tcBorders>
              <w:top w:val="single" w:sz="4" w:space="0" w:color="auto"/>
              <w:left w:val="single" w:sz="4" w:space="0" w:color="auto"/>
              <w:bottom w:val="single" w:sz="4" w:space="0" w:color="auto"/>
              <w:right w:val="single" w:sz="4" w:space="0" w:color="auto"/>
            </w:tcBorders>
            <w:vAlign w:val="center"/>
            <w:hideMark/>
          </w:tcPr>
          <w:p w14:paraId="4A75A03F" w14:textId="77777777" w:rsidR="003663AF" w:rsidRPr="00B7760C" w:rsidRDefault="003663AF" w:rsidP="00E804B7">
            <w:pPr>
              <w:pStyle w:val="Normal6"/>
              <w:rPr>
                <w:sz w:val="20"/>
              </w:rPr>
            </w:pPr>
            <w:r w:rsidRPr="00B7760C">
              <w:rPr>
                <w:sz w:val="20"/>
              </w:rPr>
              <w:t>Skupaj</w:t>
            </w:r>
          </w:p>
        </w:tc>
        <w:tc>
          <w:tcPr>
            <w:tcW w:w="1580" w:type="dxa"/>
            <w:tcBorders>
              <w:top w:val="single" w:sz="4" w:space="0" w:color="auto"/>
              <w:left w:val="single" w:sz="4" w:space="0" w:color="auto"/>
              <w:bottom w:val="single" w:sz="4" w:space="0" w:color="auto"/>
              <w:right w:val="single" w:sz="4" w:space="0" w:color="auto"/>
            </w:tcBorders>
            <w:vAlign w:val="bottom"/>
            <w:hideMark/>
          </w:tcPr>
          <w:p w14:paraId="1D9175BE" w14:textId="77777777" w:rsidR="003663AF" w:rsidRPr="00B7760C" w:rsidRDefault="003663AF" w:rsidP="00E804B7">
            <w:pPr>
              <w:pStyle w:val="Normal6"/>
              <w:jc w:val="right"/>
              <w:rPr>
                <w:b/>
                <w:bCs/>
                <w:i/>
                <w:iCs/>
                <w:sz w:val="20"/>
              </w:rPr>
            </w:pPr>
            <w:r w:rsidRPr="00B7760C">
              <w:rPr>
                <w:b/>
                <w:bCs/>
                <w:i/>
                <w:iCs/>
                <w:sz w:val="20"/>
              </w:rPr>
              <w:t>11 258 707 816</w:t>
            </w:r>
          </w:p>
        </w:tc>
        <w:tc>
          <w:tcPr>
            <w:tcW w:w="1580" w:type="dxa"/>
            <w:tcBorders>
              <w:top w:val="single" w:sz="4" w:space="0" w:color="auto"/>
              <w:left w:val="single" w:sz="4" w:space="0" w:color="auto"/>
              <w:bottom w:val="single" w:sz="4" w:space="0" w:color="auto"/>
              <w:right w:val="single" w:sz="4" w:space="0" w:color="auto"/>
            </w:tcBorders>
            <w:vAlign w:val="bottom"/>
            <w:hideMark/>
          </w:tcPr>
          <w:p w14:paraId="705EC03B" w14:textId="77777777" w:rsidR="003663AF" w:rsidRPr="00B7760C" w:rsidRDefault="003663AF" w:rsidP="00E804B7">
            <w:pPr>
              <w:pStyle w:val="Normal6"/>
              <w:jc w:val="right"/>
              <w:rPr>
                <w:b/>
                <w:bCs/>
                <w:i/>
                <w:iCs/>
                <w:sz w:val="20"/>
              </w:rPr>
            </w:pPr>
            <w:r w:rsidRPr="00B7760C">
              <w:rPr>
                <w:b/>
                <w:bCs/>
                <w:i/>
                <w:iCs/>
                <w:sz w:val="20"/>
              </w:rPr>
              <w:t>11 258 707 816</w:t>
            </w:r>
          </w:p>
        </w:tc>
        <w:tc>
          <w:tcPr>
            <w:tcW w:w="1580" w:type="dxa"/>
            <w:tcBorders>
              <w:top w:val="single" w:sz="4" w:space="0" w:color="auto"/>
              <w:left w:val="single" w:sz="4" w:space="0" w:color="auto"/>
              <w:bottom w:val="single" w:sz="4" w:space="0" w:color="auto"/>
              <w:right w:val="single" w:sz="4" w:space="0" w:color="auto"/>
            </w:tcBorders>
            <w:vAlign w:val="bottom"/>
            <w:hideMark/>
          </w:tcPr>
          <w:p w14:paraId="7E0178D6" w14:textId="77777777" w:rsidR="003663AF" w:rsidRPr="00B7760C" w:rsidRDefault="003663AF" w:rsidP="00E804B7">
            <w:pPr>
              <w:pStyle w:val="Normal6"/>
              <w:jc w:val="right"/>
              <w:rPr>
                <w:b/>
                <w:bCs/>
                <w:i/>
                <w:iCs/>
                <w:sz w:val="20"/>
              </w:rPr>
            </w:pPr>
            <w:r w:rsidRPr="00B7760C">
              <w:rPr>
                <w:b/>
                <w:bCs/>
                <w:i/>
                <w:iCs/>
                <w:sz w:val="20"/>
              </w:rPr>
              <w:t>11 258 707 816</w:t>
            </w:r>
          </w:p>
        </w:tc>
        <w:tc>
          <w:tcPr>
            <w:tcW w:w="1580" w:type="dxa"/>
            <w:tcBorders>
              <w:top w:val="single" w:sz="4" w:space="0" w:color="auto"/>
              <w:left w:val="single" w:sz="4" w:space="0" w:color="auto"/>
              <w:bottom w:val="single" w:sz="4" w:space="0" w:color="auto"/>
              <w:right w:val="single" w:sz="4" w:space="0" w:color="auto"/>
            </w:tcBorders>
            <w:vAlign w:val="bottom"/>
            <w:hideMark/>
          </w:tcPr>
          <w:p w14:paraId="1985AF0B" w14:textId="77777777" w:rsidR="003663AF" w:rsidRPr="00B7760C" w:rsidRDefault="003663AF" w:rsidP="00E804B7">
            <w:pPr>
              <w:pStyle w:val="Normal6"/>
              <w:jc w:val="right"/>
              <w:rPr>
                <w:b/>
                <w:bCs/>
                <w:i/>
                <w:iCs/>
                <w:sz w:val="20"/>
              </w:rPr>
            </w:pPr>
            <w:r w:rsidRPr="00B7760C">
              <w:rPr>
                <w:b/>
                <w:bCs/>
                <w:i/>
                <w:iCs/>
                <w:sz w:val="20"/>
              </w:rPr>
              <w:t>11 258 707 816</w:t>
            </w:r>
          </w:p>
        </w:tc>
        <w:tc>
          <w:tcPr>
            <w:tcW w:w="1580" w:type="dxa"/>
            <w:tcBorders>
              <w:top w:val="single" w:sz="4" w:space="0" w:color="auto"/>
              <w:left w:val="single" w:sz="4" w:space="0" w:color="auto"/>
              <w:bottom w:val="single" w:sz="4" w:space="0" w:color="auto"/>
              <w:right w:val="single" w:sz="4" w:space="0" w:color="auto"/>
            </w:tcBorders>
            <w:vAlign w:val="bottom"/>
            <w:hideMark/>
          </w:tcPr>
          <w:p w14:paraId="3898F1DE" w14:textId="77777777" w:rsidR="003663AF" w:rsidRPr="00B7760C" w:rsidRDefault="003663AF" w:rsidP="00E804B7">
            <w:pPr>
              <w:pStyle w:val="Normal6"/>
              <w:jc w:val="right"/>
              <w:rPr>
                <w:b/>
                <w:bCs/>
                <w:i/>
                <w:iCs/>
                <w:sz w:val="20"/>
              </w:rPr>
            </w:pPr>
            <w:r w:rsidRPr="00B7760C">
              <w:rPr>
                <w:b/>
                <w:bCs/>
                <w:i/>
                <w:iCs/>
                <w:sz w:val="20"/>
              </w:rPr>
              <w:t>11 258 707 816</w:t>
            </w:r>
          </w:p>
        </w:tc>
        <w:tc>
          <w:tcPr>
            <w:tcW w:w="1580" w:type="dxa"/>
            <w:gridSpan w:val="2"/>
            <w:tcBorders>
              <w:top w:val="single" w:sz="4" w:space="0" w:color="auto"/>
              <w:left w:val="single" w:sz="4" w:space="0" w:color="auto"/>
              <w:bottom w:val="single" w:sz="4" w:space="0" w:color="auto"/>
              <w:right w:val="single" w:sz="4" w:space="0" w:color="auto"/>
            </w:tcBorders>
            <w:vAlign w:val="bottom"/>
            <w:hideMark/>
          </w:tcPr>
          <w:p w14:paraId="5E83A651" w14:textId="77777777" w:rsidR="003663AF" w:rsidRPr="00B7760C" w:rsidRDefault="003663AF" w:rsidP="00E804B7">
            <w:pPr>
              <w:pStyle w:val="Normal6"/>
              <w:jc w:val="right"/>
              <w:rPr>
                <w:b/>
                <w:bCs/>
                <w:i/>
                <w:iCs/>
                <w:sz w:val="20"/>
              </w:rPr>
            </w:pPr>
            <w:r w:rsidRPr="00B7760C">
              <w:rPr>
                <w:b/>
                <w:bCs/>
                <w:i/>
                <w:iCs/>
                <w:sz w:val="20"/>
              </w:rPr>
              <w:t>11 258 707 816</w:t>
            </w:r>
          </w:p>
        </w:tc>
        <w:tc>
          <w:tcPr>
            <w:tcW w:w="1580" w:type="dxa"/>
            <w:gridSpan w:val="2"/>
            <w:tcBorders>
              <w:top w:val="single" w:sz="4" w:space="0" w:color="auto"/>
              <w:left w:val="single" w:sz="4" w:space="0" w:color="auto"/>
              <w:bottom w:val="single" w:sz="4" w:space="0" w:color="auto"/>
              <w:right w:val="single" w:sz="4" w:space="0" w:color="auto"/>
            </w:tcBorders>
            <w:vAlign w:val="bottom"/>
            <w:hideMark/>
          </w:tcPr>
          <w:p w14:paraId="7B905501" w14:textId="77777777" w:rsidR="003663AF" w:rsidRPr="00B7760C" w:rsidRDefault="003663AF" w:rsidP="00E804B7">
            <w:pPr>
              <w:pStyle w:val="Normal6"/>
              <w:jc w:val="right"/>
              <w:rPr>
                <w:b/>
                <w:bCs/>
                <w:i/>
                <w:iCs/>
                <w:sz w:val="20"/>
              </w:rPr>
            </w:pPr>
            <w:r w:rsidRPr="00B7760C">
              <w:rPr>
                <w:b/>
                <w:bCs/>
                <w:i/>
                <w:iCs/>
                <w:sz w:val="20"/>
              </w:rPr>
              <w:t>11 258 707 816</w:t>
            </w:r>
          </w:p>
        </w:tc>
        <w:tc>
          <w:tcPr>
            <w:tcW w:w="1580" w:type="dxa"/>
            <w:tcBorders>
              <w:top w:val="single" w:sz="4" w:space="0" w:color="auto"/>
              <w:left w:val="single" w:sz="4" w:space="0" w:color="auto"/>
              <w:bottom w:val="single" w:sz="4" w:space="0" w:color="auto"/>
              <w:right w:val="single" w:sz="4" w:space="0" w:color="auto"/>
            </w:tcBorders>
            <w:vAlign w:val="bottom"/>
            <w:hideMark/>
          </w:tcPr>
          <w:p w14:paraId="6B19F08F" w14:textId="77777777" w:rsidR="003663AF" w:rsidRPr="00B7760C" w:rsidRDefault="003663AF" w:rsidP="00E804B7">
            <w:pPr>
              <w:pStyle w:val="Normal6"/>
              <w:jc w:val="right"/>
              <w:rPr>
                <w:b/>
                <w:bCs/>
                <w:i/>
                <w:iCs/>
                <w:sz w:val="20"/>
              </w:rPr>
            </w:pPr>
            <w:r w:rsidRPr="00B7760C">
              <w:rPr>
                <w:b/>
                <w:bCs/>
                <w:i/>
                <w:iCs/>
                <w:sz w:val="20"/>
              </w:rPr>
              <w:t>78 810 954 712</w:t>
            </w:r>
          </w:p>
        </w:tc>
      </w:tr>
      <w:tr w:rsidR="003663AF" w:rsidRPr="00B7760C" w14:paraId="483B862B" w14:textId="77777777" w:rsidTr="00E804B7">
        <w:trPr>
          <w:cantSplit/>
          <w:trHeight w:val="255"/>
          <w:jc w:val="center"/>
        </w:trPr>
        <w:tc>
          <w:tcPr>
            <w:tcW w:w="10855" w:type="dxa"/>
            <w:gridSpan w:val="7"/>
            <w:tcBorders>
              <w:top w:val="single" w:sz="4" w:space="0" w:color="auto"/>
              <w:left w:val="nil"/>
              <w:bottom w:val="single" w:sz="4" w:space="0" w:color="auto"/>
              <w:right w:val="nil"/>
            </w:tcBorders>
            <w:vAlign w:val="center"/>
          </w:tcPr>
          <w:p w14:paraId="60988E5C" w14:textId="77777777" w:rsidR="003663AF" w:rsidRPr="00B7760C" w:rsidRDefault="003663AF" w:rsidP="00E804B7">
            <w:pPr>
              <w:pStyle w:val="Normal6"/>
              <w:rPr>
                <w:sz w:val="20"/>
              </w:rPr>
            </w:pPr>
          </w:p>
        </w:tc>
        <w:tc>
          <w:tcPr>
            <w:tcW w:w="1710" w:type="dxa"/>
            <w:gridSpan w:val="2"/>
            <w:tcBorders>
              <w:top w:val="single" w:sz="4" w:space="0" w:color="auto"/>
              <w:left w:val="nil"/>
              <w:bottom w:val="single" w:sz="4" w:space="0" w:color="auto"/>
              <w:right w:val="nil"/>
            </w:tcBorders>
          </w:tcPr>
          <w:p w14:paraId="579A5B0D" w14:textId="77777777" w:rsidR="003663AF" w:rsidRPr="00B7760C" w:rsidRDefault="003663AF" w:rsidP="00E804B7">
            <w:pPr>
              <w:pStyle w:val="Normal6"/>
              <w:rPr>
                <w:sz w:val="20"/>
              </w:rPr>
            </w:pPr>
          </w:p>
        </w:tc>
        <w:tc>
          <w:tcPr>
            <w:tcW w:w="1655" w:type="dxa"/>
            <w:gridSpan w:val="2"/>
            <w:tcBorders>
              <w:top w:val="single" w:sz="4" w:space="0" w:color="auto"/>
              <w:left w:val="nil"/>
              <w:bottom w:val="single" w:sz="4" w:space="0" w:color="auto"/>
              <w:right w:val="nil"/>
            </w:tcBorders>
          </w:tcPr>
          <w:p w14:paraId="57A3F6AF" w14:textId="77777777" w:rsidR="003663AF" w:rsidRPr="00B7760C" w:rsidRDefault="003663AF" w:rsidP="00E804B7">
            <w:pPr>
              <w:pStyle w:val="Normal6"/>
              <w:rPr>
                <w:sz w:val="20"/>
              </w:rPr>
            </w:pPr>
          </w:p>
        </w:tc>
      </w:tr>
    </w:tbl>
    <w:p w14:paraId="2E96FD5C" w14:textId="77777777" w:rsidR="003663AF" w:rsidRPr="00B7760C" w:rsidRDefault="003663AF" w:rsidP="003663AF"/>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3663AF" w:rsidRPr="00B7760C" w14:paraId="33E20AD6" w14:textId="77777777" w:rsidTr="00E804B7">
        <w:tc>
          <w:tcPr>
            <w:tcW w:w="14502" w:type="dxa"/>
            <w:hideMark/>
          </w:tcPr>
          <w:p w14:paraId="71826ED0" w14:textId="111CD75B" w:rsidR="003663AF" w:rsidRPr="00B7760C" w:rsidRDefault="00877691" w:rsidP="00E804B7">
            <w:pPr>
              <w:pStyle w:val="ColumnHeading"/>
            </w:pPr>
            <w:r w:rsidRPr="00B7760C">
              <w:t>Sprememba</w:t>
            </w:r>
          </w:p>
        </w:tc>
      </w:tr>
      <w:tr w:rsidR="003663AF" w:rsidRPr="00B7760C" w14:paraId="3A631118" w14:textId="77777777" w:rsidTr="00E804B7">
        <w:tc>
          <w:tcPr>
            <w:tcW w:w="14502" w:type="dxa"/>
            <w:hideMark/>
          </w:tcPr>
          <w:p w14:paraId="01C69587" w14:textId="77777777" w:rsidR="003663AF" w:rsidRPr="00B7760C" w:rsidRDefault="003663AF" w:rsidP="00E804B7">
            <w:pPr>
              <w:pStyle w:val="ColumnHeading"/>
              <w:jc w:val="left"/>
            </w:pPr>
            <w:r w:rsidRPr="00B7760C">
              <w:rPr>
                <w:sz w:val="20"/>
              </w:rPr>
              <w:t>RAZČLENITEV PODPORE UNIJE ZA VRSTE INTERVENCIJ ZA RAZVOJ PODEŽELJA (od leta 2021 do leta 2027) IZ ČLENA 83(3)</w:t>
            </w:r>
          </w:p>
        </w:tc>
      </w:tr>
    </w:tbl>
    <w:p w14:paraId="05939047" w14:textId="77777777" w:rsidR="003663AF" w:rsidRPr="00B7760C" w:rsidRDefault="003663AF" w:rsidP="003663AF">
      <w:pPr>
        <w:pStyle w:val="Normal6"/>
        <w:jc w:val="right"/>
        <w:rPr>
          <w:sz w:val="20"/>
        </w:rPr>
      </w:pPr>
      <w:r w:rsidRPr="00B7760C">
        <w:rPr>
          <w:sz w:val="20"/>
        </w:rPr>
        <w:t xml:space="preserve"> (tekoče cene v EUR)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935"/>
        <w:gridCol w:w="935"/>
        <w:gridCol w:w="935"/>
        <w:gridCol w:w="935"/>
        <w:gridCol w:w="935"/>
        <w:gridCol w:w="834"/>
        <w:gridCol w:w="102"/>
        <w:gridCol w:w="897"/>
        <w:gridCol w:w="39"/>
        <w:gridCol w:w="1162"/>
      </w:tblGrid>
      <w:tr w:rsidR="003663AF" w:rsidRPr="00B7760C" w14:paraId="0037C231" w14:textId="77777777" w:rsidTr="00E804B7">
        <w:trPr>
          <w:cantSplit/>
          <w:trHeight w:val="255"/>
          <w:tblHeader/>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14:paraId="0912B403" w14:textId="77777777" w:rsidR="003663AF" w:rsidRPr="00B7760C" w:rsidRDefault="003663AF" w:rsidP="00E804B7">
            <w:pPr>
              <w:pStyle w:val="Normal6"/>
              <w:rPr>
                <w:sz w:val="20"/>
              </w:rPr>
            </w:pPr>
            <w:r w:rsidRPr="00B7760C">
              <w:rPr>
                <w:sz w:val="20"/>
              </w:rPr>
              <w:t>Leto</w:t>
            </w:r>
          </w:p>
        </w:tc>
        <w:tc>
          <w:tcPr>
            <w:tcW w:w="1612" w:type="dxa"/>
            <w:tcBorders>
              <w:top w:val="single" w:sz="4" w:space="0" w:color="auto"/>
              <w:left w:val="single" w:sz="4" w:space="0" w:color="auto"/>
              <w:bottom w:val="single" w:sz="4" w:space="0" w:color="auto"/>
              <w:right w:val="single" w:sz="4" w:space="0" w:color="auto"/>
            </w:tcBorders>
            <w:vAlign w:val="center"/>
            <w:hideMark/>
          </w:tcPr>
          <w:p w14:paraId="2D907DC1" w14:textId="77777777" w:rsidR="003663AF" w:rsidRPr="00B7760C" w:rsidRDefault="003663AF" w:rsidP="00E804B7">
            <w:pPr>
              <w:pStyle w:val="Normal6"/>
              <w:rPr>
                <w:sz w:val="20"/>
              </w:rPr>
            </w:pPr>
            <w:r w:rsidRPr="00B7760C">
              <w:rPr>
                <w:sz w:val="20"/>
              </w:rPr>
              <w:t>2021</w:t>
            </w:r>
          </w:p>
        </w:tc>
        <w:tc>
          <w:tcPr>
            <w:tcW w:w="1612" w:type="dxa"/>
            <w:tcBorders>
              <w:top w:val="single" w:sz="4" w:space="0" w:color="auto"/>
              <w:left w:val="single" w:sz="4" w:space="0" w:color="auto"/>
              <w:bottom w:val="single" w:sz="4" w:space="0" w:color="auto"/>
              <w:right w:val="single" w:sz="4" w:space="0" w:color="auto"/>
            </w:tcBorders>
            <w:vAlign w:val="center"/>
            <w:hideMark/>
          </w:tcPr>
          <w:p w14:paraId="1B352477" w14:textId="77777777" w:rsidR="003663AF" w:rsidRPr="00B7760C" w:rsidRDefault="003663AF" w:rsidP="00E804B7">
            <w:pPr>
              <w:pStyle w:val="Normal6"/>
              <w:rPr>
                <w:sz w:val="20"/>
              </w:rPr>
            </w:pPr>
            <w:r w:rsidRPr="00B7760C">
              <w:rPr>
                <w:sz w:val="20"/>
              </w:rPr>
              <w:t>2022</w:t>
            </w:r>
          </w:p>
        </w:tc>
        <w:tc>
          <w:tcPr>
            <w:tcW w:w="1611" w:type="dxa"/>
            <w:tcBorders>
              <w:top w:val="single" w:sz="4" w:space="0" w:color="auto"/>
              <w:left w:val="single" w:sz="4" w:space="0" w:color="auto"/>
              <w:bottom w:val="single" w:sz="4" w:space="0" w:color="auto"/>
              <w:right w:val="single" w:sz="4" w:space="0" w:color="auto"/>
            </w:tcBorders>
            <w:vAlign w:val="center"/>
            <w:hideMark/>
          </w:tcPr>
          <w:p w14:paraId="60C4AA6B" w14:textId="77777777" w:rsidR="003663AF" w:rsidRPr="00B7760C" w:rsidRDefault="003663AF" w:rsidP="00E804B7">
            <w:pPr>
              <w:pStyle w:val="Normal6"/>
              <w:rPr>
                <w:sz w:val="20"/>
              </w:rPr>
            </w:pPr>
            <w:r w:rsidRPr="00B7760C">
              <w:rPr>
                <w:sz w:val="20"/>
              </w:rPr>
              <w:t>2023</w:t>
            </w:r>
          </w:p>
        </w:tc>
        <w:tc>
          <w:tcPr>
            <w:tcW w:w="1611" w:type="dxa"/>
            <w:tcBorders>
              <w:top w:val="single" w:sz="4" w:space="0" w:color="auto"/>
              <w:left w:val="single" w:sz="4" w:space="0" w:color="auto"/>
              <w:bottom w:val="single" w:sz="4" w:space="0" w:color="auto"/>
              <w:right w:val="single" w:sz="4" w:space="0" w:color="auto"/>
            </w:tcBorders>
            <w:vAlign w:val="center"/>
            <w:hideMark/>
          </w:tcPr>
          <w:p w14:paraId="73CAA5C2" w14:textId="77777777" w:rsidR="003663AF" w:rsidRPr="00B7760C" w:rsidRDefault="003663AF" w:rsidP="00E804B7">
            <w:pPr>
              <w:pStyle w:val="Normal6"/>
              <w:rPr>
                <w:sz w:val="20"/>
              </w:rPr>
            </w:pPr>
            <w:r w:rsidRPr="00B7760C">
              <w:rPr>
                <w:sz w:val="20"/>
              </w:rPr>
              <w:t>2024</w:t>
            </w:r>
          </w:p>
        </w:tc>
        <w:tc>
          <w:tcPr>
            <w:tcW w:w="1611" w:type="dxa"/>
            <w:tcBorders>
              <w:top w:val="single" w:sz="4" w:space="0" w:color="auto"/>
              <w:left w:val="single" w:sz="4" w:space="0" w:color="auto"/>
              <w:bottom w:val="single" w:sz="4" w:space="0" w:color="auto"/>
              <w:right w:val="single" w:sz="4" w:space="0" w:color="auto"/>
            </w:tcBorders>
            <w:vAlign w:val="center"/>
            <w:hideMark/>
          </w:tcPr>
          <w:p w14:paraId="4045E9FB" w14:textId="77777777" w:rsidR="003663AF" w:rsidRPr="00B7760C" w:rsidRDefault="003663AF" w:rsidP="00E804B7">
            <w:pPr>
              <w:pStyle w:val="Normal6"/>
              <w:rPr>
                <w:sz w:val="20"/>
              </w:rPr>
            </w:pPr>
            <w:r w:rsidRPr="00B7760C">
              <w:rPr>
                <w:sz w:val="20"/>
              </w:rPr>
              <w:t>2025</w:t>
            </w:r>
          </w:p>
        </w:tc>
        <w:tc>
          <w:tcPr>
            <w:tcW w:w="1611" w:type="dxa"/>
            <w:gridSpan w:val="2"/>
            <w:tcBorders>
              <w:top w:val="single" w:sz="4" w:space="0" w:color="auto"/>
              <w:left w:val="single" w:sz="4" w:space="0" w:color="auto"/>
              <w:bottom w:val="single" w:sz="4" w:space="0" w:color="auto"/>
              <w:right w:val="single" w:sz="4" w:space="0" w:color="auto"/>
            </w:tcBorders>
            <w:vAlign w:val="center"/>
            <w:hideMark/>
          </w:tcPr>
          <w:p w14:paraId="552E083E" w14:textId="77777777" w:rsidR="003663AF" w:rsidRPr="00B7760C" w:rsidRDefault="003663AF" w:rsidP="00E804B7">
            <w:pPr>
              <w:pStyle w:val="Normal6"/>
              <w:rPr>
                <w:sz w:val="20"/>
              </w:rPr>
            </w:pPr>
            <w:r w:rsidRPr="00B7760C">
              <w:rPr>
                <w:sz w:val="20"/>
              </w:rPr>
              <w:t>2026</w:t>
            </w:r>
          </w:p>
        </w:tc>
        <w:tc>
          <w:tcPr>
            <w:tcW w:w="1611" w:type="dxa"/>
            <w:gridSpan w:val="2"/>
            <w:tcBorders>
              <w:top w:val="single" w:sz="4" w:space="0" w:color="auto"/>
              <w:left w:val="single" w:sz="4" w:space="0" w:color="auto"/>
              <w:bottom w:val="single" w:sz="4" w:space="0" w:color="auto"/>
              <w:right w:val="single" w:sz="4" w:space="0" w:color="auto"/>
            </w:tcBorders>
            <w:vAlign w:val="center"/>
            <w:hideMark/>
          </w:tcPr>
          <w:p w14:paraId="61FF05FE" w14:textId="77777777" w:rsidR="003663AF" w:rsidRPr="00B7760C" w:rsidRDefault="003663AF" w:rsidP="00E804B7">
            <w:pPr>
              <w:pStyle w:val="Normal6"/>
              <w:rPr>
                <w:sz w:val="20"/>
              </w:rPr>
            </w:pPr>
            <w:r w:rsidRPr="00B7760C">
              <w:rPr>
                <w:sz w:val="20"/>
              </w:rPr>
              <w:t>2027</w:t>
            </w:r>
          </w:p>
        </w:tc>
        <w:tc>
          <w:tcPr>
            <w:tcW w:w="1611" w:type="dxa"/>
            <w:tcBorders>
              <w:top w:val="single" w:sz="4" w:space="0" w:color="auto"/>
              <w:left w:val="single" w:sz="4" w:space="0" w:color="auto"/>
              <w:bottom w:val="single" w:sz="4" w:space="0" w:color="auto"/>
              <w:right w:val="single" w:sz="4" w:space="0" w:color="auto"/>
            </w:tcBorders>
            <w:vAlign w:val="center"/>
            <w:hideMark/>
          </w:tcPr>
          <w:p w14:paraId="0F95C874" w14:textId="77777777" w:rsidR="003663AF" w:rsidRPr="00B7760C" w:rsidRDefault="003663AF" w:rsidP="00E804B7">
            <w:pPr>
              <w:pStyle w:val="Normal6"/>
              <w:rPr>
                <w:sz w:val="20"/>
              </w:rPr>
            </w:pPr>
            <w:r w:rsidRPr="00B7760C">
              <w:rPr>
                <w:sz w:val="20"/>
              </w:rPr>
              <w:t>SKUPAJ 2021–2027</w:t>
            </w:r>
          </w:p>
        </w:tc>
      </w:tr>
      <w:tr w:rsidR="003663AF" w:rsidRPr="00B7760C" w14:paraId="05AC019D" w14:textId="77777777" w:rsidTr="00E804B7">
        <w:trPr>
          <w:cantSplit/>
          <w:trHeight w:val="255"/>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14:paraId="7621802E" w14:textId="77777777" w:rsidR="003663AF" w:rsidRPr="00B7760C" w:rsidRDefault="003663AF" w:rsidP="00E804B7">
            <w:pPr>
              <w:pStyle w:val="Normal6"/>
              <w:rPr>
                <w:sz w:val="20"/>
              </w:rPr>
            </w:pPr>
            <w:r w:rsidRPr="00B7760C">
              <w:rPr>
                <w:sz w:val="20"/>
              </w:rPr>
              <w:t>Belgija</w:t>
            </w:r>
          </w:p>
        </w:tc>
        <w:tc>
          <w:tcPr>
            <w:tcW w:w="1612" w:type="dxa"/>
            <w:tcBorders>
              <w:top w:val="single" w:sz="4" w:space="0" w:color="auto"/>
              <w:left w:val="single" w:sz="4" w:space="0" w:color="auto"/>
              <w:bottom w:val="single" w:sz="4" w:space="0" w:color="auto"/>
              <w:right w:val="single" w:sz="4" w:space="0" w:color="auto"/>
            </w:tcBorders>
            <w:vAlign w:val="center"/>
            <w:hideMark/>
          </w:tcPr>
          <w:p w14:paraId="7E3F4F42" w14:textId="77777777" w:rsidR="003663AF" w:rsidRPr="00B7760C" w:rsidRDefault="003663AF" w:rsidP="00E804B7">
            <w:pPr>
              <w:pStyle w:val="Normal6"/>
              <w:jc w:val="right"/>
              <w:rPr>
                <w:b/>
                <w:bCs/>
                <w:i/>
                <w:iCs/>
                <w:sz w:val="20"/>
              </w:rPr>
            </w:pPr>
            <w:r w:rsidRPr="00B7760C">
              <w:rPr>
                <w:b/>
                <w:bCs/>
                <w:i/>
                <w:iCs/>
                <w:sz w:val="20"/>
              </w:rPr>
              <w:t>X</w:t>
            </w:r>
          </w:p>
        </w:tc>
        <w:tc>
          <w:tcPr>
            <w:tcW w:w="1612" w:type="dxa"/>
            <w:tcBorders>
              <w:top w:val="single" w:sz="4" w:space="0" w:color="auto"/>
              <w:left w:val="single" w:sz="4" w:space="0" w:color="auto"/>
              <w:bottom w:val="single" w:sz="4" w:space="0" w:color="auto"/>
              <w:right w:val="single" w:sz="4" w:space="0" w:color="auto"/>
            </w:tcBorders>
            <w:hideMark/>
          </w:tcPr>
          <w:p w14:paraId="5DD08A71"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245BE772"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74CAC472"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21DF46EC" w14:textId="77777777" w:rsidR="003663AF" w:rsidRPr="00B7760C" w:rsidRDefault="003663AF" w:rsidP="00E804B7">
            <w:pPr>
              <w:pStyle w:val="Normal6"/>
              <w:jc w:val="right"/>
              <w:rPr>
                <w:b/>
                <w:bCs/>
                <w:i/>
                <w:iCs/>
                <w:sz w:val="20"/>
              </w:rPr>
            </w:pPr>
            <w:r w:rsidRPr="00B7760C">
              <w:rPr>
                <w:b/>
                <w:bCs/>
                <w:i/>
                <w:iCs/>
                <w:sz w:val="20"/>
              </w:rPr>
              <w:t>X</w:t>
            </w:r>
          </w:p>
        </w:tc>
        <w:tc>
          <w:tcPr>
            <w:tcW w:w="1611" w:type="dxa"/>
            <w:gridSpan w:val="2"/>
            <w:tcBorders>
              <w:top w:val="single" w:sz="4" w:space="0" w:color="auto"/>
              <w:left w:val="single" w:sz="4" w:space="0" w:color="auto"/>
              <w:bottom w:val="single" w:sz="4" w:space="0" w:color="auto"/>
              <w:right w:val="single" w:sz="4" w:space="0" w:color="auto"/>
            </w:tcBorders>
            <w:hideMark/>
          </w:tcPr>
          <w:p w14:paraId="0DB088CE" w14:textId="77777777" w:rsidR="003663AF" w:rsidRPr="00B7760C" w:rsidRDefault="003663AF" w:rsidP="00E804B7">
            <w:pPr>
              <w:pStyle w:val="Normal6"/>
              <w:jc w:val="right"/>
              <w:rPr>
                <w:b/>
                <w:bCs/>
                <w:i/>
                <w:iCs/>
                <w:sz w:val="20"/>
              </w:rPr>
            </w:pPr>
            <w:r w:rsidRPr="00B7760C">
              <w:rPr>
                <w:b/>
                <w:bCs/>
                <w:i/>
                <w:iCs/>
                <w:sz w:val="20"/>
              </w:rPr>
              <w:t>X</w:t>
            </w:r>
          </w:p>
        </w:tc>
        <w:tc>
          <w:tcPr>
            <w:tcW w:w="1611" w:type="dxa"/>
            <w:gridSpan w:val="2"/>
            <w:tcBorders>
              <w:top w:val="single" w:sz="4" w:space="0" w:color="auto"/>
              <w:left w:val="single" w:sz="4" w:space="0" w:color="auto"/>
              <w:bottom w:val="single" w:sz="4" w:space="0" w:color="auto"/>
              <w:right w:val="single" w:sz="4" w:space="0" w:color="auto"/>
            </w:tcBorders>
            <w:hideMark/>
          </w:tcPr>
          <w:p w14:paraId="487CFBBC"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7DD23E46"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39AF9502" w14:textId="77777777" w:rsidTr="00E804B7">
        <w:trPr>
          <w:cantSplit/>
          <w:trHeight w:val="255"/>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14:paraId="32C69304" w14:textId="77777777" w:rsidR="003663AF" w:rsidRPr="00B7760C" w:rsidRDefault="003663AF" w:rsidP="00E804B7">
            <w:pPr>
              <w:pStyle w:val="Normal6"/>
              <w:rPr>
                <w:sz w:val="20"/>
              </w:rPr>
            </w:pPr>
            <w:r w:rsidRPr="00B7760C">
              <w:rPr>
                <w:sz w:val="20"/>
              </w:rPr>
              <w:t>Bolgarija</w:t>
            </w:r>
          </w:p>
        </w:tc>
        <w:tc>
          <w:tcPr>
            <w:tcW w:w="1612" w:type="dxa"/>
            <w:tcBorders>
              <w:top w:val="single" w:sz="4" w:space="0" w:color="auto"/>
              <w:left w:val="single" w:sz="4" w:space="0" w:color="auto"/>
              <w:bottom w:val="single" w:sz="4" w:space="0" w:color="auto"/>
              <w:right w:val="single" w:sz="4" w:space="0" w:color="auto"/>
            </w:tcBorders>
            <w:hideMark/>
          </w:tcPr>
          <w:p w14:paraId="0702D606" w14:textId="77777777" w:rsidR="003663AF" w:rsidRPr="00B7760C" w:rsidRDefault="003663AF" w:rsidP="00E804B7">
            <w:pPr>
              <w:pStyle w:val="Normal6"/>
              <w:jc w:val="right"/>
              <w:rPr>
                <w:b/>
                <w:bCs/>
                <w:i/>
                <w:iCs/>
                <w:sz w:val="20"/>
              </w:rPr>
            </w:pPr>
            <w:r w:rsidRPr="00B7760C">
              <w:rPr>
                <w:b/>
                <w:bCs/>
                <w:i/>
                <w:iCs/>
                <w:sz w:val="20"/>
              </w:rPr>
              <w:t>X</w:t>
            </w:r>
          </w:p>
        </w:tc>
        <w:tc>
          <w:tcPr>
            <w:tcW w:w="1612" w:type="dxa"/>
            <w:tcBorders>
              <w:top w:val="single" w:sz="4" w:space="0" w:color="auto"/>
              <w:left w:val="single" w:sz="4" w:space="0" w:color="auto"/>
              <w:bottom w:val="single" w:sz="4" w:space="0" w:color="auto"/>
              <w:right w:val="single" w:sz="4" w:space="0" w:color="auto"/>
            </w:tcBorders>
            <w:hideMark/>
          </w:tcPr>
          <w:p w14:paraId="12D9684B"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3982BCFE"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67993B81"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7C8CBEE4" w14:textId="77777777" w:rsidR="003663AF" w:rsidRPr="00B7760C" w:rsidRDefault="003663AF" w:rsidP="00E804B7">
            <w:pPr>
              <w:pStyle w:val="Normal6"/>
              <w:jc w:val="right"/>
              <w:rPr>
                <w:b/>
                <w:bCs/>
                <w:i/>
                <w:iCs/>
                <w:sz w:val="20"/>
              </w:rPr>
            </w:pPr>
            <w:r w:rsidRPr="00B7760C">
              <w:rPr>
                <w:b/>
                <w:bCs/>
                <w:i/>
                <w:iCs/>
                <w:sz w:val="20"/>
              </w:rPr>
              <w:t>X</w:t>
            </w:r>
          </w:p>
        </w:tc>
        <w:tc>
          <w:tcPr>
            <w:tcW w:w="1611" w:type="dxa"/>
            <w:gridSpan w:val="2"/>
            <w:tcBorders>
              <w:top w:val="single" w:sz="4" w:space="0" w:color="auto"/>
              <w:left w:val="single" w:sz="4" w:space="0" w:color="auto"/>
              <w:bottom w:val="single" w:sz="4" w:space="0" w:color="auto"/>
              <w:right w:val="single" w:sz="4" w:space="0" w:color="auto"/>
            </w:tcBorders>
            <w:hideMark/>
          </w:tcPr>
          <w:p w14:paraId="3E843AC6" w14:textId="77777777" w:rsidR="003663AF" w:rsidRPr="00B7760C" w:rsidRDefault="003663AF" w:rsidP="00E804B7">
            <w:pPr>
              <w:pStyle w:val="Normal6"/>
              <w:jc w:val="right"/>
              <w:rPr>
                <w:b/>
                <w:bCs/>
                <w:i/>
                <w:iCs/>
                <w:sz w:val="20"/>
              </w:rPr>
            </w:pPr>
            <w:r w:rsidRPr="00B7760C">
              <w:rPr>
                <w:b/>
                <w:bCs/>
                <w:i/>
                <w:iCs/>
                <w:sz w:val="20"/>
              </w:rPr>
              <w:t>X</w:t>
            </w:r>
          </w:p>
        </w:tc>
        <w:tc>
          <w:tcPr>
            <w:tcW w:w="1611" w:type="dxa"/>
            <w:gridSpan w:val="2"/>
            <w:tcBorders>
              <w:top w:val="single" w:sz="4" w:space="0" w:color="auto"/>
              <w:left w:val="single" w:sz="4" w:space="0" w:color="auto"/>
              <w:bottom w:val="single" w:sz="4" w:space="0" w:color="auto"/>
              <w:right w:val="single" w:sz="4" w:space="0" w:color="auto"/>
            </w:tcBorders>
            <w:hideMark/>
          </w:tcPr>
          <w:p w14:paraId="71CF80D7"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408E99D0"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003CABD9" w14:textId="77777777" w:rsidTr="00E804B7">
        <w:trPr>
          <w:cantSplit/>
          <w:trHeight w:val="497"/>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14:paraId="1FF43C67" w14:textId="77777777" w:rsidR="003663AF" w:rsidRPr="00B7760C" w:rsidRDefault="003663AF" w:rsidP="00E804B7">
            <w:pPr>
              <w:pStyle w:val="Normal6"/>
              <w:rPr>
                <w:sz w:val="20"/>
              </w:rPr>
            </w:pPr>
            <w:r w:rsidRPr="00B7760C">
              <w:rPr>
                <w:sz w:val="20"/>
              </w:rPr>
              <w:t>Češka</w:t>
            </w:r>
          </w:p>
        </w:tc>
        <w:tc>
          <w:tcPr>
            <w:tcW w:w="1612" w:type="dxa"/>
            <w:tcBorders>
              <w:top w:val="single" w:sz="4" w:space="0" w:color="auto"/>
              <w:left w:val="single" w:sz="4" w:space="0" w:color="auto"/>
              <w:bottom w:val="single" w:sz="4" w:space="0" w:color="auto"/>
              <w:right w:val="single" w:sz="4" w:space="0" w:color="auto"/>
            </w:tcBorders>
            <w:hideMark/>
          </w:tcPr>
          <w:p w14:paraId="77BE0A9D" w14:textId="77777777" w:rsidR="003663AF" w:rsidRPr="00B7760C" w:rsidRDefault="003663AF" w:rsidP="00E804B7">
            <w:pPr>
              <w:pStyle w:val="Normal6"/>
              <w:jc w:val="right"/>
              <w:rPr>
                <w:b/>
                <w:bCs/>
                <w:i/>
                <w:iCs/>
                <w:sz w:val="20"/>
              </w:rPr>
            </w:pPr>
            <w:r w:rsidRPr="00B7760C">
              <w:rPr>
                <w:b/>
                <w:bCs/>
                <w:i/>
                <w:iCs/>
                <w:sz w:val="20"/>
              </w:rPr>
              <w:t>X</w:t>
            </w:r>
          </w:p>
        </w:tc>
        <w:tc>
          <w:tcPr>
            <w:tcW w:w="1612" w:type="dxa"/>
            <w:tcBorders>
              <w:top w:val="single" w:sz="4" w:space="0" w:color="auto"/>
              <w:left w:val="single" w:sz="4" w:space="0" w:color="auto"/>
              <w:bottom w:val="single" w:sz="4" w:space="0" w:color="auto"/>
              <w:right w:val="single" w:sz="4" w:space="0" w:color="auto"/>
            </w:tcBorders>
            <w:hideMark/>
          </w:tcPr>
          <w:p w14:paraId="50AA2903"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2AF43B39"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7690B918"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2919C12F" w14:textId="77777777" w:rsidR="003663AF" w:rsidRPr="00B7760C" w:rsidRDefault="003663AF" w:rsidP="00E804B7">
            <w:pPr>
              <w:pStyle w:val="Normal6"/>
              <w:jc w:val="right"/>
              <w:rPr>
                <w:b/>
                <w:bCs/>
                <w:i/>
                <w:iCs/>
                <w:sz w:val="20"/>
              </w:rPr>
            </w:pPr>
            <w:r w:rsidRPr="00B7760C">
              <w:rPr>
                <w:b/>
                <w:bCs/>
                <w:i/>
                <w:iCs/>
                <w:sz w:val="20"/>
              </w:rPr>
              <w:t>X</w:t>
            </w:r>
          </w:p>
        </w:tc>
        <w:tc>
          <w:tcPr>
            <w:tcW w:w="1611" w:type="dxa"/>
            <w:gridSpan w:val="2"/>
            <w:tcBorders>
              <w:top w:val="single" w:sz="4" w:space="0" w:color="auto"/>
              <w:left w:val="single" w:sz="4" w:space="0" w:color="auto"/>
              <w:bottom w:val="single" w:sz="4" w:space="0" w:color="auto"/>
              <w:right w:val="single" w:sz="4" w:space="0" w:color="auto"/>
            </w:tcBorders>
            <w:hideMark/>
          </w:tcPr>
          <w:p w14:paraId="5C14FE77" w14:textId="77777777" w:rsidR="003663AF" w:rsidRPr="00B7760C" w:rsidRDefault="003663AF" w:rsidP="00E804B7">
            <w:pPr>
              <w:pStyle w:val="Normal6"/>
              <w:jc w:val="right"/>
              <w:rPr>
                <w:b/>
                <w:bCs/>
                <w:i/>
                <w:iCs/>
                <w:sz w:val="20"/>
              </w:rPr>
            </w:pPr>
            <w:r w:rsidRPr="00B7760C">
              <w:rPr>
                <w:b/>
                <w:bCs/>
                <w:i/>
                <w:iCs/>
                <w:sz w:val="20"/>
              </w:rPr>
              <w:t>X</w:t>
            </w:r>
          </w:p>
        </w:tc>
        <w:tc>
          <w:tcPr>
            <w:tcW w:w="1611" w:type="dxa"/>
            <w:gridSpan w:val="2"/>
            <w:tcBorders>
              <w:top w:val="single" w:sz="4" w:space="0" w:color="auto"/>
              <w:left w:val="single" w:sz="4" w:space="0" w:color="auto"/>
              <w:bottom w:val="single" w:sz="4" w:space="0" w:color="auto"/>
              <w:right w:val="single" w:sz="4" w:space="0" w:color="auto"/>
            </w:tcBorders>
            <w:hideMark/>
          </w:tcPr>
          <w:p w14:paraId="2C7305A1"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53ABC8A1"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2FB2744F" w14:textId="77777777" w:rsidTr="00E804B7">
        <w:trPr>
          <w:cantSplit/>
          <w:trHeight w:val="255"/>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14:paraId="329951C4" w14:textId="77777777" w:rsidR="003663AF" w:rsidRPr="00B7760C" w:rsidRDefault="003663AF" w:rsidP="00E804B7">
            <w:pPr>
              <w:pStyle w:val="Normal6"/>
              <w:rPr>
                <w:sz w:val="20"/>
              </w:rPr>
            </w:pPr>
            <w:r w:rsidRPr="00B7760C">
              <w:rPr>
                <w:sz w:val="20"/>
              </w:rPr>
              <w:t>Danska</w:t>
            </w:r>
          </w:p>
        </w:tc>
        <w:tc>
          <w:tcPr>
            <w:tcW w:w="1612" w:type="dxa"/>
            <w:tcBorders>
              <w:top w:val="single" w:sz="4" w:space="0" w:color="auto"/>
              <w:left w:val="single" w:sz="4" w:space="0" w:color="auto"/>
              <w:bottom w:val="single" w:sz="4" w:space="0" w:color="auto"/>
              <w:right w:val="single" w:sz="4" w:space="0" w:color="auto"/>
            </w:tcBorders>
            <w:hideMark/>
          </w:tcPr>
          <w:p w14:paraId="3EE28CF1" w14:textId="77777777" w:rsidR="003663AF" w:rsidRPr="00B7760C" w:rsidRDefault="003663AF" w:rsidP="00E804B7">
            <w:pPr>
              <w:pStyle w:val="Normal6"/>
              <w:jc w:val="right"/>
              <w:rPr>
                <w:b/>
                <w:bCs/>
                <w:i/>
                <w:iCs/>
                <w:sz w:val="20"/>
              </w:rPr>
            </w:pPr>
            <w:r w:rsidRPr="00B7760C">
              <w:rPr>
                <w:b/>
                <w:bCs/>
                <w:i/>
                <w:iCs/>
                <w:sz w:val="20"/>
              </w:rPr>
              <w:t>X</w:t>
            </w:r>
          </w:p>
        </w:tc>
        <w:tc>
          <w:tcPr>
            <w:tcW w:w="1612" w:type="dxa"/>
            <w:tcBorders>
              <w:top w:val="single" w:sz="4" w:space="0" w:color="auto"/>
              <w:left w:val="single" w:sz="4" w:space="0" w:color="auto"/>
              <w:bottom w:val="single" w:sz="4" w:space="0" w:color="auto"/>
              <w:right w:val="single" w:sz="4" w:space="0" w:color="auto"/>
            </w:tcBorders>
            <w:hideMark/>
          </w:tcPr>
          <w:p w14:paraId="1445DF62"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5797604F"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655688E5"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43CE9CFF" w14:textId="77777777" w:rsidR="003663AF" w:rsidRPr="00B7760C" w:rsidRDefault="003663AF" w:rsidP="00E804B7">
            <w:pPr>
              <w:pStyle w:val="Normal6"/>
              <w:jc w:val="right"/>
              <w:rPr>
                <w:b/>
                <w:bCs/>
                <w:i/>
                <w:iCs/>
                <w:sz w:val="20"/>
              </w:rPr>
            </w:pPr>
            <w:r w:rsidRPr="00B7760C">
              <w:rPr>
                <w:b/>
                <w:bCs/>
                <w:i/>
                <w:iCs/>
                <w:sz w:val="20"/>
              </w:rPr>
              <w:t>X</w:t>
            </w:r>
          </w:p>
        </w:tc>
        <w:tc>
          <w:tcPr>
            <w:tcW w:w="1611" w:type="dxa"/>
            <w:gridSpan w:val="2"/>
            <w:tcBorders>
              <w:top w:val="single" w:sz="4" w:space="0" w:color="auto"/>
              <w:left w:val="single" w:sz="4" w:space="0" w:color="auto"/>
              <w:bottom w:val="single" w:sz="4" w:space="0" w:color="auto"/>
              <w:right w:val="single" w:sz="4" w:space="0" w:color="auto"/>
            </w:tcBorders>
            <w:hideMark/>
          </w:tcPr>
          <w:p w14:paraId="6869BA60" w14:textId="77777777" w:rsidR="003663AF" w:rsidRPr="00B7760C" w:rsidRDefault="003663AF" w:rsidP="00E804B7">
            <w:pPr>
              <w:pStyle w:val="Normal6"/>
              <w:jc w:val="right"/>
              <w:rPr>
                <w:b/>
                <w:bCs/>
                <w:i/>
                <w:iCs/>
                <w:sz w:val="20"/>
              </w:rPr>
            </w:pPr>
            <w:r w:rsidRPr="00B7760C">
              <w:rPr>
                <w:b/>
                <w:bCs/>
                <w:i/>
                <w:iCs/>
                <w:sz w:val="20"/>
              </w:rPr>
              <w:t>X</w:t>
            </w:r>
          </w:p>
        </w:tc>
        <w:tc>
          <w:tcPr>
            <w:tcW w:w="1611" w:type="dxa"/>
            <w:gridSpan w:val="2"/>
            <w:tcBorders>
              <w:top w:val="single" w:sz="4" w:space="0" w:color="auto"/>
              <w:left w:val="single" w:sz="4" w:space="0" w:color="auto"/>
              <w:bottom w:val="single" w:sz="4" w:space="0" w:color="auto"/>
              <w:right w:val="single" w:sz="4" w:space="0" w:color="auto"/>
            </w:tcBorders>
            <w:hideMark/>
          </w:tcPr>
          <w:p w14:paraId="3B1FE99D"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525205B9"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1E5809D4" w14:textId="77777777" w:rsidTr="00E804B7">
        <w:trPr>
          <w:cantSplit/>
          <w:trHeight w:val="255"/>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14:paraId="6C24B5F7" w14:textId="77777777" w:rsidR="003663AF" w:rsidRPr="00B7760C" w:rsidRDefault="003663AF" w:rsidP="00E804B7">
            <w:pPr>
              <w:pStyle w:val="Normal6"/>
              <w:rPr>
                <w:sz w:val="20"/>
              </w:rPr>
            </w:pPr>
            <w:r w:rsidRPr="00B7760C">
              <w:rPr>
                <w:sz w:val="20"/>
              </w:rPr>
              <w:t>Nemčija</w:t>
            </w:r>
          </w:p>
        </w:tc>
        <w:tc>
          <w:tcPr>
            <w:tcW w:w="1612" w:type="dxa"/>
            <w:tcBorders>
              <w:top w:val="single" w:sz="4" w:space="0" w:color="auto"/>
              <w:left w:val="single" w:sz="4" w:space="0" w:color="auto"/>
              <w:bottom w:val="single" w:sz="4" w:space="0" w:color="auto"/>
              <w:right w:val="single" w:sz="4" w:space="0" w:color="auto"/>
            </w:tcBorders>
            <w:hideMark/>
          </w:tcPr>
          <w:p w14:paraId="5765B892" w14:textId="77777777" w:rsidR="003663AF" w:rsidRPr="00B7760C" w:rsidRDefault="003663AF" w:rsidP="00E804B7">
            <w:pPr>
              <w:pStyle w:val="Normal6"/>
              <w:jc w:val="right"/>
              <w:rPr>
                <w:b/>
                <w:bCs/>
                <w:i/>
                <w:iCs/>
                <w:sz w:val="20"/>
              </w:rPr>
            </w:pPr>
            <w:r w:rsidRPr="00B7760C">
              <w:rPr>
                <w:b/>
                <w:bCs/>
                <w:i/>
                <w:iCs/>
                <w:sz w:val="20"/>
              </w:rPr>
              <w:t>X</w:t>
            </w:r>
          </w:p>
        </w:tc>
        <w:tc>
          <w:tcPr>
            <w:tcW w:w="1612" w:type="dxa"/>
            <w:tcBorders>
              <w:top w:val="single" w:sz="4" w:space="0" w:color="auto"/>
              <w:left w:val="single" w:sz="4" w:space="0" w:color="auto"/>
              <w:bottom w:val="single" w:sz="4" w:space="0" w:color="auto"/>
              <w:right w:val="single" w:sz="4" w:space="0" w:color="auto"/>
            </w:tcBorders>
            <w:hideMark/>
          </w:tcPr>
          <w:p w14:paraId="74668BFB"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1D151F50"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4E5EEEBE"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2AF9CF15" w14:textId="77777777" w:rsidR="003663AF" w:rsidRPr="00B7760C" w:rsidRDefault="003663AF" w:rsidP="00E804B7">
            <w:pPr>
              <w:pStyle w:val="Normal6"/>
              <w:jc w:val="right"/>
              <w:rPr>
                <w:b/>
                <w:bCs/>
                <w:i/>
                <w:iCs/>
                <w:sz w:val="20"/>
              </w:rPr>
            </w:pPr>
            <w:r w:rsidRPr="00B7760C">
              <w:rPr>
                <w:b/>
                <w:bCs/>
                <w:i/>
                <w:iCs/>
                <w:sz w:val="20"/>
              </w:rPr>
              <w:t>X</w:t>
            </w:r>
          </w:p>
        </w:tc>
        <w:tc>
          <w:tcPr>
            <w:tcW w:w="1611" w:type="dxa"/>
            <w:gridSpan w:val="2"/>
            <w:tcBorders>
              <w:top w:val="single" w:sz="4" w:space="0" w:color="auto"/>
              <w:left w:val="single" w:sz="4" w:space="0" w:color="auto"/>
              <w:bottom w:val="single" w:sz="4" w:space="0" w:color="auto"/>
              <w:right w:val="single" w:sz="4" w:space="0" w:color="auto"/>
            </w:tcBorders>
            <w:hideMark/>
          </w:tcPr>
          <w:p w14:paraId="4C8A2D39" w14:textId="77777777" w:rsidR="003663AF" w:rsidRPr="00B7760C" w:rsidRDefault="003663AF" w:rsidP="00E804B7">
            <w:pPr>
              <w:pStyle w:val="Normal6"/>
              <w:jc w:val="right"/>
              <w:rPr>
                <w:b/>
                <w:bCs/>
                <w:i/>
                <w:iCs/>
                <w:sz w:val="20"/>
              </w:rPr>
            </w:pPr>
            <w:r w:rsidRPr="00B7760C">
              <w:rPr>
                <w:b/>
                <w:bCs/>
                <w:i/>
                <w:iCs/>
                <w:sz w:val="20"/>
              </w:rPr>
              <w:t>X</w:t>
            </w:r>
          </w:p>
        </w:tc>
        <w:tc>
          <w:tcPr>
            <w:tcW w:w="1611" w:type="dxa"/>
            <w:gridSpan w:val="2"/>
            <w:tcBorders>
              <w:top w:val="single" w:sz="4" w:space="0" w:color="auto"/>
              <w:left w:val="single" w:sz="4" w:space="0" w:color="auto"/>
              <w:bottom w:val="single" w:sz="4" w:space="0" w:color="auto"/>
              <w:right w:val="single" w:sz="4" w:space="0" w:color="auto"/>
            </w:tcBorders>
            <w:hideMark/>
          </w:tcPr>
          <w:p w14:paraId="6BF5C051"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4DDFD0BF"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098BE9AE" w14:textId="77777777" w:rsidTr="00E804B7">
        <w:trPr>
          <w:cantSplit/>
          <w:trHeight w:val="255"/>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14:paraId="327DC6B5" w14:textId="77777777" w:rsidR="003663AF" w:rsidRPr="00B7760C" w:rsidRDefault="003663AF" w:rsidP="00E804B7">
            <w:pPr>
              <w:pStyle w:val="Normal6"/>
              <w:rPr>
                <w:sz w:val="20"/>
              </w:rPr>
            </w:pPr>
            <w:r w:rsidRPr="00B7760C">
              <w:rPr>
                <w:sz w:val="20"/>
              </w:rPr>
              <w:t>Estonija</w:t>
            </w:r>
          </w:p>
        </w:tc>
        <w:tc>
          <w:tcPr>
            <w:tcW w:w="1612" w:type="dxa"/>
            <w:tcBorders>
              <w:top w:val="single" w:sz="4" w:space="0" w:color="auto"/>
              <w:left w:val="single" w:sz="4" w:space="0" w:color="auto"/>
              <w:bottom w:val="single" w:sz="4" w:space="0" w:color="auto"/>
              <w:right w:val="single" w:sz="4" w:space="0" w:color="auto"/>
            </w:tcBorders>
            <w:hideMark/>
          </w:tcPr>
          <w:p w14:paraId="1E3CEC8A" w14:textId="77777777" w:rsidR="003663AF" w:rsidRPr="00B7760C" w:rsidRDefault="003663AF" w:rsidP="00E804B7">
            <w:pPr>
              <w:pStyle w:val="Normal6"/>
              <w:jc w:val="right"/>
              <w:rPr>
                <w:b/>
                <w:bCs/>
                <w:i/>
                <w:iCs/>
                <w:sz w:val="20"/>
              </w:rPr>
            </w:pPr>
            <w:r w:rsidRPr="00B7760C">
              <w:rPr>
                <w:b/>
                <w:bCs/>
                <w:i/>
                <w:iCs/>
                <w:sz w:val="20"/>
              </w:rPr>
              <w:t>X</w:t>
            </w:r>
          </w:p>
        </w:tc>
        <w:tc>
          <w:tcPr>
            <w:tcW w:w="1612" w:type="dxa"/>
            <w:tcBorders>
              <w:top w:val="single" w:sz="4" w:space="0" w:color="auto"/>
              <w:left w:val="single" w:sz="4" w:space="0" w:color="auto"/>
              <w:bottom w:val="single" w:sz="4" w:space="0" w:color="auto"/>
              <w:right w:val="single" w:sz="4" w:space="0" w:color="auto"/>
            </w:tcBorders>
            <w:hideMark/>
          </w:tcPr>
          <w:p w14:paraId="224B3B5B"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3B30E801"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5E412EF3"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05B31026" w14:textId="77777777" w:rsidR="003663AF" w:rsidRPr="00B7760C" w:rsidRDefault="003663AF" w:rsidP="00E804B7">
            <w:pPr>
              <w:pStyle w:val="Normal6"/>
              <w:jc w:val="right"/>
              <w:rPr>
                <w:b/>
                <w:bCs/>
                <w:i/>
                <w:iCs/>
                <w:sz w:val="20"/>
              </w:rPr>
            </w:pPr>
            <w:r w:rsidRPr="00B7760C">
              <w:rPr>
                <w:b/>
                <w:bCs/>
                <w:i/>
                <w:iCs/>
                <w:sz w:val="20"/>
              </w:rPr>
              <w:t>X</w:t>
            </w:r>
          </w:p>
        </w:tc>
        <w:tc>
          <w:tcPr>
            <w:tcW w:w="1611" w:type="dxa"/>
            <w:gridSpan w:val="2"/>
            <w:tcBorders>
              <w:top w:val="single" w:sz="4" w:space="0" w:color="auto"/>
              <w:left w:val="single" w:sz="4" w:space="0" w:color="auto"/>
              <w:bottom w:val="single" w:sz="4" w:space="0" w:color="auto"/>
              <w:right w:val="single" w:sz="4" w:space="0" w:color="auto"/>
            </w:tcBorders>
            <w:hideMark/>
          </w:tcPr>
          <w:p w14:paraId="417F3C8C" w14:textId="77777777" w:rsidR="003663AF" w:rsidRPr="00B7760C" w:rsidRDefault="003663AF" w:rsidP="00E804B7">
            <w:pPr>
              <w:pStyle w:val="Normal6"/>
              <w:jc w:val="right"/>
              <w:rPr>
                <w:b/>
                <w:bCs/>
                <w:i/>
                <w:iCs/>
                <w:sz w:val="20"/>
              </w:rPr>
            </w:pPr>
            <w:r w:rsidRPr="00B7760C">
              <w:rPr>
                <w:b/>
                <w:bCs/>
                <w:i/>
                <w:iCs/>
                <w:sz w:val="20"/>
              </w:rPr>
              <w:t>X</w:t>
            </w:r>
          </w:p>
        </w:tc>
        <w:tc>
          <w:tcPr>
            <w:tcW w:w="1611" w:type="dxa"/>
            <w:gridSpan w:val="2"/>
            <w:tcBorders>
              <w:top w:val="single" w:sz="4" w:space="0" w:color="auto"/>
              <w:left w:val="single" w:sz="4" w:space="0" w:color="auto"/>
              <w:bottom w:val="single" w:sz="4" w:space="0" w:color="auto"/>
              <w:right w:val="single" w:sz="4" w:space="0" w:color="auto"/>
            </w:tcBorders>
            <w:hideMark/>
          </w:tcPr>
          <w:p w14:paraId="4942B049"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1E71A9CD"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4F1D737A" w14:textId="77777777" w:rsidTr="00E804B7">
        <w:trPr>
          <w:cantSplit/>
          <w:trHeight w:val="255"/>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14:paraId="57906145" w14:textId="77777777" w:rsidR="003663AF" w:rsidRPr="00B7760C" w:rsidRDefault="003663AF" w:rsidP="00E804B7">
            <w:pPr>
              <w:pStyle w:val="Normal6"/>
              <w:rPr>
                <w:sz w:val="20"/>
              </w:rPr>
            </w:pPr>
            <w:r w:rsidRPr="00B7760C">
              <w:rPr>
                <w:sz w:val="20"/>
              </w:rPr>
              <w:t>Irska</w:t>
            </w:r>
          </w:p>
        </w:tc>
        <w:tc>
          <w:tcPr>
            <w:tcW w:w="1612" w:type="dxa"/>
            <w:tcBorders>
              <w:top w:val="single" w:sz="4" w:space="0" w:color="auto"/>
              <w:left w:val="single" w:sz="4" w:space="0" w:color="auto"/>
              <w:bottom w:val="single" w:sz="4" w:space="0" w:color="auto"/>
              <w:right w:val="single" w:sz="4" w:space="0" w:color="auto"/>
            </w:tcBorders>
            <w:hideMark/>
          </w:tcPr>
          <w:p w14:paraId="58F08296" w14:textId="77777777" w:rsidR="003663AF" w:rsidRPr="00B7760C" w:rsidRDefault="003663AF" w:rsidP="00E804B7">
            <w:pPr>
              <w:pStyle w:val="Normal6"/>
              <w:jc w:val="right"/>
              <w:rPr>
                <w:b/>
                <w:bCs/>
                <w:i/>
                <w:iCs/>
                <w:sz w:val="20"/>
              </w:rPr>
            </w:pPr>
            <w:r w:rsidRPr="00B7760C">
              <w:rPr>
                <w:b/>
                <w:bCs/>
                <w:i/>
                <w:iCs/>
                <w:sz w:val="20"/>
              </w:rPr>
              <w:t>X</w:t>
            </w:r>
          </w:p>
        </w:tc>
        <w:tc>
          <w:tcPr>
            <w:tcW w:w="1612" w:type="dxa"/>
            <w:tcBorders>
              <w:top w:val="single" w:sz="4" w:space="0" w:color="auto"/>
              <w:left w:val="single" w:sz="4" w:space="0" w:color="auto"/>
              <w:bottom w:val="single" w:sz="4" w:space="0" w:color="auto"/>
              <w:right w:val="single" w:sz="4" w:space="0" w:color="auto"/>
            </w:tcBorders>
            <w:hideMark/>
          </w:tcPr>
          <w:p w14:paraId="1DCE8B43"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17C149DB"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6D3B1918"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0F3E92F3" w14:textId="77777777" w:rsidR="003663AF" w:rsidRPr="00B7760C" w:rsidRDefault="003663AF" w:rsidP="00E804B7">
            <w:pPr>
              <w:pStyle w:val="Normal6"/>
              <w:jc w:val="right"/>
              <w:rPr>
                <w:b/>
                <w:bCs/>
                <w:i/>
                <w:iCs/>
                <w:sz w:val="20"/>
              </w:rPr>
            </w:pPr>
            <w:r w:rsidRPr="00B7760C">
              <w:rPr>
                <w:b/>
                <w:bCs/>
                <w:i/>
                <w:iCs/>
                <w:sz w:val="20"/>
              </w:rPr>
              <w:t>X</w:t>
            </w:r>
          </w:p>
        </w:tc>
        <w:tc>
          <w:tcPr>
            <w:tcW w:w="1611" w:type="dxa"/>
            <w:gridSpan w:val="2"/>
            <w:tcBorders>
              <w:top w:val="single" w:sz="4" w:space="0" w:color="auto"/>
              <w:left w:val="single" w:sz="4" w:space="0" w:color="auto"/>
              <w:bottom w:val="single" w:sz="4" w:space="0" w:color="auto"/>
              <w:right w:val="single" w:sz="4" w:space="0" w:color="auto"/>
            </w:tcBorders>
            <w:hideMark/>
          </w:tcPr>
          <w:p w14:paraId="6E983709" w14:textId="77777777" w:rsidR="003663AF" w:rsidRPr="00B7760C" w:rsidRDefault="003663AF" w:rsidP="00E804B7">
            <w:pPr>
              <w:pStyle w:val="Normal6"/>
              <w:jc w:val="right"/>
              <w:rPr>
                <w:b/>
                <w:bCs/>
                <w:i/>
                <w:iCs/>
                <w:sz w:val="20"/>
              </w:rPr>
            </w:pPr>
            <w:r w:rsidRPr="00B7760C">
              <w:rPr>
                <w:b/>
                <w:bCs/>
                <w:i/>
                <w:iCs/>
                <w:sz w:val="20"/>
              </w:rPr>
              <w:t>X</w:t>
            </w:r>
          </w:p>
        </w:tc>
        <w:tc>
          <w:tcPr>
            <w:tcW w:w="1611" w:type="dxa"/>
            <w:gridSpan w:val="2"/>
            <w:tcBorders>
              <w:top w:val="single" w:sz="4" w:space="0" w:color="auto"/>
              <w:left w:val="single" w:sz="4" w:space="0" w:color="auto"/>
              <w:bottom w:val="single" w:sz="4" w:space="0" w:color="auto"/>
              <w:right w:val="single" w:sz="4" w:space="0" w:color="auto"/>
            </w:tcBorders>
            <w:hideMark/>
          </w:tcPr>
          <w:p w14:paraId="60844E67"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4EC0A241"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2DB25295" w14:textId="77777777" w:rsidTr="00E804B7">
        <w:trPr>
          <w:cantSplit/>
          <w:trHeight w:val="255"/>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14:paraId="37E3DD52" w14:textId="77777777" w:rsidR="003663AF" w:rsidRPr="00B7760C" w:rsidRDefault="003663AF" w:rsidP="00E804B7">
            <w:pPr>
              <w:pStyle w:val="Normal6"/>
              <w:rPr>
                <w:sz w:val="20"/>
              </w:rPr>
            </w:pPr>
            <w:r w:rsidRPr="00B7760C">
              <w:rPr>
                <w:sz w:val="20"/>
              </w:rPr>
              <w:t>Grčija</w:t>
            </w:r>
          </w:p>
        </w:tc>
        <w:tc>
          <w:tcPr>
            <w:tcW w:w="1612" w:type="dxa"/>
            <w:tcBorders>
              <w:top w:val="single" w:sz="4" w:space="0" w:color="auto"/>
              <w:left w:val="single" w:sz="4" w:space="0" w:color="auto"/>
              <w:bottom w:val="single" w:sz="4" w:space="0" w:color="auto"/>
              <w:right w:val="single" w:sz="4" w:space="0" w:color="auto"/>
            </w:tcBorders>
            <w:hideMark/>
          </w:tcPr>
          <w:p w14:paraId="3BAE7000" w14:textId="77777777" w:rsidR="003663AF" w:rsidRPr="00B7760C" w:rsidRDefault="003663AF" w:rsidP="00E804B7">
            <w:pPr>
              <w:pStyle w:val="Normal6"/>
              <w:jc w:val="right"/>
              <w:rPr>
                <w:b/>
                <w:bCs/>
                <w:i/>
                <w:iCs/>
                <w:sz w:val="20"/>
              </w:rPr>
            </w:pPr>
            <w:r w:rsidRPr="00B7760C">
              <w:rPr>
                <w:b/>
                <w:bCs/>
                <w:i/>
                <w:iCs/>
                <w:sz w:val="20"/>
              </w:rPr>
              <w:t>X</w:t>
            </w:r>
          </w:p>
        </w:tc>
        <w:tc>
          <w:tcPr>
            <w:tcW w:w="1612" w:type="dxa"/>
            <w:tcBorders>
              <w:top w:val="single" w:sz="4" w:space="0" w:color="auto"/>
              <w:left w:val="single" w:sz="4" w:space="0" w:color="auto"/>
              <w:bottom w:val="single" w:sz="4" w:space="0" w:color="auto"/>
              <w:right w:val="single" w:sz="4" w:space="0" w:color="auto"/>
            </w:tcBorders>
            <w:hideMark/>
          </w:tcPr>
          <w:p w14:paraId="2E0B8858"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0B7A515E"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6E903BDE"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2E55A0BF" w14:textId="77777777" w:rsidR="003663AF" w:rsidRPr="00B7760C" w:rsidRDefault="003663AF" w:rsidP="00E804B7">
            <w:pPr>
              <w:pStyle w:val="Normal6"/>
              <w:jc w:val="right"/>
              <w:rPr>
                <w:b/>
                <w:bCs/>
                <w:i/>
                <w:iCs/>
                <w:sz w:val="20"/>
              </w:rPr>
            </w:pPr>
            <w:r w:rsidRPr="00B7760C">
              <w:rPr>
                <w:b/>
                <w:bCs/>
                <w:i/>
                <w:iCs/>
                <w:sz w:val="20"/>
              </w:rPr>
              <w:t>X</w:t>
            </w:r>
          </w:p>
        </w:tc>
        <w:tc>
          <w:tcPr>
            <w:tcW w:w="1611" w:type="dxa"/>
            <w:gridSpan w:val="2"/>
            <w:tcBorders>
              <w:top w:val="single" w:sz="4" w:space="0" w:color="auto"/>
              <w:left w:val="single" w:sz="4" w:space="0" w:color="auto"/>
              <w:bottom w:val="single" w:sz="4" w:space="0" w:color="auto"/>
              <w:right w:val="single" w:sz="4" w:space="0" w:color="auto"/>
            </w:tcBorders>
            <w:hideMark/>
          </w:tcPr>
          <w:p w14:paraId="260484D9" w14:textId="77777777" w:rsidR="003663AF" w:rsidRPr="00B7760C" w:rsidRDefault="003663AF" w:rsidP="00E804B7">
            <w:pPr>
              <w:pStyle w:val="Normal6"/>
              <w:jc w:val="right"/>
              <w:rPr>
                <w:b/>
                <w:bCs/>
                <w:i/>
                <w:iCs/>
                <w:sz w:val="20"/>
              </w:rPr>
            </w:pPr>
            <w:r w:rsidRPr="00B7760C">
              <w:rPr>
                <w:b/>
                <w:bCs/>
                <w:i/>
                <w:iCs/>
                <w:sz w:val="20"/>
              </w:rPr>
              <w:t>X</w:t>
            </w:r>
          </w:p>
        </w:tc>
        <w:tc>
          <w:tcPr>
            <w:tcW w:w="1611" w:type="dxa"/>
            <w:gridSpan w:val="2"/>
            <w:tcBorders>
              <w:top w:val="single" w:sz="4" w:space="0" w:color="auto"/>
              <w:left w:val="single" w:sz="4" w:space="0" w:color="auto"/>
              <w:bottom w:val="single" w:sz="4" w:space="0" w:color="auto"/>
              <w:right w:val="single" w:sz="4" w:space="0" w:color="auto"/>
            </w:tcBorders>
            <w:hideMark/>
          </w:tcPr>
          <w:p w14:paraId="16693AEC"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5E062B27"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1C11B7CA" w14:textId="77777777" w:rsidTr="00E804B7">
        <w:trPr>
          <w:cantSplit/>
          <w:trHeight w:val="255"/>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14:paraId="2D16E8AF" w14:textId="77777777" w:rsidR="003663AF" w:rsidRPr="00B7760C" w:rsidRDefault="003663AF" w:rsidP="00E804B7">
            <w:pPr>
              <w:pStyle w:val="Normal6"/>
              <w:rPr>
                <w:sz w:val="20"/>
              </w:rPr>
            </w:pPr>
            <w:r w:rsidRPr="00B7760C">
              <w:rPr>
                <w:sz w:val="20"/>
              </w:rPr>
              <w:t>Španija</w:t>
            </w:r>
          </w:p>
        </w:tc>
        <w:tc>
          <w:tcPr>
            <w:tcW w:w="1612" w:type="dxa"/>
            <w:tcBorders>
              <w:top w:val="single" w:sz="4" w:space="0" w:color="auto"/>
              <w:left w:val="single" w:sz="4" w:space="0" w:color="auto"/>
              <w:bottom w:val="single" w:sz="4" w:space="0" w:color="auto"/>
              <w:right w:val="single" w:sz="4" w:space="0" w:color="auto"/>
            </w:tcBorders>
            <w:hideMark/>
          </w:tcPr>
          <w:p w14:paraId="62E95125" w14:textId="77777777" w:rsidR="003663AF" w:rsidRPr="00B7760C" w:rsidRDefault="003663AF" w:rsidP="00E804B7">
            <w:pPr>
              <w:pStyle w:val="Normal6"/>
              <w:jc w:val="right"/>
              <w:rPr>
                <w:b/>
                <w:bCs/>
                <w:i/>
                <w:iCs/>
                <w:sz w:val="20"/>
              </w:rPr>
            </w:pPr>
            <w:r w:rsidRPr="00B7760C">
              <w:rPr>
                <w:b/>
                <w:bCs/>
                <w:i/>
                <w:iCs/>
                <w:sz w:val="20"/>
              </w:rPr>
              <w:t>X</w:t>
            </w:r>
          </w:p>
        </w:tc>
        <w:tc>
          <w:tcPr>
            <w:tcW w:w="1612" w:type="dxa"/>
            <w:tcBorders>
              <w:top w:val="single" w:sz="4" w:space="0" w:color="auto"/>
              <w:left w:val="single" w:sz="4" w:space="0" w:color="auto"/>
              <w:bottom w:val="single" w:sz="4" w:space="0" w:color="auto"/>
              <w:right w:val="single" w:sz="4" w:space="0" w:color="auto"/>
            </w:tcBorders>
            <w:hideMark/>
          </w:tcPr>
          <w:p w14:paraId="2BDAF4E6"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09F1EA15"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20ADE8E5"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4ACC54AF" w14:textId="77777777" w:rsidR="003663AF" w:rsidRPr="00B7760C" w:rsidRDefault="003663AF" w:rsidP="00E804B7">
            <w:pPr>
              <w:pStyle w:val="Normal6"/>
              <w:jc w:val="right"/>
              <w:rPr>
                <w:b/>
                <w:bCs/>
                <w:i/>
                <w:iCs/>
                <w:sz w:val="20"/>
              </w:rPr>
            </w:pPr>
            <w:r w:rsidRPr="00B7760C">
              <w:rPr>
                <w:b/>
                <w:bCs/>
                <w:i/>
                <w:iCs/>
                <w:sz w:val="20"/>
              </w:rPr>
              <w:t>X</w:t>
            </w:r>
          </w:p>
        </w:tc>
        <w:tc>
          <w:tcPr>
            <w:tcW w:w="1611" w:type="dxa"/>
            <w:gridSpan w:val="2"/>
            <w:tcBorders>
              <w:top w:val="single" w:sz="4" w:space="0" w:color="auto"/>
              <w:left w:val="single" w:sz="4" w:space="0" w:color="auto"/>
              <w:bottom w:val="single" w:sz="4" w:space="0" w:color="auto"/>
              <w:right w:val="single" w:sz="4" w:space="0" w:color="auto"/>
            </w:tcBorders>
            <w:hideMark/>
          </w:tcPr>
          <w:p w14:paraId="1BD99FF5" w14:textId="77777777" w:rsidR="003663AF" w:rsidRPr="00B7760C" w:rsidRDefault="003663AF" w:rsidP="00E804B7">
            <w:pPr>
              <w:pStyle w:val="Normal6"/>
              <w:jc w:val="right"/>
              <w:rPr>
                <w:b/>
                <w:bCs/>
                <w:i/>
                <w:iCs/>
                <w:sz w:val="20"/>
              </w:rPr>
            </w:pPr>
            <w:r w:rsidRPr="00B7760C">
              <w:rPr>
                <w:b/>
                <w:bCs/>
                <w:i/>
                <w:iCs/>
                <w:sz w:val="20"/>
              </w:rPr>
              <w:t>X</w:t>
            </w:r>
          </w:p>
        </w:tc>
        <w:tc>
          <w:tcPr>
            <w:tcW w:w="1611" w:type="dxa"/>
            <w:gridSpan w:val="2"/>
            <w:tcBorders>
              <w:top w:val="single" w:sz="4" w:space="0" w:color="auto"/>
              <w:left w:val="single" w:sz="4" w:space="0" w:color="auto"/>
              <w:bottom w:val="single" w:sz="4" w:space="0" w:color="auto"/>
              <w:right w:val="single" w:sz="4" w:space="0" w:color="auto"/>
            </w:tcBorders>
            <w:hideMark/>
          </w:tcPr>
          <w:p w14:paraId="06DA4071"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7DE6D8A2"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4FA0817B" w14:textId="77777777" w:rsidTr="00E804B7">
        <w:trPr>
          <w:cantSplit/>
          <w:trHeight w:val="255"/>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14:paraId="6EC47A73" w14:textId="77777777" w:rsidR="003663AF" w:rsidRPr="00B7760C" w:rsidRDefault="003663AF" w:rsidP="00E804B7">
            <w:pPr>
              <w:pStyle w:val="Normal6"/>
              <w:rPr>
                <w:sz w:val="20"/>
              </w:rPr>
            </w:pPr>
            <w:r w:rsidRPr="00B7760C">
              <w:rPr>
                <w:sz w:val="20"/>
              </w:rPr>
              <w:t>Francija</w:t>
            </w:r>
          </w:p>
        </w:tc>
        <w:tc>
          <w:tcPr>
            <w:tcW w:w="1612" w:type="dxa"/>
            <w:tcBorders>
              <w:top w:val="single" w:sz="4" w:space="0" w:color="auto"/>
              <w:left w:val="single" w:sz="4" w:space="0" w:color="auto"/>
              <w:bottom w:val="single" w:sz="4" w:space="0" w:color="auto"/>
              <w:right w:val="single" w:sz="4" w:space="0" w:color="auto"/>
            </w:tcBorders>
            <w:hideMark/>
          </w:tcPr>
          <w:p w14:paraId="029A8538" w14:textId="77777777" w:rsidR="003663AF" w:rsidRPr="00B7760C" w:rsidRDefault="003663AF" w:rsidP="00E804B7">
            <w:pPr>
              <w:pStyle w:val="Normal6"/>
              <w:jc w:val="right"/>
              <w:rPr>
                <w:b/>
                <w:bCs/>
                <w:i/>
                <w:iCs/>
                <w:sz w:val="20"/>
              </w:rPr>
            </w:pPr>
            <w:r w:rsidRPr="00B7760C">
              <w:rPr>
                <w:b/>
                <w:bCs/>
                <w:i/>
                <w:iCs/>
                <w:sz w:val="20"/>
              </w:rPr>
              <w:t>X</w:t>
            </w:r>
          </w:p>
        </w:tc>
        <w:tc>
          <w:tcPr>
            <w:tcW w:w="1612" w:type="dxa"/>
            <w:tcBorders>
              <w:top w:val="single" w:sz="4" w:space="0" w:color="auto"/>
              <w:left w:val="single" w:sz="4" w:space="0" w:color="auto"/>
              <w:bottom w:val="single" w:sz="4" w:space="0" w:color="auto"/>
              <w:right w:val="single" w:sz="4" w:space="0" w:color="auto"/>
            </w:tcBorders>
            <w:hideMark/>
          </w:tcPr>
          <w:p w14:paraId="7CF55722"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6B1CB07B"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46AB5CA3"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370DC018" w14:textId="77777777" w:rsidR="003663AF" w:rsidRPr="00B7760C" w:rsidRDefault="003663AF" w:rsidP="00E804B7">
            <w:pPr>
              <w:pStyle w:val="Normal6"/>
              <w:jc w:val="right"/>
              <w:rPr>
                <w:b/>
                <w:bCs/>
                <w:i/>
                <w:iCs/>
                <w:sz w:val="20"/>
              </w:rPr>
            </w:pPr>
            <w:r w:rsidRPr="00B7760C">
              <w:rPr>
                <w:b/>
                <w:bCs/>
                <w:i/>
                <w:iCs/>
                <w:sz w:val="20"/>
              </w:rPr>
              <w:t>X</w:t>
            </w:r>
          </w:p>
        </w:tc>
        <w:tc>
          <w:tcPr>
            <w:tcW w:w="1611" w:type="dxa"/>
            <w:gridSpan w:val="2"/>
            <w:tcBorders>
              <w:top w:val="single" w:sz="4" w:space="0" w:color="auto"/>
              <w:left w:val="single" w:sz="4" w:space="0" w:color="auto"/>
              <w:bottom w:val="single" w:sz="4" w:space="0" w:color="auto"/>
              <w:right w:val="single" w:sz="4" w:space="0" w:color="auto"/>
            </w:tcBorders>
            <w:hideMark/>
          </w:tcPr>
          <w:p w14:paraId="258F1B42" w14:textId="77777777" w:rsidR="003663AF" w:rsidRPr="00B7760C" w:rsidRDefault="003663AF" w:rsidP="00E804B7">
            <w:pPr>
              <w:pStyle w:val="Normal6"/>
              <w:jc w:val="right"/>
              <w:rPr>
                <w:b/>
                <w:bCs/>
                <w:i/>
                <w:iCs/>
                <w:sz w:val="20"/>
              </w:rPr>
            </w:pPr>
            <w:r w:rsidRPr="00B7760C">
              <w:rPr>
                <w:b/>
                <w:bCs/>
                <w:i/>
                <w:iCs/>
                <w:sz w:val="20"/>
              </w:rPr>
              <w:t>X</w:t>
            </w:r>
          </w:p>
        </w:tc>
        <w:tc>
          <w:tcPr>
            <w:tcW w:w="1611" w:type="dxa"/>
            <w:gridSpan w:val="2"/>
            <w:tcBorders>
              <w:top w:val="single" w:sz="4" w:space="0" w:color="auto"/>
              <w:left w:val="single" w:sz="4" w:space="0" w:color="auto"/>
              <w:bottom w:val="single" w:sz="4" w:space="0" w:color="auto"/>
              <w:right w:val="single" w:sz="4" w:space="0" w:color="auto"/>
            </w:tcBorders>
            <w:hideMark/>
          </w:tcPr>
          <w:p w14:paraId="7E1571D7"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17BD2E28"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078A0FC0" w14:textId="77777777" w:rsidTr="00E804B7">
        <w:trPr>
          <w:cantSplit/>
          <w:trHeight w:val="255"/>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14:paraId="5B943A6D" w14:textId="77777777" w:rsidR="003663AF" w:rsidRPr="00B7760C" w:rsidRDefault="003663AF" w:rsidP="00E804B7">
            <w:pPr>
              <w:pStyle w:val="Normal6"/>
              <w:rPr>
                <w:sz w:val="20"/>
              </w:rPr>
            </w:pPr>
            <w:r w:rsidRPr="00B7760C">
              <w:rPr>
                <w:sz w:val="20"/>
              </w:rPr>
              <w:t>Hrvaška</w:t>
            </w:r>
          </w:p>
        </w:tc>
        <w:tc>
          <w:tcPr>
            <w:tcW w:w="1612" w:type="dxa"/>
            <w:tcBorders>
              <w:top w:val="single" w:sz="4" w:space="0" w:color="auto"/>
              <w:left w:val="single" w:sz="4" w:space="0" w:color="auto"/>
              <w:bottom w:val="single" w:sz="4" w:space="0" w:color="auto"/>
              <w:right w:val="single" w:sz="4" w:space="0" w:color="auto"/>
            </w:tcBorders>
            <w:hideMark/>
          </w:tcPr>
          <w:p w14:paraId="60925345" w14:textId="77777777" w:rsidR="003663AF" w:rsidRPr="00B7760C" w:rsidRDefault="003663AF" w:rsidP="00E804B7">
            <w:pPr>
              <w:pStyle w:val="Normal6"/>
              <w:jc w:val="right"/>
              <w:rPr>
                <w:b/>
                <w:bCs/>
                <w:i/>
                <w:iCs/>
                <w:sz w:val="20"/>
              </w:rPr>
            </w:pPr>
            <w:r w:rsidRPr="00B7760C">
              <w:rPr>
                <w:b/>
                <w:bCs/>
                <w:i/>
                <w:iCs/>
                <w:sz w:val="20"/>
              </w:rPr>
              <w:t>X</w:t>
            </w:r>
          </w:p>
        </w:tc>
        <w:tc>
          <w:tcPr>
            <w:tcW w:w="1612" w:type="dxa"/>
            <w:tcBorders>
              <w:top w:val="single" w:sz="4" w:space="0" w:color="auto"/>
              <w:left w:val="single" w:sz="4" w:space="0" w:color="auto"/>
              <w:bottom w:val="single" w:sz="4" w:space="0" w:color="auto"/>
              <w:right w:val="single" w:sz="4" w:space="0" w:color="auto"/>
            </w:tcBorders>
            <w:hideMark/>
          </w:tcPr>
          <w:p w14:paraId="68915894"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2B000FCA"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3C6A930C"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5F9804F4" w14:textId="77777777" w:rsidR="003663AF" w:rsidRPr="00B7760C" w:rsidRDefault="003663AF" w:rsidP="00E804B7">
            <w:pPr>
              <w:pStyle w:val="Normal6"/>
              <w:jc w:val="right"/>
              <w:rPr>
                <w:b/>
                <w:bCs/>
                <w:i/>
                <w:iCs/>
                <w:sz w:val="20"/>
              </w:rPr>
            </w:pPr>
            <w:r w:rsidRPr="00B7760C">
              <w:rPr>
                <w:b/>
                <w:bCs/>
                <w:i/>
                <w:iCs/>
                <w:sz w:val="20"/>
              </w:rPr>
              <w:t>X</w:t>
            </w:r>
          </w:p>
        </w:tc>
        <w:tc>
          <w:tcPr>
            <w:tcW w:w="1611" w:type="dxa"/>
            <w:gridSpan w:val="2"/>
            <w:tcBorders>
              <w:top w:val="single" w:sz="4" w:space="0" w:color="auto"/>
              <w:left w:val="single" w:sz="4" w:space="0" w:color="auto"/>
              <w:bottom w:val="single" w:sz="4" w:space="0" w:color="auto"/>
              <w:right w:val="single" w:sz="4" w:space="0" w:color="auto"/>
            </w:tcBorders>
            <w:hideMark/>
          </w:tcPr>
          <w:p w14:paraId="6602FD6C" w14:textId="77777777" w:rsidR="003663AF" w:rsidRPr="00B7760C" w:rsidRDefault="003663AF" w:rsidP="00E804B7">
            <w:pPr>
              <w:pStyle w:val="Normal6"/>
              <w:jc w:val="right"/>
              <w:rPr>
                <w:b/>
                <w:bCs/>
                <w:i/>
                <w:iCs/>
                <w:sz w:val="20"/>
              </w:rPr>
            </w:pPr>
            <w:r w:rsidRPr="00B7760C">
              <w:rPr>
                <w:b/>
                <w:bCs/>
                <w:i/>
                <w:iCs/>
                <w:sz w:val="20"/>
              </w:rPr>
              <w:t>X</w:t>
            </w:r>
          </w:p>
        </w:tc>
        <w:tc>
          <w:tcPr>
            <w:tcW w:w="1611" w:type="dxa"/>
            <w:gridSpan w:val="2"/>
            <w:tcBorders>
              <w:top w:val="single" w:sz="4" w:space="0" w:color="auto"/>
              <w:left w:val="single" w:sz="4" w:space="0" w:color="auto"/>
              <w:bottom w:val="single" w:sz="4" w:space="0" w:color="auto"/>
              <w:right w:val="single" w:sz="4" w:space="0" w:color="auto"/>
            </w:tcBorders>
            <w:hideMark/>
          </w:tcPr>
          <w:p w14:paraId="1BC110F2"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58B3DF4A"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206CE504" w14:textId="77777777" w:rsidTr="00E804B7">
        <w:trPr>
          <w:cantSplit/>
          <w:trHeight w:val="255"/>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14:paraId="568AE183" w14:textId="77777777" w:rsidR="003663AF" w:rsidRPr="00B7760C" w:rsidRDefault="003663AF" w:rsidP="00E804B7">
            <w:pPr>
              <w:pStyle w:val="Normal6"/>
              <w:rPr>
                <w:sz w:val="20"/>
              </w:rPr>
            </w:pPr>
            <w:r w:rsidRPr="00B7760C">
              <w:rPr>
                <w:sz w:val="20"/>
              </w:rPr>
              <w:t>Italija</w:t>
            </w:r>
          </w:p>
        </w:tc>
        <w:tc>
          <w:tcPr>
            <w:tcW w:w="1612" w:type="dxa"/>
            <w:tcBorders>
              <w:top w:val="single" w:sz="4" w:space="0" w:color="auto"/>
              <w:left w:val="single" w:sz="4" w:space="0" w:color="auto"/>
              <w:bottom w:val="single" w:sz="4" w:space="0" w:color="auto"/>
              <w:right w:val="single" w:sz="4" w:space="0" w:color="auto"/>
            </w:tcBorders>
            <w:hideMark/>
          </w:tcPr>
          <w:p w14:paraId="28FA313D" w14:textId="77777777" w:rsidR="003663AF" w:rsidRPr="00B7760C" w:rsidRDefault="003663AF" w:rsidP="00E804B7">
            <w:pPr>
              <w:pStyle w:val="Normal6"/>
              <w:jc w:val="right"/>
              <w:rPr>
                <w:b/>
                <w:bCs/>
                <w:i/>
                <w:iCs/>
                <w:sz w:val="20"/>
              </w:rPr>
            </w:pPr>
            <w:r w:rsidRPr="00B7760C">
              <w:rPr>
                <w:b/>
                <w:bCs/>
                <w:i/>
                <w:iCs/>
                <w:sz w:val="20"/>
              </w:rPr>
              <w:t>X</w:t>
            </w:r>
          </w:p>
        </w:tc>
        <w:tc>
          <w:tcPr>
            <w:tcW w:w="1612" w:type="dxa"/>
            <w:tcBorders>
              <w:top w:val="single" w:sz="4" w:space="0" w:color="auto"/>
              <w:left w:val="single" w:sz="4" w:space="0" w:color="auto"/>
              <w:bottom w:val="single" w:sz="4" w:space="0" w:color="auto"/>
              <w:right w:val="single" w:sz="4" w:space="0" w:color="auto"/>
            </w:tcBorders>
            <w:hideMark/>
          </w:tcPr>
          <w:p w14:paraId="213FB20D"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239E5BBD"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0D323249"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59BFDF14" w14:textId="77777777" w:rsidR="003663AF" w:rsidRPr="00B7760C" w:rsidRDefault="003663AF" w:rsidP="00E804B7">
            <w:pPr>
              <w:pStyle w:val="Normal6"/>
              <w:jc w:val="right"/>
              <w:rPr>
                <w:b/>
                <w:bCs/>
                <w:i/>
                <w:iCs/>
                <w:sz w:val="20"/>
              </w:rPr>
            </w:pPr>
            <w:r w:rsidRPr="00B7760C">
              <w:rPr>
                <w:b/>
                <w:bCs/>
                <w:i/>
                <w:iCs/>
                <w:sz w:val="20"/>
              </w:rPr>
              <w:t>X</w:t>
            </w:r>
          </w:p>
        </w:tc>
        <w:tc>
          <w:tcPr>
            <w:tcW w:w="1611" w:type="dxa"/>
            <w:gridSpan w:val="2"/>
            <w:tcBorders>
              <w:top w:val="single" w:sz="4" w:space="0" w:color="auto"/>
              <w:left w:val="single" w:sz="4" w:space="0" w:color="auto"/>
              <w:bottom w:val="single" w:sz="4" w:space="0" w:color="auto"/>
              <w:right w:val="single" w:sz="4" w:space="0" w:color="auto"/>
            </w:tcBorders>
            <w:hideMark/>
          </w:tcPr>
          <w:p w14:paraId="30DDE3D3" w14:textId="77777777" w:rsidR="003663AF" w:rsidRPr="00B7760C" w:rsidRDefault="003663AF" w:rsidP="00E804B7">
            <w:pPr>
              <w:pStyle w:val="Normal6"/>
              <w:jc w:val="right"/>
              <w:rPr>
                <w:b/>
                <w:bCs/>
                <w:i/>
                <w:iCs/>
                <w:sz w:val="20"/>
              </w:rPr>
            </w:pPr>
            <w:r w:rsidRPr="00B7760C">
              <w:rPr>
                <w:b/>
                <w:bCs/>
                <w:i/>
                <w:iCs/>
                <w:sz w:val="20"/>
              </w:rPr>
              <w:t>X</w:t>
            </w:r>
          </w:p>
        </w:tc>
        <w:tc>
          <w:tcPr>
            <w:tcW w:w="1611" w:type="dxa"/>
            <w:gridSpan w:val="2"/>
            <w:tcBorders>
              <w:top w:val="single" w:sz="4" w:space="0" w:color="auto"/>
              <w:left w:val="single" w:sz="4" w:space="0" w:color="auto"/>
              <w:bottom w:val="single" w:sz="4" w:space="0" w:color="auto"/>
              <w:right w:val="single" w:sz="4" w:space="0" w:color="auto"/>
            </w:tcBorders>
            <w:hideMark/>
          </w:tcPr>
          <w:p w14:paraId="4B79DC29"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1CFFE7D0"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2C7B215A" w14:textId="77777777" w:rsidTr="00E804B7">
        <w:trPr>
          <w:cantSplit/>
          <w:trHeight w:val="255"/>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14:paraId="0C9A84C0" w14:textId="77777777" w:rsidR="003663AF" w:rsidRPr="00B7760C" w:rsidRDefault="003663AF" w:rsidP="00E804B7">
            <w:pPr>
              <w:pStyle w:val="Normal6"/>
              <w:rPr>
                <w:sz w:val="20"/>
              </w:rPr>
            </w:pPr>
            <w:r w:rsidRPr="00B7760C">
              <w:rPr>
                <w:sz w:val="20"/>
              </w:rPr>
              <w:t>Ciper</w:t>
            </w:r>
          </w:p>
        </w:tc>
        <w:tc>
          <w:tcPr>
            <w:tcW w:w="1612" w:type="dxa"/>
            <w:tcBorders>
              <w:top w:val="single" w:sz="4" w:space="0" w:color="auto"/>
              <w:left w:val="single" w:sz="4" w:space="0" w:color="auto"/>
              <w:bottom w:val="single" w:sz="4" w:space="0" w:color="auto"/>
              <w:right w:val="single" w:sz="4" w:space="0" w:color="auto"/>
            </w:tcBorders>
            <w:hideMark/>
          </w:tcPr>
          <w:p w14:paraId="1EE3795E" w14:textId="77777777" w:rsidR="003663AF" w:rsidRPr="00B7760C" w:rsidRDefault="003663AF" w:rsidP="00E804B7">
            <w:pPr>
              <w:pStyle w:val="Normal6"/>
              <w:jc w:val="right"/>
              <w:rPr>
                <w:b/>
                <w:bCs/>
                <w:i/>
                <w:iCs/>
                <w:sz w:val="20"/>
              </w:rPr>
            </w:pPr>
            <w:r w:rsidRPr="00B7760C">
              <w:rPr>
                <w:b/>
                <w:bCs/>
                <w:i/>
                <w:iCs/>
                <w:sz w:val="20"/>
              </w:rPr>
              <w:t>X</w:t>
            </w:r>
          </w:p>
        </w:tc>
        <w:tc>
          <w:tcPr>
            <w:tcW w:w="1612" w:type="dxa"/>
            <w:tcBorders>
              <w:top w:val="single" w:sz="4" w:space="0" w:color="auto"/>
              <w:left w:val="single" w:sz="4" w:space="0" w:color="auto"/>
              <w:bottom w:val="single" w:sz="4" w:space="0" w:color="auto"/>
              <w:right w:val="single" w:sz="4" w:space="0" w:color="auto"/>
            </w:tcBorders>
            <w:hideMark/>
          </w:tcPr>
          <w:p w14:paraId="17B3C6CB"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66DE23B3"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730C6E94"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3EFB1AD4" w14:textId="77777777" w:rsidR="003663AF" w:rsidRPr="00B7760C" w:rsidRDefault="003663AF" w:rsidP="00E804B7">
            <w:pPr>
              <w:pStyle w:val="Normal6"/>
              <w:jc w:val="right"/>
              <w:rPr>
                <w:b/>
                <w:bCs/>
                <w:i/>
                <w:iCs/>
                <w:sz w:val="20"/>
              </w:rPr>
            </w:pPr>
            <w:r w:rsidRPr="00B7760C">
              <w:rPr>
                <w:b/>
                <w:bCs/>
                <w:i/>
                <w:iCs/>
                <w:sz w:val="20"/>
              </w:rPr>
              <w:t>X</w:t>
            </w:r>
          </w:p>
        </w:tc>
        <w:tc>
          <w:tcPr>
            <w:tcW w:w="1611" w:type="dxa"/>
            <w:gridSpan w:val="2"/>
            <w:tcBorders>
              <w:top w:val="single" w:sz="4" w:space="0" w:color="auto"/>
              <w:left w:val="single" w:sz="4" w:space="0" w:color="auto"/>
              <w:bottom w:val="single" w:sz="4" w:space="0" w:color="auto"/>
              <w:right w:val="single" w:sz="4" w:space="0" w:color="auto"/>
            </w:tcBorders>
            <w:hideMark/>
          </w:tcPr>
          <w:p w14:paraId="4241029E" w14:textId="77777777" w:rsidR="003663AF" w:rsidRPr="00B7760C" w:rsidRDefault="003663AF" w:rsidP="00E804B7">
            <w:pPr>
              <w:pStyle w:val="Normal6"/>
              <w:jc w:val="right"/>
              <w:rPr>
                <w:b/>
                <w:bCs/>
                <w:i/>
                <w:iCs/>
                <w:sz w:val="20"/>
              </w:rPr>
            </w:pPr>
            <w:r w:rsidRPr="00B7760C">
              <w:rPr>
                <w:b/>
                <w:bCs/>
                <w:i/>
                <w:iCs/>
                <w:sz w:val="20"/>
              </w:rPr>
              <w:t>X</w:t>
            </w:r>
          </w:p>
        </w:tc>
        <w:tc>
          <w:tcPr>
            <w:tcW w:w="1611" w:type="dxa"/>
            <w:gridSpan w:val="2"/>
            <w:tcBorders>
              <w:top w:val="single" w:sz="4" w:space="0" w:color="auto"/>
              <w:left w:val="single" w:sz="4" w:space="0" w:color="auto"/>
              <w:bottom w:val="single" w:sz="4" w:space="0" w:color="auto"/>
              <w:right w:val="single" w:sz="4" w:space="0" w:color="auto"/>
            </w:tcBorders>
            <w:hideMark/>
          </w:tcPr>
          <w:p w14:paraId="530E4BCD"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667EE098"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473F5673" w14:textId="77777777" w:rsidTr="00E804B7">
        <w:trPr>
          <w:cantSplit/>
          <w:trHeight w:val="255"/>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14:paraId="0ABB5663" w14:textId="77777777" w:rsidR="003663AF" w:rsidRPr="00B7760C" w:rsidRDefault="003663AF" w:rsidP="00E804B7">
            <w:pPr>
              <w:pStyle w:val="Normal6"/>
              <w:rPr>
                <w:sz w:val="20"/>
              </w:rPr>
            </w:pPr>
            <w:r w:rsidRPr="00B7760C">
              <w:rPr>
                <w:sz w:val="20"/>
              </w:rPr>
              <w:t>Latvija</w:t>
            </w:r>
          </w:p>
        </w:tc>
        <w:tc>
          <w:tcPr>
            <w:tcW w:w="1612" w:type="dxa"/>
            <w:tcBorders>
              <w:top w:val="single" w:sz="4" w:space="0" w:color="auto"/>
              <w:left w:val="single" w:sz="4" w:space="0" w:color="auto"/>
              <w:bottom w:val="single" w:sz="4" w:space="0" w:color="auto"/>
              <w:right w:val="single" w:sz="4" w:space="0" w:color="auto"/>
            </w:tcBorders>
            <w:hideMark/>
          </w:tcPr>
          <w:p w14:paraId="4FEDBB87" w14:textId="77777777" w:rsidR="003663AF" w:rsidRPr="00B7760C" w:rsidRDefault="003663AF" w:rsidP="00E804B7">
            <w:pPr>
              <w:pStyle w:val="Normal6"/>
              <w:jc w:val="right"/>
              <w:rPr>
                <w:b/>
                <w:bCs/>
                <w:i/>
                <w:iCs/>
                <w:sz w:val="20"/>
              </w:rPr>
            </w:pPr>
            <w:r w:rsidRPr="00B7760C">
              <w:rPr>
                <w:b/>
                <w:bCs/>
                <w:i/>
                <w:iCs/>
                <w:sz w:val="20"/>
              </w:rPr>
              <w:t>X</w:t>
            </w:r>
          </w:p>
        </w:tc>
        <w:tc>
          <w:tcPr>
            <w:tcW w:w="1612" w:type="dxa"/>
            <w:tcBorders>
              <w:top w:val="single" w:sz="4" w:space="0" w:color="auto"/>
              <w:left w:val="single" w:sz="4" w:space="0" w:color="auto"/>
              <w:bottom w:val="single" w:sz="4" w:space="0" w:color="auto"/>
              <w:right w:val="single" w:sz="4" w:space="0" w:color="auto"/>
            </w:tcBorders>
            <w:hideMark/>
          </w:tcPr>
          <w:p w14:paraId="6E400048"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2857CCFC"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4B5F98B8"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2D729506" w14:textId="77777777" w:rsidR="003663AF" w:rsidRPr="00B7760C" w:rsidRDefault="003663AF" w:rsidP="00E804B7">
            <w:pPr>
              <w:pStyle w:val="Normal6"/>
              <w:jc w:val="right"/>
              <w:rPr>
                <w:b/>
                <w:bCs/>
                <w:i/>
                <w:iCs/>
                <w:sz w:val="20"/>
              </w:rPr>
            </w:pPr>
            <w:r w:rsidRPr="00B7760C">
              <w:rPr>
                <w:b/>
                <w:bCs/>
                <w:i/>
                <w:iCs/>
                <w:sz w:val="20"/>
              </w:rPr>
              <w:t>X</w:t>
            </w:r>
          </w:p>
        </w:tc>
        <w:tc>
          <w:tcPr>
            <w:tcW w:w="1611" w:type="dxa"/>
            <w:gridSpan w:val="2"/>
            <w:tcBorders>
              <w:top w:val="single" w:sz="4" w:space="0" w:color="auto"/>
              <w:left w:val="single" w:sz="4" w:space="0" w:color="auto"/>
              <w:bottom w:val="single" w:sz="4" w:space="0" w:color="auto"/>
              <w:right w:val="single" w:sz="4" w:space="0" w:color="auto"/>
            </w:tcBorders>
            <w:hideMark/>
          </w:tcPr>
          <w:p w14:paraId="1FCBDA47" w14:textId="77777777" w:rsidR="003663AF" w:rsidRPr="00B7760C" w:rsidRDefault="003663AF" w:rsidP="00E804B7">
            <w:pPr>
              <w:pStyle w:val="Normal6"/>
              <w:jc w:val="right"/>
              <w:rPr>
                <w:b/>
                <w:bCs/>
                <w:i/>
                <w:iCs/>
                <w:sz w:val="20"/>
              </w:rPr>
            </w:pPr>
            <w:r w:rsidRPr="00B7760C">
              <w:rPr>
                <w:b/>
                <w:bCs/>
                <w:i/>
                <w:iCs/>
                <w:sz w:val="20"/>
              </w:rPr>
              <w:t>X</w:t>
            </w:r>
          </w:p>
        </w:tc>
        <w:tc>
          <w:tcPr>
            <w:tcW w:w="1611" w:type="dxa"/>
            <w:gridSpan w:val="2"/>
            <w:tcBorders>
              <w:top w:val="single" w:sz="4" w:space="0" w:color="auto"/>
              <w:left w:val="single" w:sz="4" w:space="0" w:color="auto"/>
              <w:bottom w:val="single" w:sz="4" w:space="0" w:color="auto"/>
              <w:right w:val="single" w:sz="4" w:space="0" w:color="auto"/>
            </w:tcBorders>
            <w:hideMark/>
          </w:tcPr>
          <w:p w14:paraId="6A819A20"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0902B0A5"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722DD726" w14:textId="77777777" w:rsidTr="00E804B7">
        <w:trPr>
          <w:cantSplit/>
          <w:trHeight w:val="255"/>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14:paraId="63E44F92" w14:textId="77777777" w:rsidR="003663AF" w:rsidRPr="00B7760C" w:rsidRDefault="003663AF" w:rsidP="00E804B7">
            <w:pPr>
              <w:pStyle w:val="Normal6"/>
              <w:rPr>
                <w:sz w:val="20"/>
              </w:rPr>
            </w:pPr>
            <w:r w:rsidRPr="00B7760C">
              <w:rPr>
                <w:sz w:val="20"/>
              </w:rPr>
              <w:t>Litva</w:t>
            </w:r>
          </w:p>
        </w:tc>
        <w:tc>
          <w:tcPr>
            <w:tcW w:w="1612" w:type="dxa"/>
            <w:tcBorders>
              <w:top w:val="single" w:sz="4" w:space="0" w:color="auto"/>
              <w:left w:val="single" w:sz="4" w:space="0" w:color="auto"/>
              <w:bottom w:val="single" w:sz="4" w:space="0" w:color="auto"/>
              <w:right w:val="single" w:sz="4" w:space="0" w:color="auto"/>
            </w:tcBorders>
            <w:hideMark/>
          </w:tcPr>
          <w:p w14:paraId="48CD6D0E" w14:textId="77777777" w:rsidR="003663AF" w:rsidRPr="00B7760C" w:rsidRDefault="003663AF" w:rsidP="00E804B7">
            <w:pPr>
              <w:pStyle w:val="Normal6"/>
              <w:jc w:val="right"/>
              <w:rPr>
                <w:b/>
                <w:bCs/>
                <w:i/>
                <w:iCs/>
                <w:sz w:val="20"/>
              </w:rPr>
            </w:pPr>
            <w:r w:rsidRPr="00B7760C">
              <w:rPr>
                <w:b/>
                <w:bCs/>
                <w:i/>
                <w:iCs/>
                <w:sz w:val="20"/>
              </w:rPr>
              <w:t>X</w:t>
            </w:r>
          </w:p>
        </w:tc>
        <w:tc>
          <w:tcPr>
            <w:tcW w:w="1612" w:type="dxa"/>
            <w:tcBorders>
              <w:top w:val="single" w:sz="4" w:space="0" w:color="auto"/>
              <w:left w:val="single" w:sz="4" w:space="0" w:color="auto"/>
              <w:bottom w:val="single" w:sz="4" w:space="0" w:color="auto"/>
              <w:right w:val="single" w:sz="4" w:space="0" w:color="auto"/>
            </w:tcBorders>
            <w:hideMark/>
          </w:tcPr>
          <w:p w14:paraId="0BDD83D6"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4C1762BC"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3833B6C4"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32F74955" w14:textId="77777777" w:rsidR="003663AF" w:rsidRPr="00B7760C" w:rsidRDefault="003663AF" w:rsidP="00E804B7">
            <w:pPr>
              <w:pStyle w:val="Normal6"/>
              <w:jc w:val="right"/>
              <w:rPr>
                <w:b/>
                <w:bCs/>
                <w:i/>
                <w:iCs/>
                <w:sz w:val="20"/>
              </w:rPr>
            </w:pPr>
            <w:r w:rsidRPr="00B7760C">
              <w:rPr>
                <w:b/>
                <w:bCs/>
                <w:i/>
                <w:iCs/>
                <w:sz w:val="20"/>
              </w:rPr>
              <w:t>X</w:t>
            </w:r>
          </w:p>
        </w:tc>
        <w:tc>
          <w:tcPr>
            <w:tcW w:w="1611" w:type="dxa"/>
            <w:gridSpan w:val="2"/>
            <w:tcBorders>
              <w:top w:val="single" w:sz="4" w:space="0" w:color="auto"/>
              <w:left w:val="single" w:sz="4" w:space="0" w:color="auto"/>
              <w:bottom w:val="single" w:sz="4" w:space="0" w:color="auto"/>
              <w:right w:val="single" w:sz="4" w:space="0" w:color="auto"/>
            </w:tcBorders>
            <w:hideMark/>
          </w:tcPr>
          <w:p w14:paraId="53C50A55" w14:textId="77777777" w:rsidR="003663AF" w:rsidRPr="00B7760C" w:rsidRDefault="003663AF" w:rsidP="00E804B7">
            <w:pPr>
              <w:pStyle w:val="Normal6"/>
              <w:jc w:val="right"/>
              <w:rPr>
                <w:b/>
                <w:bCs/>
                <w:i/>
                <w:iCs/>
                <w:sz w:val="20"/>
              </w:rPr>
            </w:pPr>
            <w:r w:rsidRPr="00B7760C">
              <w:rPr>
                <w:b/>
                <w:bCs/>
                <w:i/>
                <w:iCs/>
                <w:sz w:val="20"/>
              </w:rPr>
              <w:t>X</w:t>
            </w:r>
          </w:p>
        </w:tc>
        <w:tc>
          <w:tcPr>
            <w:tcW w:w="1611" w:type="dxa"/>
            <w:gridSpan w:val="2"/>
            <w:tcBorders>
              <w:top w:val="single" w:sz="4" w:space="0" w:color="auto"/>
              <w:left w:val="single" w:sz="4" w:space="0" w:color="auto"/>
              <w:bottom w:val="single" w:sz="4" w:space="0" w:color="auto"/>
              <w:right w:val="single" w:sz="4" w:space="0" w:color="auto"/>
            </w:tcBorders>
            <w:hideMark/>
          </w:tcPr>
          <w:p w14:paraId="492A5185"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778631B5"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6F48C5FB" w14:textId="77777777" w:rsidTr="00E804B7">
        <w:trPr>
          <w:cantSplit/>
          <w:trHeight w:val="255"/>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14:paraId="63A3CA4F" w14:textId="77777777" w:rsidR="003663AF" w:rsidRPr="00B7760C" w:rsidRDefault="003663AF" w:rsidP="00E804B7">
            <w:pPr>
              <w:pStyle w:val="Normal6"/>
              <w:rPr>
                <w:sz w:val="20"/>
              </w:rPr>
            </w:pPr>
            <w:r w:rsidRPr="00B7760C">
              <w:rPr>
                <w:sz w:val="20"/>
              </w:rPr>
              <w:t>Luksemburg</w:t>
            </w:r>
          </w:p>
        </w:tc>
        <w:tc>
          <w:tcPr>
            <w:tcW w:w="1612" w:type="dxa"/>
            <w:tcBorders>
              <w:top w:val="single" w:sz="4" w:space="0" w:color="auto"/>
              <w:left w:val="single" w:sz="4" w:space="0" w:color="auto"/>
              <w:bottom w:val="single" w:sz="4" w:space="0" w:color="auto"/>
              <w:right w:val="single" w:sz="4" w:space="0" w:color="auto"/>
            </w:tcBorders>
            <w:hideMark/>
          </w:tcPr>
          <w:p w14:paraId="1D951C22" w14:textId="77777777" w:rsidR="003663AF" w:rsidRPr="00B7760C" w:rsidRDefault="003663AF" w:rsidP="00E804B7">
            <w:pPr>
              <w:pStyle w:val="Normal6"/>
              <w:jc w:val="right"/>
              <w:rPr>
                <w:b/>
                <w:bCs/>
                <w:i/>
                <w:iCs/>
                <w:sz w:val="20"/>
              </w:rPr>
            </w:pPr>
            <w:r w:rsidRPr="00B7760C">
              <w:rPr>
                <w:b/>
                <w:bCs/>
                <w:i/>
                <w:iCs/>
                <w:sz w:val="20"/>
              </w:rPr>
              <w:t>X</w:t>
            </w:r>
          </w:p>
        </w:tc>
        <w:tc>
          <w:tcPr>
            <w:tcW w:w="1612" w:type="dxa"/>
            <w:tcBorders>
              <w:top w:val="single" w:sz="4" w:space="0" w:color="auto"/>
              <w:left w:val="single" w:sz="4" w:space="0" w:color="auto"/>
              <w:bottom w:val="single" w:sz="4" w:space="0" w:color="auto"/>
              <w:right w:val="single" w:sz="4" w:space="0" w:color="auto"/>
            </w:tcBorders>
            <w:hideMark/>
          </w:tcPr>
          <w:p w14:paraId="7C64F93F"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48BAEF3B"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46788253"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182C8677" w14:textId="77777777" w:rsidR="003663AF" w:rsidRPr="00B7760C" w:rsidRDefault="003663AF" w:rsidP="00E804B7">
            <w:pPr>
              <w:pStyle w:val="Normal6"/>
              <w:jc w:val="right"/>
              <w:rPr>
                <w:b/>
                <w:bCs/>
                <w:i/>
                <w:iCs/>
                <w:sz w:val="20"/>
              </w:rPr>
            </w:pPr>
            <w:r w:rsidRPr="00B7760C">
              <w:rPr>
                <w:b/>
                <w:bCs/>
                <w:i/>
                <w:iCs/>
                <w:sz w:val="20"/>
              </w:rPr>
              <w:t>X</w:t>
            </w:r>
          </w:p>
        </w:tc>
        <w:tc>
          <w:tcPr>
            <w:tcW w:w="1611" w:type="dxa"/>
            <w:gridSpan w:val="2"/>
            <w:tcBorders>
              <w:top w:val="single" w:sz="4" w:space="0" w:color="auto"/>
              <w:left w:val="single" w:sz="4" w:space="0" w:color="auto"/>
              <w:bottom w:val="single" w:sz="4" w:space="0" w:color="auto"/>
              <w:right w:val="single" w:sz="4" w:space="0" w:color="auto"/>
            </w:tcBorders>
            <w:hideMark/>
          </w:tcPr>
          <w:p w14:paraId="7F2F54AD" w14:textId="77777777" w:rsidR="003663AF" w:rsidRPr="00B7760C" w:rsidRDefault="003663AF" w:rsidP="00E804B7">
            <w:pPr>
              <w:pStyle w:val="Normal6"/>
              <w:jc w:val="right"/>
              <w:rPr>
                <w:b/>
                <w:bCs/>
                <w:i/>
                <w:iCs/>
                <w:sz w:val="20"/>
              </w:rPr>
            </w:pPr>
            <w:r w:rsidRPr="00B7760C">
              <w:rPr>
                <w:b/>
                <w:bCs/>
                <w:i/>
                <w:iCs/>
                <w:sz w:val="20"/>
              </w:rPr>
              <w:t>X</w:t>
            </w:r>
          </w:p>
        </w:tc>
        <w:tc>
          <w:tcPr>
            <w:tcW w:w="1611" w:type="dxa"/>
            <w:gridSpan w:val="2"/>
            <w:tcBorders>
              <w:top w:val="single" w:sz="4" w:space="0" w:color="auto"/>
              <w:left w:val="single" w:sz="4" w:space="0" w:color="auto"/>
              <w:bottom w:val="single" w:sz="4" w:space="0" w:color="auto"/>
              <w:right w:val="single" w:sz="4" w:space="0" w:color="auto"/>
            </w:tcBorders>
            <w:hideMark/>
          </w:tcPr>
          <w:p w14:paraId="55D05BB2"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355A9667"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60CBC1E0" w14:textId="77777777" w:rsidTr="00E804B7">
        <w:trPr>
          <w:cantSplit/>
          <w:trHeight w:val="255"/>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14:paraId="55E022D9" w14:textId="77777777" w:rsidR="003663AF" w:rsidRPr="00B7760C" w:rsidRDefault="003663AF" w:rsidP="00E804B7">
            <w:pPr>
              <w:pStyle w:val="Normal6"/>
              <w:rPr>
                <w:sz w:val="20"/>
              </w:rPr>
            </w:pPr>
            <w:r w:rsidRPr="00B7760C">
              <w:rPr>
                <w:sz w:val="20"/>
              </w:rPr>
              <w:t>Madžarska</w:t>
            </w:r>
          </w:p>
        </w:tc>
        <w:tc>
          <w:tcPr>
            <w:tcW w:w="1612" w:type="dxa"/>
            <w:tcBorders>
              <w:top w:val="single" w:sz="4" w:space="0" w:color="auto"/>
              <w:left w:val="single" w:sz="4" w:space="0" w:color="auto"/>
              <w:bottom w:val="single" w:sz="4" w:space="0" w:color="auto"/>
              <w:right w:val="single" w:sz="4" w:space="0" w:color="auto"/>
            </w:tcBorders>
            <w:hideMark/>
          </w:tcPr>
          <w:p w14:paraId="12A5B1A2" w14:textId="77777777" w:rsidR="003663AF" w:rsidRPr="00B7760C" w:rsidRDefault="003663AF" w:rsidP="00E804B7">
            <w:pPr>
              <w:pStyle w:val="Normal6"/>
              <w:jc w:val="right"/>
              <w:rPr>
                <w:b/>
                <w:bCs/>
                <w:i/>
                <w:iCs/>
                <w:sz w:val="20"/>
              </w:rPr>
            </w:pPr>
            <w:r w:rsidRPr="00B7760C">
              <w:rPr>
                <w:b/>
                <w:bCs/>
                <w:i/>
                <w:iCs/>
                <w:sz w:val="20"/>
              </w:rPr>
              <w:t>X</w:t>
            </w:r>
          </w:p>
        </w:tc>
        <w:tc>
          <w:tcPr>
            <w:tcW w:w="1612" w:type="dxa"/>
            <w:tcBorders>
              <w:top w:val="single" w:sz="4" w:space="0" w:color="auto"/>
              <w:left w:val="single" w:sz="4" w:space="0" w:color="auto"/>
              <w:bottom w:val="single" w:sz="4" w:space="0" w:color="auto"/>
              <w:right w:val="single" w:sz="4" w:space="0" w:color="auto"/>
            </w:tcBorders>
            <w:hideMark/>
          </w:tcPr>
          <w:p w14:paraId="799C3C4F"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79C2A632"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3B6EC3FA"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23611262" w14:textId="77777777" w:rsidR="003663AF" w:rsidRPr="00B7760C" w:rsidRDefault="003663AF" w:rsidP="00E804B7">
            <w:pPr>
              <w:pStyle w:val="Normal6"/>
              <w:jc w:val="right"/>
              <w:rPr>
                <w:b/>
                <w:bCs/>
                <w:i/>
                <w:iCs/>
                <w:sz w:val="20"/>
              </w:rPr>
            </w:pPr>
            <w:r w:rsidRPr="00B7760C">
              <w:rPr>
                <w:b/>
                <w:bCs/>
                <w:i/>
                <w:iCs/>
                <w:sz w:val="20"/>
              </w:rPr>
              <w:t>X</w:t>
            </w:r>
          </w:p>
        </w:tc>
        <w:tc>
          <w:tcPr>
            <w:tcW w:w="1611" w:type="dxa"/>
            <w:gridSpan w:val="2"/>
            <w:tcBorders>
              <w:top w:val="single" w:sz="4" w:space="0" w:color="auto"/>
              <w:left w:val="single" w:sz="4" w:space="0" w:color="auto"/>
              <w:bottom w:val="single" w:sz="4" w:space="0" w:color="auto"/>
              <w:right w:val="single" w:sz="4" w:space="0" w:color="auto"/>
            </w:tcBorders>
            <w:hideMark/>
          </w:tcPr>
          <w:p w14:paraId="5E0AF4CB" w14:textId="77777777" w:rsidR="003663AF" w:rsidRPr="00B7760C" w:rsidRDefault="003663AF" w:rsidP="00E804B7">
            <w:pPr>
              <w:pStyle w:val="Normal6"/>
              <w:jc w:val="right"/>
              <w:rPr>
                <w:b/>
                <w:bCs/>
                <w:i/>
                <w:iCs/>
                <w:sz w:val="20"/>
              </w:rPr>
            </w:pPr>
            <w:r w:rsidRPr="00B7760C">
              <w:rPr>
                <w:b/>
                <w:bCs/>
                <w:i/>
                <w:iCs/>
                <w:sz w:val="20"/>
              </w:rPr>
              <w:t>X</w:t>
            </w:r>
          </w:p>
        </w:tc>
        <w:tc>
          <w:tcPr>
            <w:tcW w:w="1611" w:type="dxa"/>
            <w:gridSpan w:val="2"/>
            <w:tcBorders>
              <w:top w:val="single" w:sz="4" w:space="0" w:color="auto"/>
              <w:left w:val="single" w:sz="4" w:space="0" w:color="auto"/>
              <w:bottom w:val="single" w:sz="4" w:space="0" w:color="auto"/>
              <w:right w:val="single" w:sz="4" w:space="0" w:color="auto"/>
            </w:tcBorders>
            <w:hideMark/>
          </w:tcPr>
          <w:p w14:paraId="655DFC9D"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61B11050"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2B87E8E3" w14:textId="77777777" w:rsidTr="00E804B7">
        <w:trPr>
          <w:cantSplit/>
          <w:trHeight w:val="255"/>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14:paraId="03D98F09" w14:textId="77777777" w:rsidR="003663AF" w:rsidRPr="00B7760C" w:rsidRDefault="003663AF" w:rsidP="00E804B7">
            <w:pPr>
              <w:pStyle w:val="Normal6"/>
              <w:rPr>
                <w:sz w:val="20"/>
              </w:rPr>
            </w:pPr>
            <w:r w:rsidRPr="00B7760C">
              <w:rPr>
                <w:sz w:val="20"/>
              </w:rPr>
              <w:t>Malta</w:t>
            </w:r>
          </w:p>
        </w:tc>
        <w:tc>
          <w:tcPr>
            <w:tcW w:w="1612" w:type="dxa"/>
            <w:tcBorders>
              <w:top w:val="single" w:sz="4" w:space="0" w:color="auto"/>
              <w:left w:val="single" w:sz="4" w:space="0" w:color="auto"/>
              <w:bottom w:val="single" w:sz="4" w:space="0" w:color="auto"/>
              <w:right w:val="single" w:sz="4" w:space="0" w:color="auto"/>
            </w:tcBorders>
            <w:hideMark/>
          </w:tcPr>
          <w:p w14:paraId="4C510BE2" w14:textId="77777777" w:rsidR="003663AF" w:rsidRPr="00B7760C" w:rsidRDefault="003663AF" w:rsidP="00E804B7">
            <w:pPr>
              <w:pStyle w:val="Normal6"/>
              <w:jc w:val="right"/>
              <w:rPr>
                <w:b/>
                <w:bCs/>
                <w:i/>
                <w:iCs/>
                <w:sz w:val="20"/>
              </w:rPr>
            </w:pPr>
            <w:r w:rsidRPr="00B7760C">
              <w:rPr>
                <w:b/>
                <w:bCs/>
                <w:i/>
                <w:iCs/>
                <w:sz w:val="20"/>
              </w:rPr>
              <w:t>X</w:t>
            </w:r>
          </w:p>
        </w:tc>
        <w:tc>
          <w:tcPr>
            <w:tcW w:w="1612" w:type="dxa"/>
            <w:tcBorders>
              <w:top w:val="single" w:sz="4" w:space="0" w:color="auto"/>
              <w:left w:val="single" w:sz="4" w:space="0" w:color="auto"/>
              <w:bottom w:val="single" w:sz="4" w:space="0" w:color="auto"/>
              <w:right w:val="single" w:sz="4" w:space="0" w:color="auto"/>
            </w:tcBorders>
            <w:hideMark/>
          </w:tcPr>
          <w:p w14:paraId="5C41BF1B"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614D5F20"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7047332D"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76833C68" w14:textId="77777777" w:rsidR="003663AF" w:rsidRPr="00B7760C" w:rsidRDefault="003663AF" w:rsidP="00E804B7">
            <w:pPr>
              <w:pStyle w:val="Normal6"/>
              <w:jc w:val="right"/>
              <w:rPr>
                <w:b/>
                <w:bCs/>
                <w:i/>
                <w:iCs/>
                <w:sz w:val="20"/>
              </w:rPr>
            </w:pPr>
            <w:r w:rsidRPr="00B7760C">
              <w:rPr>
                <w:b/>
                <w:bCs/>
                <w:i/>
                <w:iCs/>
                <w:sz w:val="20"/>
              </w:rPr>
              <w:t>X</w:t>
            </w:r>
          </w:p>
        </w:tc>
        <w:tc>
          <w:tcPr>
            <w:tcW w:w="1611" w:type="dxa"/>
            <w:gridSpan w:val="2"/>
            <w:tcBorders>
              <w:top w:val="single" w:sz="4" w:space="0" w:color="auto"/>
              <w:left w:val="single" w:sz="4" w:space="0" w:color="auto"/>
              <w:bottom w:val="single" w:sz="4" w:space="0" w:color="auto"/>
              <w:right w:val="single" w:sz="4" w:space="0" w:color="auto"/>
            </w:tcBorders>
            <w:hideMark/>
          </w:tcPr>
          <w:p w14:paraId="23B153C0" w14:textId="77777777" w:rsidR="003663AF" w:rsidRPr="00B7760C" w:rsidRDefault="003663AF" w:rsidP="00E804B7">
            <w:pPr>
              <w:pStyle w:val="Normal6"/>
              <w:jc w:val="right"/>
              <w:rPr>
                <w:b/>
                <w:bCs/>
                <w:i/>
                <w:iCs/>
                <w:sz w:val="20"/>
              </w:rPr>
            </w:pPr>
            <w:r w:rsidRPr="00B7760C">
              <w:rPr>
                <w:b/>
                <w:bCs/>
                <w:i/>
                <w:iCs/>
                <w:sz w:val="20"/>
              </w:rPr>
              <w:t>X</w:t>
            </w:r>
          </w:p>
        </w:tc>
        <w:tc>
          <w:tcPr>
            <w:tcW w:w="1611" w:type="dxa"/>
            <w:gridSpan w:val="2"/>
            <w:tcBorders>
              <w:top w:val="single" w:sz="4" w:space="0" w:color="auto"/>
              <w:left w:val="single" w:sz="4" w:space="0" w:color="auto"/>
              <w:bottom w:val="single" w:sz="4" w:space="0" w:color="auto"/>
              <w:right w:val="single" w:sz="4" w:space="0" w:color="auto"/>
            </w:tcBorders>
            <w:hideMark/>
          </w:tcPr>
          <w:p w14:paraId="64E6AADD"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0035D062"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1DCD4D4C" w14:textId="77777777" w:rsidTr="00E804B7">
        <w:trPr>
          <w:cantSplit/>
          <w:trHeight w:val="255"/>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14:paraId="17FE2988" w14:textId="77777777" w:rsidR="003663AF" w:rsidRPr="00B7760C" w:rsidRDefault="003663AF" w:rsidP="00E804B7">
            <w:pPr>
              <w:pStyle w:val="Normal6"/>
              <w:rPr>
                <w:sz w:val="20"/>
              </w:rPr>
            </w:pPr>
            <w:r w:rsidRPr="00B7760C">
              <w:rPr>
                <w:sz w:val="20"/>
              </w:rPr>
              <w:t>Nizozemska</w:t>
            </w:r>
          </w:p>
        </w:tc>
        <w:tc>
          <w:tcPr>
            <w:tcW w:w="1612" w:type="dxa"/>
            <w:tcBorders>
              <w:top w:val="single" w:sz="4" w:space="0" w:color="auto"/>
              <w:left w:val="single" w:sz="4" w:space="0" w:color="auto"/>
              <w:bottom w:val="single" w:sz="4" w:space="0" w:color="auto"/>
              <w:right w:val="single" w:sz="4" w:space="0" w:color="auto"/>
            </w:tcBorders>
            <w:hideMark/>
          </w:tcPr>
          <w:p w14:paraId="0C8BF8D6" w14:textId="77777777" w:rsidR="003663AF" w:rsidRPr="00B7760C" w:rsidRDefault="003663AF" w:rsidP="00E804B7">
            <w:pPr>
              <w:pStyle w:val="Normal6"/>
              <w:jc w:val="right"/>
              <w:rPr>
                <w:b/>
                <w:bCs/>
                <w:i/>
                <w:iCs/>
                <w:sz w:val="20"/>
              </w:rPr>
            </w:pPr>
            <w:r w:rsidRPr="00B7760C">
              <w:rPr>
                <w:b/>
                <w:bCs/>
                <w:i/>
                <w:iCs/>
                <w:sz w:val="20"/>
              </w:rPr>
              <w:t>X</w:t>
            </w:r>
          </w:p>
        </w:tc>
        <w:tc>
          <w:tcPr>
            <w:tcW w:w="1612" w:type="dxa"/>
            <w:tcBorders>
              <w:top w:val="single" w:sz="4" w:space="0" w:color="auto"/>
              <w:left w:val="single" w:sz="4" w:space="0" w:color="auto"/>
              <w:bottom w:val="single" w:sz="4" w:space="0" w:color="auto"/>
              <w:right w:val="single" w:sz="4" w:space="0" w:color="auto"/>
            </w:tcBorders>
            <w:hideMark/>
          </w:tcPr>
          <w:p w14:paraId="70D5E695"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58FBCED9"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4F3B4A40"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309C56E9" w14:textId="77777777" w:rsidR="003663AF" w:rsidRPr="00B7760C" w:rsidRDefault="003663AF" w:rsidP="00E804B7">
            <w:pPr>
              <w:pStyle w:val="Normal6"/>
              <w:jc w:val="right"/>
              <w:rPr>
                <w:b/>
                <w:bCs/>
                <w:i/>
                <w:iCs/>
                <w:sz w:val="20"/>
              </w:rPr>
            </w:pPr>
            <w:r w:rsidRPr="00B7760C">
              <w:rPr>
                <w:b/>
                <w:bCs/>
                <w:i/>
                <w:iCs/>
                <w:sz w:val="20"/>
              </w:rPr>
              <w:t>X</w:t>
            </w:r>
          </w:p>
        </w:tc>
        <w:tc>
          <w:tcPr>
            <w:tcW w:w="1611" w:type="dxa"/>
            <w:gridSpan w:val="2"/>
            <w:tcBorders>
              <w:top w:val="single" w:sz="4" w:space="0" w:color="auto"/>
              <w:left w:val="single" w:sz="4" w:space="0" w:color="auto"/>
              <w:bottom w:val="single" w:sz="4" w:space="0" w:color="auto"/>
              <w:right w:val="single" w:sz="4" w:space="0" w:color="auto"/>
            </w:tcBorders>
            <w:hideMark/>
          </w:tcPr>
          <w:p w14:paraId="78BF046E" w14:textId="77777777" w:rsidR="003663AF" w:rsidRPr="00B7760C" w:rsidRDefault="003663AF" w:rsidP="00E804B7">
            <w:pPr>
              <w:pStyle w:val="Normal6"/>
              <w:jc w:val="right"/>
              <w:rPr>
                <w:b/>
                <w:bCs/>
                <w:i/>
                <w:iCs/>
                <w:sz w:val="20"/>
              </w:rPr>
            </w:pPr>
            <w:r w:rsidRPr="00B7760C">
              <w:rPr>
                <w:b/>
                <w:bCs/>
                <w:i/>
                <w:iCs/>
                <w:sz w:val="20"/>
              </w:rPr>
              <w:t>X</w:t>
            </w:r>
          </w:p>
        </w:tc>
        <w:tc>
          <w:tcPr>
            <w:tcW w:w="1611" w:type="dxa"/>
            <w:gridSpan w:val="2"/>
            <w:tcBorders>
              <w:top w:val="single" w:sz="4" w:space="0" w:color="auto"/>
              <w:left w:val="single" w:sz="4" w:space="0" w:color="auto"/>
              <w:bottom w:val="single" w:sz="4" w:space="0" w:color="auto"/>
              <w:right w:val="single" w:sz="4" w:space="0" w:color="auto"/>
            </w:tcBorders>
            <w:hideMark/>
          </w:tcPr>
          <w:p w14:paraId="5319DD5B"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224DCD65"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6AD95236" w14:textId="77777777" w:rsidTr="00E804B7">
        <w:trPr>
          <w:cantSplit/>
          <w:trHeight w:val="255"/>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14:paraId="681B1986" w14:textId="77777777" w:rsidR="003663AF" w:rsidRPr="00B7760C" w:rsidRDefault="003663AF" w:rsidP="00E804B7">
            <w:pPr>
              <w:pStyle w:val="Normal6"/>
              <w:rPr>
                <w:sz w:val="20"/>
              </w:rPr>
            </w:pPr>
            <w:r w:rsidRPr="00B7760C">
              <w:rPr>
                <w:sz w:val="20"/>
              </w:rPr>
              <w:t>Avstrija</w:t>
            </w:r>
          </w:p>
        </w:tc>
        <w:tc>
          <w:tcPr>
            <w:tcW w:w="1612" w:type="dxa"/>
            <w:tcBorders>
              <w:top w:val="single" w:sz="4" w:space="0" w:color="auto"/>
              <w:left w:val="single" w:sz="4" w:space="0" w:color="auto"/>
              <w:bottom w:val="single" w:sz="4" w:space="0" w:color="auto"/>
              <w:right w:val="single" w:sz="4" w:space="0" w:color="auto"/>
            </w:tcBorders>
            <w:hideMark/>
          </w:tcPr>
          <w:p w14:paraId="72AF1D5E" w14:textId="77777777" w:rsidR="003663AF" w:rsidRPr="00B7760C" w:rsidRDefault="003663AF" w:rsidP="00E804B7">
            <w:pPr>
              <w:pStyle w:val="Normal6"/>
              <w:jc w:val="right"/>
              <w:rPr>
                <w:b/>
                <w:bCs/>
                <w:i/>
                <w:iCs/>
                <w:sz w:val="20"/>
              </w:rPr>
            </w:pPr>
            <w:r w:rsidRPr="00B7760C">
              <w:rPr>
                <w:b/>
                <w:bCs/>
                <w:i/>
                <w:iCs/>
                <w:sz w:val="20"/>
              </w:rPr>
              <w:t>X</w:t>
            </w:r>
          </w:p>
        </w:tc>
        <w:tc>
          <w:tcPr>
            <w:tcW w:w="1612" w:type="dxa"/>
            <w:tcBorders>
              <w:top w:val="single" w:sz="4" w:space="0" w:color="auto"/>
              <w:left w:val="single" w:sz="4" w:space="0" w:color="auto"/>
              <w:bottom w:val="single" w:sz="4" w:space="0" w:color="auto"/>
              <w:right w:val="single" w:sz="4" w:space="0" w:color="auto"/>
            </w:tcBorders>
            <w:hideMark/>
          </w:tcPr>
          <w:p w14:paraId="43068A5F"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6CF735A7"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62D22B05"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33C959A0" w14:textId="77777777" w:rsidR="003663AF" w:rsidRPr="00B7760C" w:rsidRDefault="003663AF" w:rsidP="00E804B7">
            <w:pPr>
              <w:pStyle w:val="Normal6"/>
              <w:jc w:val="right"/>
              <w:rPr>
                <w:b/>
                <w:bCs/>
                <w:i/>
                <w:iCs/>
                <w:sz w:val="20"/>
              </w:rPr>
            </w:pPr>
            <w:r w:rsidRPr="00B7760C">
              <w:rPr>
                <w:b/>
                <w:bCs/>
                <w:i/>
                <w:iCs/>
                <w:sz w:val="20"/>
              </w:rPr>
              <w:t>X</w:t>
            </w:r>
          </w:p>
        </w:tc>
        <w:tc>
          <w:tcPr>
            <w:tcW w:w="1611" w:type="dxa"/>
            <w:gridSpan w:val="2"/>
            <w:tcBorders>
              <w:top w:val="single" w:sz="4" w:space="0" w:color="auto"/>
              <w:left w:val="single" w:sz="4" w:space="0" w:color="auto"/>
              <w:bottom w:val="single" w:sz="4" w:space="0" w:color="auto"/>
              <w:right w:val="single" w:sz="4" w:space="0" w:color="auto"/>
            </w:tcBorders>
            <w:hideMark/>
          </w:tcPr>
          <w:p w14:paraId="4E801DCD" w14:textId="77777777" w:rsidR="003663AF" w:rsidRPr="00B7760C" w:rsidRDefault="003663AF" w:rsidP="00E804B7">
            <w:pPr>
              <w:pStyle w:val="Normal6"/>
              <w:jc w:val="right"/>
              <w:rPr>
                <w:b/>
                <w:bCs/>
                <w:i/>
                <w:iCs/>
                <w:sz w:val="20"/>
              </w:rPr>
            </w:pPr>
            <w:r w:rsidRPr="00B7760C">
              <w:rPr>
                <w:b/>
                <w:bCs/>
                <w:i/>
                <w:iCs/>
                <w:sz w:val="20"/>
              </w:rPr>
              <w:t>X</w:t>
            </w:r>
          </w:p>
        </w:tc>
        <w:tc>
          <w:tcPr>
            <w:tcW w:w="1611" w:type="dxa"/>
            <w:gridSpan w:val="2"/>
            <w:tcBorders>
              <w:top w:val="single" w:sz="4" w:space="0" w:color="auto"/>
              <w:left w:val="single" w:sz="4" w:space="0" w:color="auto"/>
              <w:bottom w:val="single" w:sz="4" w:space="0" w:color="auto"/>
              <w:right w:val="single" w:sz="4" w:space="0" w:color="auto"/>
            </w:tcBorders>
            <w:hideMark/>
          </w:tcPr>
          <w:p w14:paraId="240410AD"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4B007019"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661962E5" w14:textId="77777777" w:rsidTr="00E804B7">
        <w:trPr>
          <w:cantSplit/>
          <w:trHeight w:val="255"/>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14:paraId="2E33C75F" w14:textId="77777777" w:rsidR="003663AF" w:rsidRPr="00B7760C" w:rsidRDefault="003663AF" w:rsidP="00E804B7">
            <w:pPr>
              <w:pStyle w:val="Normal6"/>
              <w:rPr>
                <w:sz w:val="20"/>
              </w:rPr>
            </w:pPr>
            <w:r w:rsidRPr="00B7760C">
              <w:rPr>
                <w:sz w:val="20"/>
              </w:rPr>
              <w:t>Poljska</w:t>
            </w:r>
          </w:p>
        </w:tc>
        <w:tc>
          <w:tcPr>
            <w:tcW w:w="1612" w:type="dxa"/>
            <w:tcBorders>
              <w:top w:val="single" w:sz="4" w:space="0" w:color="auto"/>
              <w:left w:val="single" w:sz="4" w:space="0" w:color="auto"/>
              <w:bottom w:val="single" w:sz="4" w:space="0" w:color="auto"/>
              <w:right w:val="single" w:sz="4" w:space="0" w:color="auto"/>
            </w:tcBorders>
            <w:hideMark/>
          </w:tcPr>
          <w:p w14:paraId="137454C4" w14:textId="77777777" w:rsidR="003663AF" w:rsidRPr="00B7760C" w:rsidRDefault="003663AF" w:rsidP="00E804B7">
            <w:pPr>
              <w:pStyle w:val="Normal6"/>
              <w:jc w:val="right"/>
              <w:rPr>
                <w:b/>
                <w:bCs/>
                <w:i/>
                <w:iCs/>
                <w:sz w:val="20"/>
              </w:rPr>
            </w:pPr>
            <w:r w:rsidRPr="00B7760C">
              <w:rPr>
                <w:b/>
                <w:bCs/>
                <w:i/>
                <w:iCs/>
                <w:sz w:val="20"/>
              </w:rPr>
              <w:t>X</w:t>
            </w:r>
          </w:p>
        </w:tc>
        <w:tc>
          <w:tcPr>
            <w:tcW w:w="1612" w:type="dxa"/>
            <w:tcBorders>
              <w:top w:val="single" w:sz="4" w:space="0" w:color="auto"/>
              <w:left w:val="single" w:sz="4" w:space="0" w:color="auto"/>
              <w:bottom w:val="single" w:sz="4" w:space="0" w:color="auto"/>
              <w:right w:val="single" w:sz="4" w:space="0" w:color="auto"/>
            </w:tcBorders>
            <w:hideMark/>
          </w:tcPr>
          <w:p w14:paraId="70E4A117"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0E04F0E9"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6E9AD05E"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4438890E" w14:textId="77777777" w:rsidR="003663AF" w:rsidRPr="00B7760C" w:rsidRDefault="003663AF" w:rsidP="00E804B7">
            <w:pPr>
              <w:pStyle w:val="Normal6"/>
              <w:jc w:val="right"/>
              <w:rPr>
                <w:b/>
                <w:bCs/>
                <w:i/>
                <w:iCs/>
                <w:sz w:val="20"/>
              </w:rPr>
            </w:pPr>
            <w:r w:rsidRPr="00B7760C">
              <w:rPr>
                <w:b/>
                <w:bCs/>
                <w:i/>
                <w:iCs/>
                <w:sz w:val="20"/>
              </w:rPr>
              <w:t>X</w:t>
            </w:r>
          </w:p>
        </w:tc>
        <w:tc>
          <w:tcPr>
            <w:tcW w:w="1611" w:type="dxa"/>
            <w:gridSpan w:val="2"/>
            <w:tcBorders>
              <w:top w:val="single" w:sz="4" w:space="0" w:color="auto"/>
              <w:left w:val="single" w:sz="4" w:space="0" w:color="auto"/>
              <w:bottom w:val="single" w:sz="4" w:space="0" w:color="auto"/>
              <w:right w:val="single" w:sz="4" w:space="0" w:color="auto"/>
            </w:tcBorders>
            <w:hideMark/>
          </w:tcPr>
          <w:p w14:paraId="47EEAEEF" w14:textId="77777777" w:rsidR="003663AF" w:rsidRPr="00B7760C" w:rsidRDefault="003663AF" w:rsidP="00E804B7">
            <w:pPr>
              <w:pStyle w:val="Normal6"/>
              <w:jc w:val="right"/>
              <w:rPr>
                <w:b/>
                <w:bCs/>
                <w:i/>
                <w:iCs/>
                <w:sz w:val="20"/>
              </w:rPr>
            </w:pPr>
            <w:r w:rsidRPr="00B7760C">
              <w:rPr>
                <w:b/>
                <w:bCs/>
                <w:i/>
                <w:iCs/>
                <w:sz w:val="20"/>
              </w:rPr>
              <w:t>X</w:t>
            </w:r>
          </w:p>
        </w:tc>
        <w:tc>
          <w:tcPr>
            <w:tcW w:w="1611" w:type="dxa"/>
            <w:gridSpan w:val="2"/>
            <w:tcBorders>
              <w:top w:val="single" w:sz="4" w:space="0" w:color="auto"/>
              <w:left w:val="single" w:sz="4" w:space="0" w:color="auto"/>
              <w:bottom w:val="single" w:sz="4" w:space="0" w:color="auto"/>
              <w:right w:val="single" w:sz="4" w:space="0" w:color="auto"/>
            </w:tcBorders>
            <w:hideMark/>
          </w:tcPr>
          <w:p w14:paraId="2AB9E04A"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37DE4C14"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1CA6D144" w14:textId="77777777" w:rsidTr="00E804B7">
        <w:trPr>
          <w:cantSplit/>
          <w:trHeight w:val="255"/>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14:paraId="76F3DDE7" w14:textId="77777777" w:rsidR="003663AF" w:rsidRPr="00B7760C" w:rsidRDefault="003663AF" w:rsidP="00E804B7">
            <w:pPr>
              <w:pStyle w:val="Normal6"/>
              <w:rPr>
                <w:sz w:val="20"/>
              </w:rPr>
            </w:pPr>
            <w:r w:rsidRPr="00B7760C">
              <w:rPr>
                <w:sz w:val="20"/>
              </w:rPr>
              <w:t>Portugalska</w:t>
            </w:r>
          </w:p>
        </w:tc>
        <w:tc>
          <w:tcPr>
            <w:tcW w:w="1612" w:type="dxa"/>
            <w:tcBorders>
              <w:top w:val="single" w:sz="4" w:space="0" w:color="auto"/>
              <w:left w:val="single" w:sz="4" w:space="0" w:color="auto"/>
              <w:bottom w:val="single" w:sz="4" w:space="0" w:color="auto"/>
              <w:right w:val="single" w:sz="4" w:space="0" w:color="auto"/>
            </w:tcBorders>
            <w:hideMark/>
          </w:tcPr>
          <w:p w14:paraId="0494EAA5" w14:textId="77777777" w:rsidR="003663AF" w:rsidRPr="00B7760C" w:rsidRDefault="003663AF" w:rsidP="00E804B7">
            <w:pPr>
              <w:pStyle w:val="Normal6"/>
              <w:jc w:val="right"/>
              <w:rPr>
                <w:b/>
                <w:bCs/>
                <w:i/>
                <w:iCs/>
                <w:sz w:val="20"/>
              </w:rPr>
            </w:pPr>
            <w:r w:rsidRPr="00B7760C">
              <w:rPr>
                <w:b/>
                <w:bCs/>
                <w:i/>
                <w:iCs/>
                <w:sz w:val="20"/>
              </w:rPr>
              <w:t>X</w:t>
            </w:r>
          </w:p>
        </w:tc>
        <w:tc>
          <w:tcPr>
            <w:tcW w:w="1612" w:type="dxa"/>
            <w:tcBorders>
              <w:top w:val="single" w:sz="4" w:space="0" w:color="auto"/>
              <w:left w:val="single" w:sz="4" w:space="0" w:color="auto"/>
              <w:bottom w:val="single" w:sz="4" w:space="0" w:color="auto"/>
              <w:right w:val="single" w:sz="4" w:space="0" w:color="auto"/>
            </w:tcBorders>
            <w:hideMark/>
          </w:tcPr>
          <w:p w14:paraId="5FFA7C01"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277417D1"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2BC28485"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6062A2C1" w14:textId="77777777" w:rsidR="003663AF" w:rsidRPr="00B7760C" w:rsidRDefault="003663AF" w:rsidP="00E804B7">
            <w:pPr>
              <w:pStyle w:val="Normal6"/>
              <w:jc w:val="right"/>
              <w:rPr>
                <w:b/>
                <w:bCs/>
                <w:i/>
                <w:iCs/>
                <w:sz w:val="20"/>
              </w:rPr>
            </w:pPr>
            <w:r w:rsidRPr="00B7760C">
              <w:rPr>
                <w:b/>
                <w:bCs/>
                <w:i/>
                <w:iCs/>
                <w:sz w:val="20"/>
              </w:rPr>
              <w:t>X</w:t>
            </w:r>
          </w:p>
        </w:tc>
        <w:tc>
          <w:tcPr>
            <w:tcW w:w="1611" w:type="dxa"/>
            <w:gridSpan w:val="2"/>
            <w:tcBorders>
              <w:top w:val="single" w:sz="4" w:space="0" w:color="auto"/>
              <w:left w:val="single" w:sz="4" w:space="0" w:color="auto"/>
              <w:bottom w:val="single" w:sz="4" w:space="0" w:color="auto"/>
              <w:right w:val="single" w:sz="4" w:space="0" w:color="auto"/>
            </w:tcBorders>
            <w:hideMark/>
          </w:tcPr>
          <w:p w14:paraId="430AA80B" w14:textId="77777777" w:rsidR="003663AF" w:rsidRPr="00B7760C" w:rsidRDefault="003663AF" w:rsidP="00E804B7">
            <w:pPr>
              <w:pStyle w:val="Normal6"/>
              <w:jc w:val="right"/>
              <w:rPr>
                <w:b/>
                <w:bCs/>
                <w:i/>
                <w:iCs/>
                <w:sz w:val="20"/>
              </w:rPr>
            </w:pPr>
            <w:r w:rsidRPr="00B7760C">
              <w:rPr>
                <w:b/>
                <w:bCs/>
                <w:i/>
                <w:iCs/>
                <w:sz w:val="20"/>
              </w:rPr>
              <w:t>X</w:t>
            </w:r>
          </w:p>
        </w:tc>
        <w:tc>
          <w:tcPr>
            <w:tcW w:w="1611" w:type="dxa"/>
            <w:gridSpan w:val="2"/>
            <w:tcBorders>
              <w:top w:val="single" w:sz="4" w:space="0" w:color="auto"/>
              <w:left w:val="single" w:sz="4" w:space="0" w:color="auto"/>
              <w:bottom w:val="single" w:sz="4" w:space="0" w:color="auto"/>
              <w:right w:val="single" w:sz="4" w:space="0" w:color="auto"/>
            </w:tcBorders>
            <w:hideMark/>
          </w:tcPr>
          <w:p w14:paraId="0ADD9759"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7203F3A4"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57AD317C" w14:textId="77777777" w:rsidTr="00E804B7">
        <w:trPr>
          <w:cantSplit/>
          <w:trHeight w:val="255"/>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14:paraId="46B6ECC1" w14:textId="77777777" w:rsidR="003663AF" w:rsidRPr="00B7760C" w:rsidRDefault="003663AF" w:rsidP="00E804B7">
            <w:pPr>
              <w:pStyle w:val="Normal6"/>
              <w:rPr>
                <w:sz w:val="20"/>
              </w:rPr>
            </w:pPr>
            <w:r w:rsidRPr="00B7760C">
              <w:rPr>
                <w:sz w:val="20"/>
              </w:rPr>
              <w:t>Romunija</w:t>
            </w:r>
          </w:p>
        </w:tc>
        <w:tc>
          <w:tcPr>
            <w:tcW w:w="1612" w:type="dxa"/>
            <w:tcBorders>
              <w:top w:val="single" w:sz="4" w:space="0" w:color="auto"/>
              <w:left w:val="single" w:sz="4" w:space="0" w:color="auto"/>
              <w:bottom w:val="single" w:sz="4" w:space="0" w:color="auto"/>
              <w:right w:val="single" w:sz="4" w:space="0" w:color="auto"/>
            </w:tcBorders>
            <w:hideMark/>
          </w:tcPr>
          <w:p w14:paraId="72A573CA" w14:textId="77777777" w:rsidR="003663AF" w:rsidRPr="00B7760C" w:rsidRDefault="003663AF" w:rsidP="00E804B7">
            <w:pPr>
              <w:pStyle w:val="Normal6"/>
              <w:jc w:val="right"/>
              <w:rPr>
                <w:b/>
                <w:bCs/>
                <w:i/>
                <w:iCs/>
                <w:sz w:val="20"/>
              </w:rPr>
            </w:pPr>
            <w:r w:rsidRPr="00B7760C">
              <w:rPr>
                <w:b/>
                <w:bCs/>
                <w:i/>
                <w:iCs/>
                <w:sz w:val="20"/>
              </w:rPr>
              <w:t>X</w:t>
            </w:r>
          </w:p>
        </w:tc>
        <w:tc>
          <w:tcPr>
            <w:tcW w:w="1612" w:type="dxa"/>
            <w:tcBorders>
              <w:top w:val="single" w:sz="4" w:space="0" w:color="auto"/>
              <w:left w:val="single" w:sz="4" w:space="0" w:color="auto"/>
              <w:bottom w:val="single" w:sz="4" w:space="0" w:color="auto"/>
              <w:right w:val="single" w:sz="4" w:space="0" w:color="auto"/>
            </w:tcBorders>
            <w:hideMark/>
          </w:tcPr>
          <w:p w14:paraId="5057F7C1"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59C88C31"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7DB70EE9"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72C3FC0C" w14:textId="77777777" w:rsidR="003663AF" w:rsidRPr="00B7760C" w:rsidRDefault="003663AF" w:rsidP="00E804B7">
            <w:pPr>
              <w:pStyle w:val="Normal6"/>
              <w:jc w:val="right"/>
              <w:rPr>
                <w:b/>
                <w:bCs/>
                <w:i/>
                <w:iCs/>
                <w:sz w:val="20"/>
              </w:rPr>
            </w:pPr>
            <w:r w:rsidRPr="00B7760C">
              <w:rPr>
                <w:b/>
                <w:bCs/>
                <w:i/>
                <w:iCs/>
                <w:sz w:val="20"/>
              </w:rPr>
              <w:t>X</w:t>
            </w:r>
          </w:p>
        </w:tc>
        <w:tc>
          <w:tcPr>
            <w:tcW w:w="1611" w:type="dxa"/>
            <w:gridSpan w:val="2"/>
            <w:tcBorders>
              <w:top w:val="single" w:sz="4" w:space="0" w:color="auto"/>
              <w:left w:val="single" w:sz="4" w:space="0" w:color="auto"/>
              <w:bottom w:val="single" w:sz="4" w:space="0" w:color="auto"/>
              <w:right w:val="single" w:sz="4" w:space="0" w:color="auto"/>
            </w:tcBorders>
            <w:hideMark/>
          </w:tcPr>
          <w:p w14:paraId="63A95EDB" w14:textId="77777777" w:rsidR="003663AF" w:rsidRPr="00B7760C" w:rsidRDefault="003663AF" w:rsidP="00E804B7">
            <w:pPr>
              <w:pStyle w:val="Normal6"/>
              <w:jc w:val="right"/>
              <w:rPr>
                <w:b/>
                <w:bCs/>
                <w:i/>
                <w:iCs/>
                <w:sz w:val="20"/>
              </w:rPr>
            </w:pPr>
            <w:r w:rsidRPr="00B7760C">
              <w:rPr>
                <w:b/>
                <w:bCs/>
                <w:i/>
                <w:iCs/>
                <w:sz w:val="20"/>
              </w:rPr>
              <w:t>X</w:t>
            </w:r>
          </w:p>
        </w:tc>
        <w:tc>
          <w:tcPr>
            <w:tcW w:w="1611" w:type="dxa"/>
            <w:gridSpan w:val="2"/>
            <w:tcBorders>
              <w:top w:val="single" w:sz="4" w:space="0" w:color="auto"/>
              <w:left w:val="single" w:sz="4" w:space="0" w:color="auto"/>
              <w:bottom w:val="single" w:sz="4" w:space="0" w:color="auto"/>
              <w:right w:val="single" w:sz="4" w:space="0" w:color="auto"/>
            </w:tcBorders>
            <w:hideMark/>
          </w:tcPr>
          <w:p w14:paraId="73A8D331"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2EBB04A0"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73A0755B" w14:textId="77777777" w:rsidTr="00E804B7">
        <w:trPr>
          <w:cantSplit/>
          <w:trHeight w:val="255"/>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14:paraId="2A504734" w14:textId="77777777" w:rsidR="003663AF" w:rsidRPr="00B7760C" w:rsidRDefault="003663AF" w:rsidP="00E804B7">
            <w:pPr>
              <w:pStyle w:val="Normal6"/>
              <w:rPr>
                <w:sz w:val="20"/>
              </w:rPr>
            </w:pPr>
            <w:r w:rsidRPr="00B7760C">
              <w:rPr>
                <w:sz w:val="20"/>
              </w:rPr>
              <w:t>Slovenija</w:t>
            </w:r>
          </w:p>
        </w:tc>
        <w:tc>
          <w:tcPr>
            <w:tcW w:w="1612" w:type="dxa"/>
            <w:tcBorders>
              <w:top w:val="single" w:sz="4" w:space="0" w:color="auto"/>
              <w:left w:val="single" w:sz="4" w:space="0" w:color="auto"/>
              <w:bottom w:val="single" w:sz="4" w:space="0" w:color="auto"/>
              <w:right w:val="single" w:sz="4" w:space="0" w:color="auto"/>
            </w:tcBorders>
            <w:hideMark/>
          </w:tcPr>
          <w:p w14:paraId="64C8519B" w14:textId="77777777" w:rsidR="003663AF" w:rsidRPr="00B7760C" w:rsidRDefault="003663AF" w:rsidP="00E804B7">
            <w:pPr>
              <w:pStyle w:val="Normal6"/>
              <w:jc w:val="right"/>
              <w:rPr>
                <w:b/>
                <w:bCs/>
                <w:i/>
                <w:iCs/>
                <w:sz w:val="20"/>
              </w:rPr>
            </w:pPr>
            <w:r w:rsidRPr="00B7760C">
              <w:rPr>
                <w:b/>
                <w:bCs/>
                <w:i/>
                <w:iCs/>
                <w:sz w:val="20"/>
              </w:rPr>
              <w:t>X</w:t>
            </w:r>
          </w:p>
        </w:tc>
        <w:tc>
          <w:tcPr>
            <w:tcW w:w="1612" w:type="dxa"/>
            <w:tcBorders>
              <w:top w:val="single" w:sz="4" w:space="0" w:color="auto"/>
              <w:left w:val="single" w:sz="4" w:space="0" w:color="auto"/>
              <w:bottom w:val="single" w:sz="4" w:space="0" w:color="auto"/>
              <w:right w:val="single" w:sz="4" w:space="0" w:color="auto"/>
            </w:tcBorders>
            <w:hideMark/>
          </w:tcPr>
          <w:p w14:paraId="73EF9E97"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4AA40DA7"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12AC90D2"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013C70E8" w14:textId="77777777" w:rsidR="003663AF" w:rsidRPr="00B7760C" w:rsidRDefault="003663AF" w:rsidP="00E804B7">
            <w:pPr>
              <w:pStyle w:val="Normal6"/>
              <w:jc w:val="right"/>
              <w:rPr>
                <w:b/>
                <w:bCs/>
                <w:i/>
                <w:iCs/>
                <w:sz w:val="20"/>
              </w:rPr>
            </w:pPr>
            <w:r w:rsidRPr="00B7760C">
              <w:rPr>
                <w:b/>
                <w:bCs/>
                <w:i/>
                <w:iCs/>
                <w:sz w:val="20"/>
              </w:rPr>
              <w:t>X</w:t>
            </w:r>
          </w:p>
        </w:tc>
        <w:tc>
          <w:tcPr>
            <w:tcW w:w="1611" w:type="dxa"/>
            <w:gridSpan w:val="2"/>
            <w:tcBorders>
              <w:top w:val="single" w:sz="4" w:space="0" w:color="auto"/>
              <w:left w:val="single" w:sz="4" w:space="0" w:color="auto"/>
              <w:bottom w:val="single" w:sz="4" w:space="0" w:color="auto"/>
              <w:right w:val="single" w:sz="4" w:space="0" w:color="auto"/>
            </w:tcBorders>
            <w:hideMark/>
          </w:tcPr>
          <w:p w14:paraId="06C412A2" w14:textId="77777777" w:rsidR="003663AF" w:rsidRPr="00B7760C" w:rsidRDefault="003663AF" w:rsidP="00E804B7">
            <w:pPr>
              <w:pStyle w:val="Normal6"/>
              <w:jc w:val="right"/>
              <w:rPr>
                <w:b/>
                <w:bCs/>
                <w:i/>
                <w:iCs/>
                <w:sz w:val="20"/>
              </w:rPr>
            </w:pPr>
            <w:r w:rsidRPr="00B7760C">
              <w:rPr>
                <w:b/>
                <w:bCs/>
                <w:i/>
                <w:iCs/>
                <w:sz w:val="20"/>
              </w:rPr>
              <w:t>X</w:t>
            </w:r>
          </w:p>
        </w:tc>
        <w:tc>
          <w:tcPr>
            <w:tcW w:w="1611" w:type="dxa"/>
            <w:gridSpan w:val="2"/>
            <w:tcBorders>
              <w:top w:val="single" w:sz="4" w:space="0" w:color="auto"/>
              <w:left w:val="single" w:sz="4" w:space="0" w:color="auto"/>
              <w:bottom w:val="single" w:sz="4" w:space="0" w:color="auto"/>
              <w:right w:val="single" w:sz="4" w:space="0" w:color="auto"/>
            </w:tcBorders>
            <w:hideMark/>
          </w:tcPr>
          <w:p w14:paraId="2B0B739F"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715F6487"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13CDC260" w14:textId="77777777" w:rsidTr="00E804B7">
        <w:trPr>
          <w:cantSplit/>
          <w:trHeight w:val="255"/>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14:paraId="6DC31247" w14:textId="77777777" w:rsidR="003663AF" w:rsidRPr="00B7760C" w:rsidRDefault="003663AF" w:rsidP="00E804B7">
            <w:pPr>
              <w:pStyle w:val="Normal6"/>
              <w:rPr>
                <w:sz w:val="20"/>
              </w:rPr>
            </w:pPr>
            <w:r w:rsidRPr="00B7760C">
              <w:rPr>
                <w:sz w:val="20"/>
              </w:rPr>
              <w:t>Slovaška</w:t>
            </w:r>
          </w:p>
        </w:tc>
        <w:tc>
          <w:tcPr>
            <w:tcW w:w="1612" w:type="dxa"/>
            <w:tcBorders>
              <w:top w:val="single" w:sz="4" w:space="0" w:color="auto"/>
              <w:left w:val="single" w:sz="4" w:space="0" w:color="auto"/>
              <w:bottom w:val="single" w:sz="4" w:space="0" w:color="auto"/>
              <w:right w:val="single" w:sz="4" w:space="0" w:color="auto"/>
            </w:tcBorders>
            <w:hideMark/>
          </w:tcPr>
          <w:p w14:paraId="6FA10F1F" w14:textId="77777777" w:rsidR="003663AF" w:rsidRPr="00B7760C" w:rsidRDefault="003663AF" w:rsidP="00E804B7">
            <w:pPr>
              <w:pStyle w:val="Normal6"/>
              <w:jc w:val="right"/>
              <w:rPr>
                <w:b/>
                <w:bCs/>
                <w:i/>
                <w:iCs/>
                <w:sz w:val="20"/>
              </w:rPr>
            </w:pPr>
            <w:r w:rsidRPr="00B7760C">
              <w:rPr>
                <w:b/>
                <w:bCs/>
                <w:i/>
                <w:iCs/>
                <w:sz w:val="20"/>
              </w:rPr>
              <w:t>X</w:t>
            </w:r>
          </w:p>
        </w:tc>
        <w:tc>
          <w:tcPr>
            <w:tcW w:w="1612" w:type="dxa"/>
            <w:tcBorders>
              <w:top w:val="single" w:sz="4" w:space="0" w:color="auto"/>
              <w:left w:val="single" w:sz="4" w:space="0" w:color="auto"/>
              <w:bottom w:val="single" w:sz="4" w:space="0" w:color="auto"/>
              <w:right w:val="single" w:sz="4" w:space="0" w:color="auto"/>
            </w:tcBorders>
            <w:hideMark/>
          </w:tcPr>
          <w:p w14:paraId="10CE16AB"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4D486215"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6CE78FCD"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0A8492F4" w14:textId="77777777" w:rsidR="003663AF" w:rsidRPr="00B7760C" w:rsidRDefault="003663AF" w:rsidP="00E804B7">
            <w:pPr>
              <w:pStyle w:val="Normal6"/>
              <w:jc w:val="right"/>
              <w:rPr>
                <w:b/>
                <w:bCs/>
                <w:i/>
                <w:iCs/>
                <w:sz w:val="20"/>
              </w:rPr>
            </w:pPr>
            <w:r w:rsidRPr="00B7760C">
              <w:rPr>
                <w:b/>
                <w:bCs/>
                <w:i/>
                <w:iCs/>
                <w:sz w:val="20"/>
              </w:rPr>
              <w:t>X</w:t>
            </w:r>
          </w:p>
        </w:tc>
        <w:tc>
          <w:tcPr>
            <w:tcW w:w="1611" w:type="dxa"/>
            <w:gridSpan w:val="2"/>
            <w:tcBorders>
              <w:top w:val="single" w:sz="4" w:space="0" w:color="auto"/>
              <w:left w:val="single" w:sz="4" w:space="0" w:color="auto"/>
              <w:bottom w:val="single" w:sz="4" w:space="0" w:color="auto"/>
              <w:right w:val="single" w:sz="4" w:space="0" w:color="auto"/>
            </w:tcBorders>
            <w:hideMark/>
          </w:tcPr>
          <w:p w14:paraId="1B064846" w14:textId="77777777" w:rsidR="003663AF" w:rsidRPr="00B7760C" w:rsidRDefault="003663AF" w:rsidP="00E804B7">
            <w:pPr>
              <w:pStyle w:val="Normal6"/>
              <w:jc w:val="right"/>
              <w:rPr>
                <w:b/>
                <w:bCs/>
                <w:i/>
                <w:iCs/>
                <w:sz w:val="20"/>
              </w:rPr>
            </w:pPr>
            <w:r w:rsidRPr="00B7760C">
              <w:rPr>
                <w:b/>
                <w:bCs/>
                <w:i/>
                <w:iCs/>
                <w:sz w:val="20"/>
              </w:rPr>
              <w:t>X</w:t>
            </w:r>
          </w:p>
        </w:tc>
        <w:tc>
          <w:tcPr>
            <w:tcW w:w="1611" w:type="dxa"/>
            <w:gridSpan w:val="2"/>
            <w:tcBorders>
              <w:top w:val="single" w:sz="4" w:space="0" w:color="auto"/>
              <w:left w:val="single" w:sz="4" w:space="0" w:color="auto"/>
              <w:bottom w:val="single" w:sz="4" w:space="0" w:color="auto"/>
              <w:right w:val="single" w:sz="4" w:space="0" w:color="auto"/>
            </w:tcBorders>
            <w:hideMark/>
          </w:tcPr>
          <w:p w14:paraId="5B0F70A8"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7A61C4F4"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503B2F2E" w14:textId="77777777" w:rsidTr="00E804B7">
        <w:trPr>
          <w:cantSplit/>
          <w:trHeight w:val="255"/>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14:paraId="57A6888F" w14:textId="77777777" w:rsidR="003663AF" w:rsidRPr="00B7760C" w:rsidRDefault="003663AF" w:rsidP="00E804B7">
            <w:pPr>
              <w:pStyle w:val="Normal6"/>
              <w:rPr>
                <w:sz w:val="20"/>
              </w:rPr>
            </w:pPr>
            <w:r w:rsidRPr="00B7760C">
              <w:rPr>
                <w:sz w:val="20"/>
              </w:rPr>
              <w:t>Finska</w:t>
            </w:r>
          </w:p>
        </w:tc>
        <w:tc>
          <w:tcPr>
            <w:tcW w:w="1612" w:type="dxa"/>
            <w:tcBorders>
              <w:top w:val="single" w:sz="4" w:space="0" w:color="auto"/>
              <w:left w:val="single" w:sz="4" w:space="0" w:color="auto"/>
              <w:bottom w:val="single" w:sz="4" w:space="0" w:color="auto"/>
              <w:right w:val="single" w:sz="4" w:space="0" w:color="auto"/>
            </w:tcBorders>
            <w:hideMark/>
          </w:tcPr>
          <w:p w14:paraId="2AD1ABD2" w14:textId="77777777" w:rsidR="003663AF" w:rsidRPr="00B7760C" w:rsidRDefault="003663AF" w:rsidP="00E804B7">
            <w:pPr>
              <w:pStyle w:val="Normal6"/>
              <w:jc w:val="right"/>
              <w:rPr>
                <w:b/>
                <w:bCs/>
                <w:i/>
                <w:iCs/>
                <w:sz w:val="20"/>
              </w:rPr>
            </w:pPr>
            <w:r w:rsidRPr="00B7760C">
              <w:rPr>
                <w:b/>
                <w:bCs/>
                <w:i/>
                <w:iCs/>
                <w:sz w:val="20"/>
              </w:rPr>
              <w:t>X</w:t>
            </w:r>
          </w:p>
        </w:tc>
        <w:tc>
          <w:tcPr>
            <w:tcW w:w="1612" w:type="dxa"/>
            <w:tcBorders>
              <w:top w:val="single" w:sz="4" w:space="0" w:color="auto"/>
              <w:left w:val="single" w:sz="4" w:space="0" w:color="auto"/>
              <w:bottom w:val="single" w:sz="4" w:space="0" w:color="auto"/>
              <w:right w:val="single" w:sz="4" w:space="0" w:color="auto"/>
            </w:tcBorders>
            <w:hideMark/>
          </w:tcPr>
          <w:p w14:paraId="48B950E9"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0861C846"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2A4CDFCD"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6232820E" w14:textId="77777777" w:rsidR="003663AF" w:rsidRPr="00B7760C" w:rsidRDefault="003663AF" w:rsidP="00E804B7">
            <w:pPr>
              <w:pStyle w:val="Normal6"/>
              <w:jc w:val="right"/>
              <w:rPr>
                <w:b/>
                <w:bCs/>
                <w:i/>
                <w:iCs/>
                <w:sz w:val="20"/>
              </w:rPr>
            </w:pPr>
            <w:r w:rsidRPr="00B7760C">
              <w:rPr>
                <w:b/>
                <w:bCs/>
                <w:i/>
                <w:iCs/>
                <w:sz w:val="20"/>
              </w:rPr>
              <w:t>X</w:t>
            </w:r>
          </w:p>
        </w:tc>
        <w:tc>
          <w:tcPr>
            <w:tcW w:w="1611" w:type="dxa"/>
            <w:gridSpan w:val="2"/>
            <w:tcBorders>
              <w:top w:val="single" w:sz="4" w:space="0" w:color="auto"/>
              <w:left w:val="single" w:sz="4" w:space="0" w:color="auto"/>
              <w:bottom w:val="single" w:sz="4" w:space="0" w:color="auto"/>
              <w:right w:val="single" w:sz="4" w:space="0" w:color="auto"/>
            </w:tcBorders>
            <w:hideMark/>
          </w:tcPr>
          <w:p w14:paraId="46B430F9" w14:textId="77777777" w:rsidR="003663AF" w:rsidRPr="00B7760C" w:rsidRDefault="003663AF" w:rsidP="00E804B7">
            <w:pPr>
              <w:pStyle w:val="Normal6"/>
              <w:jc w:val="right"/>
              <w:rPr>
                <w:b/>
                <w:bCs/>
                <w:i/>
                <w:iCs/>
                <w:sz w:val="20"/>
              </w:rPr>
            </w:pPr>
            <w:r w:rsidRPr="00B7760C">
              <w:rPr>
                <w:b/>
                <w:bCs/>
                <w:i/>
                <w:iCs/>
                <w:sz w:val="20"/>
              </w:rPr>
              <w:t>X</w:t>
            </w:r>
          </w:p>
        </w:tc>
        <w:tc>
          <w:tcPr>
            <w:tcW w:w="1611" w:type="dxa"/>
            <w:gridSpan w:val="2"/>
            <w:tcBorders>
              <w:top w:val="single" w:sz="4" w:space="0" w:color="auto"/>
              <w:left w:val="single" w:sz="4" w:space="0" w:color="auto"/>
              <w:bottom w:val="single" w:sz="4" w:space="0" w:color="auto"/>
              <w:right w:val="single" w:sz="4" w:space="0" w:color="auto"/>
            </w:tcBorders>
            <w:hideMark/>
          </w:tcPr>
          <w:p w14:paraId="09C78ACA"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4724220D"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54ADB6A1" w14:textId="77777777" w:rsidTr="00E804B7">
        <w:trPr>
          <w:cantSplit/>
          <w:trHeight w:val="255"/>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14:paraId="098DC51E" w14:textId="77777777" w:rsidR="003663AF" w:rsidRPr="00B7760C" w:rsidRDefault="003663AF" w:rsidP="00E804B7">
            <w:pPr>
              <w:pStyle w:val="Normal6"/>
              <w:rPr>
                <w:sz w:val="20"/>
              </w:rPr>
            </w:pPr>
            <w:r w:rsidRPr="00B7760C">
              <w:rPr>
                <w:sz w:val="20"/>
              </w:rPr>
              <w:t>Švedska</w:t>
            </w:r>
          </w:p>
        </w:tc>
        <w:tc>
          <w:tcPr>
            <w:tcW w:w="1612" w:type="dxa"/>
            <w:tcBorders>
              <w:top w:val="single" w:sz="4" w:space="0" w:color="auto"/>
              <w:left w:val="single" w:sz="4" w:space="0" w:color="auto"/>
              <w:bottom w:val="single" w:sz="4" w:space="0" w:color="auto"/>
              <w:right w:val="single" w:sz="4" w:space="0" w:color="auto"/>
            </w:tcBorders>
            <w:hideMark/>
          </w:tcPr>
          <w:p w14:paraId="1ECFB55D" w14:textId="77777777" w:rsidR="003663AF" w:rsidRPr="00B7760C" w:rsidRDefault="003663AF" w:rsidP="00E804B7">
            <w:pPr>
              <w:pStyle w:val="Normal6"/>
              <w:jc w:val="right"/>
              <w:rPr>
                <w:b/>
                <w:bCs/>
                <w:i/>
                <w:iCs/>
                <w:sz w:val="20"/>
              </w:rPr>
            </w:pPr>
            <w:r w:rsidRPr="00B7760C">
              <w:rPr>
                <w:b/>
                <w:bCs/>
                <w:i/>
                <w:iCs/>
                <w:sz w:val="20"/>
              </w:rPr>
              <w:t>X</w:t>
            </w:r>
          </w:p>
        </w:tc>
        <w:tc>
          <w:tcPr>
            <w:tcW w:w="1612" w:type="dxa"/>
            <w:tcBorders>
              <w:top w:val="single" w:sz="4" w:space="0" w:color="auto"/>
              <w:left w:val="single" w:sz="4" w:space="0" w:color="auto"/>
              <w:bottom w:val="single" w:sz="4" w:space="0" w:color="auto"/>
              <w:right w:val="single" w:sz="4" w:space="0" w:color="auto"/>
            </w:tcBorders>
            <w:hideMark/>
          </w:tcPr>
          <w:p w14:paraId="216D83BC"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016379B3"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6040768E"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24111E13" w14:textId="77777777" w:rsidR="003663AF" w:rsidRPr="00B7760C" w:rsidRDefault="003663AF" w:rsidP="00E804B7">
            <w:pPr>
              <w:pStyle w:val="Normal6"/>
              <w:jc w:val="right"/>
              <w:rPr>
                <w:b/>
                <w:bCs/>
                <w:i/>
                <w:iCs/>
                <w:sz w:val="20"/>
              </w:rPr>
            </w:pPr>
            <w:r w:rsidRPr="00B7760C">
              <w:rPr>
                <w:b/>
                <w:bCs/>
                <w:i/>
                <w:iCs/>
                <w:sz w:val="20"/>
              </w:rPr>
              <w:t>X</w:t>
            </w:r>
          </w:p>
        </w:tc>
        <w:tc>
          <w:tcPr>
            <w:tcW w:w="1611" w:type="dxa"/>
            <w:gridSpan w:val="2"/>
            <w:tcBorders>
              <w:top w:val="single" w:sz="4" w:space="0" w:color="auto"/>
              <w:left w:val="single" w:sz="4" w:space="0" w:color="auto"/>
              <w:bottom w:val="single" w:sz="4" w:space="0" w:color="auto"/>
              <w:right w:val="single" w:sz="4" w:space="0" w:color="auto"/>
            </w:tcBorders>
            <w:hideMark/>
          </w:tcPr>
          <w:p w14:paraId="3FBB80D7" w14:textId="77777777" w:rsidR="003663AF" w:rsidRPr="00B7760C" w:rsidRDefault="003663AF" w:rsidP="00E804B7">
            <w:pPr>
              <w:pStyle w:val="Normal6"/>
              <w:jc w:val="right"/>
              <w:rPr>
                <w:b/>
                <w:bCs/>
                <w:i/>
                <w:iCs/>
                <w:sz w:val="20"/>
              </w:rPr>
            </w:pPr>
            <w:r w:rsidRPr="00B7760C">
              <w:rPr>
                <w:b/>
                <w:bCs/>
                <w:i/>
                <w:iCs/>
                <w:sz w:val="20"/>
              </w:rPr>
              <w:t>X</w:t>
            </w:r>
          </w:p>
        </w:tc>
        <w:tc>
          <w:tcPr>
            <w:tcW w:w="1611" w:type="dxa"/>
            <w:gridSpan w:val="2"/>
            <w:tcBorders>
              <w:top w:val="single" w:sz="4" w:space="0" w:color="auto"/>
              <w:left w:val="single" w:sz="4" w:space="0" w:color="auto"/>
              <w:bottom w:val="single" w:sz="4" w:space="0" w:color="auto"/>
              <w:right w:val="single" w:sz="4" w:space="0" w:color="auto"/>
            </w:tcBorders>
            <w:hideMark/>
          </w:tcPr>
          <w:p w14:paraId="174A8BF4"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21E7CCEF"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37AA3D8F" w14:textId="77777777" w:rsidTr="00E804B7">
        <w:trPr>
          <w:cantSplit/>
          <w:trHeight w:val="255"/>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14:paraId="2744151B" w14:textId="77777777" w:rsidR="003663AF" w:rsidRPr="00B7760C" w:rsidRDefault="003663AF" w:rsidP="00E804B7">
            <w:pPr>
              <w:pStyle w:val="Normal6"/>
              <w:rPr>
                <w:sz w:val="20"/>
              </w:rPr>
            </w:pPr>
            <w:r w:rsidRPr="00B7760C">
              <w:rPr>
                <w:sz w:val="20"/>
              </w:rPr>
              <w:t>EU-27 skupaj</w:t>
            </w:r>
          </w:p>
        </w:tc>
        <w:tc>
          <w:tcPr>
            <w:tcW w:w="1612" w:type="dxa"/>
            <w:tcBorders>
              <w:top w:val="single" w:sz="4" w:space="0" w:color="auto"/>
              <w:left w:val="single" w:sz="4" w:space="0" w:color="auto"/>
              <w:bottom w:val="single" w:sz="4" w:space="0" w:color="auto"/>
              <w:right w:val="single" w:sz="4" w:space="0" w:color="auto"/>
            </w:tcBorders>
            <w:hideMark/>
          </w:tcPr>
          <w:p w14:paraId="79EA85BF" w14:textId="77777777" w:rsidR="003663AF" w:rsidRPr="00B7760C" w:rsidRDefault="003663AF" w:rsidP="00E804B7">
            <w:pPr>
              <w:pStyle w:val="Normal6"/>
              <w:jc w:val="right"/>
              <w:rPr>
                <w:b/>
                <w:bCs/>
                <w:i/>
                <w:iCs/>
                <w:sz w:val="20"/>
              </w:rPr>
            </w:pPr>
            <w:r w:rsidRPr="00B7760C">
              <w:rPr>
                <w:b/>
                <w:bCs/>
                <w:i/>
                <w:iCs/>
                <w:sz w:val="20"/>
              </w:rPr>
              <w:t>X</w:t>
            </w:r>
          </w:p>
        </w:tc>
        <w:tc>
          <w:tcPr>
            <w:tcW w:w="1612" w:type="dxa"/>
            <w:tcBorders>
              <w:top w:val="single" w:sz="4" w:space="0" w:color="auto"/>
              <w:left w:val="single" w:sz="4" w:space="0" w:color="auto"/>
              <w:bottom w:val="single" w:sz="4" w:space="0" w:color="auto"/>
              <w:right w:val="single" w:sz="4" w:space="0" w:color="auto"/>
            </w:tcBorders>
            <w:hideMark/>
          </w:tcPr>
          <w:p w14:paraId="3519E188"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3CEDDCAC"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0C378A27"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49BBC193" w14:textId="77777777" w:rsidR="003663AF" w:rsidRPr="00B7760C" w:rsidRDefault="003663AF" w:rsidP="00E804B7">
            <w:pPr>
              <w:pStyle w:val="Normal6"/>
              <w:jc w:val="right"/>
              <w:rPr>
                <w:b/>
                <w:bCs/>
                <w:i/>
                <w:iCs/>
                <w:sz w:val="20"/>
              </w:rPr>
            </w:pPr>
            <w:r w:rsidRPr="00B7760C">
              <w:rPr>
                <w:b/>
                <w:bCs/>
                <w:i/>
                <w:iCs/>
                <w:sz w:val="20"/>
              </w:rPr>
              <w:t>X</w:t>
            </w:r>
          </w:p>
        </w:tc>
        <w:tc>
          <w:tcPr>
            <w:tcW w:w="1611" w:type="dxa"/>
            <w:gridSpan w:val="2"/>
            <w:tcBorders>
              <w:top w:val="single" w:sz="4" w:space="0" w:color="auto"/>
              <w:left w:val="single" w:sz="4" w:space="0" w:color="auto"/>
              <w:bottom w:val="single" w:sz="4" w:space="0" w:color="auto"/>
              <w:right w:val="single" w:sz="4" w:space="0" w:color="auto"/>
            </w:tcBorders>
            <w:hideMark/>
          </w:tcPr>
          <w:p w14:paraId="42FE0236" w14:textId="77777777" w:rsidR="003663AF" w:rsidRPr="00B7760C" w:rsidRDefault="003663AF" w:rsidP="00E804B7">
            <w:pPr>
              <w:pStyle w:val="Normal6"/>
              <w:jc w:val="right"/>
              <w:rPr>
                <w:b/>
                <w:bCs/>
                <w:i/>
                <w:iCs/>
                <w:sz w:val="20"/>
              </w:rPr>
            </w:pPr>
            <w:r w:rsidRPr="00B7760C">
              <w:rPr>
                <w:b/>
                <w:bCs/>
                <w:i/>
                <w:iCs/>
                <w:sz w:val="20"/>
              </w:rPr>
              <w:t>X</w:t>
            </w:r>
          </w:p>
        </w:tc>
        <w:tc>
          <w:tcPr>
            <w:tcW w:w="1611" w:type="dxa"/>
            <w:gridSpan w:val="2"/>
            <w:tcBorders>
              <w:top w:val="single" w:sz="4" w:space="0" w:color="auto"/>
              <w:left w:val="single" w:sz="4" w:space="0" w:color="auto"/>
              <w:bottom w:val="single" w:sz="4" w:space="0" w:color="auto"/>
              <w:right w:val="single" w:sz="4" w:space="0" w:color="auto"/>
            </w:tcBorders>
            <w:hideMark/>
          </w:tcPr>
          <w:p w14:paraId="25A7BB58"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2ECADDC3"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1F60CB0C" w14:textId="77777777" w:rsidTr="00E804B7">
        <w:trPr>
          <w:cantSplit/>
          <w:trHeight w:val="255"/>
          <w:jc w:val="center"/>
        </w:trPr>
        <w:tc>
          <w:tcPr>
            <w:tcW w:w="1612" w:type="dxa"/>
            <w:tcBorders>
              <w:top w:val="single" w:sz="4" w:space="0" w:color="auto"/>
              <w:left w:val="nil"/>
              <w:bottom w:val="single" w:sz="4" w:space="0" w:color="auto"/>
              <w:right w:val="nil"/>
            </w:tcBorders>
            <w:vAlign w:val="center"/>
          </w:tcPr>
          <w:p w14:paraId="190867E0" w14:textId="77777777" w:rsidR="003663AF" w:rsidRPr="00B7760C" w:rsidRDefault="003663AF" w:rsidP="00E804B7">
            <w:pPr>
              <w:pStyle w:val="Normal6"/>
              <w:rPr>
                <w:sz w:val="20"/>
              </w:rPr>
            </w:pPr>
          </w:p>
        </w:tc>
        <w:tc>
          <w:tcPr>
            <w:tcW w:w="1612" w:type="dxa"/>
            <w:tcBorders>
              <w:top w:val="single" w:sz="4" w:space="0" w:color="auto"/>
              <w:left w:val="nil"/>
              <w:bottom w:val="single" w:sz="4" w:space="0" w:color="auto"/>
              <w:right w:val="nil"/>
            </w:tcBorders>
          </w:tcPr>
          <w:p w14:paraId="7285B671" w14:textId="77777777" w:rsidR="003663AF" w:rsidRPr="00B7760C" w:rsidRDefault="003663AF" w:rsidP="00E804B7">
            <w:pPr>
              <w:pStyle w:val="Normal6"/>
              <w:jc w:val="right"/>
              <w:rPr>
                <w:b/>
                <w:bCs/>
                <w:i/>
                <w:iCs/>
                <w:sz w:val="20"/>
              </w:rPr>
            </w:pPr>
          </w:p>
        </w:tc>
        <w:tc>
          <w:tcPr>
            <w:tcW w:w="1612" w:type="dxa"/>
            <w:tcBorders>
              <w:top w:val="single" w:sz="4" w:space="0" w:color="auto"/>
              <w:left w:val="nil"/>
              <w:bottom w:val="single" w:sz="4" w:space="0" w:color="auto"/>
              <w:right w:val="nil"/>
            </w:tcBorders>
          </w:tcPr>
          <w:p w14:paraId="0EB5047D" w14:textId="77777777" w:rsidR="003663AF" w:rsidRPr="00B7760C" w:rsidRDefault="003663AF" w:rsidP="00E804B7">
            <w:pPr>
              <w:pStyle w:val="Normal6"/>
              <w:jc w:val="right"/>
              <w:rPr>
                <w:b/>
                <w:bCs/>
                <w:i/>
                <w:iCs/>
                <w:sz w:val="20"/>
              </w:rPr>
            </w:pPr>
          </w:p>
        </w:tc>
        <w:tc>
          <w:tcPr>
            <w:tcW w:w="1611" w:type="dxa"/>
            <w:tcBorders>
              <w:top w:val="single" w:sz="4" w:space="0" w:color="auto"/>
              <w:left w:val="nil"/>
              <w:bottom w:val="single" w:sz="4" w:space="0" w:color="auto"/>
              <w:right w:val="nil"/>
            </w:tcBorders>
          </w:tcPr>
          <w:p w14:paraId="5179F791" w14:textId="77777777" w:rsidR="003663AF" w:rsidRPr="00B7760C" w:rsidRDefault="003663AF" w:rsidP="00E804B7">
            <w:pPr>
              <w:pStyle w:val="Normal6"/>
              <w:jc w:val="right"/>
              <w:rPr>
                <w:b/>
                <w:bCs/>
                <w:i/>
                <w:iCs/>
                <w:sz w:val="20"/>
              </w:rPr>
            </w:pPr>
          </w:p>
        </w:tc>
        <w:tc>
          <w:tcPr>
            <w:tcW w:w="1611" w:type="dxa"/>
            <w:tcBorders>
              <w:top w:val="single" w:sz="4" w:space="0" w:color="auto"/>
              <w:left w:val="nil"/>
              <w:bottom w:val="single" w:sz="4" w:space="0" w:color="auto"/>
              <w:right w:val="nil"/>
            </w:tcBorders>
          </w:tcPr>
          <w:p w14:paraId="4F1B4C71" w14:textId="77777777" w:rsidR="003663AF" w:rsidRPr="00B7760C" w:rsidRDefault="003663AF" w:rsidP="00E804B7">
            <w:pPr>
              <w:pStyle w:val="Normal6"/>
              <w:jc w:val="right"/>
              <w:rPr>
                <w:b/>
                <w:bCs/>
                <w:i/>
                <w:iCs/>
                <w:sz w:val="20"/>
              </w:rPr>
            </w:pPr>
          </w:p>
        </w:tc>
        <w:tc>
          <w:tcPr>
            <w:tcW w:w="1611" w:type="dxa"/>
            <w:tcBorders>
              <w:top w:val="single" w:sz="4" w:space="0" w:color="auto"/>
              <w:left w:val="nil"/>
              <w:bottom w:val="single" w:sz="4" w:space="0" w:color="auto"/>
              <w:right w:val="nil"/>
            </w:tcBorders>
          </w:tcPr>
          <w:p w14:paraId="655071ED" w14:textId="77777777" w:rsidR="003663AF" w:rsidRPr="00B7760C" w:rsidRDefault="003663AF" w:rsidP="00E804B7">
            <w:pPr>
              <w:pStyle w:val="Normal6"/>
              <w:jc w:val="right"/>
              <w:rPr>
                <w:b/>
                <w:bCs/>
                <w:i/>
                <w:iCs/>
                <w:sz w:val="20"/>
              </w:rPr>
            </w:pPr>
          </w:p>
        </w:tc>
        <w:tc>
          <w:tcPr>
            <w:tcW w:w="1611" w:type="dxa"/>
            <w:gridSpan w:val="2"/>
            <w:tcBorders>
              <w:top w:val="single" w:sz="4" w:space="0" w:color="auto"/>
              <w:left w:val="nil"/>
              <w:bottom w:val="single" w:sz="4" w:space="0" w:color="auto"/>
              <w:right w:val="nil"/>
            </w:tcBorders>
          </w:tcPr>
          <w:p w14:paraId="5A2F79FF" w14:textId="77777777" w:rsidR="003663AF" w:rsidRPr="00B7760C" w:rsidRDefault="003663AF" w:rsidP="00E804B7">
            <w:pPr>
              <w:pStyle w:val="Normal6"/>
              <w:jc w:val="right"/>
              <w:rPr>
                <w:b/>
                <w:bCs/>
                <w:i/>
                <w:iCs/>
                <w:sz w:val="20"/>
              </w:rPr>
            </w:pPr>
          </w:p>
        </w:tc>
        <w:tc>
          <w:tcPr>
            <w:tcW w:w="1611" w:type="dxa"/>
            <w:gridSpan w:val="2"/>
            <w:tcBorders>
              <w:top w:val="single" w:sz="4" w:space="0" w:color="auto"/>
              <w:left w:val="nil"/>
              <w:bottom w:val="single" w:sz="4" w:space="0" w:color="auto"/>
              <w:right w:val="nil"/>
            </w:tcBorders>
          </w:tcPr>
          <w:p w14:paraId="6A6810DD" w14:textId="77777777" w:rsidR="003663AF" w:rsidRPr="00B7760C" w:rsidRDefault="003663AF" w:rsidP="00E804B7">
            <w:pPr>
              <w:pStyle w:val="Normal6"/>
              <w:jc w:val="right"/>
              <w:rPr>
                <w:b/>
                <w:bCs/>
                <w:i/>
                <w:iCs/>
                <w:sz w:val="20"/>
              </w:rPr>
            </w:pPr>
          </w:p>
        </w:tc>
        <w:tc>
          <w:tcPr>
            <w:tcW w:w="1611" w:type="dxa"/>
            <w:tcBorders>
              <w:top w:val="single" w:sz="4" w:space="0" w:color="auto"/>
              <w:left w:val="nil"/>
              <w:bottom w:val="single" w:sz="4" w:space="0" w:color="auto"/>
              <w:right w:val="nil"/>
            </w:tcBorders>
          </w:tcPr>
          <w:p w14:paraId="355BD756" w14:textId="77777777" w:rsidR="003663AF" w:rsidRPr="00B7760C" w:rsidRDefault="003663AF" w:rsidP="00E804B7">
            <w:pPr>
              <w:pStyle w:val="Normal6"/>
              <w:jc w:val="right"/>
              <w:rPr>
                <w:b/>
                <w:bCs/>
                <w:i/>
                <w:iCs/>
                <w:sz w:val="20"/>
              </w:rPr>
            </w:pPr>
          </w:p>
        </w:tc>
      </w:tr>
      <w:tr w:rsidR="003663AF" w:rsidRPr="00B7760C" w14:paraId="1B6F9E5D" w14:textId="77777777" w:rsidTr="00E804B7">
        <w:trPr>
          <w:cantSplit/>
          <w:trHeight w:val="255"/>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14:paraId="5F5A45CD" w14:textId="77777777" w:rsidR="003663AF" w:rsidRPr="00B7760C" w:rsidRDefault="003663AF" w:rsidP="00E804B7">
            <w:pPr>
              <w:pStyle w:val="Normal6"/>
              <w:rPr>
                <w:sz w:val="20"/>
              </w:rPr>
            </w:pPr>
            <w:r w:rsidRPr="00B7760C">
              <w:rPr>
                <w:sz w:val="20"/>
              </w:rPr>
              <w:t>Tehnična pomoč (0,25 %)</w:t>
            </w:r>
          </w:p>
        </w:tc>
        <w:tc>
          <w:tcPr>
            <w:tcW w:w="1612" w:type="dxa"/>
            <w:tcBorders>
              <w:top w:val="single" w:sz="4" w:space="0" w:color="auto"/>
              <w:left w:val="single" w:sz="4" w:space="0" w:color="auto"/>
              <w:bottom w:val="single" w:sz="4" w:space="0" w:color="auto"/>
              <w:right w:val="single" w:sz="4" w:space="0" w:color="auto"/>
            </w:tcBorders>
            <w:hideMark/>
          </w:tcPr>
          <w:p w14:paraId="2534BD64" w14:textId="77777777" w:rsidR="003663AF" w:rsidRPr="00B7760C" w:rsidRDefault="003663AF" w:rsidP="00E804B7">
            <w:pPr>
              <w:pStyle w:val="Normal6"/>
              <w:jc w:val="right"/>
              <w:rPr>
                <w:b/>
                <w:bCs/>
                <w:i/>
                <w:iCs/>
                <w:sz w:val="20"/>
              </w:rPr>
            </w:pPr>
            <w:r w:rsidRPr="00B7760C">
              <w:rPr>
                <w:b/>
                <w:bCs/>
                <w:i/>
                <w:iCs/>
                <w:sz w:val="20"/>
              </w:rPr>
              <w:t>X</w:t>
            </w:r>
          </w:p>
        </w:tc>
        <w:tc>
          <w:tcPr>
            <w:tcW w:w="1612" w:type="dxa"/>
            <w:tcBorders>
              <w:top w:val="single" w:sz="4" w:space="0" w:color="auto"/>
              <w:left w:val="single" w:sz="4" w:space="0" w:color="auto"/>
              <w:bottom w:val="single" w:sz="4" w:space="0" w:color="auto"/>
              <w:right w:val="single" w:sz="4" w:space="0" w:color="auto"/>
            </w:tcBorders>
            <w:hideMark/>
          </w:tcPr>
          <w:p w14:paraId="735258BA"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3922C8A3"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0677F2CE"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42AA774B" w14:textId="77777777" w:rsidR="003663AF" w:rsidRPr="00B7760C" w:rsidRDefault="003663AF" w:rsidP="00E804B7">
            <w:pPr>
              <w:pStyle w:val="Normal6"/>
              <w:jc w:val="right"/>
              <w:rPr>
                <w:b/>
                <w:bCs/>
                <w:i/>
                <w:iCs/>
                <w:sz w:val="20"/>
              </w:rPr>
            </w:pPr>
            <w:r w:rsidRPr="00B7760C">
              <w:rPr>
                <w:b/>
                <w:bCs/>
                <w:i/>
                <w:iCs/>
                <w:sz w:val="20"/>
              </w:rPr>
              <w:t>X</w:t>
            </w:r>
          </w:p>
        </w:tc>
        <w:tc>
          <w:tcPr>
            <w:tcW w:w="1611" w:type="dxa"/>
            <w:gridSpan w:val="2"/>
            <w:tcBorders>
              <w:top w:val="single" w:sz="4" w:space="0" w:color="auto"/>
              <w:left w:val="single" w:sz="4" w:space="0" w:color="auto"/>
              <w:bottom w:val="single" w:sz="4" w:space="0" w:color="auto"/>
              <w:right w:val="single" w:sz="4" w:space="0" w:color="auto"/>
            </w:tcBorders>
            <w:hideMark/>
          </w:tcPr>
          <w:p w14:paraId="20AF4367" w14:textId="77777777" w:rsidR="003663AF" w:rsidRPr="00B7760C" w:rsidRDefault="003663AF" w:rsidP="00E804B7">
            <w:pPr>
              <w:pStyle w:val="Normal6"/>
              <w:jc w:val="right"/>
              <w:rPr>
                <w:b/>
                <w:bCs/>
                <w:i/>
                <w:iCs/>
                <w:sz w:val="20"/>
              </w:rPr>
            </w:pPr>
            <w:r w:rsidRPr="00B7760C">
              <w:rPr>
                <w:b/>
                <w:bCs/>
                <w:i/>
                <w:iCs/>
                <w:sz w:val="20"/>
              </w:rPr>
              <w:t>X</w:t>
            </w:r>
          </w:p>
        </w:tc>
        <w:tc>
          <w:tcPr>
            <w:tcW w:w="1611" w:type="dxa"/>
            <w:gridSpan w:val="2"/>
            <w:tcBorders>
              <w:top w:val="single" w:sz="4" w:space="0" w:color="auto"/>
              <w:left w:val="single" w:sz="4" w:space="0" w:color="auto"/>
              <w:bottom w:val="single" w:sz="4" w:space="0" w:color="auto"/>
              <w:right w:val="single" w:sz="4" w:space="0" w:color="auto"/>
            </w:tcBorders>
            <w:hideMark/>
          </w:tcPr>
          <w:p w14:paraId="7EB98102"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2D972B94"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798E629A" w14:textId="77777777" w:rsidTr="00E804B7">
        <w:trPr>
          <w:cantSplit/>
          <w:trHeight w:val="255"/>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14:paraId="241B2835" w14:textId="77777777" w:rsidR="003663AF" w:rsidRPr="00B7760C" w:rsidRDefault="003663AF" w:rsidP="00E804B7">
            <w:pPr>
              <w:pStyle w:val="Normal6"/>
              <w:rPr>
                <w:sz w:val="20"/>
              </w:rPr>
            </w:pPr>
            <w:r w:rsidRPr="00B7760C">
              <w:rPr>
                <w:sz w:val="20"/>
              </w:rPr>
              <w:t>Skupaj</w:t>
            </w:r>
          </w:p>
        </w:tc>
        <w:tc>
          <w:tcPr>
            <w:tcW w:w="1612" w:type="dxa"/>
            <w:tcBorders>
              <w:top w:val="single" w:sz="4" w:space="0" w:color="auto"/>
              <w:left w:val="single" w:sz="4" w:space="0" w:color="auto"/>
              <w:bottom w:val="single" w:sz="4" w:space="0" w:color="auto"/>
              <w:right w:val="single" w:sz="4" w:space="0" w:color="auto"/>
            </w:tcBorders>
            <w:hideMark/>
          </w:tcPr>
          <w:p w14:paraId="40E24B9A" w14:textId="77777777" w:rsidR="003663AF" w:rsidRPr="00B7760C" w:rsidRDefault="003663AF" w:rsidP="00E804B7">
            <w:pPr>
              <w:pStyle w:val="Normal6"/>
              <w:jc w:val="right"/>
              <w:rPr>
                <w:b/>
                <w:bCs/>
                <w:i/>
                <w:iCs/>
                <w:sz w:val="20"/>
              </w:rPr>
            </w:pPr>
            <w:r w:rsidRPr="00B7760C">
              <w:rPr>
                <w:b/>
                <w:bCs/>
                <w:i/>
                <w:iCs/>
                <w:sz w:val="20"/>
              </w:rPr>
              <w:t>X</w:t>
            </w:r>
          </w:p>
        </w:tc>
        <w:tc>
          <w:tcPr>
            <w:tcW w:w="1612" w:type="dxa"/>
            <w:tcBorders>
              <w:top w:val="single" w:sz="4" w:space="0" w:color="auto"/>
              <w:left w:val="single" w:sz="4" w:space="0" w:color="auto"/>
              <w:bottom w:val="single" w:sz="4" w:space="0" w:color="auto"/>
              <w:right w:val="single" w:sz="4" w:space="0" w:color="auto"/>
            </w:tcBorders>
            <w:hideMark/>
          </w:tcPr>
          <w:p w14:paraId="447B1E53"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424725A7"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3E7C46CB"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40B4AC64" w14:textId="77777777" w:rsidR="003663AF" w:rsidRPr="00B7760C" w:rsidRDefault="003663AF" w:rsidP="00E804B7">
            <w:pPr>
              <w:pStyle w:val="Normal6"/>
              <w:jc w:val="right"/>
              <w:rPr>
                <w:b/>
                <w:bCs/>
                <w:i/>
                <w:iCs/>
                <w:sz w:val="20"/>
              </w:rPr>
            </w:pPr>
            <w:r w:rsidRPr="00B7760C">
              <w:rPr>
                <w:b/>
                <w:bCs/>
                <w:i/>
                <w:iCs/>
                <w:sz w:val="20"/>
              </w:rPr>
              <w:t>X</w:t>
            </w:r>
          </w:p>
        </w:tc>
        <w:tc>
          <w:tcPr>
            <w:tcW w:w="1611" w:type="dxa"/>
            <w:gridSpan w:val="2"/>
            <w:tcBorders>
              <w:top w:val="single" w:sz="4" w:space="0" w:color="auto"/>
              <w:left w:val="single" w:sz="4" w:space="0" w:color="auto"/>
              <w:bottom w:val="single" w:sz="4" w:space="0" w:color="auto"/>
              <w:right w:val="single" w:sz="4" w:space="0" w:color="auto"/>
            </w:tcBorders>
            <w:hideMark/>
          </w:tcPr>
          <w:p w14:paraId="6E465F94" w14:textId="77777777" w:rsidR="003663AF" w:rsidRPr="00B7760C" w:rsidRDefault="003663AF" w:rsidP="00E804B7">
            <w:pPr>
              <w:pStyle w:val="Normal6"/>
              <w:jc w:val="right"/>
              <w:rPr>
                <w:b/>
                <w:bCs/>
                <w:i/>
                <w:iCs/>
                <w:sz w:val="20"/>
              </w:rPr>
            </w:pPr>
            <w:r w:rsidRPr="00B7760C">
              <w:rPr>
                <w:b/>
                <w:bCs/>
                <w:i/>
                <w:iCs/>
                <w:sz w:val="20"/>
              </w:rPr>
              <w:t>X</w:t>
            </w:r>
          </w:p>
        </w:tc>
        <w:tc>
          <w:tcPr>
            <w:tcW w:w="1611" w:type="dxa"/>
            <w:gridSpan w:val="2"/>
            <w:tcBorders>
              <w:top w:val="single" w:sz="4" w:space="0" w:color="auto"/>
              <w:left w:val="single" w:sz="4" w:space="0" w:color="auto"/>
              <w:bottom w:val="single" w:sz="4" w:space="0" w:color="auto"/>
              <w:right w:val="single" w:sz="4" w:space="0" w:color="auto"/>
            </w:tcBorders>
            <w:hideMark/>
          </w:tcPr>
          <w:p w14:paraId="1CCD9625" w14:textId="77777777" w:rsidR="003663AF" w:rsidRPr="00B7760C" w:rsidRDefault="003663AF" w:rsidP="00E804B7">
            <w:pPr>
              <w:pStyle w:val="Normal6"/>
              <w:jc w:val="right"/>
              <w:rPr>
                <w:b/>
                <w:bCs/>
                <w:i/>
                <w:iCs/>
                <w:sz w:val="20"/>
              </w:rPr>
            </w:pPr>
            <w:r w:rsidRPr="00B7760C">
              <w:rPr>
                <w:b/>
                <w:bCs/>
                <w:i/>
                <w:iCs/>
                <w:sz w:val="20"/>
              </w:rPr>
              <w:t>X</w:t>
            </w:r>
          </w:p>
        </w:tc>
        <w:tc>
          <w:tcPr>
            <w:tcW w:w="1611" w:type="dxa"/>
            <w:tcBorders>
              <w:top w:val="single" w:sz="4" w:space="0" w:color="auto"/>
              <w:left w:val="single" w:sz="4" w:space="0" w:color="auto"/>
              <w:bottom w:val="single" w:sz="4" w:space="0" w:color="auto"/>
              <w:right w:val="single" w:sz="4" w:space="0" w:color="auto"/>
            </w:tcBorders>
            <w:hideMark/>
          </w:tcPr>
          <w:p w14:paraId="1605DA24"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4432C61E" w14:textId="77777777" w:rsidTr="00E804B7">
        <w:trPr>
          <w:cantSplit/>
          <w:trHeight w:val="255"/>
          <w:jc w:val="center"/>
        </w:trPr>
        <w:tc>
          <w:tcPr>
            <w:tcW w:w="11071" w:type="dxa"/>
            <w:gridSpan w:val="7"/>
            <w:tcBorders>
              <w:top w:val="single" w:sz="4" w:space="0" w:color="auto"/>
              <w:left w:val="nil"/>
              <w:bottom w:val="single" w:sz="4" w:space="0" w:color="auto"/>
              <w:right w:val="nil"/>
            </w:tcBorders>
            <w:vAlign w:val="center"/>
          </w:tcPr>
          <w:p w14:paraId="6669B1BE" w14:textId="77777777" w:rsidR="003663AF" w:rsidRPr="00B7760C" w:rsidRDefault="003663AF" w:rsidP="00E804B7">
            <w:pPr>
              <w:pStyle w:val="Normal6"/>
              <w:rPr>
                <w:sz w:val="20"/>
              </w:rPr>
            </w:pPr>
          </w:p>
        </w:tc>
        <w:tc>
          <w:tcPr>
            <w:tcW w:w="1744" w:type="dxa"/>
            <w:gridSpan w:val="2"/>
            <w:tcBorders>
              <w:top w:val="single" w:sz="4" w:space="0" w:color="auto"/>
              <w:left w:val="nil"/>
              <w:bottom w:val="single" w:sz="4" w:space="0" w:color="auto"/>
              <w:right w:val="nil"/>
            </w:tcBorders>
          </w:tcPr>
          <w:p w14:paraId="7FD4B357" w14:textId="77777777" w:rsidR="003663AF" w:rsidRPr="00B7760C" w:rsidRDefault="003663AF" w:rsidP="00E804B7">
            <w:pPr>
              <w:pStyle w:val="Normal6"/>
              <w:rPr>
                <w:sz w:val="20"/>
              </w:rPr>
            </w:pPr>
          </w:p>
        </w:tc>
        <w:tc>
          <w:tcPr>
            <w:tcW w:w="1687" w:type="dxa"/>
            <w:gridSpan w:val="2"/>
            <w:tcBorders>
              <w:top w:val="single" w:sz="4" w:space="0" w:color="auto"/>
              <w:left w:val="nil"/>
              <w:bottom w:val="single" w:sz="4" w:space="0" w:color="auto"/>
              <w:right w:val="nil"/>
            </w:tcBorders>
          </w:tcPr>
          <w:p w14:paraId="1DF11156" w14:textId="77777777" w:rsidR="003663AF" w:rsidRPr="00B7760C" w:rsidRDefault="003663AF" w:rsidP="00E804B7">
            <w:pPr>
              <w:pStyle w:val="Normal6"/>
              <w:rPr>
                <w:sz w:val="20"/>
              </w:rPr>
            </w:pPr>
          </w:p>
        </w:tc>
      </w:tr>
    </w:tbl>
    <w:p w14:paraId="6AE73760" w14:textId="77777777" w:rsidR="003663AF" w:rsidRPr="00B7760C" w:rsidRDefault="003663AF" w:rsidP="003663AF"/>
    <w:p w14:paraId="43444CD8" w14:textId="1A7E7C7A" w:rsidR="003663AF" w:rsidRPr="00B7760C" w:rsidRDefault="00877691" w:rsidP="003663AF">
      <w:pPr>
        <w:pStyle w:val="AMNumberTabs"/>
        <w:keepNext/>
      </w:pPr>
      <w:r w:rsidRPr="00B7760C">
        <w:t>Sprememba</w:t>
      </w:r>
      <w:r w:rsidR="003663AF" w:rsidRPr="00B7760C">
        <w:tab/>
      </w:r>
      <w:r w:rsidR="003663AF" w:rsidRPr="00B7760C">
        <w:tab/>
        <w:t>723</w:t>
      </w:r>
    </w:p>
    <w:p w14:paraId="2E44D4C2" w14:textId="77777777" w:rsidR="003663AF" w:rsidRPr="00B7760C" w:rsidRDefault="003663AF" w:rsidP="003663AF">
      <w:pPr>
        <w:pStyle w:val="NormalBold12b"/>
        <w:keepNext/>
      </w:pPr>
      <w:r w:rsidRPr="00B7760C">
        <w:t>Predlog uredbe</w:t>
      </w:r>
    </w:p>
    <w:p w14:paraId="21A2EB99" w14:textId="1D2866F7" w:rsidR="003663AF" w:rsidRPr="00B7760C" w:rsidRDefault="003663AF" w:rsidP="003663AF">
      <w:pPr>
        <w:pStyle w:val="NormalBold"/>
        <w:keepNext/>
      </w:pPr>
      <w:r w:rsidRPr="00B7760C">
        <w:t>Priloga IX</w:t>
      </w:r>
      <w:r w:rsidR="00055599" w:rsidRPr="00B7760C">
        <w:t xml:space="preserve"> </w:t>
      </w:r>
      <w:r w:rsidRPr="00B7760C">
        <w:t>a – preglednica</w:t>
      </w:r>
    </w:p>
    <w:p w14:paraId="02350D40" w14:textId="77777777" w:rsidR="003663AF" w:rsidRPr="00B7760C" w:rsidRDefault="003663AF" w:rsidP="003663AF"/>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3663AF" w:rsidRPr="00B7760C" w14:paraId="59167869" w14:textId="77777777" w:rsidTr="00E804B7">
        <w:tc>
          <w:tcPr>
            <w:tcW w:w="14502" w:type="dxa"/>
            <w:vAlign w:val="center"/>
            <w:hideMark/>
          </w:tcPr>
          <w:p w14:paraId="4849FA5C" w14:textId="77777777" w:rsidR="003663AF" w:rsidRPr="00B7760C" w:rsidRDefault="003663AF" w:rsidP="00E804B7">
            <w:pPr>
              <w:pStyle w:val="ColumnHeading"/>
            </w:pPr>
            <w:r w:rsidRPr="00B7760C">
              <w:t>Besedilo, ki ga predlaga Komisija</w:t>
            </w:r>
          </w:p>
        </w:tc>
      </w:tr>
      <w:tr w:rsidR="003663AF" w:rsidRPr="00B7760C" w14:paraId="4405ED2F" w14:textId="77777777" w:rsidTr="00E804B7">
        <w:tc>
          <w:tcPr>
            <w:tcW w:w="14502" w:type="dxa"/>
            <w:hideMark/>
          </w:tcPr>
          <w:p w14:paraId="4E162E95" w14:textId="77777777" w:rsidR="003663AF" w:rsidRPr="00B7760C" w:rsidRDefault="003663AF" w:rsidP="00E804B7">
            <w:pPr>
              <w:pStyle w:val="ColumnHeading"/>
              <w:jc w:val="left"/>
            </w:pPr>
            <w:r w:rsidRPr="00B7760C">
              <w:rPr>
                <w:sz w:val="20"/>
              </w:rPr>
              <w:t>RAZČLENITEV PODPORE UNIJE ZA VRSTE INTERVENCIJ ZA RAZVOJ PODEŽELJA (od leta 2021 do leta 2027) IZ ČLENA 83(3)</w:t>
            </w:r>
          </w:p>
        </w:tc>
      </w:tr>
    </w:tbl>
    <w:p w14:paraId="326902DC" w14:textId="77777777" w:rsidR="003663AF" w:rsidRPr="00B7760C" w:rsidRDefault="003663AF" w:rsidP="003663AF">
      <w:pPr>
        <w:pStyle w:val="Normal6"/>
        <w:jc w:val="right"/>
        <w:rPr>
          <w:sz w:val="20"/>
          <w:lang w:eastAsia="fr-BE"/>
        </w:rPr>
      </w:pPr>
    </w:p>
    <w:p w14:paraId="019F8326" w14:textId="77777777" w:rsidR="003663AF" w:rsidRPr="00B7760C" w:rsidRDefault="003663AF" w:rsidP="003663AF">
      <w:pPr>
        <w:jc w:val="right"/>
        <w:rPr>
          <w:sz w:val="20"/>
        </w:rPr>
      </w:pPr>
      <w:r w:rsidRPr="00B7760C">
        <w:rPr>
          <w:rStyle w:val="Normal6Char"/>
          <w:sz w:val="20"/>
        </w:rPr>
        <w:t xml:space="preserve"> (cene v letu 2018</w:t>
      </w:r>
      <w:r w:rsidRPr="00B7760C">
        <w:rPr>
          <w:rStyle w:val="Normal6Char"/>
          <w:sz w:val="20"/>
          <w:vertAlign w:val="superscript"/>
        </w:rPr>
        <w:t>1</w:t>
      </w:r>
      <w:r w:rsidRPr="00B7760C">
        <w:rPr>
          <w:rStyle w:val="Normal6Char"/>
          <w:sz w:val="20"/>
        </w:rPr>
        <w:t xml:space="preserve"> v EUR)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935"/>
        <w:gridCol w:w="934"/>
        <w:gridCol w:w="934"/>
        <w:gridCol w:w="934"/>
        <w:gridCol w:w="934"/>
        <w:gridCol w:w="934"/>
        <w:gridCol w:w="934"/>
        <w:gridCol w:w="1164"/>
      </w:tblGrid>
      <w:tr w:rsidR="003663AF" w:rsidRPr="00B7760C" w14:paraId="15022102" w14:textId="77777777" w:rsidTr="00E804B7">
        <w:trPr>
          <w:cantSplit/>
          <w:trHeight w:val="255"/>
          <w:tblHeader/>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14:paraId="5F76F862" w14:textId="77777777" w:rsidR="003663AF" w:rsidRPr="00B7760C" w:rsidRDefault="003663AF" w:rsidP="00E804B7">
            <w:pPr>
              <w:pStyle w:val="Normal6"/>
              <w:rPr>
                <w:sz w:val="20"/>
              </w:rPr>
            </w:pPr>
            <w:r w:rsidRPr="00B7760C">
              <w:rPr>
                <w:sz w:val="20"/>
              </w:rPr>
              <w:t>Leto</w:t>
            </w:r>
          </w:p>
        </w:tc>
        <w:tc>
          <w:tcPr>
            <w:tcW w:w="1608" w:type="dxa"/>
            <w:tcBorders>
              <w:top w:val="single" w:sz="4" w:space="0" w:color="auto"/>
              <w:left w:val="single" w:sz="4" w:space="0" w:color="auto"/>
              <w:bottom w:val="single" w:sz="4" w:space="0" w:color="auto"/>
              <w:right w:val="single" w:sz="4" w:space="0" w:color="auto"/>
            </w:tcBorders>
            <w:vAlign w:val="center"/>
            <w:hideMark/>
          </w:tcPr>
          <w:p w14:paraId="7223AE8D" w14:textId="77777777" w:rsidR="003663AF" w:rsidRPr="00B7760C" w:rsidRDefault="003663AF" w:rsidP="00E804B7">
            <w:pPr>
              <w:pStyle w:val="Normal6"/>
              <w:rPr>
                <w:sz w:val="20"/>
              </w:rPr>
            </w:pPr>
            <w:r w:rsidRPr="00B7760C">
              <w:rPr>
                <w:sz w:val="20"/>
              </w:rPr>
              <w:t>2021</w:t>
            </w:r>
          </w:p>
        </w:tc>
        <w:tc>
          <w:tcPr>
            <w:tcW w:w="1608" w:type="dxa"/>
            <w:tcBorders>
              <w:top w:val="single" w:sz="4" w:space="0" w:color="auto"/>
              <w:left w:val="single" w:sz="4" w:space="0" w:color="auto"/>
              <w:bottom w:val="single" w:sz="4" w:space="0" w:color="auto"/>
              <w:right w:val="single" w:sz="4" w:space="0" w:color="auto"/>
            </w:tcBorders>
            <w:vAlign w:val="center"/>
            <w:hideMark/>
          </w:tcPr>
          <w:p w14:paraId="5DEC528E" w14:textId="77777777" w:rsidR="003663AF" w:rsidRPr="00B7760C" w:rsidRDefault="003663AF" w:rsidP="00E804B7">
            <w:pPr>
              <w:pStyle w:val="Normal6"/>
              <w:rPr>
                <w:sz w:val="20"/>
              </w:rPr>
            </w:pPr>
            <w:r w:rsidRPr="00B7760C">
              <w:rPr>
                <w:sz w:val="20"/>
              </w:rPr>
              <w:t>2022</w:t>
            </w:r>
          </w:p>
        </w:tc>
        <w:tc>
          <w:tcPr>
            <w:tcW w:w="1608" w:type="dxa"/>
            <w:tcBorders>
              <w:top w:val="single" w:sz="4" w:space="0" w:color="auto"/>
              <w:left w:val="single" w:sz="4" w:space="0" w:color="auto"/>
              <w:bottom w:val="single" w:sz="4" w:space="0" w:color="auto"/>
              <w:right w:val="single" w:sz="4" w:space="0" w:color="auto"/>
            </w:tcBorders>
            <w:vAlign w:val="center"/>
            <w:hideMark/>
          </w:tcPr>
          <w:p w14:paraId="4E27EAD3" w14:textId="77777777" w:rsidR="003663AF" w:rsidRPr="00B7760C" w:rsidRDefault="003663AF" w:rsidP="00E804B7">
            <w:pPr>
              <w:pStyle w:val="Normal6"/>
              <w:rPr>
                <w:sz w:val="20"/>
              </w:rPr>
            </w:pPr>
            <w:r w:rsidRPr="00B7760C">
              <w:rPr>
                <w:sz w:val="20"/>
              </w:rPr>
              <w:t>2023</w:t>
            </w:r>
          </w:p>
        </w:tc>
        <w:tc>
          <w:tcPr>
            <w:tcW w:w="1608" w:type="dxa"/>
            <w:tcBorders>
              <w:top w:val="single" w:sz="4" w:space="0" w:color="auto"/>
              <w:left w:val="single" w:sz="4" w:space="0" w:color="auto"/>
              <w:bottom w:val="single" w:sz="4" w:space="0" w:color="auto"/>
              <w:right w:val="single" w:sz="4" w:space="0" w:color="auto"/>
            </w:tcBorders>
            <w:vAlign w:val="center"/>
            <w:hideMark/>
          </w:tcPr>
          <w:p w14:paraId="6C68874D" w14:textId="77777777" w:rsidR="003663AF" w:rsidRPr="00B7760C" w:rsidRDefault="003663AF" w:rsidP="00E804B7">
            <w:pPr>
              <w:pStyle w:val="Normal6"/>
              <w:rPr>
                <w:sz w:val="20"/>
              </w:rPr>
            </w:pPr>
            <w:r w:rsidRPr="00B7760C">
              <w:rPr>
                <w:sz w:val="20"/>
              </w:rPr>
              <w:t>2024</w:t>
            </w:r>
          </w:p>
        </w:tc>
        <w:tc>
          <w:tcPr>
            <w:tcW w:w="1608" w:type="dxa"/>
            <w:tcBorders>
              <w:top w:val="single" w:sz="4" w:space="0" w:color="auto"/>
              <w:left w:val="single" w:sz="4" w:space="0" w:color="auto"/>
              <w:bottom w:val="single" w:sz="4" w:space="0" w:color="auto"/>
              <w:right w:val="single" w:sz="4" w:space="0" w:color="auto"/>
            </w:tcBorders>
            <w:vAlign w:val="center"/>
            <w:hideMark/>
          </w:tcPr>
          <w:p w14:paraId="011B8F56" w14:textId="77777777" w:rsidR="003663AF" w:rsidRPr="00B7760C" w:rsidRDefault="003663AF" w:rsidP="00E804B7">
            <w:pPr>
              <w:pStyle w:val="Normal6"/>
              <w:rPr>
                <w:sz w:val="20"/>
              </w:rPr>
            </w:pPr>
            <w:r w:rsidRPr="00B7760C">
              <w:rPr>
                <w:sz w:val="20"/>
              </w:rPr>
              <w:t>2025</w:t>
            </w:r>
          </w:p>
        </w:tc>
        <w:tc>
          <w:tcPr>
            <w:tcW w:w="1608" w:type="dxa"/>
            <w:tcBorders>
              <w:top w:val="single" w:sz="4" w:space="0" w:color="auto"/>
              <w:left w:val="single" w:sz="4" w:space="0" w:color="auto"/>
              <w:bottom w:val="single" w:sz="4" w:space="0" w:color="auto"/>
              <w:right w:val="single" w:sz="4" w:space="0" w:color="auto"/>
            </w:tcBorders>
            <w:vAlign w:val="center"/>
            <w:hideMark/>
          </w:tcPr>
          <w:p w14:paraId="19567B2F" w14:textId="77777777" w:rsidR="003663AF" w:rsidRPr="00B7760C" w:rsidRDefault="003663AF" w:rsidP="00E804B7">
            <w:pPr>
              <w:pStyle w:val="Normal6"/>
              <w:rPr>
                <w:sz w:val="20"/>
              </w:rPr>
            </w:pPr>
            <w:r w:rsidRPr="00B7760C">
              <w:rPr>
                <w:sz w:val="20"/>
              </w:rPr>
              <w:t>2026</w:t>
            </w:r>
          </w:p>
        </w:tc>
        <w:tc>
          <w:tcPr>
            <w:tcW w:w="1608" w:type="dxa"/>
            <w:tcBorders>
              <w:top w:val="single" w:sz="4" w:space="0" w:color="auto"/>
              <w:left w:val="single" w:sz="4" w:space="0" w:color="auto"/>
              <w:bottom w:val="single" w:sz="4" w:space="0" w:color="auto"/>
              <w:right w:val="single" w:sz="4" w:space="0" w:color="auto"/>
            </w:tcBorders>
            <w:vAlign w:val="center"/>
            <w:hideMark/>
          </w:tcPr>
          <w:p w14:paraId="25C0829C" w14:textId="77777777" w:rsidR="003663AF" w:rsidRPr="00B7760C" w:rsidRDefault="003663AF" w:rsidP="00E804B7">
            <w:pPr>
              <w:pStyle w:val="Normal6"/>
              <w:rPr>
                <w:sz w:val="20"/>
              </w:rPr>
            </w:pPr>
            <w:r w:rsidRPr="00B7760C">
              <w:rPr>
                <w:sz w:val="20"/>
              </w:rPr>
              <w:t>2027</w:t>
            </w:r>
          </w:p>
        </w:tc>
        <w:tc>
          <w:tcPr>
            <w:tcW w:w="1616" w:type="dxa"/>
            <w:tcBorders>
              <w:top w:val="single" w:sz="4" w:space="0" w:color="auto"/>
              <w:left w:val="single" w:sz="4" w:space="0" w:color="auto"/>
              <w:bottom w:val="single" w:sz="4" w:space="0" w:color="auto"/>
              <w:right w:val="single" w:sz="4" w:space="0" w:color="auto"/>
            </w:tcBorders>
            <w:vAlign w:val="center"/>
            <w:hideMark/>
          </w:tcPr>
          <w:p w14:paraId="655F530E" w14:textId="77777777" w:rsidR="003663AF" w:rsidRPr="00B7760C" w:rsidRDefault="003663AF" w:rsidP="00E804B7">
            <w:pPr>
              <w:pStyle w:val="Normal6"/>
              <w:rPr>
                <w:sz w:val="20"/>
              </w:rPr>
            </w:pPr>
            <w:r w:rsidRPr="00B7760C">
              <w:rPr>
                <w:sz w:val="20"/>
              </w:rPr>
              <w:t>SKUPAJ 2021–2027</w:t>
            </w:r>
          </w:p>
        </w:tc>
      </w:tr>
      <w:tr w:rsidR="003663AF" w:rsidRPr="00B7760C" w14:paraId="6F5A58E2" w14:textId="77777777" w:rsidTr="00E804B7">
        <w:trPr>
          <w:cantSplit/>
          <w:trHeight w:val="255"/>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14:paraId="0DB90E84" w14:textId="77777777" w:rsidR="003663AF" w:rsidRPr="00B7760C" w:rsidRDefault="003663AF" w:rsidP="00E804B7">
            <w:pPr>
              <w:pStyle w:val="Normal6"/>
              <w:rPr>
                <w:sz w:val="20"/>
              </w:rPr>
            </w:pPr>
            <w:r w:rsidRPr="00B7760C">
              <w:rPr>
                <w:sz w:val="20"/>
              </w:rPr>
              <w:t>Belgija</w:t>
            </w:r>
          </w:p>
        </w:tc>
        <w:tc>
          <w:tcPr>
            <w:tcW w:w="1608" w:type="dxa"/>
            <w:tcBorders>
              <w:top w:val="single" w:sz="4" w:space="0" w:color="auto"/>
              <w:left w:val="single" w:sz="4" w:space="0" w:color="auto"/>
              <w:bottom w:val="single" w:sz="4" w:space="0" w:color="auto"/>
              <w:right w:val="single" w:sz="4" w:space="0" w:color="auto"/>
            </w:tcBorders>
            <w:hideMark/>
          </w:tcPr>
          <w:p w14:paraId="0F6E87B1" w14:textId="77777777" w:rsidR="003663AF" w:rsidRPr="00B7760C" w:rsidRDefault="003663AF" w:rsidP="00E804B7">
            <w:pPr>
              <w:pStyle w:val="Normal6"/>
              <w:jc w:val="right"/>
              <w:rPr>
                <w:b/>
                <w:bCs/>
                <w:i/>
                <w:iCs/>
                <w:sz w:val="20"/>
              </w:rPr>
            </w:pPr>
            <w:r w:rsidRPr="00B7760C">
              <w:rPr>
                <w:b/>
                <w:bCs/>
                <w:i/>
                <w:iCs/>
                <w:sz w:val="20"/>
              </w:rPr>
              <w:t>63 303 373</w:t>
            </w:r>
          </w:p>
        </w:tc>
        <w:tc>
          <w:tcPr>
            <w:tcW w:w="1608" w:type="dxa"/>
            <w:tcBorders>
              <w:top w:val="single" w:sz="4" w:space="0" w:color="auto"/>
              <w:left w:val="single" w:sz="4" w:space="0" w:color="auto"/>
              <w:bottom w:val="single" w:sz="4" w:space="0" w:color="auto"/>
              <w:right w:val="single" w:sz="4" w:space="0" w:color="auto"/>
            </w:tcBorders>
            <w:hideMark/>
          </w:tcPr>
          <w:p w14:paraId="1E584B73" w14:textId="77777777" w:rsidR="003663AF" w:rsidRPr="00B7760C" w:rsidRDefault="003663AF" w:rsidP="00E804B7">
            <w:pPr>
              <w:pStyle w:val="Normal6"/>
              <w:jc w:val="right"/>
              <w:rPr>
                <w:b/>
                <w:bCs/>
                <w:i/>
                <w:iCs/>
                <w:sz w:val="20"/>
              </w:rPr>
            </w:pPr>
            <w:r w:rsidRPr="00B7760C">
              <w:rPr>
                <w:b/>
                <w:bCs/>
                <w:i/>
                <w:iCs/>
                <w:sz w:val="20"/>
              </w:rPr>
              <w:t>62 062 131</w:t>
            </w:r>
          </w:p>
        </w:tc>
        <w:tc>
          <w:tcPr>
            <w:tcW w:w="1608" w:type="dxa"/>
            <w:tcBorders>
              <w:top w:val="single" w:sz="4" w:space="0" w:color="auto"/>
              <w:left w:val="single" w:sz="4" w:space="0" w:color="auto"/>
              <w:bottom w:val="single" w:sz="4" w:space="0" w:color="auto"/>
              <w:right w:val="single" w:sz="4" w:space="0" w:color="auto"/>
            </w:tcBorders>
            <w:hideMark/>
          </w:tcPr>
          <w:p w14:paraId="3C532C75" w14:textId="77777777" w:rsidR="003663AF" w:rsidRPr="00B7760C" w:rsidRDefault="003663AF" w:rsidP="00E804B7">
            <w:pPr>
              <w:pStyle w:val="Normal6"/>
              <w:jc w:val="right"/>
              <w:rPr>
                <w:b/>
                <w:bCs/>
                <w:i/>
                <w:iCs/>
                <w:sz w:val="20"/>
              </w:rPr>
            </w:pPr>
            <w:r w:rsidRPr="00B7760C">
              <w:rPr>
                <w:b/>
                <w:bCs/>
                <w:i/>
                <w:iCs/>
                <w:sz w:val="20"/>
              </w:rPr>
              <w:t>60 845 226</w:t>
            </w:r>
          </w:p>
        </w:tc>
        <w:tc>
          <w:tcPr>
            <w:tcW w:w="1608" w:type="dxa"/>
            <w:tcBorders>
              <w:top w:val="single" w:sz="4" w:space="0" w:color="auto"/>
              <w:left w:val="single" w:sz="4" w:space="0" w:color="auto"/>
              <w:bottom w:val="single" w:sz="4" w:space="0" w:color="auto"/>
              <w:right w:val="single" w:sz="4" w:space="0" w:color="auto"/>
            </w:tcBorders>
            <w:hideMark/>
          </w:tcPr>
          <w:p w14:paraId="5DDD4863" w14:textId="77777777" w:rsidR="003663AF" w:rsidRPr="00B7760C" w:rsidRDefault="003663AF" w:rsidP="00E804B7">
            <w:pPr>
              <w:pStyle w:val="Normal6"/>
              <w:jc w:val="right"/>
              <w:rPr>
                <w:b/>
                <w:bCs/>
                <w:i/>
                <w:iCs/>
                <w:sz w:val="20"/>
              </w:rPr>
            </w:pPr>
            <w:r w:rsidRPr="00B7760C">
              <w:rPr>
                <w:b/>
                <w:bCs/>
                <w:i/>
                <w:iCs/>
                <w:sz w:val="20"/>
              </w:rPr>
              <w:t>59 652 182</w:t>
            </w:r>
          </w:p>
        </w:tc>
        <w:tc>
          <w:tcPr>
            <w:tcW w:w="1608" w:type="dxa"/>
            <w:tcBorders>
              <w:top w:val="single" w:sz="4" w:space="0" w:color="auto"/>
              <w:left w:val="single" w:sz="4" w:space="0" w:color="auto"/>
              <w:bottom w:val="single" w:sz="4" w:space="0" w:color="auto"/>
              <w:right w:val="single" w:sz="4" w:space="0" w:color="auto"/>
            </w:tcBorders>
            <w:hideMark/>
          </w:tcPr>
          <w:p w14:paraId="0D2EED89" w14:textId="77777777" w:rsidR="003663AF" w:rsidRPr="00B7760C" w:rsidRDefault="003663AF" w:rsidP="00E804B7">
            <w:pPr>
              <w:pStyle w:val="Normal6"/>
              <w:jc w:val="right"/>
              <w:rPr>
                <w:b/>
                <w:bCs/>
                <w:i/>
                <w:iCs/>
                <w:sz w:val="20"/>
              </w:rPr>
            </w:pPr>
            <w:r w:rsidRPr="00B7760C">
              <w:rPr>
                <w:b/>
                <w:bCs/>
                <w:i/>
                <w:iCs/>
                <w:sz w:val="20"/>
              </w:rPr>
              <w:t>58 482 532</w:t>
            </w:r>
          </w:p>
        </w:tc>
        <w:tc>
          <w:tcPr>
            <w:tcW w:w="1608" w:type="dxa"/>
            <w:tcBorders>
              <w:top w:val="single" w:sz="4" w:space="0" w:color="auto"/>
              <w:left w:val="single" w:sz="4" w:space="0" w:color="auto"/>
              <w:bottom w:val="single" w:sz="4" w:space="0" w:color="auto"/>
              <w:right w:val="single" w:sz="4" w:space="0" w:color="auto"/>
            </w:tcBorders>
            <w:hideMark/>
          </w:tcPr>
          <w:p w14:paraId="5C5B6600" w14:textId="77777777" w:rsidR="003663AF" w:rsidRPr="00B7760C" w:rsidRDefault="003663AF" w:rsidP="00E804B7">
            <w:pPr>
              <w:pStyle w:val="Normal6"/>
              <w:jc w:val="right"/>
              <w:rPr>
                <w:b/>
                <w:bCs/>
                <w:i/>
                <w:iCs/>
                <w:sz w:val="20"/>
              </w:rPr>
            </w:pPr>
            <w:r w:rsidRPr="00B7760C">
              <w:rPr>
                <w:b/>
                <w:bCs/>
                <w:i/>
                <w:iCs/>
                <w:sz w:val="20"/>
              </w:rPr>
              <w:t>57 335 815</w:t>
            </w:r>
          </w:p>
        </w:tc>
        <w:tc>
          <w:tcPr>
            <w:tcW w:w="1608" w:type="dxa"/>
            <w:tcBorders>
              <w:top w:val="single" w:sz="4" w:space="0" w:color="auto"/>
              <w:left w:val="single" w:sz="4" w:space="0" w:color="auto"/>
              <w:bottom w:val="single" w:sz="4" w:space="0" w:color="auto"/>
              <w:right w:val="single" w:sz="4" w:space="0" w:color="auto"/>
            </w:tcBorders>
            <w:hideMark/>
          </w:tcPr>
          <w:p w14:paraId="396507E9" w14:textId="77777777" w:rsidR="003663AF" w:rsidRPr="00B7760C" w:rsidRDefault="003663AF" w:rsidP="00E804B7">
            <w:pPr>
              <w:pStyle w:val="Normal6"/>
              <w:jc w:val="right"/>
              <w:rPr>
                <w:b/>
                <w:bCs/>
                <w:i/>
                <w:iCs/>
                <w:sz w:val="20"/>
              </w:rPr>
            </w:pPr>
            <w:r w:rsidRPr="00B7760C">
              <w:rPr>
                <w:b/>
                <w:bCs/>
                <w:i/>
                <w:iCs/>
                <w:sz w:val="20"/>
              </w:rPr>
              <w:t>56 211 584</w:t>
            </w:r>
          </w:p>
        </w:tc>
        <w:tc>
          <w:tcPr>
            <w:tcW w:w="1616" w:type="dxa"/>
            <w:tcBorders>
              <w:top w:val="single" w:sz="4" w:space="0" w:color="auto"/>
              <w:left w:val="single" w:sz="4" w:space="0" w:color="auto"/>
              <w:bottom w:val="single" w:sz="4" w:space="0" w:color="auto"/>
              <w:right w:val="single" w:sz="4" w:space="0" w:color="auto"/>
            </w:tcBorders>
            <w:hideMark/>
          </w:tcPr>
          <w:p w14:paraId="73ED3D6C" w14:textId="77777777" w:rsidR="003663AF" w:rsidRPr="00B7760C" w:rsidRDefault="003663AF" w:rsidP="00E804B7">
            <w:pPr>
              <w:pStyle w:val="Normal6"/>
              <w:jc w:val="right"/>
              <w:rPr>
                <w:b/>
                <w:bCs/>
                <w:i/>
                <w:iCs/>
                <w:sz w:val="20"/>
              </w:rPr>
            </w:pPr>
            <w:r w:rsidRPr="00B7760C">
              <w:rPr>
                <w:b/>
                <w:bCs/>
                <w:i/>
                <w:iCs/>
                <w:sz w:val="20"/>
              </w:rPr>
              <w:t>417 892 843</w:t>
            </w:r>
          </w:p>
        </w:tc>
      </w:tr>
      <w:tr w:rsidR="003663AF" w:rsidRPr="00B7760C" w14:paraId="4FA05602" w14:textId="77777777" w:rsidTr="00E804B7">
        <w:trPr>
          <w:cantSplit/>
          <w:trHeight w:val="255"/>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14:paraId="7810D1A8" w14:textId="77777777" w:rsidR="003663AF" w:rsidRPr="00B7760C" w:rsidRDefault="003663AF" w:rsidP="00E804B7">
            <w:pPr>
              <w:pStyle w:val="Normal6"/>
              <w:rPr>
                <w:sz w:val="20"/>
              </w:rPr>
            </w:pPr>
            <w:r w:rsidRPr="00B7760C">
              <w:rPr>
                <w:sz w:val="20"/>
              </w:rPr>
              <w:t>Bolgarija</w:t>
            </w:r>
          </w:p>
        </w:tc>
        <w:tc>
          <w:tcPr>
            <w:tcW w:w="1608" w:type="dxa"/>
            <w:tcBorders>
              <w:top w:val="single" w:sz="4" w:space="0" w:color="auto"/>
              <w:left w:val="single" w:sz="4" w:space="0" w:color="auto"/>
              <w:bottom w:val="single" w:sz="4" w:space="0" w:color="auto"/>
              <w:right w:val="single" w:sz="4" w:space="0" w:color="auto"/>
            </w:tcBorders>
            <w:hideMark/>
          </w:tcPr>
          <w:p w14:paraId="3848081A" w14:textId="77777777" w:rsidR="003663AF" w:rsidRPr="00B7760C" w:rsidRDefault="003663AF" w:rsidP="00E804B7">
            <w:pPr>
              <w:pStyle w:val="Normal6"/>
              <w:jc w:val="right"/>
              <w:rPr>
                <w:b/>
                <w:bCs/>
                <w:i/>
                <w:iCs/>
                <w:sz w:val="20"/>
              </w:rPr>
            </w:pPr>
            <w:r w:rsidRPr="00B7760C">
              <w:rPr>
                <w:b/>
                <w:bCs/>
                <w:i/>
                <w:iCs/>
                <w:sz w:val="20"/>
              </w:rPr>
              <w:t>265 462 940</w:t>
            </w:r>
          </w:p>
        </w:tc>
        <w:tc>
          <w:tcPr>
            <w:tcW w:w="1608" w:type="dxa"/>
            <w:tcBorders>
              <w:top w:val="single" w:sz="4" w:space="0" w:color="auto"/>
              <w:left w:val="single" w:sz="4" w:space="0" w:color="auto"/>
              <w:bottom w:val="single" w:sz="4" w:space="0" w:color="auto"/>
              <w:right w:val="single" w:sz="4" w:space="0" w:color="auto"/>
            </w:tcBorders>
            <w:hideMark/>
          </w:tcPr>
          <w:p w14:paraId="3E6BA0D7" w14:textId="77777777" w:rsidR="003663AF" w:rsidRPr="00B7760C" w:rsidRDefault="003663AF" w:rsidP="00E804B7">
            <w:pPr>
              <w:pStyle w:val="Normal6"/>
              <w:jc w:val="right"/>
              <w:rPr>
                <w:b/>
                <w:bCs/>
                <w:i/>
                <w:iCs/>
                <w:sz w:val="20"/>
              </w:rPr>
            </w:pPr>
            <w:r w:rsidRPr="00B7760C">
              <w:rPr>
                <w:b/>
                <w:bCs/>
                <w:i/>
                <w:iCs/>
                <w:sz w:val="20"/>
              </w:rPr>
              <w:t>260 257 785</w:t>
            </w:r>
          </w:p>
        </w:tc>
        <w:tc>
          <w:tcPr>
            <w:tcW w:w="1608" w:type="dxa"/>
            <w:tcBorders>
              <w:top w:val="single" w:sz="4" w:space="0" w:color="auto"/>
              <w:left w:val="single" w:sz="4" w:space="0" w:color="auto"/>
              <w:bottom w:val="single" w:sz="4" w:space="0" w:color="auto"/>
              <w:right w:val="single" w:sz="4" w:space="0" w:color="auto"/>
            </w:tcBorders>
            <w:hideMark/>
          </w:tcPr>
          <w:p w14:paraId="42063850" w14:textId="77777777" w:rsidR="003663AF" w:rsidRPr="00B7760C" w:rsidRDefault="003663AF" w:rsidP="00E804B7">
            <w:pPr>
              <w:pStyle w:val="Normal6"/>
              <w:jc w:val="right"/>
              <w:rPr>
                <w:b/>
                <w:bCs/>
                <w:i/>
                <w:iCs/>
                <w:sz w:val="20"/>
              </w:rPr>
            </w:pPr>
            <w:r w:rsidRPr="00B7760C">
              <w:rPr>
                <w:b/>
                <w:bCs/>
                <w:i/>
                <w:iCs/>
                <w:sz w:val="20"/>
              </w:rPr>
              <w:t>255 154 691</w:t>
            </w:r>
          </w:p>
        </w:tc>
        <w:tc>
          <w:tcPr>
            <w:tcW w:w="1608" w:type="dxa"/>
            <w:tcBorders>
              <w:top w:val="single" w:sz="4" w:space="0" w:color="auto"/>
              <w:left w:val="single" w:sz="4" w:space="0" w:color="auto"/>
              <w:bottom w:val="single" w:sz="4" w:space="0" w:color="auto"/>
              <w:right w:val="single" w:sz="4" w:space="0" w:color="auto"/>
            </w:tcBorders>
            <w:hideMark/>
          </w:tcPr>
          <w:p w14:paraId="03AB3799" w14:textId="77777777" w:rsidR="003663AF" w:rsidRPr="00B7760C" w:rsidRDefault="003663AF" w:rsidP="00E804B7">
            <w:pPr>
              <w:pStyle w:val="Normal6"/>
              <w:jc w:val="right"/>
              <w:rPr>
                <w:b/>
                <w:bCs/>
                <w:i/>
                <w:iCs/>
                <w:sz w:val="20"/>
              </w:rPr>
            </w:pPr>
            <w:r w:rsidRPr="00B7760C">
              <w:rPr>
                <w:b/>
                <w:bCs/>
                <w:i/>
                <w:iCs/>
                <w:sz w:val="20"/>
              </w:rPr>
              <w:t>250 151 658</w:t>
            </w:r>
          </w:p>
        </w:tc>
        <w:tc>
          <w:tcPr>
            <w:tcW w:w="1608" w:type="dxa"/>
            <w:tcBorders>
              <w:top w:val="single" w:sz="4" w:space="0" w:color="auto"/>
              <w:left w:val="single" w:sz="4" w:space="0" w:color="auto"/>
              <w:bottom w:val="single" w:sz="4" w:space="0" w:color="auto"/>
              <w:right w:val="single" w:sz="4" w:space="0" w:color="auto"/>
            </w:tcBorders>
            <w:hideMark/>
          </w:tcPr>
          <w:p w14:paraId="5A809696" w14:textId="77777777" w:rsidR="003663AF" w:rsidRPr="00B7760C" w:rsidRDefault="003663AF" w:rsidP="00E804B7">
            <w:pPr>
              <w:pStyle w:val="Normal6"/>
              <w:jc w:val="right"/>
              <w:rPr>
                <w:b/>
                <w:bCs/>
                <w:i/>
                <w:iCs/>
                <w:sz w:val="20"/>
              </w:rPr>
            </w:pPr>
            <w:r w:rsidRPr="00B7760C">
              <w:rPr>
                <w:b/>
                <w:bCs/>
                <w:i/>
                <w:iCs/>
                <w:sz w:val="20"/>
              </w:rPr>
              <w:t>245 246 723</w:t>
            </w:r>
          </w:p>
        </w:tc>
        <w:tc>
          <w:tcPr>
            <w:tcW w:w="1608" w:type="dxa"/>
            <w:tcBorders>
              <w:top w:val="single" w:sz="4" w:space="0" w:color="auto"/>
              <w:left w:val="single" w:sz="4" w:space="0" w:color="auto"/>
              <w:bottom w:val="single" w:sz="4" w:space="0" w:color="auto"/>
              <w:right w:val="single" w:sz="4" w:space="0" w:color="auto"/>
            </w:tcBorders>
            <w:hideMark/>
          </w:tcPr>
          <w:p w14:paraId="121DE691" w14:textId="77777777" w:rsidR="003663AF" w:rsidRPr="00B7760C" w:rsidRDefault="003663AF" w:rsidP="00E804B7">
            <w:pPr>
              <w:pStyle w:val="Normal6"/>
              <w:jc w:val="right"/>
              <w:rPr>
                <w:b/>
                <w:bCs/>
                <w:i/>
                <w:iCs/>
                <w:sz w:val="20"/>
              </w:rPr>
            </w:pPr>
            <w:r w:rsidRPr="00B7760C">
              <w:rPr>
                <w:b/>
                <w:bCs/>
                <w:i/>
                <w:iCs/>
                <w:sz w:val="20"/>
              </w:rPr>
              <w:t>240 437 964</w:t>
            </w:r>
          </w:p>
        </w:tc>
        <w:tc>
          <w:tcPr>
            <w:tcW w:w="1608" w:type="dxa"/>
            <w:tcBorders>
              <w:top w:val="single" w:sz="4" w:space="0" w:color="auto"/>
              <w:left w:val="single" w:sz="4" w:space="0" w:color="auto"/>
              <w:bottom w:val="single" w:sz="4" w:space="0" w:color="auto"/>
              <w:right w:val="single" w:sz="4" w:space="0" w:color="auto"/>
            </w:tcBorders>
            <w:hideMark/>
          </w:tcPr>
          <w:p w14:paraId="2022F5A3" w14:textId="77777777" w:rsidR="003663AF" w:rsidRPr="00B7760C" w:rsidRDefault="003663AF" w:rsidP="00E804B7">
            <w:pPr>
              <w:pStyle w:val="Normal6"/>
              <w:jc w:val="right"/>
              <w:rPr>
                <w:b/>
                <w:bCs/>
                <w:i/>
                <w:iCs/>
                <w:sz w:val="20"/>
              </w:rPr>
            </w:pPr>
            <w:r w:rsidRPr="00B7760C">
              <w:rPr>
                <w:b/>
                <w:bCs/>
                <w:i/>
                <w:iCs/>
                <w:sz w:val="20"/>
              </w:rPr>
              <w:t>235 723 494</w:t>
            </w:r>
          </w:p>
        </w:tc>
        <w:tc>
          <w:tcPr>
            <w:tcW w:w="1616" w:type="dxa"/>
            <w:tcBorders>
              <w:top w:val="single" w:sz="4" w:space="0" w:color="auto"/>
              <w:left w:val="single" w:sz="4" w:space="0" w:color="auto"/>
              <w:bottom w:val="single" w:sz="4" w:space="0" w:color="auto"/>
              <w:right w:val="single" w:sz="4" w:space="0" w:color="auto"/>
            </w:tcBorders>
            <w:hideMark/>
          </w:tcPr>
          <w:p w14:paraId="78362117" w14:textId="77777777" w:rsidR="003663AF" w:rsidRPr="00B7760C" w:rsidRDefault="003663AF" w:rsidP="00E804B7">
            <w:pPr>
              <w:pStyle w:val="Normal6"/>
              <w:jc w:val="right"/>
              <w:rPr>
                <w:b/>
                <w:bCs/>
                <w:i/>
                <w:iCs/>
                <w:sz w:val="20"/>
              </w:rPr>
            </w:pPr>
            <w:r w:rsidRPr="00B7760C">
              <w:rPr>
                <w:b/>
                <w:bCs/>
                <w:i/>
                <w:iCs/>
                <w:sz w:val="20"/>
              </w:rPr>
              <w:t>1 752 435 255</w:t>
            </w:r>
          </w:p>
        </w:tc>
      </w:tr>
      <w:tr w:rsidR="003663AF" w:rsidRPr="00B7760C" w14:paraId="4528C1C0" w14:textId="77777777" w:rsidTr="00E804B7">
        <w:trPr>
          <w:cantSplit/>
          <w:trHeight w:val="497"/>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14:paraId="55105EDF" w14:textId="77777777" w:rsidR="003663AF" w:rsidRPr="00B7760C" w:rsidRDefault="003663AF" w:rsidP="00E804B7">
            <w:pPr>
              <w:pStyle w:val="Normal6"/>
              <w:rPr>
                <w:sz w:val="20"/>
              </w:rPr>
            </w:pPr>
            <w:r w:rsidRPr="00B7760C">
              <w:rPr>
                <w:sz w:val="20"/>
              </w:rPr>
              <w:t>Češka</w:t>
            </w:r>
          </w:p>
        </w:tc>
        <w:tc>
          <w:tcPr>
            <w:tcW w:w="1608" w:type="dxa"/>
            <w:tcBorders>
              <w:top w:val="single" w:sz="4" w:space="0" w:color="auto"/>
              <w:left w:val="single" w:sz="4" w:space="0" w:color="auto"/>
              <w:bottom w:val="single" w:sz="4" w:space="0" w:color="auto"/>
              <w:right w:val="single" w:sz="4" w:space="0" w:color="auto"/>
            </w:tcBorders>
            <w:hideMark/>
          </w:tcPr>
          <w:p w14:paraId="70146A2C" w14:textId="77777777" w:rsidR="003663AF" w:rsidRPr="00B7760C" w:rsidRDefault="003663AF" w:rsidP="00E804B7">
            <w:pPr>
              <w:pStyle w:val="Normal6"/>
              <w:jc w:val="right"/>
              <w:rPr>
                <w:b/>
                <w:bCs/>
                <w:i/>
                <w:iCs/>
                <w:sz w:val="20"/>
              </w:rPr>
            </w:pPr>
            <w:r w:rsidRPr="00B7760C">
              <w:rPr>
                <w:b/>
                <w:bCs/>
                <w:i/>
                <w:iCs/>
                <w:sz w:val="20"/>
              </w:rPr>
              <w:t>243 847 768</w:t>
            </w:r>
          </w:p>
        </w:tc>
        <w:tc>
          <w:tcPr>
            <w:tcW w:w="1608" w:type="dxa"/>
            <w:tcBorders>
              <w:top w:val="single" w:sz="4" w:space="0" w:color="auto"/>
              <w:left w:val="single" w:sz="4" w:space="0" w:color="auto"/>
              <w:bottom w:val="single" w:sz="4" w:space="0" w:color="auto"/>
              <w:right w:val="single" w:sz="4" w:space="0" w:color="auto"/>
            </w:tcBorders>
            <w:hideMark/>
          </w:tcPr>
          <w:p w14:paraId="5A3A2008" w14:textId="77777777" w:rsidR="003663AF" w:rsidRPr="00B7760C" w:rsidRDefault="003663AF" w:rsidP="00E804B7">
            <w:pPr>
              <w:pStyle w:val="Normal6"/>
              <w:jc w:val="right"/>
              <w:rPr>
                <w:b/>
                <w:bCs/>
                <w:i/>
                <w:iCs/>
                <w:sz w:val="20"/>
              </w:rPr>
            </w:pPr>
            <w:r w:rsidRPr="00B7760C">
              <w:rPr>
                <w:b/>
                <w:bCs/>
                <w:i/>
                <w:iCs/>
                <w:sz w:val="20"/>
              </w:rPr>
              <w:t>239 066 440</w:t>
            </w:r>
          </w:p>
        </w:tc>
        <w:tc>
          <w:tcPr>
            <w:tcW w:w="1608" w:type="dxa"/>
            <w:tcBorders>
              <w:top w:val="single" w:sz="4" w:space="0" w:color="auto"/>
              <w:left w:val="single" w:sz="4" w:space="0" w:color="auto"/>
              <w:bottom w:val="single" w:sz="4" w:space="0" w:color="auto"/>
              <w:right w:val="single" w:sz="4" w:space="0" w:color="auto"/>
            </w:tcBorders>
            <w:hideMark/>
          </w:tcPr>
          <w:p w14:paraId="02EBAB1A" w14:textId="77777777" w:rsidR="003663AF" w:rsidRPr="00B7760C" w:rsidRDefault="003663AF" w:rsidP="00E804B7">
            <w:pPr>
              <w:pStyle w:val="Normal6"/>
              <w:jc w:val="right"/>
              <w:rPr>
                <w:b/>
                <w:bCs/>
                <w:i/>
                <w:iCs/>
                <w:sz w:val="20"/>
              </w:rPr>
            </w:pPr>
            <w:r w:rsidRPr="00B7760C">
              <w:rPr>
                <w:b/>
                <w:bCs/>
                <w:i/>
                <w:iCs/>
                <w:sz w:val="20"/>
              </w:rPr>
              <w:t>234 378 862</w:t>
            </w:r>
          </w:p>
        </w:tc>
        <w:tc>
          <w:tcPr>
            <w:tcW w:w="1608" w:type="dxa"/>
            <w:tcBorders>
              <w:top w:val="single" w:sz="4" w:space="0" w:color="auto"/>
              <w:left w:val="single" w:sz="4" w:space="0" w:color="auto"/>
              <w:bottom w:val="single" w:sz="4" w:space="0" w:color="auto"/>
              <w:right w:val="single" w:sz="4" w:space="0" w:color="auto"/>
            </w:tcBorders>
            <w:hideMark/>
          </w:tcPr>
          <w:p w14:paraId="260FAFE8" w14:textId="77777777" w:rsidR="003663AF" w:rsidRPr="00B7760C" w:rsidRDefault="003663AF" w:rsidP="00E804B7">
            <w:pPr>
              <w:pStyle w:val="Normal6"/>
              <w:jc w:val="right"/>
              <w:rPr>
                <w:b/>
                <w:bCs/>
                <w:i/>
                <w:iCs/>
                <w:sz w:val="20"/>
              </w:rPr>
            </w:pPr>
            <w:r w:rsidRPr="00B7760C">
              <w:rPr>
                <w:b/>
                <w:bCs/>
                <w:i/>
                <w:iCs/>
                <w:sz w:val="20"/>
              </w:rPr>
              <w:t>229 783 198</w:t>
            </w:r>
          </w:p>
        </w:tc>
        <w:tc>
          <w:tcPr>
            <w:tcW w:w="1608" w:type="dxa"/>
            <w:tcBorders>
              <w:top w:val="single" w:sz="4" w:space="0" w:color="auto"/>
              <w:left w:val="single" w:sz="4" w:space="0" w:color="auto"/>
              <w:bottom w:val="single" w:sz="4" w:space="0" w:color="auto"/>
              <w:right w:val="single" w:sz="4" w:space="0" w:color="auto"/>
            </w:tcBorders>
            <w:hideMark/>
          </w:tcPr>
          <w:p w14:paraId="42DC183F" w14:textId="77777777" w:rsidR="003663AF" w:rsidRPr="00B7760C" w:rsidRDefault="003663AF" w:rsidP="00E804B7">
            <w:pPr>
              <w:pStyle w:val="Normal6"/>
              <w:jc w:val="right"/>
              <w:rPr>
                <w:b/>
                <w:bCs/>
                <w:i/>
                <w:iCs/>
                <w:sz w:val="20"/>
              </w:rPr>
            </w:pPr>
            <w:r w:rsidRPr="00B7760C">
              <w:rPr>
                <w:b/>
                <w:bCs/>
                <w:i/>
                <w:iCs/>
                <w:sz w:val="20"/>
              </w:rPr>
              <w:t>225 277 645</w:t>
            </w:r>
          </w:p>
        </w:tc>
        <w:tc>
          <w:tcPr>
            <w:tcW w:w="1608" w:type="dxa"/>
            <w:tcBorders>
              <w:top w:val="single" w:sz="4" w:space="0" w:color="auto"/>
              <w:left w:val="single" w:sz="4" w:space="0" w:color="auto"/>
              <w:bottom w:val="single" w:sz="4" w:space="0" w:color="auto"/>
              <w:right w:val="single" w:sz="4" w:space="0" w:color="auto"/>
            </w:tcBorders>
            <w:hideMark/>
          </w:tcPr>
          <w:p w14:paraId="109B05E0" w14:textId="77777777" w:rsidR="003663AF" w:rsidRPr="00B7760C" w:rsidRDefault="003663AF" w:rsidP="00E804B7">
            <w:pPr>
              <w:pStyle w:val="Normal6"/>
              <w:jc w:val="right"/>
              <w:rPr>
                <w:b/>
                <w:bCs/>
                <w:i/>
                <w:iCs/>
                <w:sz w:val="20"/>
              </w:rPr>
            </w:pPr>
            <w:r w:rsidRPr="00B7760C">
              <w:rPr>
                <w:b/>
                <w:bCs/>
                <w:i/>
                <w:iCs/>
                <w:sz w:val="20"/>
              </w:rPr>
              <w:t>220 860 437</w:t>
            </w:r>
          </w:p>
        </w:tc>
        <w:tc>
          <w:tcPr>
            <w:tcW w:w="1608" w:type="dxa"/>
            <w:tcBorders>
              <w:top w:val="single" w:sz="4" w:space="0" w:color="auto"/>
              <w:left w:val="single" w:sz="4" w:space="0" w:color="auto"/>
              <w:bottom w:val="single" w:sz="4" w:space="0" w:color="auto"/>
              <w:right w:val="single" w:sz="4" w:space="0" w:color="auto"/>
            </w:tcBorders>
            <w:hideMark/>
          </w:tcPr>
          <w:p w14:paraId="263D25D0" w14:textId="77777777" w:rsidR="003663AF" w:rsidRPr="00B7760C" w:rsidRDefault="003663AF" w:rsidP="00E804B7">
            <w:pPr>
              <w:pStyle w:val="Normal6"/>
              <w:jc w:val="right"/>
              <w:rPr>
                <w:b/>
                <w:bCs/>
                <w:i/>
                <w:iCs/>
                <w:sz w:val="20"/>
              </w:rPr>
            </w:pPr>
            <w:r w:rsidRPr="00B7760C">
              <w:rPr>
                <w:b/>
                <w:bCs/>
                <w:i/>
                <w:iCs/>
                <w:sz w:val="20"/>
              </w:rPr>
              <w:t>216 529 840</w:t>
            </w:r>
          </w:p>
        </w:tc>
        <w:tc>
          <w:tcPr>
            <w:tcW w:w="1616" w:type="dxa"/>
            <w:tcBorders>
              <w:top w:val="single" w:sz="4" w:space="0" w:color="auto"/>
              <w:left w:val="single" w:sz="4" w:space="0" w:color="auto"/>
              <w:bottom w:val="single" w:sz="4" w:space="0" w:color="auto"/>
              <w:right w:val="single" w:sz="4" w:space="0" w:color="auto"/>
            </w:tcBorders>
            <w:hideMark/>
          </w:tcPr>
          <w:p w14:paraId="12E06253" w14:textId="77777777" w:rsidR="003663AF" w:rsidRPr="00B7760C" w:rsidRDefault="003663AF" w:rsidP="00E804B7">
            <w:pPr>
              <w:pStyle w:val="Normal6"/>
              <w:jc w:val="right"/>
              <w:rPr>
                <w:b/>
                <w:bCs/>
                <w:i/>
                <w:iCs/>
                <w:sz w:val="20"/>
              </w:rPr>
            </w:pPr>
            <w:r w:rsidRPr="00B7760C">
              <w:rPr>
                <w:b/>
                <w:bCs/>
                <w:i/>
                <w:iCs/>
                <w:sz w:val="20"/>
              </w:rPr>
              <w:t>1 609 744 190</w:t>
            </w:r>
          </w:p>
        </w:tc>
      </w:tr>
      <w:tr w:rsidR="003663AF" w:rsidRPr="00B7760C" w14:paraId="00F9044A" w14:textId="77777777" w:rsidTr="00E804B7">
        <w:trPr>
          <w:cantSplit/>
          <w:trHeight w:val="255"/>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14:paraId="479DB40C" w14:textId="77777777" w:rsidR="003663AF" w:rsidRPr="00B7760C" w:rsidRDefault="003663AF" w:rsidP="00E804B7">
            <w:pPr>
              <w:pStyle w:val="Normal6"/>
              <w:rPr>
                <w:sz w:val="20"/>
              </w:rPr>
            </w:pPr>
            <w:r w:rsidRPr="00B7760C">
              <w:rPr>
                <w:sz w:val="20"/>
              </w:rPr>
              <w:t>Danska</w:t>
            </w:r>
          </w:p>
        </w:tc>
        <w:tc>
          <w:tcPr>
            <w:tcW w:w="1608" w:type="dxa"/>
            <w:tcBorders>
              <w:top w:val="single" w:sz="4" w:space="0" w:color="auto"/>
              <w:left w:val="single" w:sz="4" w:space="0" w:color="auto"/>
              <w:bottom w:val="single" w:sz="4" w:space="0" w:color="auto"/>
              <w:right w:val="single" w:sz="4" w:space="0" w:color="auto"/>
            </w:tcBorders>
            <w:hideMark/>
          </w:tcPr>
          <w:p w14:paraId="08110D46" w14:textId="77777777" w:rsidR="003663AF" w:rsidRPr="00B7760C" w:rsidRDefault="003663AF" w:rsidP="00E804B7">
            <w:pPr>
              <w:pStyle w:val="Normal6"/>
              <w:jc w:val="right"/>
              <w:rPr>
                <w:b/>
                <w:bCs/>
                <w:i/>
                <w:iCs/>
                <w:sz w:val="20"/>
              </w:rPr>
            </w:pPr>
            <w:r w:rsidRPr="00B7760C">
              <w:rPr>
                <w:b/>
                <w:bCs/>
                <w:i/>
                <w:iCs/>
                <w:sz w:val="20"/>
              </w:rPr>
              <w:t>71 439 928</w:t>
            </w:r>
          </w:p>
        </w:tc>
        <w:tc>
          <w:tcPr>
            <w:tcW w:w="1608" w:type="dxa"/>
            <w:tcBorders>
              <w:top w:val="single" w:sz="4" w:space="0" w:color="auto"/>
              <w:left w:val="single" w:sz="4" w:space="0" w:color="auto"/>
              <w:bottom w:val="single" w:sz="4" w:space="0" w:color="auto"/>
              <w:right w:val="single" w:sz="4" w:space="0" w:color="auto"/>
            </w:tcBorders>
            <w:hideMark/>
          </w:tcPr>
          <w:p w14:paraId="1136F2E6" w14:textId="77777777" w:rsidR="003663AF" w:rsidRPr="00B7760C" w:rsidRDefault="003663AF" w:rsidP="00E804B7">
            <w:pPr>
              <w:pStyle w:val="Normal6"/>
              <w:jc w:val="right"/>
              <w:rPr>
                <w:b/>
                <w:bCs/>
                <w:i/>
                <w:iCs/>
                <w:sz w:val="20"/>
              </w:rPr>
            </w:pPr>
            <w:r w:rsidRPr="00B7760C">
              <w:rPr>
                <w:b/>
                <w:bCs/>
                <w:i/>
                <w:iCs/>
                <w:sz w:val="20"/>
              </w:rPr>
              <w:t>70 039 145</w:t>
            </w:r>
          </w:p>
        </w:tc>
        <w:tc>
          <w:tcPr>
            <w:tcW w:w="1608" w:type="dxa"/>
            <w:tcBorders>
              <w:top w:val="single" w:sz="4" w:space="0" w:color="auto"/>
              <w:left w:val="single" w:sz="4" w:space="0" w:color="auto"/>
              <w:bottom w:val="single" w:sz="4" w:space="0" w:color="auto"/>
              <w:right w:val="single" w:sz="4" w:space="0" w:color="auto"/>
            </w:tcBorders>
            <w:hideMark/>
          </w:tcPr>
          <w:p w14:paraId="04112B70" w14:textId="77777777" w:rsidR="003663AF" w:rsidRPr="00B7760C" w:rsidRDefault="003663AF" w:rsidP="00E804B7">
            <w:pPr>
              <w:pStyle w:val="Normal6"/>
              <w:jc w:val="right"/>
              <w:rPr>
                <w:b/>
                <w:bCs/>
                <w:i/>
                <w:iCs/>
                <w:sz w:val="20"/>
              </w:rPr>
            </w:pPr>
            <w:r w:rsidRPr="00B7760C">
              <w:rPr>
                <w:b/>
                <w:bCs/>
                <w:i/>
                <w:iCs/>
                <w:sz w:val="20"/>
              </w:rPr>
              <w:t>68 665 828</w:t>
            </w:r>
          </w:p>
        </w:tc>
        <w:tc>
          <w:tcPr>
            <w:tcW w:w="1608" w:type="dxa"/>
            <w:tcBorders>
              <w:top w:val="single" w:sz="4" w:space="0" w:color="auto"/>
              <w:left w:val="single" w:sz="4" w:space="0" w:color="auto"/>
              <w:bottom w:val="single" w:sz="4" w:space="0" w:color="auto"/>
              <w:right w:val="single" w:sz="4" w:space="0" w:color="auto"/>
            </w:tcBorders>
            <w:hideMark/>
          </w:tcPr>
          <w:p w14:paraId="21BC1EE9" w14:textId="77777777" w:rsidR="003663AF" w:rsidRPr="00B7760C" w:rsidRDefault="003663AF" w:rsidP="00E804B7">
            <w:pPr>
              <w:pStyle w:val="Normal6"/>
              <w:jc w:val="right"/>
              <w:rPr>
                <w:b/>
                <w:bCs/>
                <w:i/>
                <w:iCs/>
                <w:sz w:val="20"/>
              </w:rPr>
            </w:pPr>
            <w:r w:rsidRPr="00B7760C">
              <w:rPr>
                <w:b/>
                <w:bCs/>
                <w:i/>
                <w:iCs/>
                <w:sz w:val="20"/>
              </w:rPr>
              <w:t>67 319 440</w:t>
            </w:r>
          </w:p>
        </w:tc>
        <w:tc>
          <w:tcPr>
            <w:tcW w:w="1608" w:type="dxa"/>
            <w:tcBorders>
              <w:top w:val="single" w:sz="4" w:space="0" w:color="auto"/>
              <w:left w:val="single" w:sz="4" w:space="0" w:color="auto"/>
              <w:bottom w:val="single" w:sz="4" w:space="0" w:color="auto"/>
              <w:right w:val="single" w:sz="4" w:space="0" w:color="auto"/>
            </w:tcBorders>
            <w:hideMark/>
          </w:tcPr>
          <w:p w14:paraId="48FAA577" w14:textId="77777777" w:rsidR="003663AF" w:rsidRPr="00B7760C" w:rsidRDefault="003663AF" w:rsidP="00E804B7">
            <w:pPr>
              <w:pStyle w:val="Normal6"/>
              <w:jc w:val="right"/>
              <w:rPr>
                <w:b/>
                <w:bCs/>
                <w:i/>
                <w:iCs/>
                <w:sz w:val="20"/>
              </w:rPr>
            </w:pPr>
            <w:r w:rsidRPr="00B7760C">
              <w:rPr>
                <w:b/>
                <w:bCs/>
                <w:i/>
                <w:iCs/>
                <w:sz w:val="20"/>
              </w:rPr>
              <w:t>65 999 451</w:t>
            </w:r>
          </w:p>
        </w:tc>
        <w:tc>
          <w:tcPr>
            <w:tcW w:w="1608" w:type="dxa"/>
            <w:tcBorders>
              <w:top w:val="single" w:sz="4" w:space="0" w:color="auto"/>
              <w:left w:val="single" w:sz="4" w:space="0" w:color="auto"/>
              <w:bottom w:val="single" w:sz="4" w:space="0" w:color="auto"/>
              <w:right w:val="single" w:sz="4" w:space="0" w:color="auto"/>
            </w:tcBorders>
            <w:hideMark/>
          </w:tcPr>
          <w:p w14:paraId="52AA9162" w14:textId="77777777" w:rsidR="003663AF" w:rsidRPr="00B7760C" w:rsidRDefault="003663AF" w:rsidP="00E804B7">
            <w:pPr>
              <w:pStyle w:val="Normal6"/>
              <w:jc w:val="right"/>
              <w:rPr>
                <w:b/>
                <w:bCs/>
                <w:i/>
                <w:iCs/>
                <w:sz w:val="20"/>
              </w:rPr>
            </w:pPr>
            <w:r w:rsidRPr="00B7760C">
              <w:rPr>
                <w:b/>
                <w:bCs/>
                <w:i/>
                <w:iCs/>
                <w:sz w:val="20"/>
              </w:rPr>
              <w:t>64 705 344</w:t>
            </w:r>
          </w:p>
        </w:tc>
        <w:tc>
          <w:tcPr>
            <w:tcW w:w="1608" w:type="dxa"/>
            <w:tcBorders>
              <w:top w:val="single" w:sz="4" w:space="0" w:color="auto"/>
              <w:left w:val="single" w:sz="4" w:space="0" w:color="auto"/>
              <w:bottom w:val="single" w:sz="4" w:space="0" w:color="auto"/>
              <w:right w:val="single" w:sz="4" w:space="0" w:color="auto"/>
            </w:tcBorders>
            <w:hideMark/>
          </w:tcPr>
          <w:p w14:paraId="74983D8E" w14:textId="77777777" w:rsidR="003663AF" w:rsidRPr="00B7760C" w:rsidRDefault="003663AF" w:rsidP="00E804B7">
            <w:pPr>
              <w:pStyle w:val="Normal6"/>
              <w:jc w:val="right"/>
              <w:rPr>
                <w:b/>
                <w:bCs/>
                <w:i/>
                <w:iCs/>
                <w:sz w:val="20"/>
              </w:rPr>
            </w:pPr>
            <w:r w:rsidRPr="00B7760C">
              <w:rPr>
                <w:b/>
                <w:bCs/>
                <w:i/>
                <w:iCs/>
                <w:sz w:val="20"/>
              </w:rPr>
              <w:t>63 436 611</w:t>
            </w:r>
          </w:p>
        </w:tc>
        <w:tc>
          <w:tcPr>
            <w:tcW w:w="1616" w:type="dxa"/>
            <w:tcBorders>
              <w:top w:val="single" w:sz="4" w:space="0" w:color="auto"/>
              <w:left w:val="single" w:sz="4" w:space="0" w:color="auto"/>
              <w:bottom w:val="single" w:sz="4" w:space="0" w:color="auto"/>
              <w:right w:val="single" w:sz="4" w:space="0" w:color="auto"/>
            </w:tcBorders>
            <w:hideMark/>
          </w:tcPr>
          <w:p w14:paraId="0F7E7271" w14:textId="77777777" w:rsidR="003663AF" w:rsidRPr="00B7760C" w:rsidRDefault="003663AF" w:rsidP="00E804B7">
            <w:pPr>
              <w:pStyle w:val="Normal6"/>
              <w:jc w:val="right"/>
              <w:rPr>
                <w:b/>
                <w:bCs/>
                <w:i/>
                <w:iCs/>
                <w:sz w:val="20"/>
              </w:rPr>
            </w:pPr>
            <w:r w:rsidRPr="00B7760C">
              <w:rPr>
                <w:b/>
                <w:bCs/>
                <w:i/>
                <w:iCs/>
                <w:sz w:val="20"/>
              </w:rPr>
              <w:t>471 605 747</w:t>
            </w:r>
          </w:p>
        </w:tc>
      </w:tr>
      <w:tr w:rsidR="003663AF" w:rsidRPr="00B7760C" w14:paraId="3543079D" w14:textId="77777777" w:rsidTr="00E804B7">
        <w:trPr>
          <w:cantSplit/>
          <w:trHeight w:val="255"/>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14:paraId="6C2636F0" w14:textId="77777777" w:rsidR="003663AF" w:rsidRPr="00B7760C" w:rsidRDefault="003663AF" w:rsidP="00E804B7">
            <w:pPr>
              <w:pStyle w:val="Normal6"/>
              <w:rPr>
                <w:sz w:val="20"/>
              </w:rPr>
            </w:pPr>
            <w:r w:rsidRPr="00B7760C">
              <w:rPr>
                <w:sz w:val="20"/>
              </w:rPr>
              <w:t>Nemčija</w:t>
            </w:r>
          </w:p>
        </w:tc>
        <w:tc>
          <w:tcPr>
            <w:tcW w:w="1608" w:type="dxa"/>
            <w:tcBorders>
              <w:top w:val="single" w:sz="4" w:space="0" w:color="auto"/>
              <w:left w:val="single" w:sz="4" w:space="0" w:color="auto"/>
              <w:bottom w:val="single" w:sz="4" w:space="0" w:color="auto"/>
              <w:right w:val="single" w:sz="4" w:space="0" w:color="auto"/>
            </w:tcBorders>
            <w:hideMark/>
          </w:tcPr>
          <w:p w14:paraId="11168DE7" w14:textId="77777777" w:rsidR="003663AF" w:rsidRPr="00B7760C" w:rsidRDefault="003663AF" w:rsidP="00E804B7">
            <w:pPr>
              <w:pStyle w:val="Normal6"/>
              <w:jc w:val="right"/>
              <w:rPr>
                <w:b/>
                <w:bCs/>
                <w:i/>
                <w:iCs/>
                <w:sz w:val="20"/>
              </w:rPr>
            </w:pPr>
            <w:r w:rsidRPr="00B7760C">
              <w:rPr>
                <w:b/>
                <w:bCs/>
                <w:i/>
                <w:iCs/>
                <w:sz w:val="20"/>
              </w:rPr>
              <w:t>932 828 433</w:t>
            </w:r>
          </w:p>
        </w:tc>
        <w:tc>
          <w:tcPr>
            <w:tcW w:w="1608" w:type="dxa"/>
            <w:tcBorders>
              <w:top w:val="single" w:sz="4" w:space="0" w:color="auto"/>
              <w:left w:val="single" w:sz="4" w:space="0" w:color="auto"/>
              <w:bottom w:val="single" w:sz="4" w:space="0" w:color="auto"/>
              <w:right w:val="single" w:sz="4" w:space="0" w:color="auto"/>
            </w:tcBorders>
            <w:hideMark/>
          </w:tcPr>
          <w:p w14:paraId="294E878C" w14:textId="77777777" w:rsidR="003663AF" w:rsidRPr="00B7760C" w:rsidRDefault="003663AF" w:rsidP="00E804B7">
            <w:pPr>
              <w:pStyle w:val="Normal6"/>
              <w:jc w:val="right"/>
              <w:rPr>
                <w:b/>
                <w:bCs/>
                <w:i/>
                <w:iCs/>
                <w:sz w:val="20"/>
              </w:rPr>
            </w:pPr>
            <w:r w:rsidRPr="00B7760C">
              <w:rPr>
                <w:b/>
                <w:bCs/>
                <w:i/>
                <w:iCs/>
                <w:sz w:val="20"/>
              </w:rPr>
              <w:t>914 537 679</w:t>
            </w:r>
          </w:p>
        </w:tc>
        <w:tc>
          <w:tcPr>
            <w:tcW w:w="1608" w:type="dxa"/>
            <w:tcBorders>
              <w:top w:val="single" w:sz="4" w:space="0" w:color="auto"/>
              <w:left w:val="single" w:sz="4" w:space="0" w:color="auto"/>
              <w:bottom w:val="single" w:sz="4" w:space="0" w:color="auto"/>
              <w:right w:val="single" w:sz="4" w:space="0" w:color="auto"/>
            </w:tcBorders>
            <w:hideMark/>
          </w:tcPr>
          <w:p w14:paraId="44B2DB47" w14:textId="77777777" w:rsidR="003663AF" w:rsidRPr="00B7760C" w:rsidRDefault="003663AF" w:rsidP="00E804B7">
            <w:pPr>
              <w:pStyle w:val="Normal6"/>
              <w:jc w:val="right"/>
              <w:rPr>
                <w:b/>
                <w:bCs/>
                <w:i/>
                <w:iCs/>
                <w:sz w:val="20"/>
              </w:rPr>
            </w:pPr>
            <w:r w:rsidRPr="00B7760C">
              <w:rPr>
                <w:b/>
                <w:bCs/>
                <w:i/>
                <w:iCs/>
                <w:sz w:val="20"/>
              </w:rPr>
              <w:t>896 605 568</w:t>
            </w:r>
          </w:p>
        </w:tc>
        <w:tc>
          <w:tcPr>
            <w:tcW w:w="1608" w:type="dxa"/>
            <w:tcBorders>
              <w:top w:val="single" w:sz="4" w:space="0" w:color="auto"/>
              <w:left w:val="single" w:sz="4" w:space="0" w:color="auto"/>
              <w:bottom w:val="single" w:sz="4" w:space="0" w:color="auto"/>
              <w:right w:val="single" w:sz="4" w:space="0" w:color="auto"/>
            </w:tcBorders>
            <w:hideMark/>
          </w:tcPr>
          <w:p w14:paraId="1C930F55" w14:textId="77777777" w:rsidR="003663AF" w:rsidRPr="00B7760C" w:rsidRDefault="003663AF" w:rsidP="00E804B7">
            <w:pPr>
              <w:pStyle w:val="Normal6"/>
              <w:jc w:val="right"/>
              <w:rPr>
                <w:b/>
                <w:bCs/>
                <w:i/>
                <w:iCs/>
                <w:sz w:val="20"/>
              </w:rPr>
            </w:pPr>
            <w:r w:rsidRPr="00B7760C">
              <w:rPr>
                <w:b/>
                <w:bCs/>
                <w:i/>
                <w:iCs/>
                <w:sz w:val="20"/>
              </w:rPr>
              <w:t>879 025 067</w:t>
            </w:r>
          </w:p>
        </w:tc>
        <w:tc>
          <w:tcPr>
            <w:tcW w:w="1608" w:type="dxa"/>
            <w:tcBorders>
              <w:top w:val="single" w:sz="4" w:space="0" w:color="auto"/>
              <w:left w:val="single" w:sz="4" w:space="0" w:color="auto"/>
              <w:bottom w:val="single" w:sz="4" w:space="0" w:color="auto"/>
              <w:right w:val="single" w:sz="4" w:space="0" w:color="auto"/>
            </w:tcBorders>
            <w:hideMark/>
          </w:tcPr>
          <w:p w14:paraId="50BFEFDE" w14:textId="77777777" w:rsidR="003663AF" w:rsidRPr="00B7760C" w:rsidRDefault="003663AF" w:rsidP="00E804B7">
            <w:pPr>
              <w:pStyle w:val="Normal6"/>
              <w:jc w:val="right"/>
              <w:rPr>
                <w:b/>
                <w:bCs/>
                <w:i/>
                <w:iCs/>
                <w:sz w:val="20"/>
              </w:rPr>
            </w:pPr>
            <w:r w:rsidRPr="00B7760C">
              <w:rPr>
                <w:b/>
                <w:bCs/>
                <w:i/>
                <w:iCs/>
                <w:sz w:val="20"/>
              </w:rPr>
              <w:t>861 789 281</w:t>
            </w:r>
          </w:p>
        </w:tc>
        <w:tc>
          <w:tcPr>
            <w:tcW w:w="1608" w:type="dxa"/>
            <w:tcBorders>
              <w:top w:val="single" w:sz="4" w:space="0" w:color="auto"/>
              <w:left w:val="single" w:sz="4" w:space="0" w:color="auto"/>
              <w:bottom w:val="single" w:sz="4" w:space="0" w:color="auto"/>
              <w:right w:val="single" w:sz="4" w:space="0" w:color="auto"/>
            </w:tcBorders>
            <w:hideMark/>
          </w:tcPr>
          <w:p w14:paraId="6E61F621" w14:textId="77777777" w:rsidR="003663AF" w:rsidRPr="00B7760C" w:rsidRDefault="003663AF" w:rsidP="00E804B7">
            <w:pPr>
              <w:pStyle w:val="Normal6"/>
              <w:jc w:val="right"/>
              <w:rPr>
                <w:b/>
                <w:bCs/>
                <w:i/>
                <w:iCs/>
                <w:sz w:val="20"/>
              </w:rPr>
            </w:pPr>
            <w:r w:rsidRPr="00B7760C">
              <w:rPr>
                <w:b/>
                <w:bCs/>
                <w:i/>
                <w:iCs/>
                <w:sz w:val="20"/>
              </w:rPr>
              <w:t>844 891 452</w:t>
            </w:r>
          </w:p>
        </w:tc>
        <w:tc>
          <w:tcPr>
            <w:tcW w:w="1608" w:type="dxa"/>
            <w:tcBorders>
              <w:top w:val="single" w:sz="4" w:space="0" w:color="auto"/>
              <w:left w:val="single" w:sz="4" w:space="0" w:color="auto"/>
              <w:bottom w:val="single" w:sz="4" w:space="0" w:color="auto"/>
              <w:right w:val="single" w:sz="4" w:space="0" w:color="auto"/>
            </w:tcBorders>
            <w:hideMark/>
          </w:tcPr>
          <w:p w14:paraId="3F2C5210" w14:textId="77777777" w:rsidR="003663AF" w:rsidRPr="00B7760C" w:rsidRDefault="003663AF" w:rsidP="00E804B7">
            <w:pPr>
              <w:pStyle w:val="Normal6"/>
              <w:jc w:val="right"/>
              <w:rPr>
                <w:b/>
                <w:bCs/>
                <w:i/>
                <w:iCs/>
                <w:sz w:val="20"/>
              </w:rPr>
            </w:pPr>
            <w:r w:rsidRPr="00B7760C">
              <w:rPr>
                <w:b/>
                <w:bCs/>
                <w:i/>
                <w:iCs/>
                <w:sz w:val="20"/>
              </w:rPr>
              <w:t>828 324 953</w:t>
            </w:r>
          </w:p>
        </w:tc>
        <w:tc>
          <w:tcPr>
            <w:tcW w:w="1616" w:type="dxa"/>
            <w:tcBorders>
              <w:top w:val="single" w:sz="4" w:space="0" w:color="auto"/>
              <w:left w:val="single" w:sz="4" w:space="0" w:color="auto"/>
              <w:bottom w:val="single" w:sz="4" w:space="0" w:color="auto"/>
              <w:right w:val="single" w:sz="4" w:space="0" w:color="auto"/>
            </w:tcBorders>
            <w:hideMark/>
          </w:tcPr>
          <w:p w14:paraId="2255163E" w14:textId="77777777" w:rsidR="003663AF" w:rsidRPr="00B7760C" w:rsidRDefault="003663AF" w:rsidP="00E804B7">
            <w:pPr>
              <w:pStyle w:val="Normal6"/>
              <w:jc w:val="right"/>
              <w:rPr>
                <w:b/>
                <w:bCs/>
                <w:i/>
                <w:iCs/>
                <w:sz w:val="20"/>
              </w:rPr>
            </w:pPr>
            <w:r w:rsidRPr="00B7760C">
              <w:rPr>
                <w:b/>
                <w:bCs/>
                <w:i/>
                <w:iCs/>
                <w:sz w:val="20"/>
              </w:rPr>
              <w:t>6 158 002 433</w:t>
            </w:r>
          </w:p>
        </w:tc>
      </w:tr>
      <w:tr w:rsidR="003663AF" w:rsidRPr="00B7760C" w14:paraId="26678ACA" w14:textId="77777777" w:rsidTr="00E804B7">
        <w:trPr>
          <w:cantSplit/>
          <w:trHeight w:val="255"/>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14:paraId="6787E9A0" w14:textId="77777777" w:rsidR="003663AF" w:rsidRPr="00B7760C" w:rsidRDefault="003663AF" w:rsidP="00E804B7">
            <w:pPr>
              <w:pStyle w:val="Normal6"/>
              <w:rPr>
                <w:sz w:val="20"/>
              </w:rPr>
            </w:pPr>
            <w:r w:rsidRPr="00B7760C">
              <w:rPr>
                <w:sz w:val="20"/>
              </w:rPr>
              <w:t>Estonija</w:t>
            </w:r>
          </w:p>
        </w:tc>
        <w:tc>
          <w:tcPr>
            <w:tcW w:w="1608" w:type="dxa"/>
            <w:tcBorders>
              <w:top w:val="single" w:sz="4" w:space="0" w:color="auto"/>
              <w:left w:val="single" w:sz="4" w:space="0" w:color="auto"/>
              <w:bottom w:val="single" w:sz="4" w:space="0" w:color="auto"/>
              <w:right w:val="single" w:sz="4" w:space="0" w:color="auto"/>
            </w:tcBorders>
            <w:hideMark/>
          </w:tcPr>
          <w:p w14:paraId="641A85ED" w14:textId="77777777" w:rsidR="003663AF" w:rsidRPr="00B7760C" w:rsidRDefault="003663AF" w:rsidP="00E804B7">
            <w:pPr>
              <w:pStyle w:val="Normal6"/>
              <w:jc w:val="right"/>
              <w:rPr>
                <w:b/>
                <w:bCs/>
                <w:i/>
                <w:iCs/>
                <w:sz w:val="20"/>
              </w:rPr>
            </w:pPr>
            <w:r w:rsidRPr="00B7760C">
              <w:rPr>
                <w:b/>
                <w:bCs/>
                <w:i/>
                <w:iCs/>
                <w:sz w:val="20"/>
              </w:rPr>
              <w:t>82 807 411</w:t>
            </w:r>
          </w:p>
        </w:tc>
        <w:tc>
          <w:tcPr>
            <w:tcW w:w="1608" w:type="dxa"/>
            <w:tcBorders>
              <w:top w:val="single" w:sz="4" w:space="0" w:color="auto"/>
              <w:left w:val="single" w:sz="4" w:space="0" w:color="auto"/>
              <w:bottom w:val="single" w:sz="4" w:space="0" w:color="auto"/>
              <w:right w:val="single" w:sz="4" w:space="0" w:color="auto"/>
            </w:tcBorders>
            <w:hideMark/>
          </w:tcPr>
          <w:p w14:paraId="6890B707" w14:textId="77777777" w:rsidR="003663AF" w:rsidRPr="00B7760C" w:rsidRDefault="003663AF" w:rsidP="00E804B7">
            <w:pPr>
              <w:pStyle w:val="Normal6"/>
              <w:jc w:val="right"/>
              <w:rPr>
                <w:b/>
                <w:bCs/>
                <w:i/>
                <w:iCs/>
                <w:sz w:val="20"/>
              </w:rPr>
            </w:pPr>
            <w:r w:rsidRPr="00B7760C">
              <w:rPr>
                <w:b/>
                <w:bCs/>
                <w:i/>
                <w:iCs/>
                <w:sz w:val="20"/>
              </w:rPr>
              <w:t>81 183 737</w:t>
            </w:r>
          </w:p>
        </w:tc>
        <w:tc>
          <w:tcPr>
            <w:tcW w:w="1608" w:type="dxa"/>
            <w:tcBorders>
              <w:top w:val="single" w:sz="4" w:space="0" w:color="auto"/>
              <w:left w:val="single" w:sz="4" w:space="0" w:color="auto"/>
              <w:bottom w:val="single" w:sz="4" w:space="0" w:color="auto"/>
              <w:right w:val="single" w:sz="4" w:space="0" w:color="auto"/>
            </w:tcBorders>
            <w:hideMark/>
          </w:tcPr>
          <w:p w14:paraId="12CA70E5" w14:textId="77777777" w:rsidR="003663AF" w:rsidRPr="00B7760C" w:rsidRDefault="003663AF" w:rsidP="00E804B7">
            <w:pPr>
              <w:pStyle w:val="Normal6"/>
              <w:jc w:val="right"/>
              <w:rPr>
                <w:b/>
                <w:bCs/>
                <w:i/>
                <w:iCs/>
                <w:sz w:val="20"/>
              </w:rPr>
            </w:pPr>
            <w:r w:rsidRPr="00B7760C">
              <w:rPr>
                <w:b/>
                <w:bCs/>
                <w:i/>
                <w:iCs/>
                <w:sz w:val="20"/>
              </w:rPr>
              <w:t>79 591 899</w:t>
            </w:r>
          </w:p>
        </w:tc>
        <w:tc>
          <w:tcPr>
            <w:tcW w:w="1608" w:type="dxa"/>
            <w:tcBorders>
              <w:top w:val="single" w:sz="4" w:space="0" w:color="auto"/>
              <w:left w:val="single" w:sz="4" w:space="0" w:color="auto"/>
              <w:bottom w:val="single" w:sz="4" w:space="0" w:color="auto"/>
              <w:right w:val="single" w:sz="4" w:space="0" w:color="auto"/>
            </w:tcBorders>
            <w:hideMark/>
          </w:tcPr>
          <w:p w14:paraId="7B59C380" w14:textId="77777777" w:rsidR="003663AF" w:rsidRPr="00B7760C" w:rsidRDefault="003663AF" w:rsidP="00E804B7">
            <w:pPr>
              <w:pStyle w:val="Normal6"/>
              <w:jc w:val="right"/>
              <w:rPr>
                <w:b/>
                <w:bCs/>
                <w:i/>
                <w:iCs/>
                <w:sz w:val="20"/>
              </w:rPr>
            </w:pPr>
            <w:r w:rsidRPr="00B7760C">
              <w:rPr>
                <w:b/>
                <w:bCs/>
                <w:i/>
                <w:iCs/>
                <w:sz w:val="20"/>
              </w:rPr>
              <w:t>78 031 273</w:t>
            </w:r>
          </w:p>
        </w:tc>
        <w:tc>
          <w:tcPr>
            <w:tcW w:w="1608" w:type="dxa"/>
            <w:tcBorders>
              <w:top w:val="single" w:sz="4" w:space="0" w:color="auto"/>
              <w:left w:val="single" w:sz="4" w:space="0" w:color="auto"/>
              <w:bottom w:val="single" w:sz="4" w:space="0" w:color="auto"/>
              <w:right w:val="single" w:sz="4" w:space="0" w:color="auto"/>
            </w:tcBorders>
            <w:hideMark/>
          </w:tcPr>
          <w:p w14:paraId="3DADFC30" w14:textId="77777777" w:rsidR="003663AF" w:rsidRPr="00B7760C" w:rsidRDefault="003663AF" w:rsidP="00E804B7">
            <w:pPr>
              <w:pStyle w:val="Normal6"/>
              <w:jc w:val="right"/>
              <w:rPr>
                <w:b/>
                <w:bCs/>
                <w:i/>
                <w:iCs/>
                <w:sz w:val="20"/>
              </w:rPr>
            </w:pPr>
            <w:r w:rsidRPr="00B7760C">
              <w:rPr>
                <w:b/>
                <w:bCs/>
                <w:i/>
                <w:iCs/>
                <w:sz w:val="20"/>
              </w:rPr>
              <w:t>76 501 248</w:t>
            </w:r>
          </w:p>
        </w:tc>
        <w:tc>
          <w:tcPr>
            <w:tcW w:w="1608" w:type="dxa"/>
            <w:tcBorders>
              <w:top w:val="single" w:sz="4" w:space="0" w:color="auto"/>
              <w:left w:val="single" w:sz="4" w:space="0" w:color="auto"/>
              <w:bottom w:val="single" w:sz="4" w:space="0" w:color="auto"/>
              <w:right w:val="single" w:sz="4" w:space="0" w:color="auto"/>
            </w:tcBorders>
            <w:hideMark/>
          </w:tcPr>
          <w:p w14:paraId="56B08C7C" w14:textId="77777777" w:rsidR="003663AF" w:rsidRPr="00B7760C" w:rsidRDefault="003663AF" w:rsidP="00E804B7">
            <w:pPr>
              <w:pStyle w:val="Normal6"/>
              <w:jc w:val="right"/>
              <w:rPr>
                <w:b/>
                <w:bCs/>
                <w:i/>
                <w:iCs/>
                <w:sz w:val="20"/>
              </w:rPr>
            </w:pPr>
            <w:r w:rsidRPr="00B7760C">
              <w:rPr>
                <w:b/>
                <w:bCs/>
                <w:i/>
                <w:iCs/>
                <w:sz w:val="20"/>
              </w:rPr>
              <w:t>75 001 224</w:t>
            </w:r>
          </w:p>
        </w:tc>
        <w:tc>
          <w:tcPr>
            <w:tcW w:w="1608" w:type="dxa"/>
            <w:tcBorders>
              <w:top w:val="single" w:sz="4" w:space="0" w:color="auto"/>
              <w:left w:val="single" w:sz="4" w:space="0" w:color="auto"/>
              <w:bottom w:val="single" w:sz="4" w:space="0" w:color="auto"/>
              <w:right w:val="single" w:sz="4" w:space="0" w:color="auto"/>
            </w:tcBorders>
            <w:hideMark/>
          </w:tcPr>
          <w:p w14:paraId="4E0A6316" w14:textId="77777777" w:rsidR="003663AF" w:rsidRPr="00B7760C" w:rsidRDefault="003663AF" w:rsidP="00E804B7">
            <w:pPr>
              <w:pStyle w:val="Normal6"/>
              <w:jc w:val="right"/>
              <w:rPr>
                <w:b/>
                <w:bCs/>
                <w:i/>
                <w:iCs/>
                <w:sz w:val="20"/>
              </w:rPr>
            </w:pPr>
            <w:r w:rsidRPr="00B7760C">
              <w:rPr>
                <w:b/>
                <w:bCs/>
                <w:i/>
                <w:iCs/>
                <w:sz w:val="20"/>
              </w:rPr>
              <w:t>73 530 611</w:t>
            </w:r>
          </w:p>
        </w:tc>
        <w:tc>
          <w:tcPr>
            <w:tcW w:w="1616" w:type="dxa"/>
            <w:tcBorders>
              <w:top w:val="single" w:sz="4" w:space="0" w:color="auto"/>
              <w:left w:val="single" w:sz="4" w:space="0" w:color="auto"/>
              <w:bottom w:val="single" w:sz="4" w:space="0" w:color="auto"/>
              <w:right w:val="single" w:sz="4" w:space="0" w:color="auto"/>
            </w:tcBorders>
            <w:hideMark/>
          </w:tcPr>
          <w:p w14:paraId="7F882E5C" w14:textId="77777777" w:rsidR="003663AF" w:rsidRPr="00B7760C" w:rsidRDefault="003663AF" w:rsidP="00E804B7">
            <w:pPr>
              <w:pStyle w:val="Normal6"/>
              <w:jc w:val="right"/>
              <w:rPr>
                <w:b/>
                <w:bCs/>
                <w:i/>
                <w:iCs/>
                <w:sz w:val="20"/>
              </w:rPr>
            </w:pPr>
            <w:r w:rsidRPr="00B7760C">
              <w:rPr>
                <w:b/>
                <w:bCs/>
                <w:i/>
                <w:iCs/>
                <w:sz w:val="20"/>
              </w:rPr>
              <w:t xml:space="preserve"> 546 647 403</w:t>
            </w:r>
          </w:p>
        </w:tc>
      </w:tr>
      <w:tr w:rsidR="003663AF" w:rsidRPr="00B7760C" w14:paraId="64526B86" w14:textId="77777777" w:rsidTr="00E804B7">
        <w:trPr>
          <w:cantSplit/>
          <w:trHeight w:val="255"/>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14:paraId="6D443B86" w14:textId="77777777" w:rsidR="003663AF" w:rsidRPr="00B7760C" w:rsidRDefault="003663AF" w:rsidP="00E804B7">
            <w:pPr>
              <w:pStyle w:val="Normal6"/>
              <w:rPr>
                <w:sz w:val="20"/>
              </w:rPr>
            </w:pPr>
            <w:r w:rsidRPr="00B7760C">
              <w:rPr>
                <w:sz w:val="20"/>
              </w:rPr>
              <w:t>Irska</w:t>
            </w:r>
          </w:p>
        </w:tc>
        <w:tc>
          <w:tcPr>
            <w:tcW w:w="1608" w:type="dxa"/>
            <w:tcBorders>
              <w:top w:val="single" w:sz="4" w:space="0" w:color="auto"/>
              <w:left w:val="single" w:sz="4" w:space="0" w:color="auto"/>
              <w:bottom w:val="single" w:sz="4" w:space="0" w:color="auto"/>
              <w:right w:val="single" w:sz="4" w:space="0" w:color="auto"/>
            </w:tcBorders>
            <w:hideMark/>
          </w:tcPr>
          <w:p w14:paraId="6DAC8335" w14:textId="77777777" w:rsidR="003663AF" w:rsidRPr="00B7760C" w:rsidRDefault="003663AF" w:rsidP="00E804B7">
            <w:pPr>
              <w:pStyle w:val="Normal6"/>
              <w:jc w:val="right"/>
              <w:rPr>
                <w:b/>
                <w:bCs/>
                <w:i/>
                <w:iCs/>
                <w:sz w:val="20"/>
              </w:rPr>
            </w:pPr>
            <w:r w:rsidRPr="00B7760C">
              <w:rPr>
                <w:b/>
                <w:bCs/>
                <w:i/>
                <w:iCs/>
                <w:sz w:val="20"/>
              </w:rPr>
              <w:t>249 405 348</w:t>
            </w:r>
          </w:p>
        </w:tc>
        <w:tc>
          <w:tcPr>
            <w:tcW w:w="1608" w:type="dxa"/>
            <w:tcBorders>
              <w:top w:val="single" w:sz="4" w:space="0" w:color="auto"/>
              <w:left w:val="single" w:sz="4" w:space="0" w:color="auto"/>
              <w:bottom w:val="single" w:sz="4" w:space="0" w:color="auto"/>
              <w:right w:val="single" w:sz="4" w:space="0" w:color="auto"/>
            </w:tcBorders>
            <w:hideMark/>
          </w:tcPr>
          <w:p w14:paraId="0E326817" w14:textId="77777777" w:rsidR="003663AF" w:rsidRPr="00B7760C" w:rsidRDefault="003663AF" w:rsidP="00E804B7">
            <w:pPr>
              <w:pStyle w:val="Normal6"/>
              <w:jc w:val="right"/>
              <w:rPr>
                <w:b/>
                <w:bCs/>
                <w:i/>
                <w:iCs/>
                <w:sz w:val="20"/>
              </w:rPr>
            </w:pPr>
            <w:r w:rsidRPr="00B7760C">
              <w:rPr>
                <w:b/>
                <w:bCs/>
                <w:i/>
                <w:iCs/>
                <w:sz w:val="20"/>
              </w:rPr>
              <w:t>244 515 047</w:t>
            </w:r>
          </w:p>
        </w:tc>
        <w:tc>
          <w:tcPr>
            <w:tcW w:w="1608" w:type="dxa"/>
            <w:tcBorders>
              <w:top w:val="single" w:sz="4" w:space="0" w:color="auto"/>
              <w:left w:val="single" w:sz="4" w:space="0" w:color="auto"/>
              <w:bottom w:val="single" w:sz="4" w:space="0" w:color="auto"/>
              <w:right w:val="single" w:sz="4" w:space="0" w:color="auto"/>
            </w:tcBorders>
            <w:hideMark/>
          </w:tcPr>
          <w:p w14:paraId="3ECFFA1F" w14:textId="77777777" w:rsidR="003663AF" w:rsidRPr="00B7760C" w:rsidRDefault="003663AF" w:rsidP="00E804B7">
            <w:pPr>
              <w:pStyle w:val="Normal6"/>
              <w:jc w:val="right"/>
              <w:rPr>
                <w:b/>
                <w:bCs/>
                <w:i/>
                <w:iCs/>
                <w:sz w:val="20"/>
              </w:rPr>
            </w:pPr>
            <w:r w:rsidRPr="00B7760C">
              <w:rPr>
                <w:b/>
                <w:bCs/>
                <w:i/>
                <w:iCs/>
                <w:sz w:val="20"/>
              </w:rPr>
              <w:t>239 720 635</w:t>
            </w:r>
          </w:p>
        </w:tc>
        <w:tc>
          <w:tcPr>
            <w:tcW w:w="1608" w:type="dxa"/>
            <w:tcBorders>
              <w:top w:val="single" w:sz="4" w:space="0" w:color="auto"/>
              <w:left w:val="single" w:sz="4" w:space="0" w:color="auto"/>
              <w:bottom w:val="single" w:sz="4" w:space="0" w:color="auto"/>
              <w:right w:val="single" w:sz="4" w:space="0" w:color="auto"/>
            </w:tcBorders>
            <w:hideMark/>
          </w:tcPr>
          <w:p w14:paraId="4BBB40D7" w14:textId="77777777" w:rsidR="003663AF" w:rsidRPr="00B7760C" w:rsidRDefault="003663AF" w:rsidP="00E804B7">
            <w:pPr>
              <w:pStyle w:val="Normal6"/>
              <w:jc w:val="right"/>
              <w:rPr>
                <w:b/>
                <w:bCs/>
                <w:i/>
                <w:iCs/>
                <w:sz w:val="20"/>
              </w:rPr>
            </w:pPr>
            <w:r w:rsidRPr="00B7760C">
              <w:rPr>
                <w:b/>
                <w:bCs/>
                <w:i/>
                <w:iCs/>
                <w:sz w:val="20"/>
              </w:rPr>
              <w:t>235 020 230</w:t>
            </w:r>
          </w:p>
        </w:tc>
        <w:tc>
          <w:tcPr>
            <w:tcW w:w="1608" w:type="dxa"/>
            <w:tcBorders>
              <w:top w:val="single" w:sz="4" w:space="0" w:color="auto"/>
              <w:left w:val="single" w:sz="4" w:space="0" w:color="auto"/>
              <w:bottom w:val="single" w:sz="4" w:space="0" w:color="auto"/>
              <w:right w:val="single" w:sz="4" w:space="0" w:color="auto"/>
            </w:tcBorders>
            <w:hideMark/>
          </w:tcPr>
          <w:p w14:paraId="69B3602E" w14:textId="77777777" w:rsidR="003663AF" w:rsidRPr="00B7760C" w:rsidRDefault="003663AF" w:rsidP="00E804B7">
            <w:pPr>
              <w:pStyle w:val="Normal6"/>
              <w:jc w:val="right"/>
              <w:rPr>
                <w:b/>
                <w:bCs/>
                <w:i/>
                <w:iCs/>
                <w:sz w:val="20"/>
              </w:rPr>
            </w:pPr>
            <w:r w:rsidRPr="00B7760C">
              <w:rPr>
                <w:b/>
                <w:bCs/>
                <w:i/>
                <w:iCs/>
                <w:sz w:val="20"/>
              </w:rPr>
              <w:t>230 411 990</w:t>
            </w:r>
          </w:p>
        </w:tc>
        <w:tc>
          <w:tcPr>
            <w:tcW w:w="1608" w:type="dxa"/>
            <w:tcBorders>
              <w:top w:val="single" w:sz="4" w:space="0" w:color="auto"/>
              <w:left w:val="single" w:sz="4" w:space="0" w:color="auto"/>
              <w:bottom w:val="single" w:sz="4" w:space="0" w:color="auto"/>
              <w:right w:val="single" w:sz="4" w:space="0" w:color="auto"/>
            </w:tcBorders>
            <w:hideMark/>
          </w:tcPr>
          <w:p w14:paraId="217DAA04" w14:textId="77777777" w:rsidR="003663AF" w:rsidRPr="00B7760C" w:rsidRDefault="003663AF" w:rsidP="00E804B7">
            <w:pPr>
              <w:pStyle w:val="Normal6"/>
              <w:jc w:val="right"/>
              <w:rPr>
                <w:b/>
                <w:bCs/>
                <w:i/>
                <w:iCs/>
                <w:sz w:val="20"/>
              </w:rPr>
            </w:pPr>
            <w:r w:rsidRPr="00B7760C">
              <w:rPr>
                <w:b/>
                <w:bCs/>
                <w:i/>
                <w:iCs/>
                <w:sz w:val="20"/>
              </w:rPr>
              <w:t>225 894 108</w:t>
            </w:r>
          </w:p>
        </w:tc>
        <w:tc>
          <w:tcPr>
            <w:tcW w:w="1608" w:type="dxa"/>
            <w:tcBorders>
              <w:top w:val="single" w:sz="4" w:space="0" w:color="auto"/>
              <w:left w:val="single" w:sz="4" w:space="0" w:color="auto"/>
              <w:bottom w:val="single" w:sz="4" w:space="0" w:color="auto"/>
              <w:right w:val="single" w:sz="4" w:space="0" w:color="auto"/>
            </w:tcBorders>
            <w:hideMark/>
          </w:tcPr>
          <w:p w14:paraId="6CF0251B" w14:textId="77777777" w:rsidR="003663AF" w:rsidRPr="00B7760C" w:rsidRDefault="003663AF" w:rsidP="00E804B7">
            <w:pPr>
              <w:pStyle w:val="Normal6"/>
              <w:jc w:val="right"/>
              <w:rPr>
                <w:b/>
                <w:bCs/>
                <w:i/>
                <w:iCs/>
                <w:sz w:val="20"/>
              </w:rPr>
            </w:pPr>
            <w:r w:rsidRPr="00B7760C">
              <w:rPr>
                <w:b/>
                <w:bCs/>
                <w:i/>
                <w:iCs/>
                <w:sz w:val="20"/>
              </w:rPr>
              <w:t>221 464 812</w:t>
            </w:r>
          </w:p>
        </w:tc>
        <w:tc>
          <w:tcPr>
            <w:tcW w:w="1616" w:type="dxa"/>
            <w:tcBorders>
              <w:top w:val="single" w:sz="4" w:space="0" w:color="auto"/>
              <w:left w:val="single" w:sz="4" w:space="0" w:color="auto"/>
              <w:bottom w:val="single" w:sz="4" w:space="0" w:color="auto"/>
              <w:right w:val="single" w:sz="4" w:space="0" w:color="auto"/>
            </w:tcBorders>
            <w:hideMark/>
          </w:tcPr>
          <w:p w14:paraId="53CC6BDA" w14:textId="77777777" w:rsidR="003663AF" w:rsidRPr="00B7760C" w:rsidRDefault="003663AF" w:rsidP="00E804B7">
            <w:pPr>
              <w:pStyle w:val="Normal6"/>
              <w:jc w:val="right"/>
              <w:rPr>
                <w:b/>
                <w:bCs/>
                <w:i/>
                <w:iCs/>
                <w:sz w:val="20"/>
              </w:rPr>
            </w:pPr>
            <w:r w:rsidRPr="00B7760C">
              <w:rPr>
                <w:b/>
                <w:bCs/>
                <w:i/>
                <w:iCs/>
                <w:sz w:val="20"/>
              </w:rPr>
              <w:t>1 646 432 170</w:t>
            </w:r>
          </w:p>
        </w:tc>
      </w:tr>
      <w:tr w:rsidR="003663AF" w:rsidRPr="00B7760C" w14:paraId="5BC9A24A" w14:textId="77777777" w:rsidTr="00E804B7">
        <w:trPr>
          <w:cantSplit/>
          <w:trHeight w:val="255"/>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14:paraId="48F3F202" w14:textId="77777777" w:rsidR="003663AF" w:rsidRPr="00B7760C" w:rsidRDefault="003663AF" w:rsidP="00E804B7">
            <w:pPr>
              <w:pStyle w:val="Normal6"/>
              <w:rPr>
                <w:sz w:val="20"/>
              </w:rPr>
            </w:pPr>
            <w:r w:rsidRPr="00B7760C">
              <w:rPr>
                <w:sz w:val="20"/>
              </w:rPr>
              <w:t>Grčija</w:t>
            </w:r>
          </w:p>
        </w:tc>
        <w:tc>
          <w:tcPr>
            <w:tcW w:w="1608" w:type="dxa"/>
            <w:tcBorders>
              <w:top w:val="single" w:sz="4" w:space="0" w:color="auto"/>
              <w:left w:val="single" w:sz="4" w:space="0" w:color="auto"/>
              <w:bottom w:val="single" w:sz="4" w:space="0" w:color="auto"/>
              <w:right w:val="single" w:sz="4" w:space="0" w:color="auto"/>
            </w:tcBorders>
            <w:hideMark/>
          </w:tcPr>
          <w:p w14:paraId="51981A01" w14:textId="77777777" w:rsidR="003663AF" w:rsidRPr="00B7760C" w:rsidRDefault="003663AF" w:rsidP="00E804B7">
            <w:pPr>
              <w:pStyle w:val="Normal6"/>
              <w:jc w:val="right"/>
              <w:rPr>
                <w:b/>
                <w:bCs/>
                <w:i/>
                <w:iCs/>
                <w:sz w:val="20"/>
              </w:rPr>
            </w:pPr>
            <w:r w:rsidRPr="00B7760C">
              <w:rPr>
                <w:b/>
                <w:bCs/>
                <w:i/>
                <w:iCs/>
                <w:sz w:val="20"/>
              </w:rPr>
              <w:t>480 199 552</w:t>
            </w:r>
          </w:p>
        </w:tc>
        <w:tc>
          <w:tcPr>
            <w:tcW w:w="1608" w:type="dxa"/>
            <w:tcBorders>
              <w:top w:val="single" w:sz="4" w:space="0" w:color="auto"/>
              <w:left w:val="single" w:sz="4" w:space="0" w:color="auto"/>
              <w:bottom w:val="single" w:sz="4" w:space="0" w:color="auto"/>
              <w:right w:val="single" w:sz="4" w:space="0" w:color="auto"/>
            </w:tcBorders>
            <w:hideMark/>
          </w:tcPr>
          <w:p w14:paraId="532A8C0D" w14:textId="77777777" w:rsidR="003663AF" w:rsidRPr="00B7760C" w:rsidRDefault="003663AF" w:rsidP="00E804B7">
            <w:pPr>
              <w:pStyle w:val="Normal6"/>
              <w:jc w:val="right"/>
              <w:rPr>
                <w:b/>
                <w:bCs/>
                <w:i/>
                <w:iCs/>
                <w:sz w:val="20"/>
              </w:rPr>
            </w:pPr>
            <w:r w:rsidRPr="00B7760C">
              <w:rPr>
                <w:b/>
                <w:bCs/>
                <w:i/>
                <w:iCs/>
                <w:sz w:val="20"/>
              </w:rPr>
              <w:t>470 783 875</w:t>
            </w:r>
          </w:p>
        </w:tc>
        <w:tc>
          <w:tcPr>
            <w:tcW w:w="1608" w:type="dxa"/>
            <w:tcBorders>
              <w:top w:val="single" w:sz="4" w:space="0" w:color="auto"/>
              <w:left w:val="single" w:sz="4" w:space="0" w:color="auto"/>
              <w:bottom w:val="single" w:sz="4" w:space="0" w:color="auto"/>
              <w:right w:val="single" w:sz="4" w:space="0" w:color="auto"/>
            </w:tcBorders>
            <w:hideMark/>
          </w:tcPr>
          <w:p w14:paraId="224BB9F2" w14:textId="77777777" w:rsidR="003663AF" w:rsidRPr="00B7760C" w:rsidRDefault="003663AF" w:rsidP="00E804B7">
            <w:pPr>
              <w:pStyle w:val="Normal6"/>
              <w:jc w:val="right"/>
              <w:rPr>
                <w:b/>
                <w:bCs/>
                <w:i/>
                <w:iCs/>
                <w:sz w:val="20"/>
              </w:rPr>
            </w:pPr>
            <w:r w:rsidRPr="00B7760C">
              <w:rPr>
                <w:b/>
                <w:bCs/>
                <w:i/>
                <w:iCs/>
                <w:sz w:val="20"/>
              </w:rPr>
              <w:t>461 552 818</w:t>
            </w:r>
          </w:p>
        </w:tc>
        <w:tc>
          <w:tcPr>
            <w:tcW w:w="1608" w:type="dxa"/>
            <w:tcBorders>
              <w:top w:val="single" w:sz="4" w:space="0" w:color="auto"/>
              <w:left w:val="single" w:sz="4" w:space="0" w:color="auto"/>
              <w:bottom w:val="single" w:sz="4" w:space="0" w:color="auto"/>
              <w:right w:val="single" w:sz="4" w:space="0" w:color="auto"/>
            </w:tcBorders>
            <w:hideMark/>
          </w:tcPr>
          <w:p w14:paraId="4E294FFB" w14:textId="77777777" w:rsidR="003663AF" w:rsidRPr="00B7760C" w:rsidRDefault="003663AF" w:rsidP="00E804B7">
            <w:pPr>
              <w:pStyle w:val="Normal6"/>
              <w:jc w:val="right"/>
              <w:rPr>
                <w:b/>
                <w:bCs/>
                <w:i/>
                <w:iCs/>
                <w:sz w:val="20"/>
              </w:rPr>
            </w:pPr>
            <w:r w:rsidRPr="00B7760C">
              <w:rPr>
                <w:b/>
                <w:bCs/>
                <w:i/>
                <w:iCs/>
                <w:sz w:val="20"/>
              </w:rPr>
              <w:t>452 502 763</w:t>
            </w:r>
          </w:p>
        </w:tc>
        <w:tc>
          <w:tcPr>
            <w:tcW w:w="1608" w:type="dxa"/>
            <w:tcBorders>
              <w:top w:val="single" w:sz="4" w:space="0" w:color="auto"/>
              <w:left w:val="single" w:sz="4" w:space="0" w:color="auto"/>
              <w:bottom w:val="single" w:sz="4" w:space="0" w:color="auto"/>
              <w:right w:val="single" w:sz="4" w:space="0" w:color="auto"/>
            </w:tcBorders>
            <w:hideMark/>
          </w:tcPr>
          <w:p w14:paraId="21EE2C93" w14:textId="77777777" w:rsidR="003663AF" w:rsidRPr="00B7760C" w:rsidRDefault="003663AF" w:rsidP="00E804B7">
            <w:pPr>
              <w:pStyle w:val="Normal6"/>
              <w:jc w:val="right"/>
              <w:rPr>
                <w:b/>
                <w:bCs/>
                <w:i/>
                <w:iCs/>
                <w:sz w:val="20"/>
              </w:rPr>
            </w:pPr>
            <w:r w:rsidRPr="00B7760C">
              <w:rPr>
                <w:b/>
                <w:bCs/>
                <w:i/>
                <w:iCs/>
                <w:sz w:val="20"/>
              </w:rPr>
              <w:t>443 630 160</w:t>
            </w:r>
          </w:p>
        </w:tc>
        <w:tc>
          <w:tcPr>
            <w:tcW w:w="1608" w:type="dxa"/>
            <w:tcBorders>
              <w:top w:val="single" w:sz="4" w:space="0" w:color="auto"/>
              <w:left w:val="single" w:sz="4" w:space="0" w:color="auto"/>
              <w:bottom w:val="single" w:sz="4" w:space="0" w:color="auto"/>
              <w:right w:val="single" w:sz="4" w:space="0" w:color="auto"/>
            </w:tcBorders>
            <w:hideMark/>
          </w:tcPr>
          <w:p w14:paraId="4930B574" w14:textId="77777777" w:rsidR="003663AF" w:rsidRPr="00B7760C" w:rsidRDefault="003663AF" w:rsidP="00E804B7">
            <w:pPr>
              <w:pStyle w:val="Normal6"/>
              <w:jc w:val="right"/>
              <w:rPr>
                <w:b/>
                <w:bCs/>
                <w:i/>
                <w:iCs/>
                <w:sz w:val="20"/>
              </w:rPr>
            </w:pPr>
            <w:r w:rsidRPr="00B7760C">
              <w:rPr>
                <w:b/>
                <w:bCs/>
                <w:i/>
                <w:iCs/>
                <w:sz w:val="20"/>
              </w:rPr>
              <w:t>434 931 529</w:t>
            </w:r>
          </w:p>
        </w:tc>
        <w:tc>
          <w:tcPr>
            <w:tcW w:w="1608" w:type="dxa"/>
            <w:tcBorders>
              <w:top w:val="single" w:sz="4" w:space="0" w:color="auto"/>
              <w:left w:val="single" w:sz="4" w:space="0" w:color="auto"/>
              <w:bottom w:val="single" w:sz="4" w:space="0" w:color="auto"/>
              <w:right w:val="single" w:sz="4" w:space="0" w:color="auto"/>
            </w:tcBorders>
            <w:hideMark/>
          </w:tcPr>
          <w:p w14:paraId="6CAE09DD" w14:textId="77777777" w:rsidR="003663AF" w:rsidRPr="00B7760C" w:rsidRDefault="003663AF" w:rsidP="00E804B7">
            <w:pPr>
              <w:pStyle w:val="Normal6"/>
              <w:jc w:val="right"/>
              <w:rPr>
                <w:b/>
                <w:bCs/>
                <w:i/>
                <w:iCs/>
                <w:sz w:val="20"/>
              </w:rPr>
            </w:pPr>
            <w:r w:rsidRPr="00B7760C">
              <w:rPr>
                <w:b/>
                <w:bCs/>
                <w:i/>
                <w:iCs/>
                <w:sz w:val="20"/>
              </w:rPr>
              <w:t>426 403 460</w:t>
            </w:r>
          </w:p>
        </w:tc>
        <w:tc>
          <w:tcPr>
            <w:tcW w:w="1616" w:type="dxa"/>
            <w:tcBorders>
              <w:top w:val="single" w:sz="4" w:space="0" w:color="auto"/>
              <w:left w:val="single" w:sz="4" w:space="0" w:color="auto"/>
              <w:bottom w:val="single" w:sz="4" w:space="0" w:color="auto"/>
              <w:right w:val="single" w:sz="4" w:space="0" w:color="auto"/>
            </w:tcBorders>
            <w:hideMark/>
          </w:tcPr>
          <w:p w14:paraId="6BBD649C" w14:textId="77777777" w:rsidR="003663AF" w:rsidRPr="00B7760C" w:rsidRDefault="003663AF" w:rsidP="00E804B7">
            <w:pPr>
              <w:pStyle w:val="Normal6"/>
              <w:jc w:val="right"/>
              <w:rPr>
                <w:b/>
                <w:bCs/>
                <w:i/>
                <w:iCs/>
                <w:sz w:val="20"/>
              </w:rPr>
            </w:pPr>
            <w:r w:rsidRPr="00B7760C">
              <w:rPr>
                <w:b/>
                <w:bCs/>
                <w:i/>
                <w:iCs/>
                <w:sz w:val="20"/>
              </w:rPr>
              <w:t>3 170 004 157</w:t>
            </w:r>
          </w:p>
        </w:tc>
      </w:tr>
      <w:tr w:rsidR="003663AF" w:rsidRPr="00B7760C" w14:paraId="282CADAA" w14:textId="77777777" w:rsidTr="00E804B7">
        <w:trPr>
          <w:cantSplit/>
          <w:trHeight w:val="255"/>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14:paraId="6163E731" w14:textId="77777777" w:rsidR="003663AF" w:rsidRPr="00B7760C" w:rsidRDefault="003663AF" w:rsidP="00E804B7">
            <w:pPr>
              <w:pStyle w:val="Normal6"/>
              <w:rPr>
                <w:sz w:val="20"/>
              </w:rPr>
            </w:pPr>
            <w:r w:rsidRPr="00B7760C">
              <w:rPr>
                <w:sz w:val="20"/>
              </w:rPr>
              <w:t>Španija</w:t>
            </w:r>
          </w:p>
        </w:tc>
        <w:tc>
          <w:tcPr>
            <w:tcW w:w="1608" w:type="dxa"/>
            <w:tcBorders>
              <w:top w:val="single" w:sz="4" w:space="0" w:color="auto"/>
              <w:left w:val="single" w:sz="4" w:space="0" w:color="auto"/>
              <w:bottom w:val="single" w:sz="4" w:space="0" w:color="auto"/>
              <w:right w:val="single" w:sz="4" w:space="0" w:color="auto"/>
            </w:tcBorders>
            <w:hideMark/>
          </w:tcPr>
          <w:p w14:paraId="50A93BBC" w14:textId="77777777" w:rsidR="003663AF" w:rsidRPr="00B7760C" w:rsidRDefault="003663AF" w:rsidP="00E804B7">
            <w:pPr>
              <w:pStyle w:val="Normal6"/>
              <w:jc w:val="right"/>
              <w:rPr>
                <w:b/>
                <w:bCs/>
                <w:i/>
                <w:iCs/>
                <w:sz w:val="20"/>
              </w:rPr>
            </w:pPr>
            <w:r w:rsidRPr="00B7760C">
              <w:rPr>
                <w:b/>
                <w:bCs/>
                <w:i/>
                <w:iCs/>
                <w:sz w:val="20"/>
              </w:rPr>
              <w:t>943 455 836</w:t>
            </w:r>
          </w:p>
        </w:tc>
        <w:tc>
          <w:tcPr>
            <w:tcW w:w="1608" w:type="dxa"/>
            <w:tcBorders>
              <w:top w:val="single" w:sz="4" w:space="0" w:color="auto"/>
              <w:left w:val="single" w:sz="4" w:space="0" w:color="auto"/>
              <w:bottom w:val="single" w:sz="4" w:space="0" w:color="auto"/>
              <w:right w:val="single" w:sz="4" w:space="0" w:color="auto"/>
            </w:tcBorders>
            <w:hideMark/>
          </w:tcPr>
          <w:p w14:paraId="07657B95" w14:textId="77777777" w:rsidR="003663AF" w:rsidRPr="00B7760C" w:rsidRDefault="003663AF" w:rsidP="00E804B7">
            <w:pPr>
              <w:pStyle w:val="Normal6"/>
              <w:jc w:val="right"/>
              <w:rPr>
                <w:b/>
                <w:bCs/>
                <w:i/>
                <w:iCs/>
                <w:sz w:val="20"/>
              </w:rPr>
            </w:pPr>
            <w:r w:rsidRPr="00B7760C">
              <w:rPr>
                <w:b/>
                <w:bCs/>
                <w:i/>
                <w:iCs/>
                <w:sz w:val="20"/>
              </w:rPr>
              <w:t>924 956 702</w:t>
            </w:r>
          </w:p>
        </w:tc>
        <w:tc>
          <w:tcPr>
            <w:tcW w:w="1608" w:type="dxa"/>
            <w:tcBorders>
              <w:top w:val="single" w:sz="4" w:space="0" w:color="auto"/>
              <w:left w:val="single" w:sz="4" w:space="0" w:color="auto"/>
              <w:bottom w:val="single" w:sz="4" w:space="0" w:color="auto"/>
              <w:right w:val="single" w:sz="4" w:space="0" w:color="auto"/>
            </w:tcBorders>
            <w:hideMark/>
          </w:tcPr>
          <w:p w14:paraId="5B42C643" w14:textId="77777777" w:rsidR="003663AF" w:rsidRPr="00B7760C" w:rsidRDefault="003663AF" w:rsidP="00E804B7">
            <w:pPr>
              <w:pStyle w:val="Normal6"/>
              <w:jc w:val="right"/>
              <w:rPr>
                <w:b/>
                <w:bCs/>
                <w:i/>
                <w:iCs/>
                <w:sz w:val="20"/>
              </w:rPr>
            </w:pPr>
            <w:r w:rsidRPr="00B7760C">
              <w:rPr>
                <w:b/>
                <w:bCs/>
                <w:i/>
                <w:iCs/>
                <w:sz w:val="20"/>
              </w:rPr>
              <w:t>906 820 296</w:t>
            </w:r>
          </w:p>
        </w:tc>
        <w:tc>
          <w:tcPr>
            <w:tcW w:w="1608" w:type="dxa"/>
            <w:tcBorders>
              <w:top w:val="single" w:sz="4" w:space="0" w:color="auto"/>
              <w:left w:val="single" w:sz="4" w:space="0" w:color="auto"/>
              <w:bottom w:val="single" w:sz="4" w:space="0" w:color="auto"/>
              <w:right w:val="single" w:sz="4" w:space="0" w:color="auto"/>
            </w:tcBorders>
            <w:hideMark/>
          </w:tcPr>
          <w:p w14:paraId="2BBCEEF4" w14:textId="77777777" w:rsidR="003663AF" w:rsidRPr="00B7760C" w:rsidRDefault="003663AF" w:rsidP="00E804B7">
            <w:pPr>
              <w:pStyle w:val="Normal6"/>
              <w:jc w:val="right"/>
              <w:rPr>
                <w:b/>
                <w:bCs/>
                <w:i/>
                <w:iCs/>
                <w:sz w:val="20"/>
              </w:rPr>
            </w:pPr>
            <w:r w:rsidRPr="00B7760C">
              <w:rPr>
                <w:b/>
                <w:bCs/>
                <w:i/>
                <w:iCs/>
                <w:sz w:val="20"/>
              </w:rPr>
              <w:t>889 039 505</w:t>
            </w:r>
          </w:p>
        </w:tc>
        <w:tc>
          <w:tcPr>
            <w:tcW w:w="1608" w:type="dxa"/>
            <w:tcBorders>
              <w:top w:val="single" w:sz="4" w:space="0" w:color="auto"/>
              <w:left w:val="single" w:sz="4" w:space="0" w:color="auto"/>
              <w:bottom w:val="single" w:sz="4" w:space="0" w:color="auto"/>
              <w:right w:val="single" w:sz="4" w:space="0" w:color="auto"/>
            </w:tcBorders>
            <w:hideMark/>
          </w:tcPr>
          <w:p w14:paraId="0A27CEBA" w14:textId="77777777" w:rsidR="003663AF" w:rsidRPr="00B7760C" w:rsidRDefault="003663AF" w:rsidP="00E804B7">
            <w:pPr>
              <w:pStyle w:val="Normal6"/>
              <w:jc w:val="right"/>
              <w:rPr>
                <w:b/>
                <w:bCs/>
                <w:i/>
                <w:iCs/>
                <w:sz w:val="20"/>
              </w:rPr>
            </w:pPr>
            <w:r w:rsidRPr="00B7760C">
              <w:rPr>
                <w:b/>
                <w:bCs/>
                <w:i/>
                <w:iCs/>
                <w:sz w:val="20"/>
              </w:rPr>
              <w:t>871 607 358</w:t>
            </w:r>
          </w:p>
        </w:tc>
        <w:tc>
          <w:tcPr>
            <w:tcW w:w="1608" w:type="dxa"/>
            <w:tcBorders>
              <w:top w:val="single" w:sz="4" w:space="0" w:color="auto"/>
              <w:left w:val="single" w:sz="4" w:space="0" w:color="auto"/>
              <w:bottom w:val="single" w:sz="4" w:space="0" w:color="auto"/>
              <w:right w:val="single" w:sz="4" w:space="0" w:color="auto"/>
            </w:tcBorders>
            <w:hideMark/>
          </w:tcPr>
          <w:p w14:paraId="34325F02" w14:textId="77777777" w:rsidR="003663AF" w:rsidRPr="00B7760C" w:rsidRDefault="003663AF" w:rsidP="00E804B7">
            <w:pPr>
              <w:pStyle w:val="Normal6"/>
              <w:jc w:val="right"/>
              <w:rPr>
                <w:b/>
                <w:bCs/>
                <w:i/>
                <w:iCs/>
                <w:sz w:val="20"/>
              </w:rPr>
            </w:pPr>
            <w:r w:rsidRPr="00B7760C">
              <w:rPr>
                <w:b/>
                <w:bCs/>
                <w:i/>
                <w:iCs/>
                <w:sz w:val="20"/>
              </w:rPr>
              <w:t>854 517 018</w:t>
            </w:r>
          </w:p>
        </w:tc>
        <w:tc>
          <w:tcPr>
            <w:tcW w:w="1608" w:type="dxa"/>
            <w:tcBorders>
              <w:top w:val="single" w:sz="4" w:space="0" w:color="auto"/>
              <w:left w:val="single" w:sz="4" w:space="0" w:color="auto"/>
              <w:bottom w:val="single" w:sz="4" w:space="0" w:color="auto"/>
              <w:right w:val="single" w:sz="4" w:space="0" w:color="auto"/>
            </w:tcBorders>
            <w:hideMark/>
          </w:tcPr>
          <w:p w14:paraId="0B73945D" w14:textId="77777777" w:rsidR="003663AF" w:rsidRPr="00B7760C" w:rsidRDefault="003663AF" w:rsidP="00E804B7">
            <w:pPr>
              <w:pStyle w:val="Normal6"/>
              <w:jc w:val="right"/>
              <w:rPr>
                <w:b/>
                <w:bCs/>
                <w:i/>
                <w:iCs/>
                <w:sz w:val="20"/>
              </w:rPr>
            </w:pPr>
            <w:r w:rsidRPr="00B7760C">
              <w:rPr>
                <w:b/>
                <w:bCs/>
                <w:i/>
                <w:iCs/>
                <w:sz w:val="20"/>
              </w:rPr>
              <w:t>837 761 782</w:t>
            </w:r>
          </w:p>
        </w:tc>
        <w:tc>
          <w:tcPr>
            <w:tcW w:w="1616" w:type="dxa"/>
            <w:tcBorders>
              <w:top w:val="single" w:sz="4" w:space="0" w:color="auto"/>
              <w:left w:val="single" w:sz="4" w:space="0" w:color="auto"/>
              <w:bottom w:val="single" w:sz="4" w:space="0" w:color="auto"/>
              <w:right w:val="single" w:sz="4" w:space="0" w:color="auto"/>
            </w:tcBorders>
            <w:hideMark/>
          </w:tcPr>
          <w:p w14:paraId="6C0F75F2" w14:textId="77777777" w:rsidR="003663AF" w:rsidRPr="00B7760C" w:rsidRDefault="003663AF" w:rsidP="00E804B7">
            <w:pPr>
              <w:pStyle w:val="Normal6"/>
              <w:jc w:val="right"/>
              <w:rPr>
                <w:b/>
                <w:bCs/>
                <w:i/>
                <w:iCs/>
                <w:sz w:val="20"/>
              </w:rPr>
            </w:pPr>
            <w:r w:rsidRPr="00B7760C">
              <w:rPr>
                <w:b/>
                <w:bCs/>
                <w:i/>
                <w:iCs/>
                <w:sz w:val="20"/>
              </w:rPr>
              <w:t>6 228 158 497</w:t>
            </w:r>
          </w:p>
        </w:tc>
      </w:tr>
      <w:tr w:rsidR="003663AF" w:rsidRPr="00B7760C" w14:paraId="2BDB643F" w14:textId="77777777" w:rsidTr="00E804B7">
        <w:trPr>
          <w:cantSplit/>
          <w:trHeight w:val="255"/>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14:paraId="550F2A33" w14:textId="77777777" w:rsidR="003663AF" w:rsidRPr="00B7760C" w:rsidRDefault="003663AF" w:rsidP="00E804B7">
            <w:pPr>
              <w:pStyle w:val="Normal6"/>
              <w:rPr>
                <w:sz w:val="20"/>
              </w:rPr>
            </w:pPr>
            <w:r w:rsidRPr="00B7760C">
              <w:rPr>
                <w:sz w:val="20"/>
              </w:rPr>
              <w:t>Francija</w:t>
            </w:r>
          </w:p>
        </w:tc>
        <w:tc>
          <w:tcPr>
            <w:tcW w:w="1608" w:type="dxa"/>
            <w:tcBorders>
              <w:top w:val="single" w:sz="4" w:space="0" w:color="auto"/>
              <w:left w:val="single" w:sz="4" w:space="0" w:color="auto"/>
              <w:bottom w:val="single" w:sz="4" w:space="0" w:color="auto"/>
              <w:right w:val="single" w:sz="4" w:space="0" w:color="auto"/>
            </w:tcBorders>
            <w:hideMark/>
          </w:tcPr>
          <w:p w14:paraId="41D2BF64" w14:textId="77777777" w:rsidR="003663AF" w:rsidRPr="00B7760C" w:rsidRDefault="003663AF" w:rsidP="00E804B7">
            <w:pPr>
              <w:pStyle w:val="Normal6"/>
              <w:jc w:val="right"/>
              <w:rPr>
                <w:b/>
                <w:bCs/>
                <w:i/>
                <w:iCs/>
                <w:sz w:val="20"/>
              </w:rPr>
            </w:pPr>
            <w:r w:rsidRPr="00B7760C">
              <w:rPr>
                <w:b/>
                <w:bCs/>
                <w:i/>
                <w:iCs/>
                <w:sz w:val="20"/>
              </w:rPr>
              <w:t>1 139 511 952</w:t>
            </w:r>
          </w:p>
        </w:tc>
        <w:tc>
          <w:tcPr>
            <w:tcW w:w="1608" w:type="dxa"/>
            <w:tcBorders>
              <w:top w:val="single" w:sz="4" w:space="0" w:color="auto"/>
              <w:left w:val="single" w:sz="4" w:space="0" w:color="auto"/>
              <w:bottom w:val="single" w:sz="4" w:space="0" w:color="auto"/>
              <w:right w:val="single" w:sz="4" w:space="0" w:color="auto"/>
            </w:tcBorders>
            <w:hideMark/>
          </w:tcPr>
          <w:p w14:paraId="4D054980" w14:textId="77777777" w:rsidR="003663AF" w:rsidRPr="00B7760C" w:rsidRDefault="003663AF" w:rsidP="00E804B7">
            <w:pPr>
              <w:pStyle w:val="Normal6"/>
              <w:jc w:val="right"/>
              <w:rPr>
                <w:b/>
                <w:bCs/>
                <w:i/>
                <w:iCs/>
                <w:sz w:val="20"/>
              </w:rPr>
            </w:pPr>
            <w:r w:rsidRPr="00B7760C">
              <w:rPr>
                <w:b/>
                <w:bCs/>
                <w:i/>
                <w:iCs/>
                <w:sz w:val="20"/>
              </w:rPr>
              <w:t>1 117 168 580</w:t>
            </w:r>
          </w:p>
        </w:tc>
        <w:tc>
          <w:tcPr>
            <w:tcW w:w="1608" w:type="dxa"/>
            <w:tcBorders>
              <w:top w:val="single" w:sz="4" w:space="0" w:color="auto"/>
              <w:left w:val="single" w:sz="4" w:space="0" w:color="auto"/>
              <w:bottom w:val="single" w:sz="4" w:space="0" w:color="auto"/>
              <w:right w:val="single" w:sz="4" w:space="0" w:color="auto"/>
            </w:tcBorders>
            <w:hideMark/>
          </w:tcPr>
          <w:p w14:paraId="5EE19C19" w14:textId="77777777" w:rsidR="003663AF" w:rsidRPr="00B7760C" w:rsidRDefault="003663AF" w:rsidP="00E804B7">
            <w:pPr>
              <w:pStyle w:val="Normal6"/>
              <w:jc w:val="right"/>
              <w:rPr>
                <w:b/>
                <w:bCs/>
                <w:i/>
                <w:iCs/>
                <w:sz w:val="20"/>
              </w:rPr>
            </w:pPr>
            <w:r w:rsidRPr="00B7760C">
              <w:rPr>
                <w:b/>
                <w:bCs/>
                <w:i/>
                <w:iCs/>
                <w:sz w:val="20"/>
              </w:rPr>
              <w:t>1 095 263 314</w:t>
            </w:r>
          </w:p>
        </w:tc>
        <w:tc>
          <w:tcPr>
            <w:tcW w:w="1608" w:type="dxa"/>
            <w:tcBorders>
              <w:top w:val="single" w:sz="4" w:space="0" w:color="auto"/>
              <w:left w:val="single" w:sz="4" w:space="0" w:color="auto"/>
              <w:bottom w:val="single" w:sz="4" w:space="0" w:color="auto"/>
              <w:right w:val="single" w:sz="4" w:space="0" w:color="auto"/>
            </w:tcBorders>
            <w:hideMark/>
          </w:tcPr>
          <w:p w14:paraId="102E5ACE" w14:textId="77777777" w:rsidR="003663AF" w:rsidRPr="00B7760C" w:rsidRDefault="003663AF" w:rsidP="00E804B7">
            <w:pPr>
              <w:pStyle w:val="Normal6"/>
              <w:jc w:val="right"/>
              <w:rPr>
                <w:b/>
                <w:bCs/>
                <w:i/>
                <w:iCs/>
                <w:sz w:val="20"/>
              </w:rPr>
            </w:pPr>
            <w:r w:rsidRPr="00B7760C">
              <w:rPr>
                <w:b/>
                <w:bCs/>
                <w:i/>
                <w:iCs/>
                <w:sz w:val="20"/>
              </w:rPr>
              <w:t>1 073 787 562</w:t>
            </w:r>
          </w:p>
        </w:tc>
        <w:tc>
          <w:tcPr>
            <w:tcW w:w="1608" w:type="dxa"/>
            <w:tcBorders>
              <w:top w:val="single" w:sz="4" w:space="0" w:color="auto"/>
              <w:left w:val="single" w:sz="4" w:space="0" w:color="auto"/>
              <w:bottom w:val="single" w:sz="4" w:space="0" w:color="auto"/>
              <w:right w:val="single" w:sz="4" w:space="0" w:color="auto"/>
            </w:tcBorders>
            <w:hideMark/>
          </w:tcPr>
          <w:p w14:paraId="5D5E3DA4" w14:textId="77777777" w:rsidR="003663AF" w:rsidRPr="00B7760C" w:rsidRDefault="003663AF" w:rsidP="00E804B7">
            <w:pPr>
              <w:pStyle w:val="Normal6"/>
              <w:jc w:val="right"/>
              <w:rPr>
                <w:b/>
                <w:bCs/>
                <w:i/>
                <w:iCs/>
                <w:sz w:val="20"/>
              </w:rPr>
            </w:pPr>
            <w:r w:rsidRPr="00B7760C">
              <w:rPr>
                <w:b/>
                <w:bCs/>
                <w:i/>
                <w:iCs/>
                <w:sz w:val="20"/>
              </w:rPr>
              <w:t>1 052 732 904</w:t>
            </w:r>
          </w:p>
        </w:tc>
        <w:tc>
          <w:tcPr>
            <w:tcW w:w="1608" w:type="dxa"/>
            <w:tcBorders>
              <w:top w:val="single" w:sz="4" w:space="0" w:color="auto"/>
              <w:left w:val="single" w:sz="4" w:space="0" w:color="auto"/>
              <w:bottom w:val="single" w:sz="4" w:space="0" w:color="auto"/>
              <w:right w:val="single" w:sz="4" w:space="0" w:color="auto"/>
            </w:tcBorders>
            <w:hideMark/>
          </w:tcPr>
          <w:p w14:paraId="036FAE40" w14:textId="77777777" w:rsidR="003663AF" w:rsidRPr="00B7760C" w:rsidRDefault="003663AF" w:rsidP="00E804B7">
            <w:pPr>
              <w:pStyle w:val="Normal6"/>
              <w:jc w:val="right"/>
              <w:rPr>
                <w:b/>
                <w:bCs/>
                <w:i/>
                <w:iCs/>
                <w:sz w:val="20"/>
              </w:rPr>
            </w:pPr>
            <w:r w:rsidRPr="00B7760C">
              <w:rPr>
                <w:b/>
                <w:bCs/>
                <w:i/>
                <w:iCs/>
                <w:sz w:val="20"/>
              </w:rPr>
              <w:t>1 032 091 083</w:t>
            </w:r>
          </w:p>
        </w:tc>
        <w:tc>
          <w:tcPr>
            <w:tcW w:w="1608" w:type="dxa"/>
            <w:tcBorders>
              <w:top w:val="single" w:sz="4" w:space="0" w:color="auto"/>
              <w:left w:val="single" w:sz="4" w:space="0" w:color="auto"/>
              <w:bottom w:val="single" w:sz="4" w:space="0" w:color="auto"/>
              <w:right w:val="single" w:sz="4" w:space="0" w:color="auto"/>
            </w:tcBorders>
            <w:hideMark/>
          </w:tcPr>
          <w:p w14:paraId="6E7C6F6A" w14:textId="77777777" w:rsidR="003663AF" w:rsidRPr="00B7760C" w:rsidRDefault="003663AF" w:rsidP="00E804B7">
            <w:pPr>
              <w:pStyle w:val="Normal6"/>
              <w:jc w:val="right"/>
              <w:rPr>
                <w:b/>
                <w:bCs/>
                <w:i/>
                <w:iCs/>
                <w:sz w:val="20"/>
              </w:rPr>
            </w:pPr>
            <w:r w:rsidRPr="00B7760C">
              <w:rPr>
                <w:b/>
                <w:bCs/>
                <w:i/>
                <w:iCs/>
                <w:sz w:val="20"/>
              </w:rPr>
              <w:t>1 011 854 003</w:t>
            </w:r>
          </w:p>
        </w:tc>
        <w:tc>
          <w:tcPr>
            <w:tcW w:w="1616" w:type="dxa"/>
            <w:tcBorders>
              <w:top w:val="single" w:sz="4" w:space="0" w:color="auto"/>
              <w:left w:val="single" w:sz="4" w:space="0" w:color="auto"/>
              <w:bottom w:val="single" w:sz="4" w:space="0" w:color="auto"/>
              <w:right w:val="single" w:sz="4" w:space="0" w:color="auto"/>
            </w:tcBorders>
            <w:hideMark/>
          </w:tcPr>
          <w:p w14:paraId="36CB2F1E" w14:textId="77777777" w:rsidR="003663AF" w:rsidRPr="00B7760C" w:rsidRDefault="003663AF" w:rsidP="00E804B7">
            <w:pPr>
              <w:pStyle w:val="Normal6"/>
              <w:jc w:val="right"/>
              <w:rPr>
                <w:b/>
                <w:bCs/>
                <w:i/>
                <w:iCs/>
                <w:sz w:val="20"/>
              </w:rPr>
            </w:pPr>
            <w:r w:rsidRPr="00B7760C">
              <w:rPr>
                <w:b/>
                <w:bCs/>
                <w:i/>
                <w:iCs/>
                <w:sz w:val="20"/>
              </w:rPr>
              <w:t>7 522 409 398</w:t>
            </w:r>
          </w:p>
        </w:tc>
      </w:tr>
      <w:tr w:rsidR="003663AF" w:rsidRPr="00B7760C" w14:paraId="2C7660BA" w14:textId="77777777" w:rsidTr="00E804B7">
        <w:trPr>
          <w:cantSplit/>
          <w:trHeight w:val="255"/>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14:paraId="1AA19044" w14:textId="77777777" w:rsidR="003663AF" w:rsidRPr="00B7760C" w:rsidRDefault="003663AF" w:rsidP="00E804B7">
            <w:pPr>
              <w:pStyle w:val="Normal6"/>
              <w:rPr>
                <w:sz w:val="20"/>
              </w:rPr>
            </w:pPr>
            <w:r w:rsidRPr="00B7760C">
              <w:rPr>
                <w:sz w:val="20"/>
              </w:rPr>
              <w:t>Hrvaška</w:t>
            </w:r>
          </w:p>
        </w:tc>
        <w:tc>
          <w:tcPr>
            <w:tcW w:w="1608" w:type="dxa"/>
            <w:tcBorders>
              <w:top w:val="single" w:sz="4" w:space="0" w:color="auto"/>
              <w:left w:val="single" w:sz="4" w:space="0" w:color="auto"/>
              <w:bottom w:val="single" w:sz="4" w:space="0" w:color="auto"/>
              <w:right w:val="single" w:sz="4" w:space="0" w:color="auto"/>
            </w:tcBorders>
            <w:hideMark/>
          </w:tcPr>
          <w:p w14:paraId="43285034" w14:textId="77777777" w:rsidR="003663AF" w:rsidRPr="00B7760C" w:rsidRDefault="003663AF" w:rsidP="00E804B7">
            <w:pPr>
              <w:pStyle w:val="Normal6"/>
              <w:jc w:val="right"/>
              <w:rPr>
                <w:b/>
                <w:bCs/>
                <w:i/>
                <w:iCs/>
                <w:sz w:val="20"/>
              </w:rPr>
            </w:pPr>
            <w:r w:rsidRPr="00B7760C">
              <w:rPr>
                <w:b/>
                <w:bCs/>
                <w:i/>
                <w:iCs/>
                <w:sz w:val="20"/>
              </w:rPr>
              <w:t>265 114 382</w:t>
            </w:r>
          </w:p>
        </w:tc>
        <w:tc>
          <w:tcPr>
            <w:tcW w:w="1608" w:type="dxa"/>
            <w:tcBorders>
              <w:top w:val="single" w:sz="4" w:space="0" w:color="auto"/>
              <w:left w:val="single" w:sz="4" w:space="0" w:color="auto"/>
              <w:bottom w:val="single" w:sz="4" w:space="0" w:color="auto"/>
              <w:right w:val="single" w:sz="4" w:space="0" w:color="auto"/>
            </w:tcBorders>
            <w:hideMark/>
          </w:tcPr>
          <w:p w14:paraId="7C99AA03" w14:textId="77777777" w:rsidR="003663AF" w:rsidRPr="00B7760C" w:rsidRDefault="003663AF" w:rsidP="00E804B7">
            <w:pPr>
              <w:pStyle w:val="Normal6"/>
              <w:jc w:val="right"/>
              <w:rPr>
                <w:b/>
                <w:bCs/>
                <w:i/>
                <w:iCs/>
                <w:sz w:val="20"/>
              </w:rPr>
            </w:pPr>
            <w:r w:rsidRPr="00B7760C">
              <w:rPr>
                <w:b/>
                <w:bCs/>
                <w:i/>
                <w:iCs/>
                <w:sz w:val="20"/>
              </w:rPr>
              <w:t>259 916 061</w:t>
            </w:r>
          </w:p>
        </w:tc>
        <w:tc>
          <w:tcPr>
            <w:tcW w:w="1608" w:type="dxa"/>
            <w:tcBorders>
              <w:top w:val="single" w:sz="4" w:space="0" w:color="auto"/>
              <w:left w:val="single" w:sz="4" w:space="0" w:color="auto"/>
              <w:bottom w:val="single" w:sz="4" w:space="0" w:color="auto"/>
              <w:right w:val="single" w:sz="4" w:space="0" w:color="auto"/>
            </w:tcBorders>
            <w:hideMark/>
          </w:tcPr>
          <w:p w14:paraId="2E1C2E1A" w14:textId="77777777" w:rsidR="003663AF" w:rsidRPr="00B7760C" w:rsidRDefault="003663AF" w:rsidP="00E804B7">
            <w:pPr>
              <w:pStyle w:val="Normal6"/>
              <w:jc w:val="right"/>
              <w:rPr>
                <w:b/>
                <w:bCs/>
                <w:i/>
                <w:iCs/>
                <w:sz w:val="20"/>
              </w:rPr>
            </w:pPr>
            <w:r w:rsidRPr="00B7760C">
              <w:rPr>
                <w:b/>
                <w:bCs/>
                <w:i/>
                <w:iCs/>
                <w:sz w:val="20"/>
              </w:rPr>
              <w:t>254 819 668</w:t>
            </w:r>
          </w:p>
        </w:tc>
        <w:tc>
          <w:tcPr>
            <w:tcW w:w="1608" w:type="dxa"/>
            <w:tcBorders>
              <w:top w:val="single" w:sz="4" w:space="0" w:color="auto"/>
              <w:left w:val="single" w:sz="4" w:space="0" w:color="auto"/>
              <w:bottom w:val="single" w:sz="4" w:space="0" w:color="auto"/>
              <w:right w:val="single" w:sz="4" w:space="0" w:color="auto"/>
            </w:tcBorders>
            <w:hideMark/>
          </w:tcPr>
          <w:p w14:paraId="0A215C69" w14:textId="77777777" w:rsidR="003663AF" w:rsidRPr="00B7760C" w:rsidRDefault="003663AF" w:rsidP="00E804B7">
            <w:pPr>
              <w:pStyle w:val="Normal6"/>
              <w:jc w:val="right"/>
              <w:rPr>
                <w:b/>
                <w:bCs/>
                <w:i/>
                <w:iCs/>
                <w:sz w:val="20"/>
              </w:rPr>
            </w:pPr>
            <w:r w:rsidRPr="00B7760C">
              <w:rPr>
                <w:b/>
                <w:bCs/>
                <w:i/>
                <w:iCs/>
                <w:sz w:val="20"/>
              </w:rPr>
              <w:t>249 823 204</w:t>
            </w:r>
          </w:p>
        </w:tc>
        <w:tc>
          <w:tcPr>
            <w:tcW w:w="1608" w:type="dxa"/>
            <w:tcBorders>
              <w:top w:val="single" w:sz="4" w:space="0" w:color="auto"/>
              <w:left w:val="single" w:sz="4" w:space="0" w:color="auto"/>
              <w:bottom w:val="single" w:sz="4" w:space="0" w:color="auto"/>
              <w:right w:val="single" w:sz="4" w:space="0" w:color="auto"/>
            </w:tcBorders>
            <w:hideMark/>
          </w:tcPr>
          <w:p w14:paraId="3CE2EE21" w14:textId="77777777" w:rsidR="003663AF" w:rsidRPr="00B7760C" w:rsidRDefault="003663AF" w:rsidP="00E804B7">
            <w:pPr>
              <w:pStyle w:val="Normal6"/>
              <w:jc w:val="right"/>
              <w:rPr>
                <w:b/>
                <w:bCs/>
                <w:i/>
                <w:iCs/>
                <w:sz w:val="20"/>
              </w:rPr>
            </w:pPr>
            <w:r w:rsidRPr="00B7760C">
              <w:rPr>
                <w:b/>
                <w:bCs/>
                <w:i/>
                <w:iCs/>
                <w:sz w:val="20"/>
              </w:rPr>
              <w:t>244 924 709</w:t>
            </w:r>
          </w:p>
        </w:tc>
        <w:tc>
          <w:tcPr>
            <w:tcW w:w="1608" w:type="dxa"/>
            <w:tcBorders>
              <w:top w:val="single" w:sz="4" w:space="0" w:color="auto"/>
              <w:left w:val="single" w:sz="4" w:space="0" w:color="auto"/>
              <w:bottom w:val="single" w:sz="4" w:space="0" w:color="auto"/>
              <w:right w:val="single" w:sz="4" w:space="0" w:color="auto"/>
            </w:tcBorders>
            <w:hideMark/>
          </w:tcPr>
          <w:p w14:paraId="68D6347D" w14:textId="77777777" w:rsidR="003663AF" w:rsidRPr="00B7760C" w:rsidRDefault="003663AF" w:rsidP="00E804B7">
            <w:pPr>
              <w:pStyle w:val="Normal6"/>
              <w:jc w:val="right"/>
              <w:rPr>
                <w:b/>
                <w:bCs/>
                <w:i/>
                <w:iCs/>
                <w:sz w:val="20"/>
              </w:rPr>
            </w:pPr>
            <w:r w:rsidRPr="00B7760C">
              <w:rPr>
                <w:b/>
                <w:bCs/>
                <w:i/>
                <w:iCs/>
                <w:sz w:val="20"/>
              </w:rPr>
              <w:t>240 122 264</w:t>
            </w:r>
          </w:p>
        </w:tc>
        <w:tc>
          <w:tcPr>
            <w:tcW w:w="1608" w:type="dxa"/>
            <w:tcBorders>
              <w:top w:val="single" w:sz="4" w:space="0" w:color="auto"/>
              <w:left w:val="single" w:sz="4" w:space="0" w:color="auto"/>
              <w:bottom w:val="single" w:sz="4" w:space="0" w:color="auto"/>
              <w:right w:val="single" w:sz="4" w:space="0" w:color="auto"/>
            </w:tcBorders>
            <w:hideMark/>
          </w:tcPr>
          <w:p w14:paraId="7CA88AB4" w14:textId="77777777" w:rsidR="003663AF" w:rsidRPr="00B7760C" w:rsidRDefault="003663AF" w:rsidP="00E804B7">
            <w:pPr>
              <w:pStyle w:val="Normal6"/>
              <w:jc w:val="right"/>
              <w:rPr>
                <w:b/>
                <w:bCs/>
                <w:i/>
                <w:iCs/>
                <w:sz w:val="20"/>
              </w:rPr>
            </w:pPr>
            <w:r w:rsidRPr="00B7760C">
              <w:rPr>
                <w:b/>
                <w:bCs/>
                <w:i/>
                <w:iCs/>
                <w:sz w:val="20"/>
              </w:rPr>
              <w:t>235 413 984</w:t>
            </w:r>
          </w:p>
        </w:tc>
        <w:tc>
          <w:tcPr>
            <w:tcW w:w="1616" w:type="dxa"/>
            <w:tcBorders>
              <w:top w:val="single" w:sz="4" w:space="0" w:color="auto"/>
              <w:left w:val="single" w:sz="4" w:space="0" w:color="auto"/>
              <w:bottom w:val="single" w:sz="4" w:space="0" w:color="auto"/>
              <w:right w:val="single" w:sz="4" w:space="0" w:color="auto"/>
            </w:tcBorders>
            <w:hideMark/>
          </w:tcPr>
          <w:p w14:paraId="68DE1FC9" w14:textId="77777777" w:rsidR="003663AF" w:rsidRPr="00B7760C" w:rsidRDefault="003663AF" w:rsidP="00E804B7">
            <w:pPr>
              <w:pStyle w:val="Normal6"/>
              <w:jc w:val="right"/>
              <w:rPr>
                <w:b/>
                <w:bCs/>
                <w:i/>
                <w:iCs/>
                <w:sz w:val="20"/>
              </w:rPr>
            </w:pPr>
            <w:r w:rsidRPr="00B7760C">
              <w:rPr>
                <w:b/>
                <w:bCs/>
                <w:i/>
                <w:iCs/>
                <w:sz w:val="20"/>
              </w:rPr>
              <w:t>1 750 134 272</w:t>
            </w:r>
          </w:p>
        </w:tc>
      </w:tr>
      <w:tr w:rsidR="003663AF" w:rsidRPr="00B7760C" w14:paraId="7942BB3D" w14:textId="77777777" w:rsidTr="00E804B7">
        <w:trPr>
          <w:cantSplit/>
          <w:trHeight w:val="255"/>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14:paraId="546978F7" w14:textId="77777777" w:rsidR="003663AF" w:rsidRPr="00B7760C" w:rsidRDefault="003663AF" w:rsidP="00E804B7">
            <w:pPr>
              <w:pStyle w:val="Normal6"/>
              <w:rPr>
                <w:sz w:val="20"/>
              </w:rPr>
            </w:pPr>
            <w:r w:rsidRPr="00B7760C">
              <w:rPr>
                <w:sz w:val="20"/>
              </w:rPr>
              <w:t>Italija</w:t>
            </w:r>
          </w:p>
        </w:tc>
        <w:tc>
          <w:tcPr>
            <w:tcW w:w="1608" w:type="dxa"/>
            <w:tcBorders>
              <w:top w:val="single" w:sz="4" w:space="0" w:color="auto"/>
              <w:left w:val="single" w:sz="4" w:space="0" w:color="auto"/>
              <w:bottom w:val="single" w:sz="4" w:space="0" w:color="auto"/>
              <w:right w:val="single" w:sz="4" w:space="0" w:color="auto"/>
            </w:tcBorders>
            <w:hideMark/>
          </w:tcPr>
          <w:p w14:paraId="6D527AD0" w14:textId="77777777" w:rsidR="003663AF" w:rsidRPr="00B7760C" w:rsidRDefault="003663AF" w:rsidP="00E804B7">
            <w:pPr>
              <w:pStyle w:val="Normal6"/>
              <w:jc w:val="right"/>
              <w:rPr>
                <w:b/>
                <w:bCs/>
                <w:i/>
                <w:iCs/>
                <w:sz w:val="20"/>
              </w:rPr>
            </w:pPr>
            <w:r w:rsidRPr="00B7760C">
              <w:rPr>
                <w:b/>
                <w:bCs/>
                <w:i/>
                <w:iCs/>
                <w:sz w:val="20"/>
              </w:rPr>
              <w:t>1 197 041 834</w:t>
            </w:r>
          </w:p>
        </w:tc>
        <w:tc>
          <w:tcPr>
            <w:tcW w:w="1608" w:type="dxa"/>
            <w:tcBorders>
              <w:top w:val="single" w:sz="4" w:space="0" w:color="auto"/>
              <w:left w:val="single" w:sz="4" w:space="0" w:color="auto"/>
              <w:bottom w:val="single" w:sz="4" w:space="0" w:color="auto"/>
              <w:right w:val="single" w:sz="4" w:space="0" w:color="auto"/>
            </w:tcBorders>
            <w:hideMark/>
          </w:tcPr>
          <w:p w14:paraId="103E6AA9" w14:textId="77777777" w:rsidR="003663AF" w:rsidRPr="00B7760C" w:rsidRDefault="003663AF" w:rsidP="00E804B7">
            <w:pPr>
              <w:pStyle w:val="Normal6"/>
              <w:jc w:val="right"/>
              <w:rPr>
                <w:b/>
                <w:bCs/>
                <w:i/>
                <w:iCs/>
                <w:sz w:val="20"/>
              </w:rPr>
            </w:pPr>
            <w:r w:rsidRPr="00B7760C">
              <w:rPr>
                <w:b/>
                <w:bCs/>
                <w:i/>
                <w:iCs/>
                <w:sz w:val="20"/>
              </w:rPr>
              <w:t>1 173 570 426</w:t>
            </w:r>
          </w:p>
        </w:tc>
        <w:tc>
          <w:tcPr>
            <w:tcW w:w="1608" w:type="dxa"/>
            <w:tcBorders>
              <w:top w:val="single" w:sz="4" w:space="0" w:color="auto"/>
              <w:left w:val="single" w:sz="4" w:space="0" w:color="auto"/>
              <w:bottom w:val="single" w:sz="4" w:space="0" w:color="auto"/>
              <w:right w:val="single" w:sz="4" w:space="0" w:color="auto"/>
            </w:tcBorders>
            <w:hideMark/>
          </w:tcPr>
          <w:p w14:paraId="458E9ADA" w14:textId="77777777" w:rsidR="003663AF" w:rsidRPr="00B7760C" w:rsidRDefault="003663AF" w:rsidP="00E804B7">
            <w:pPr>
              <w:pStyle w:val="Normal6"/>
              <w:jc w:val="right"/>
              <w:rPr>
                <w:b/>
                <w:bCs/>
                <w:i/>
                <w:iCs/>
                <w:sz w:val="20"/>
              </w:rPr>
            </w:pPr>
            <w:r w:rsidRPr="00B7760C">
              <w:rPr>
                <w:b/>
                <w:bCs/>
                <w:i/>
                <w:iCs/>
                <w:sz w:val="20"/>
              </w:rPr>
              <w:t>1 150 559 241</w:t>
            </w:r>
          </w:p>
        </w:tc>
        <w:tc>
          <w:tcPr>
            <w:tcW w:w="1608" w:type="dxa"/>
            <w:tcBorders>
              <w:top w:val="single" w:sz="4" w:space="0" w:color="auto"/>
              <w:left w:val="single" w:sz="4" w:space="0" w:color="auto"/>
              <w:bottom w:val="single" w:sz="4" w:space="0" w:color="auto"/>
              <w:right w:val="single" w:sz="4" w:space="0" w:color="auto"/>
            </w:tcBorders>
            <w:hideMark/>
          </w:tcPr>
          <w:p w14:paraId="0AD785A6" w14:textId="77777777" w:rsidR="003663AF" w:rsidRPr="00B7760C" w:rsidRDefault="003663AF" w:rsidP="00E804B7">
            <w:pPr>
              <w:pStyle w:val="Normal6"/>
              <w:jc w:val="right"/>
              <w:rPr>
                <w:b/>
                <w:bCs/>
                <w:i/>
                <w:iCs/>
                <w:sz w:val="20"/>
              </w:rPr>
            </w:pPr>
            <w:r w:rsidRPr="00B7760C">
              <w:rPr>
                <w:b/>
                <w:bCs/>
                <w:i/>
                <w:iCs/>
                <w:sz w:val="20"/>
              </w:rPr>
              <w:t>1 127 999 256</w:t>
            </w:r>
          </w:p>
        </w:tc>
        <w:tc>
          <w:tcPr>
            <w:tcW w:w="1608" w:type="dxa"/>
            <w:tcBorders>
              <w:top w:val="single" w:sz="4" w:space="0" w:color="auto"/>
              <w:left w:val="single" w:sz="4" w:space="0" w:color="auto"/>
              <w:bottom w:val="single" w:sz="4" w:space="0" w:color="auto"/>
              <w:right w:val="single" w:sz="4" w:space="0" w:color="auto"/>
            </w:tcBorders>
            <w:hideMark/>
          </w:tcPr>
          <w:p w14:paraId="092EECBA" w14:textId="77777777" w:rsidR="003663AF" w:rsidRPr="00B7760C" w:rsidRDefault="003663AF" w:rsidP="00E804B7">
            <w:pPr>
              <w:pStyle w:val="Normal6"/>
              <w:jc w:val="right"/>
              <w:rPr>
                <w:b/>
                <w:bCs/>
                <w:i/>
                <w:iCs/>
                <w:sz w:val="20"/>
              </w:rPr>
            </w:pPr>
            <w:r w:rsidRPr="00B7760C">
              <w:rPr>
                <w:b/>
                <w:bCs/>
                <w:i/>
                <w:iCs/>
                <w:sz w:val="20"/>
              </w:rPr>
              <w:t>1 105 881 623</w:t>
            </w:r>
          </w:p>
        </w:tc>
        <w:tc>
          <w:tcPr>
            <w:tcW w:w="1608" w:type="dxa"/>
            <w:tcBorders>
              <w:top w:val="single" w:sz="4" w:space="0" w:color="auto"/>
              <w:left w:val="single" w:sz="4" w:space="0" w:color="auto"/>
              <w:bottom w:val="single" w:sz="4" w:space="0" w:color="auto"/>
              <w:right w:val="single" w:sz="4" w:space="0" w:color="auto"/>
            </w:tcBorders>
            <w:hideMark/>
          </w:tcPr>
          <w:p w14:paraId="683C509E" w14:textId="77777777" w:rsidR="003663AF" w:rsidRPr="00B7760C" w:rsidRDefault="003663AF" w:rsidP="00E804B7">
            <w:pPr>
              <w:pStyle w:val="Normal6"/>
              <w:jc w:val="right"/>
              <w:rPr>
                <w:b/>
                <w:bCs/>
                <w:i/>
                <w:iCs/>
                <w:sz w:val="20"/>
              </w:rPr>
            </w:pPr>
            <w:r w:rsidRPr="00B7760C">
              <w:rPr>
                <w:b/>
                <w:bCs/>
                <w:i/>
                <w:iCs/>
                <w:sz w:val="20"/>
              </w:rPr>
              <w:t>1 084 197 670</w:t>
            </w:r>
          </w:p>
        </w:tc>
        <w:tc>
          <w:tcPr>
            <w:tcW w:w="1608" w:type="dxa"/>
            <w:tcBorders>
              <w:top w:val="single" w:sz="4" w:space="0" w:color="auto"/>
              <w:left w:val="single" w:sz="4" w:space="0" w:color="auto"/>
              <w:bottom w:val="single" w:sz="4" w:space="0" w:color="auto"/>
              <w:right w:val="single" w:sz="4" w:space="0" w:color="auto"/>
            </w:tcBorders>
            <w:hideMark/>
          </w:tcPr>
          <w:p w14:paraId="6CEDAE50" w14:textId="77777777" w:rsidR="003663AF" w:rsidRPr="00B7760C" w:rsidRDefault="003663AF" w:rsidP="00E804B7">
            <w:pPr>
              <w:pStyle w:val="Normal6"/>
              <w:jc w:val="right"/>
              <w:rPr>
                <w:b/>
                <w:bCs/>
                <w:i/>
                <w:iCs/>
                <w:sz w:val="20"/>
              </w:rPr>
            </w:pPr>
            <w:r w:rsidRPr="00B7760C">
              <w:rPr>
                <w:b/>
                <w:bCs/>
                <w:i/>
                <w:iCs/>
                <w:sz w:val="20"/>
              </w:rPr>
              <w:t>1 062 938 892</w:t>
            </w:r>
          </w:p>
        </w:tc>
        <w:tc>
          <w:tcPr>
            <w:tcW w:w="1616" w:type="dxa"/>
            <w:tcBorders>
              <w:top w:val="single" w:sz="4" w:space="0" w:color="auto"/>
              <w:left w:val="single" w:sz="4" w:space="0" w:color="auto"/>
              <w:bottom w:val="single" w:sz="4" w:space="0" w:color="auto"/>
              <w:right w:val="single" w:sz="4" w:space="0" w:color="auto"/>
            </w:tcBorders>
            <w:hideMark/>
          </w:tcPr>
          <w:p w14:paraId="754528FF" w14:textId="77777777" w:rsidR="003663AF" w:rsidRPr="00B7760C" w:rsidRDefault="003663AF" w:rsidP="00E804B7">
            <w:pPr>
              <w:pStyle w:val="Normal6"/>
              <w:jc w:val="right"/>
              <w:rPr>
                <w:b/>
                <w:bCs/>
                <w:i/>
                <w:iCs/>
                <w:sz w:val="20"/>
              </w:rPr>
            </w:pPr>
            <w:r w:rsidRPr="00B7760C">
              <w:rPr>
                <w:b/>
                <w:bCs/>
                <w:i/>
                <w:iCs/>
                <w:sz w:val="20"/>
              </w:rPr>
              <w:t>7 902 188 942</w:t>
            </w:r>
          </w:p>
        </w:tc>
      </w:tr>
      <w:tr w:rsidR="003663AF" w:rsidRPr="00B7760C" w14:paraId="33F95BA7" w14:textId="77777777" w:rsidTr="00E804B7">
        <w:trPr>
          <w:cantSplit/>
          <w:trHeight w:val="255"/>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14:paraId="10161610" w14:textId="77777777" w:rsidR="003663AF" w:rsidRPr="00B7760C" w:rsidRDefault="003663AF" w:rsidP="00E804B7">
            <w:pPr>
              <w:pStyle w:val="Normal6"/>
              <w:rPr>
                <w:sz w:val="20"/>
              </w:rPr>
            </w:pPr>
            <w:r w:rsidRPr="00B7760C">
              <w:rPr>
                <w:sz w:val="20"/>
              </w:rPr>
              <w:t>Ciper</w:t>
            </w:r>
          </w:p>
        </w:tc>
        <w:tc>
          <w:tcPr>
            <w:tcW w:w="1608" w:type="dxa"/>
            <w:tcBorders>
              <w:top w:val="single" w:sz="4" w:space="0" w:color="auto"/>
              <w:left w:val="single" w:sz="4" w:space="0" w:color="auto"/>
              <w:bottom w:val="single" w:sz="4" w:space="0" w:color="auto"/>
              <w:right w:val="single" w:sz="4" w:space="0" w:color="auto"/>
            </w:tcBorders>
            <w:hideMark/>
          </w:tcPr>
          <w:p w14:paraId="3A5923E0" w14:textId="77777777" w:rsidR="003663AF" w:rsidRPr="00B7760C" w:rsidRDefault="003663AF" w:rsidP="00E804B7">
            <w:pPr>
              <w:pStyle w:val="Normal6"/>
              <w:jc w:val="right"/>
              <w:rPr>
                <w:b/>
                <w:bCs/>
                <w:i/>
                <w:iCs/>
                <w:sz w:val="20"/>
              </w:rPr>
            </w:pPr>
            <w:r w:rsidRPr="00B7760C">
              <w:rPr>
                <w:b/>
                <w:bCs/>
                <w:i/>
                <w:iCs/>
                <w:sz w:val="20"/>
              </w:rPr>
              <w:t>15 065 175</w:t>
            </w:r>
          </w:p>
        </w:tc>
        <w:tc>
          <w:tcPr>
            <w:tcW w:w="1608" w:type="dxa"/>
            <w:tcBorders>
              <w:top w:val="single" w:sz="4" w:space="0" w:color="auto"/>
              <w:left w:val="single" w:sz="4" w:space="0" w:color="auto"/>
              <w:bottom w:val="single" w:sz="4" w:space="0" w:color="auto"/>
              <w:right w:val="single" w:sz="4" w:space="0" w:color="auto"/>
            </w:tcBorders>
            <w:hideMark/>
          </w:tcPr>
          <w:p w14:paraId="08C22DD5" w14:textId="77777777" w:rsidR="003663AF" w:rsidRPr="00B7760C" w:rsidRDefault="003663AF" w:rsidP="00E804B7">
            <w:pPr>
              <w:pStyle w:val="Normal6"/>
              <w:jc w:val="right"/>
              <w:rPr>
                <w:b/>
                <w:bCs/>
                <w:i/>
                <w:iCs/>
                <w:sz w:val="20"/>
              </w:rPr>
            </w:pPr>
            <w:r w:rsidRPr="00B7760C">
              <w:rPr>
                <w:b/>
                <w:bCs/>
                <w:i/>
                <w:iCs/>
                <w:sz w:val="20"/>
              </w:rPr>
              <w:t>14 769 779</w:t>
            </w:r>
          </w:p>
        </w:tc>
        <w:tc>
          <w:tcPr>
            <w:tcW w:w="1608" w:type="dxa"/>
            <w:tcBorders>
              <w:top w:val="single" w:sz="4" w:space="0" w:color="auto"/>
              <w:left w:val="single" w:sz="4" w:space="0" w:color="auto"/>
              <w:bottom w:val="single" w:sz="4" w:space="0" w:color="auto"/>
              <w:right w:val="single" w:sz="4" w:space="0" w:color="auto"/>
            </w:tcBorders>
            <w:hideMark/>
          </w:tcPr>
          <w:p w14:paraId="1C64F59C" w14:textId="77777777" w:rsidR="003663AF" w:rsidRPr="00B7760C" w:rsidRDefault="003663AF" w:rsidP="00E804B7">
            <w:pPr>
              <w:pStyle w:val="Normal6"/>
              <w:jc w:val="right"/>
              <w:rPr>
                <w:b/>
                <w:bCs/>
                <w:i/>
                <w:iCs/>
                <w:sz w:val="20"/>
              </w:rPr>
            </w:pPr>
            <w:r w:rsidRPr="00B7760C">
              <w:rPr>
                <w:b/>
                <w:bCs/>
                <w:i/>
                <w:iCs/>
                <w:sz w:val="20"/>
              </w:rPr>
              <w:t>14 480 176</w:t>
            </w:r>
          </w:p>
        </w:tc>
        <w:tc>
          <w:tcPr>
            <w:tcW w:w="1608" w:type="dxa"/>
            <w:tcBorders>
              <w:top w:val="single" w:sz="4" w:space="0" w:color="auto"/>
              <w:left w:val="single" w:sz="4" w:space="0" w:color="auto"/>
              <w:bottom w:val="single" w:sz="4" w:space="0" w:color="auto"/>
              <w:right w:val="single" w:sz="4" w:space="0" w:color="auto"/>
            </w:tcBorders>
            <w:hideMark/>
          </w:tcPr>
          <w:p w14:paraId="682F221C" w14:textId="77777777" w:rsidR="003663AF" w:rsidRPr="00B7760C" w:rsidRDefault="003663AF" w:rsidP="00E804B7">
            <w:pPr>
              <w:pStyle w:val="Normal6"/>
              <w:jc w:val="right"/>
              <w:rPr>
                <w:b/>
                <w:bCs/>
                <w:i/>
                <w:iCs/>
                <w:sz w:val="20"/>
              </w:rPr>
            </w:pPr>
            <w:r w:rsidRPr="00B7760C">
              <w:rPr>
                <w:b/>
                <w:bCs/>
                <w:i/>
                <w:iCs/>
                <w:sz w:val="20"/>
              </w:rPr>
              <w:t>14 196 251</w:t>
            </w:r>
          </w:p>
        </w:tc>
        <w:tc>
          <w:tcPr>
            <w:tcW w:w="1608" w:type="dxa"/>
            <w:tcBorders>
              <w:top w:val="single" w:sz="4" w:space="0" w:color="auto"/>
              <w:left w:val="single" w:sz="4" w:space="0" w:color="auto"/>
              <w:bottom w:val="single" w:sz="4" w:space="0" w:color="auto"/>
              <w:right w:val="single" w:sz="4" w:space="0" w:color="auto"/>
            </w:tcBorders>
            <w:hideMark/>
          </w:tcPr>
          <w:p w14:paraId="733C6E1A" w14:textId="77777777" w:rsidR="003663AF" w:rsidRPr="00B7760C" w:rsidRDefault="003663AF" w:rsidP="00E804B7">
            <w:pPr>
              <w:pStyle w:val="Normal6"/>
              <w:jc w:val="right"/>
              <w:rPr>
                <w:b/>
                <w:bCs/>
                <w:i/>
                <w:iCs/>
                <w:sz w:val="20"/>
              </w:rPr>
            </w:pPr>
            <w:r w:rsidRPr="00B7760C">
              <w:rPr>
                <w:b/>
                <w:bCs/>
                <w:i/>
                <w:iCs/>
                <w:sz w:val="20"/>
              </w:rPr>
              <w:t>13 917 893</w:t>
            </w:r>
          </w:p>
        </w:tc>
        <w:tc>
          <w:tcPr>
            <w:tcW w:w="1608" w:type="dxa"/>
            <w:tcBorders>
              <w:top w:val="single" w:sz="4" w:space="0" w:color="auto"/>
              <w:left w:val="single" w:sz="4" w:space="0" w:color="auto"/>
              <w:bottom w:val="single" w:sz="4" w:space="0" w:color="auto"/>
              <w:right w:val="single" w:sz="4" w:space="0" w:color="auto"/>
            </w:tcBorders>
            <w:hideMark/>
          </w:tcPr>
          <w:p w14:paraId="7058C4CB" w14:textId="77777777" w:rsidR="003663AF" w:rsidRPr="00B7760C" w:rsidRDefault="003663AF" w:rsidP="00E804B7">
            <w:pPr>
              <w:pStyle w:val="Normal6"/>
              <w:jc w:val="right"/>
              <w:rPr>
                <w:b/>
                <w:bCs/>
                <w:i/>
                <w:iCs/>
                <w:sz w:val="20"/>
              </w:rPr>
            </w:pPr>
            <w:r w:rsidRPr="00B7760C">
              <w:rPr>
                <w:b/>
                <w:bCs/>
                <w:i/>
                <w:iCs/>
                <w:sz w:val="20"/>
              </w:rPr>
              <w:t>13 644 993</w:t>
            </w:r>
          </w:p>
        </w:tc>
        <w:tc>
          <w:tcPr>
            <w:tcW w:w="1608" w:type="dxa"/>
            <w:tcBorders>
              <w:top w:val="single" w:sz="4" w:space="0" w:color="auto"/>
              <w:left w:val="single" w:sz="4" w:space="0" w:color="auto"/>
              <w:bottom w:val="single" w:sz="4" w:space="0" w:color="auto"/>
              <w:right w:val="single" w:sz="4" w:space="0" w:color="auto"/>
            </w:tcBorders>
            <w:hideMark/>
          </w:tcPr>
          <w:p w14:paraId="18828893" w14:textId="77777777" w:rsidR="003663AF" w:rsidRPr="00B7760C" w:rsidRDefault="003663AF" w:rsidP="00E804B7">
            <w:pPr>
              <w:pStyle w:val="Normal6"/>
              <w:jc w:val="right"/>
              <w:rPr>
                <w:b/>
                <w:bCs/>
                <w:i/>
                <w:iCs/>
                <w:sz w:val="20"/>
              </w:rPr>
            </w:pPr>
            <w:r w:rsidRPr="00B7760C">
              <w:rPr>
                <w:b/>
                <w:bCs/>
                <w:i/>
                <w:iCs/>
                <w:sz w:val="20"/>
              </w:rPr>
              <w:t>13 377 444</w:t>
            </w:r>
          </w:p>
        </w:tc>
        <w:tc>
          <w:tcPr>
            <w:tcW w:w="1616" w:type="dxa"/>
            <w:tcBorders>
              <w:top w:val="single" w:sz="4" w:space="0" w:color="auto"/>
              <w:left w:val="single" w:sz="4" w:space="0" w:color="auto"/>
              <w:bottom w:val="single" w:sz="4" w:space="0" w:color="auto"/>
              <w:right w:val="single" w:sz="4" w:space="0" w:color="auto"/>
            </w:tcBorders>
            <w:hideMark/>
          </w:tcPr>
          <w:p w14:paraId="62BE275F" w14:textId="77777777" w:rsidR="003663AF" w:rsidRPr="00B7760C" w:rsidRDefault="003663AF" w:rsidP="00E804B7">
            <w:pPr>
              <w:pStyle w:val="Normal6"/>
              <w:jc w:val="right"/>
              <w:rPr>
                <w:b/>
                <w:bCs/>
                <w:i/>
                <w:iCs/>
                <w:sz w:val="20"/>
              </w:rPr>
            </w:pPr>
            <w:r w:rsidRPr="00B7760C">
              <w:rPr>
                <w:b/>
                <w:bCs/>
                <w:i/>
                <w:iCs/>
                <w:sz w:val="20"/>
              </w:rPr>
              <w:t>99 451 711</w:t>
            </w:r>
          </w:p>
        </w:tc>
      </w:tr>
      <w:tr w:rsidR="003663AF" w:rsidRPr="00B7760C" w14:paraId="794EC490" w14:textId="77777777" w:rsidTr="00E804B7">
        <w:trPr>
          <w:cantSplit/>
          <w:trHeight w:val="255"/>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14:paraId="003DDDFA" w14:textId="77777777" w:rsidR="003663AF" w:rsidRPr="00B7760C" w:rsidRDefault="003663AF" w:rsidP="00E804B7">
            <w:pPr>
              <w:pStyle w:val="Normal6"/>
              <w:rPr>
                <w:sz w:val="20"/>
              </w:rPr>
            </w:pPr>
            <w:r w:rsidRPr="00B7760C">
              <w:rPr>
                <w:sz w:val="20"/>
              </w:rPr>
              <w:t>Latvija</w:t>
            </w:r>
          </w:p>
        </w:tc>
        <w:tc>
          <w:tcPr>
            <w:tcW w:w="1608" w:type="dxa"/>
            <w:tcBorders>
              <w:top w:val="single" w:sz="4" w:space="0" w:color="auto"/>
              <w:left w:val="single" w:sz="4" w:space="0" w:color="auto"/>
              <w:bottom w:val="single" w:sz="4" w:space="0" w:color="auto"/>
              <w:right w:val="single" w:sz="4" w:space="0" w:color="auto"/>
            </w:tcBorders>
            <w:hideMark/>
          </w:tcPr>
          <w:p w14:paraId="60797E29" w14:textId="77777777" w:rsidR="003663AF" w:rsidRPr="00B7760C" w:rsidRDefault="003663AF" w:rsidP="00E804B7">
            <w:pPr>
              <w:pStyle w:val="Normal6"/>
              <w:jc w:val="right"/>
              <w:rPr>
                <w:b/>
                <w:bCs/>
                <w:i/>
                <w:iCs/>
                <w:sz w:val="20"/>
              </w:rPr>
            </w:pPr>
            <w:r w:rsidRPr="00B7760C">
              <w:rPr>
                <w:b/>
                <w:bCs/>
                <w:i/>
                <w:iCs/>
                <w:sz w:val="20"/>
              </w:rPr>
              <w:t>110 541 260</w:t>
            </w:r>
          </w:p>
        </w:tc>
        <w:tc>
          <w:tcPr>
            <w:tcW w:w="1608" w:type="dxa"/>
            <w:tcBorders>
              <w:top w:val="single" w:sz="4" w:space="0" w:color="auto"/>
              <w:left w:val="single" w:sz="4" w:space="0" w:color="auto"/>
              <w:bottom w:val="single" w:sz="4" w:space="0" w:color="auto"/>
              <w:right w:val="single" w:sz="4" w:space="0" w:color="auto"/>
            </w:tcBorders>
            <w:hideMark/>
          </w:tcPr>
          <w:p w14:paraId="2FE9C988" w14:textId="77777777" w:rsidR="003663AF" w:rsidRPr="00B7760C" w:rsidRDefault="003663AF" w:rsidP="00E804B7">
            <w:pPr>
              <w:pStyle w:val="Normal6"/>
              <w:jc w:val="right"/>
              <w:rPr>
                <w:b/>
                <w:bCs/>
                <w:i/>
                <w:iCs/>
                <w:sz w:val="20"/>
              </w:rPr>
            </w:pPr>
            <w:r w:rsidRPr="00B7760C">
              <w:rPr>
                <w:b/>
                <w:bCs/>
                <w:i/>
                <w:iCs/>
                <w:sz w:val="20"/>
              </w:rPr>
              <w:t>108 373 784</w:t>
            </w:r>
          </w:p>
        </w:tc>
        <w:tc>
          <w:tcPr>
            <w:tcW w:w="1608" w:type="dxa"/>
            <w:tcBorders>
              <w:top w:val="single" w:sz="4" w:space="0" w:color="auto"/>
              <w:left w:val="single" w:sz="4" w:space="0" w:color="auto"/>
              <w:bottom w:val="single" w:sz="4" w:space="0" w:color="auto"/>
              <w:right w:val="single" w:sz="4" w:space="0" w:color="auto"/>
            </w:tcBorders>
            <w:hideMark/>
          </w:tcPr>
          <w:p w14:paraId="36E53814" w14:textId="77777777" w:rsidR="003663AF" w:rsidRPr="00B7760C" w:rsidRDefault="003663AF" w:rsidP="00E804B7">
            <w:pPr>
              <w:pStyle w:val="Normal6"/>
              <w:jc w:val="right"/>
              <w:rPr>
                <w:b/>
                <w:bCs/>
                <w:i/>
                <w:iCs/>
                <w:sz w:val="20"/>
              </w:rPr>
            </w:pPr>
            <w:r w:rsidRPr="00B7760C">
              <w:rPr>
                <w:b/>
                <w:bCs/>
                <w:i/>
                <w:iCs/>
                <w:sz w:val="20"/>
              </w:rPr>
              <w:t>106 248 808</w:t>
            </w:r>
          </w:p>
        </w:tc>
        <w:tc>
          <w:tcPr>
            <w:tcW w:w="1608" w:type="dxa"/>
            <w:tcBorders>
              <w:top w:val="single" w:sz="4" w:space="0" w:color="auto"/>
              <w:left w:val="single" w:sz="4" w:space="0" w:color="auto"/>
              <w:bottom w:val="single" w:sz="4" w:space="0" w:color="auto"/>
              <w:right w:val="single" w:sz="4" w:space="0" w:color="auto"/>
            </w:tcBorders>
            <w:hideMark/>
          </w:tcPr>
          <w:p w14:paraId="12A530A8" w14:textId="77777777" w:rsidR="003663AF" w:rsidRPr="00B7760C" w:rsidRDefault="003663AF" w:rsidP="00E804B7">
            <w:pPr>
              <w:pStyle w:val="Normal6"/>
              <w:jc w:val="right"/>
              <w:rPr>
                <w:b/>
                <w:bCs/>
                <w:i/>
                <w:iCs/>
                <w:sz w:val="20"/>
              </w:rPr>
            </w:pPr>
            <w:r w:rsidRPr="00B7760C">
              <w:rPr>
                <w:b/>
                <w:bCs/>
                <w:i/>
                <w:iCs/>
                <w:sz w:val="20"/>
              </w:rPr>
              <w:t>104 165 498</w:t>
            </w:r>
          </w:p>
        </w:tc>
        <w:tc>
          <w:tcPr>
            <w:tcW w:w="1608" w:type="dxa"/>
            <w:tcBorders>
              <w:top w:val="single" w:sz="4" w:space="0" w:color="auto"/>
              <w:left w:val="single" w:sz="4" w:space="0" w:color="auto"/>
              <w:bottom w:val="single" w:sz="4" w:space="0" w:color="auto"/>
              <w:right w:val="single" w:sz="4" w:space="0" w:color="auto"/>
            </w:tcBorders>
            <w:hideMark/>
          </w:tcPr>
          <w:p w14:paraId="66486B41" w14:textId="77777777" w:rsidR="003663AF" w:rsidRPr="00B7760C" w:rsidRDefault="003663AF" w:rsidP="00E804B7">
            <w:pPr>
              <w:pStyle w:val="Normal6"/>
              <w:jc w:val="right"/>
              <w:rPr>
                <w:b/>
                <w:bCs/>
                <w:i/>
                <w:iCs/>
                <w:sz w:val="20"/>
              </w:rPr>
            </w:pPr>
            <w:r w:rsidRPr="00B7760C">
              <w:rPr>
                <w:b/>
                <w:bCs/>
                <w:i/>
                <w:iCs/>
                <w:sz w:val="20"/>
              </w:rPr>
              <w:t>102 123 037</w:t>
            </w:r>
          </w:p>
        </w:tc>
        <w:tc>
          <w:tcPr>
            <w:tcW w:w="1608" w:type="dxa"/>
            <w:tcBorders>
              <w:top w:val="single" w:sz="4" w:space="0" w:color="auto"/>
              <w:left w:val="single" w:sz="4" w:space="0" w:color="auto"/>
              <w:bottom w:val="single" w:sz="4" w:space="0" w:color="auto"/>
              <w:right w:val="single" w:sz="4" w:space="0" w:color="auto"/>
            </w:tcBorders>
            <w:hideMark/>
          </w:tcPr>
          <w:p w14:paraId="03478EBC" w14:textId="77777777" w:rsidR="003663AF" w:rsidRPr="00B7760C" w:rsidRDefault="003663AF" w:rsidP="00E804B7">
            <w:pPr>
              <w:pStyle w:val="Normal6"/>
              <w:jc w:val="right"/>
              <w:rPr>
                <w:b/>
                <w:bCs/>
                <w:i/>
                <w:iCs/>
                <w:sz w:val="20"/>
              </w:rPr>
            </w:pPr>
            <w:r w:rsidRPr="00B7760C">
              <w:rPr>
                <w:b/>
                <w:bCs/>
                <w:i/>
                <w:iCs/>
                <w:sz w:val="20"/>
              </w:rPr>
              <w:t>100 120 625</w:t>
            </w:r>
          </w:p>
        </w:tc>
        <w:tc>
          <w:tcPr>
            <w:tcW w:w="1608" w:type="dxa"/>
            <w:tcBorders>
              <w:top w:val="single" w:sz="4" w:space="0" w:color="auto"/>
              <w:left w:val="single" w:sz="4" w:space="0" w:color="auto"/>
              <w:bottom w:val="single" w:sz="4" w:space="0" w:color="auto"/>
              <w:right w:val="single" w:sz="4" w:space="0" w:color="auto"/>
            </w:tcBorders>
            <w:hideMark/>
          </w:tcPr>
          <w:p w14:paraId="6B3B67E9" w14:textId="77777777" w:rsidR="003663AF" w:rsidRPr="00B7760C" w:rsidRDefault="003663AF" w:rsidP="00E804B7">
            <w:pPr>
              <w:pStyle w:val="Normal6"/>
              <w:jc w:val="right"/>
              <w:rPr>
                <w:b/>
                <w:bCs/>
                <w:i/>
                <w:iCs/>
                <w:sz w:val="20"/>
              </w:rPr>
            </w:pPr>
            <w:r w:rsidRPr="00B7760C">
              <w:rPr>
                <w:b/>
                <w:bCs/>
                <w:i/>
                <w:iCs/>
                <w:sz w:val="20"/>
              </w:rPr>
              <w:t>98 157 475</w:t>
            </w:r>
          </w:p>
        </w:tc>
        <w:tc>
          <w:tcPr>
            <w:tcW w:w="1616" w:type="dxa"/>
            <w:tcBorders>
              <w:top w:val="single" w:sz="4" w:space="0" w:color="auto"/>
              <w:left w:val="single" w:sz="4" w:space="0" w:color="auto"/>
              <w:bottom w:val="single" w:sz="4" w:space="0" w:color="auto"/>
              <w:right w:val="single" w:sz="4" w:space="0" w:color="auto"/>
            </w:tcBorders>
            <w:hideMark/>
          </w:tcPr>
          <w:p w14:paraId="610E3687" w14:textId="77777777" w:rsidR="003663AF" w:rsidRPr="00B7760C" w:rsidRDefault="003663AF" w:rsidP="00E804B7">
            <w:pPr>
              <w:pStyle w:val="Normal6"/>
              <w:jc w:val="right"/>
              <w:rPr>
                <w:b/>
                <w:bCs/>
                <w:i/>
                <w:iCs/>
                <w:sz w:val="20"/>
              </w:rPr>
            </w:pPr>
            <w:r w:rsidRPr="00B7760C">
              <w:rPr>
                <w:b/>
                <w:bCs/>
                <w:i/>
                <w:iCs/>
                <w:sz w:val="20"/>
              </w:rPr>
              <w:t>729 730 487</w:t>
            </w:r>
          </w:p>
        </w:tc>
      </w:tr>
      <w:tr w:rsidR="003663AF" w:rsidRPr="00B7760C" w14:paraId="6BB49487" w14:textId="77777777" w:rsidTr="00E804B7">
        <w:trPr>
          <w:cantSplit/>
          <w:trHeight w:val="255"/>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14:paraId="5DD7BB40" w14:textId="77777777" w:rsidR="003663AF" w:rsidRPr="00B7760C" w:rsidRDefault="003663AF" w:rsidP="00E804B7">
            <w:pPr>
              <w:pStyle w:val="Normal6"/>
              <w:rPr>
                <w:sz w:val="20"/>
              </w:rPr>
            </w:pPr>
            <w:r w:rsidRPr="00B7760C">
              <w:rPr>
                <w:sz w:val="20"/>
              </w:rPr>
              <w:t>Litva</w:t>
            </w:r>
          </w:p>
        </w:tc>
        <w:tc>
          <w:tcPr>
            <w:tcW w:w="1608" w:type="dxa"/>
            <w:tcBorders>
              <w:top w:val="single" w:sz="4" w:space="0" w:color="auto"/>
              <w:left w:val="single" w:sz="4" w:space="0" w:color="auto"/>
              <w:bottom w:val="single" w:sz="4" w:space="0" w:color="auto"/>
              <w:right w:val="single" w:sz="4" w:space="0" w:color="auto"/>
            </w:tcBorders>
            <w:hideMark/>
          </w:tcPr>
          <w:p w14:paraId="383778AB" w14:textId="77777777" w:rsidR="003663AF" w:rsidRPr="00B7760C" w:rsidRDefault="003663AF" w:rsidP="00E804B7">
            <w:pPr>
              <w:pStyle w:val="Normal6"/>
              <w:jc w:val="right"/>
              <w:rPr>
                <w:b/>
                <w:bCs/>
                <w:i/>
                <w:iCs/>
                <w:sz w:val="20"/>
              </w:rPr>
            </w:pPr>
            <w:r w:rsidRPr="00B7760C">
              <w:rPr>
                <w:b/>
                <w:bCs/>
                <w:i/>
                <w:iCs/>
                <w:sz w:val="20"/>
              </w:rPr>
              <w:t>183 924 845</w:t>
            </w:r>
          </w:p>
        </w:tc>
        <w:tc>
          <w:tcPr>
            <w:tcW w:w="1608" w:type="dxa"/>
            <w:tcBorders>
              <w:top w:val="single" w:sz="4" w:space="0" w:color="auto"/>
              <w:left w:val="single" w:sz="4" w:space="0" w:color="auto"/>
              <w:bottom w:val="single" w:sz="4" w:space="0" w:color="auto"/>
              <w:right w:val="single" w:sz="4" w:space="0" w:color="auto"/>
            </w:tcBorders>
            <w:hideMark/>
          </w:tcPr>
          <w:p w14:paraId="431CF99C" w14:textId="77777777" w:rsidR="003663AF" w:rsidRPr="00B7760C" w:rsidRDefault="003663AF" w:rsidP="00E804B7">
            <w:pPr>
              <w:pStyle w:val="Normal6"/>
              <w:jc w:val="right"/>
              <w:rPr>
                <w:b/>
                <w:bCs/>
                <w:i/>
                <w:iCs/>
                <w:sz w:val="20"/>
              </w:rPr>
            </w:pPr>
            <w:r w:rsidRPr="00B7760C">
              <w:rPr>
                <w:b/>
                <w:bCs/>
                <w:i/>
                <w:iCs/>
                <w:sz w:val="20"/>
              </w:rPr>
              <w:t>180 318 475</w:t>
            </w:r>
          </w:p>
        </w:tc>
        <w:tc>
          <w:tcPr>
            <w:tcW w:w="1608" w:type="dxa"/>
            <w:tcBorders>
              <w:top w:val="single" w:sz="4" w:space="0" w:color="auto"/>
              <w:left w:val="single" w:sz="4" w:space="0" w:color="auto"/>
              <w:bottom w:val="single" w:sz="4" w:space="0" w:color="auto"/>
              <w:right w:val="single" w:sz="4" w:space="0" w:color="auto"/>
            </w:tcBorders>
            <w:hideMark/>
          </w:tcPr>
          <w:p w14:paraId="49A0A612" w14:textId="77777777" w:rsidR="003663AF" w:rsidRPr="00B7760C" w:rsidRDefault="003663AF" w:rsidP="00E804B7">
            <w:pPr>
              <w:pStyle w:val="Normal6"/>
              <w:jc w:val="right"/>
              <w:rPr>
                <w:b/>
                <w:bCs/>
                <w:i/>
                <w:iCs/>
                <w:sz w:val="20"/>
              </w:rPr>
            </w:pPr>
            <w:r w:rsidRPr="00B7760C">
              <w:rPr>
                <w:b/>
                <w:bCs/>
                <w:i/>
                <w:iCs/>
                <w:sz w:val="20"/>
              </w:rPr>
              <w:t>176 782 819</w:t>
            </w:r>
          </w:p>
        </w:tc>
        <w:tc>
          <w:tcPr>
            <w:tcW w:w="1608" w:type="dxa"/>
            <w:tcBorders>
              <w:top w:val="single" w:sz="4" w:space="0" w:color="auto"/>
              <w:left w:val="single" w:sz="4" w:space="0" w:color="auto"/>
              <w:bottom w:val="single" w:sz="4" w:space="0" w:color="auto"/>
              <w:right w:val="single" w:sz="4" w:space="0" w:color="auto"/>
            </w:tcBorders>
            <w:hideMark/>
          </w:tcPr>
          <w:p w14:paraId="330FD68F" w14:textId="77777777" w:rsidR="003663AF" w:rsidRPr="00B7760C" w:rsidRDefault="003663AF" w:rsidP="00E804B7">
            <w:pPr>
              <w:pStyle w:val="Normal6"/>
              <w:jc w:val="right"/>
              <w:rPr>
                <w:b/>
                <w:bCs/>
                <w:i/>
                <w:iCs/>
                <w:sz w:val="20"/>
              </w:rPr>
            </w:pPr>
            <w:r w:rsidRPr="00B7760C">
              <w:rPr>
                <w:b/>
                <w:bCs/>
                <w:i/>
                <w:iCs/>
                <w:sz w:val="20"/>
              </w:rPr>
              <w:t>173 316 489</w:t>
            </w:r>
          </w:p>
        </w:tc>
        <w:tc>
          <w:tcPr>
            <w:tcW w:w="1608" w:type="dxa"/>
            <w:tcBorders>
              <w:top w:val="single" w:sz="4" w:space="0" w:color="auto"/>
              <w:left w:val="single" w:sz="4" w:space="0" w:color="auto"/>
              <w:bottom w:val="single" w:sz="4" w:space="0" w:color="auto"/>
              <w:right w:val="single" w:sz="4" w:space="0" w:color="auto"/>
            </w:tcBorders>
            <w:hideMark/>
          </w:tcPr>
          <w:p w14:paraId="01A6F383" w14:textId="77777777" w:rsidR="003663AF" w:rsidRPr="00B7760C" w:rsidRDefault="003663AF" w:rsidP="00E804B7">
            <w:pPr>
              <w:pStyle w:val="Normal6"/>
              <w:jc w:val="right"/>
              <w:rPr>
                <w:b/>
                <w:bCs/>
                <w:i/>
                <w:iCs/>
                <w:sz w:val="20"/>
              </w:rPr>
            </w:pPr>
            <w:r w:rsidRPr="00B7760C">
              <w:rPr>
                <w:b/>
                <w:bCs/>
                <w:i/>
                <w:iCs/>
                <w:sz w:val="20"/>
              </w:rPr>
              <w:t>169 918 127</w:t>
            </w:r>
          </w:p>
        </w:tc>
        <w:tc>
          <w:tcPr>
            <w:tcW w:w="1608" w:type="dxa"/>
            <w:tcBorders>
              <w:top w:val="single" w:sz="4" w:space="0" w:color="auto"/>
              <w:left w:val="single" w:sz="4" w:space="0" w:color="auto"/>
              <w:bottom w:val="single" w:sz="4" w:space="0" w:color="auto"/>
              <w:right w:val="single" w:sz="4" w:space="0" w:color="auto"/>
            </w:tcBorders>
            <w:hideMark/>
          </w:tcPr>
          <w:p w14:paraId="7CD8879B" w14:textId="77777777" w:rsidR="003663AF" w:rsidRPr="00B7760C" w:rsidRDefault="003663AF" w:rsidP="00E804B7">
            <w:pPr>
              <w:pStyle w:val="Normal6"/>
              <w:jc w:val="right"/>
              <w:rPr>
                <w:b/>
                <w:bCs/>
                <w:i/>
                <w:iCs/>
                <w:sz w:val="20"/>
              </w:rPr>
            </w:pPr>
            <w:r w:rsidRPr="00B7760C">
              <w:rPr>
                <w:b/>
                <w:bCs/>
                <w:i/>
                <w:iCs/>
                <w:sz w:val="20"/>
              </w:rPr>
              <w:t>166 586 399</w:t>
            </w:r>
          </w:p>
        </w:tc>
        <w:tc>
          <w:tcPr>
            <w:tcW w:w="1608" w:type="dxa"/>
            <w:tcBorders>
              <w:top w:val="single" w:sz="4" w:space="0" w:color="auto"/>
              <w:left w:val="single" w:sz="4" w:space="0" w:color="auto"/>
              <w:bottom w:val="single" w:sz="4" w:space="0" w:color="auto"/>
              <w:right w:val="single" w:sz="4" w:space="0" w:color="auto"/>
            </w:tcBorders>
            <w:hideMark/>
          </w:tcPr>
          <w:p w14:paraId="19D74D28" w14:textId="77777777" w:rsidR="003663AF" w:rsidRPr="00B7760C" w:rsidRDefault="003663AF" w:rsidP="00E804B7">
            <w:pPr>
              <w:pStyle w:val="Normal6"/>
              <w:jc w:val="right"/>
              <w:rPr>
                <w:b/>
                <w:bCs/>
                <w:i/>
                <w:iCs/>
                <w:sz w:val="20"/>
              </w:rPr>
            </w:pPr>
            <w:r w:rsidRPr="00B7760C">
              <w:rPr>
                <w:b/>
                <w:bCs/>
                <w:i/>
                <w:iCs/>
                <w:sz w:val="20"/>
              </w:rPr>
              <w:t>163 319 999</w:t>
            </w:r>
          </w:p>
        </w:tc>
        <w:tc>
          <w:tcPr>
            <w:tcW w:w="1616" w:type="dxa"/>
            <w:tcBorders>
              <w:top w:val="single" w:sz="4" w:space="0" w:color="auto"/>
              <w:left w:val="single" w:sz="4" w:space="0" w:color="auto"/>
              <w:bottom w:val="single" w:sz="4" w:space="0" w:color="auto"/>
              <w:right w:val="single" w:sz="4" w:space="0" w:color="auto"/>
            </w:tcBorders>
            <w:hideMark/>
          </w:tcPr>
          <w:p w14:paraId="73B7C2AE" w14:textId="77777777" w:rsidR="003663AF" w:rsidRPr="00B7760C" w:rsidRDefault="003663AF" w:rsidP="00E804B7">
            <w:pPr>
              <w:pStyle w:val="Normal6"/>
              <w:jc w:val="right"/>
              <w:rPr>
                <w:b/>
                <w:bCs/>
                <w:i/>
                <w:iCs/>
                <w:sz w:val="20"/>
              </w:rPr>
            </w:pPr>
            <w:r w:rsidRPr="00B7760C">
              <w:rPr>
                <w:b/>
                <w:bCs/>
                <w:i/>
                <w:iCs/>
                <w:sz w:val="20"/>
              </w:rPr>
              <w:t>1 214 167 153</w:t>
            </w:r>
          </w:p>
        </w:tc>
      </w:tr>
      <w:tr w:rsidR="003663AF" w:rsidRPr="00B7760C" w14:paraId="14FF6FA6" w14:textId="77777777" w:rsidTr="00E804B7">
        <w:trPr>
          <w:cantSplit/>
          <w:trHeight w:val="255"/>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14:paraId="09B3010C" w14:textId="77777777" w:rsidR="003663AF" w:rsidRPr="00B7760C" w:rsidRDefault="003663AF" w:rsidP="00E804B7">
            <w:pPr>
              <w:pStyle w:val="Normal6"/>
              <w:rPr>
                <w:sz w:val="20"/>
              </w:rPr>
            </w:pPr>
            <w:r w:rsidRPr="00B7760C">
              <w:rPr>
                <w:sz w:val="20"/>
              </w:rPr>
              <w:t>Luksemburg</w:t>
            </w:r>
          </w:p>
        </w:tc>
        <w:tc>
          <w:tcPr>
            <w:tcW w:w="1608" w:type="dxa"/>
            <w:tcBorders>
              <w:top w:val="single" w:sz="4" w:space="0" w:color="auto"/>
              <w:left w:val="single" w:sz="4" w:space="0" w:color="auto"/>
              <w:bottom w:val="single" w:sz="4" w:space="0" w:color="auto"/>
              <w:right w:val="single" w:sz="4" w:space="0" w:color="auto"/>
            </w:tcBorders>
            <w:hideMark/>
          </w:tcPr>
          <w:p w14:paraId="333BE288" w14:textId="77777777" w:rsidR="003663AF" w:rsidRPr="00B7760C" w:rsidRDefault="003663AF" w:rsidP="00E804B7">
            <w:pPr>
              <w:pStyle w:val="Normal6"/>
              <w:jc w:val="right"/>
              <w:rPr>
                <w:b/>
                <w:bCs/>
                <w:i/>
                <w:iCs/>
                <w:sz w:val="20"/>
              </w:rPr>
            </w:pPr>
            <w:r w:rsidRPr="00B7760C">
              <w:rPr>
                <w:b/>
                <w:bCs/>
                <w:i/>
                <w:iCs/>
                <w:sz w:val="20"/>
              </w:rPr>
              <w:t>11 582 043</w:t>
            </w:r>
          </w:p>
        </w:tc>
        <w:tc>
          <w:tcPr>
            <w:tcW w:w="1608" w:type="dxa"/>
            <w:tcBorders>
              <w:top w:val="single" w:sz="4" w:space="0" w:color="auto"/>
              <w:left w:val="single" w:sz="4" w:space="0" w:color="auto"/>
              <w:bottom w:val="single" w:sz="4" w:space="0" w:color="auto"/>
              <w:right w:val="single" w:sz="4" w:space="0" w:color="auto"/>
            </w:tcBorders>
            <w:hideMark/>
          </w:tcPr>
          <w:p w14:paraId="1B6E4596" w14:textId="77777777" w:rsidR="003663AF" w:rsidRPr="00B7760C" w:rsidRDefault="003663AF" w:rsidP="00E804B7">
            <w:pPr>
              <w:pStyle w:val="Normal6"/>
              <w:jc w:val="right"/>
              <w:rPr>
                <w:b/>
                <w:bCs/>
                <w:i/>
                <w:iCs/>
                <w:sz w:val="20"/>
              </w:rPr>
            </w:pPr>
            <w:r w:rsidRPr="00B7760C">
              <w:rPr>
                <w:b/>
                <w:bCs/>
                <w:i/>
                <w:iCs/>
                <w:sz w:val="20"/>
              </w:rPr>
              <w:t>11 354 944</w:t>
            </w:r>
          </w:p>
        </w:tc>
        <w:tc>
          <w:tcPr>
            <w:tcW w:w="1608" w:type="dxa"/>
            <w:tcBorders>
              <w:top w:val="single" w:sz="4" w:space="0" w:color="auto"/>
              <w:left w:val="single" w:sz="4" w:space="0" w:color="auto"/>
              <w:bottom w:val="single" w:sz="4" w:space="0" w:color="auto"/>
              <w:right w:val="single" w:sz="4" w:space="0" w:color="auto"/>
            </w:tcBorders>
            <w:hideMark/>
          </w:tcPr>
          <w:p w14:paraId="70705E96" w14:textId="77777777" w:rsidR="003663AF" w:rsidRPr="00B7760C" w:rsidRDefault="003663AF" w:rsidP="00E804B7">
            <w:pPr>
              <w:pStyle w:val="Normal6"/>
              <w:jc w:val="right"/>
              <w:rPr>
                <w:b/>
                <w:bCs/>
                <w:i/>
                <w:iCs/>
                <w:sz w:val="20"/>
              </w:rPr>
            </w:pPr>
            <w:r w:rsidRPr="00B7760C">
              <w:rPr>
                <w:b/>
                <w:bCs/>
                <w:i/>
                <w:iCs/>
                <w:sz w:val="20"/>
              </w:rPr>
              <w:t>11 132 298</w:t>
            </w:r>
          </w:p>
        </w:tc>
        <w:tc>
          <w:tcPr>
            <w:tcW w:w="1608" w:type="dxa"/>
            <w:tcBorders>
              <w:top w:val="single" w:sz="4" w:space="0" w:color="auto"/>
              <w:left w:val="single" w:sz="4" w:space="0" w:color="auto"/>
              <w:bottom w:val="single" w:sz="4" w:space="0" w:color="auto"/>
              <w:right w:val="single" w:sz="4" w:space="0" w:color="auto"/>
            </w:tcBorders>
            <w:hideMark/>
          </w:tcPr>
          <w:p w14:paraId="21E98B31" w14:textId="77777777" w:rsidR="003663AF" w:rsidRPr="00B7760C" w:rsidRDefault="003663AF" w:rsidP="00E804B7">
            <w:pPr>
              <w:pStyle w:val="Normal6"/>
              <w:jc w:val="right"/>
              <w:rPr>
                <w:b/>
                <w:bCs/>
                <w:i/>
                <w:iCs/>
                <w:sz w:val="20"/>
              </w:rPr>
            </w:pPr>
            <w:r w:rsidRPr="00B7760C">
              <w:rPr>
                <w:b/>
                <w:bCs/>
                <w:i/>
                <w:iCs/>
                <w:sz w:val="20"/>
              </w:rPr>
              <w:t>10 914 018</w:t>
            </w:r>
          </w:p>
        </w:tc>
        <w:tc>
          <w:tcPr>
            <w:tcW w:w="1608" w:type="dxa"/>
            <w:tcBorders>
              <w:top w:val="single" w:sz="4" w:space="0" w:color="auto"/>
              <w:left w:val="single" w:sz="4" w:space="0" w:color="auto"/>
              <w:bottom w:val="single" w:sz="4" w:space="0" w:color="auto"/>
              <w:right w:val="single" w:sz="4" w:space="0" w:color="auto"/>
            </w:tcBorders>
            <w:hideMark/>
          </w:tcPr>
          <w:p w14:paraId="178DA375" w14:textId="77777777" w:rsidR="003663AF" w:rsidRPr="00B7760C" w:rsidRDefault="003663AF" w:rsidP="00E804B7">
            <w:pPr>
              <w:pStyle w:val="Normal6"/>
              <w:jc w:val="right"/>
              <w:rPr>
                <w:b/>
                <w:bCs/>
                <w:i/>
                <w:iCs/>
                <w:sz w:val="20"/>
              </w:rPr>
            </w:pPr>
            <w:r w:rsidRPr="00B7760C">
              <w:rPr>
                <w:b/>
                <w:bCs/>
                <w:i/>
                <w:iCs/>
                <w:sz w:val="20"/>
              </w:rPr>
              <w:t>10 700 017</w:t>
            </w:r>
          </w:p>
        </w:tc>
        <w:tc>
          <w:tcPr>
            <w:tcW w:w="1608" w:type="dxa"/>
            <w:tcBorders>
              <w:top w:val="single" w:sz="4" w:space="0" w:color="auto"/>
              <w:left w:val="single" w:sz="4" w:space="0" w:color="auto"/>
              <w:bottom w:val="single" w:sz="4" w:space="0" w:color="auto"/>
              <w:right w:val="single" w:sz="4" w:space="0" w:color="auto"/>
            </w:tcBorders>
            <w:hideMark/>
          </w:tcPr>
          <w:p w14:paraId="2FC46C03" w14:textId="77777777" w:rsidR="003663AF" w:rsidRPr="00B7760C" w:rsidRDefault="003663AF" w:rsidP="00E804B7">
            <w:pPr>
              <w:pStyle w:val="Normal6"/>
              <w:jc w:val="right"/>
              <w:rPr>
                <w:b/>
                <w:bCs/>
                <w:i/>
                <w:iCs/>
                <w:sz w:val="20"/>
              </w:rPr>
            </w:pPr>
            <w:r w:rsidRPr="00B7760C">
              <w:rPr>
                <w:b/>
                <w:bCs/>
                <w:i/>
                <w:iCs/>
                <w:sz w:val="20"/>
              </w:rPr>
              <w:t>10 490 213</w:t>
            </w:r>
          </w:p>
        </w:tc>
        <w:tc>
          <w:tcPr>
            <w:tcW w:w="1608" w:type="dxa"/>
            <w:tcBorders>
              <w:top w:val="single" w:sz="4" w:space="0" w:color="auto"/>
              <w:left w:val="single" w:sz="4" w:space="0" w:color="auto"/>
              <w:bottom w:val="single" w:sz="4" w:space="0" w:color="auto"/>
              <w:right w:val="single" w:sz="4" w:space="0" w:color="auto"/>
            </w:tcBorders>
            <w:hideMark/>
          </w:tcPr>
          <w:p w14:paraId="1D7084E3" w14:textId="77777777" w:rsidR="003663AF" w:rsidRPr="00B7760C" w:rsidRDefault="003663AF" w:rsidP="00E804B7">
            <w:pPr>
              <w:pStyle w:val="Normal6"/>
              <w:jc w:val="right"/>
              <w:rPr>
                <w:b/>
                <w:bCs/>
                <w:i/>
                <w:iCs/>
                <w:sz w:val="20"/>
              </w:rPr>
            </w:pPr>
            <w:r w:rsidRPr="00B7760C">
              <w:rPr>
                <w:b/>
                <w:bCs/>
                <w:i/>
                <w:iCs/>
                <w:sz w:val="20"/>
              </w:rPr>
              <w:t>10 284 523</w:t>
            </w:r>
          </w:p>
        </w:tc>
        <w:tc>
          <w:tcPr>
            <w:tcW w:w="1616" w:type="dxa"/>
            <w:tcBorders>
              <w:top w:val="single" w:sz="4" w:space="0" w:color="auto"/>
              <w:left w:val="single" w:sz="4" w:space="0" w:color="auto"/>
              <w:bottom w:val="single" w:sz="4" w:space="0" w:color="auto"/>
              <w:right w:val="single" w:sz="4" w:space="0" w:color="auto"/>
            </w:tcBorders>
            <w:hideMark/>
          </w:tcPr>
          <w:p w14:paraId="00A6AB1F" w14:textId="77777777" w:rsidR="003663AF" w:rsidRPr="00B7760C" w:rsidRDefault="003663AF" w:rsidP="00E804B7">
            <w:pPr>
              <w:pStyle w:val="Normal6"/>
              <w:jc w:val="right"/>
              <w:rPr>
                <w:b/>
                <w:bCs/>
                <w:i/>
                <w:iCs/>
                <w:sz w:val="20"/>
              </w:rPr>
            </w:pPr>
            <w:r w:rsidRPr="00B7760C">
              <w:rPr>
                <w:b/>
                <w:bCs/>
                <w:i/>
                <w:iCs/>
                <w:sz w:val="20"/>
              </w:rPr>
              <w:t>76 458 056</w:t>
            </w:r>
          </w:p>
        </w:tc>
      </w:tr>
      <w:tr w:rsidR="003663AF" w:rsidRPr="00B7760C" w14:paraId="4D33D637" w14:textId="77777777" w:rsidTr="00E804B7">
        <w:trPr>
          <w:cantSplit/>
          <w:trHeight w:val="255"/>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14:paraId="266AED4D" w14:textId="77777777" w:rsidR="003663AF" w:rsidRPr="00B7760C" w:rsidRDefault="003663AF" w:rsidP="00E804B7">
            <w:pPr>
              <w:pStyle w:val="Normal6"/>
              <w:rPr>
                <w:sz w:val="20"/>
              </w:rPr>
            </w:pPr>
            <w:r w:rsidRPr="00B7760C">
              <w:rPr>
                <w:sz w:val="20"/>
              </w:rPr>
              <w:t>Madžarska</w:t>
            </w:r>
          </w:p>
        </w:tc>
        <w:tc>
          <w:tcPr>
            <w:tcW w:w="1608" w:type="dxa"/>
            <w:tcBorders>
              <w:top w:val="single" w:sz="4" w:space="0" w:color="auto"/>
              <w:left w:val="single" w:sz="4" w:space="0" w:color="auto"/>
              <w:bottom w:val="single" w:sz="4" w:space="0" w:color="auto"/>
              <w:right w:val="single" w:sz="4" w:space="0" w:color="auto"/>
            </w:tcBorders>
            <w:hideMark/>
          </w:tcPr>
          <w:p w14:paraId="6F1E7893" w14:textId="77777777" w:rsidR="003663AF" w:rsidRPr="00B7760C" w:rsidRDefault="003663AF" w:rsidP="00E804B7">
            <w:pPr>
              <w:pStyle w:val="Normal6"/>
              <w:jc w:val="right"/>
              <w:rPr>
                <w:b/>
                <w:bCs/>
                <w:i/>
                <w:iCs/>
                <w:sz w:val="20"/>
              </w:rPr>
            </w:pPr>
            <w:r w:rsidRPr="00B7760C">
              <w:rPr>
                <w:b/>
                <w:bCs/>
                <w:i/>
                <w:iCs/>
                <w:sz w:val="20"/>
              </w:rPr>
              <w:t>392 196 885</w:t>
            </w:r>
          </w:p>
        </w:tc>
        <w:tc>
          <w:tcPr>
            <w:tcW w:w="1608" w:type="dxa"/>
            <w:tcBorders>
              <w:top w:val="single" w:sz="4" w:space="0" w:color="auto"/>
              <w:left w:val="single" w:sz="4" w:space="0" w:color="auto"/>
              <w:bottom w:val="single" w:sz="4" w:space="0" w:color="auto"/>
              <w:right w:val="single" w:sz="4" w:space="0" w:color="auto"/>
            </w:tcBorders>
            <w:hideMark/>
          </w:tcPr>
          <w:p w14:paraId="7F04A08A" w14:textId="77777777" w:rsidR="003663AF" w:rsidRPr="00B7760C" w:rsidRDefault="003663AF" w:rsidP="00E804B7">
            <w:pPr>
              <w:pStyle w:val="Normal6"/>
              <w:jc w:val="right"/>
              <w:rPr>
                <w:b/>
                <w:bCs/>
                <w:i/>
                <w:iCs/>
                <w:sz w:val="20"/>
              </w:rPr>
            </w:pPr>
            <w:r w:rsidRPr="00B7760C">
              <w:rPr>
                <w:b/>
                <w:bCs/>
                <w:i/>
                <w:iCs/>
                <w:sz w:val="20"/>
              </w:rPr>
              <w:t>384 506 750</w:t>
            </w:r>
          </w:p>
        </w:tc>
        <w:tc>
          <w:tcPr>
            <w:tcW w:w="1608" w:type="dxa"/>
            <w:tcBorders>
              <w:top w:val="single" w:sz="4" w:space="0" w:color="auto"/>
              <w:left w:val="single" w:sz="4" w:space="0" w:color="auto"/>
              <w:bottom w:val="single" w:sz="4" w:space="0" w:color="auto"/>
              <w:right w:val="single" w:sz="4" w:space="0" w:color="auto"/>
            </w:tcBorders>
            <w:hideMark/>
          </w:tcPr>
          <w:p w14:paraId="6F8FBD66" w14:textId="77777777" w:rsidR="003663AF" w:rsidRPr="00B7760C" w:rsidRDefault="003663AF" w:rsidP="00E804B7">
            <w:pPr>
              <w:pStyle w:val="Normal6"/>
              <w:jc w:val="right"/>
              <w:rPr>
                <w:b/>
                <w:bCs/>
                <w:i/>
                <w:iCs/>
                <w:sz w:val="20"/>
              </w:rPr>
            </w:pPr>
            <w:r w:rsidRPr="00B7760C">
              <w:rPr>
                <w:b/>
                <w:bCs/>
                <w:i/>
                <w:iCs/>
                <w:sz w:val="20"/>
              </w:rPr>
              <w:t>376 967 402</w:t>
            </w:r>
          </w:p>
        </w:tc>
        <w:tc>
          <w:tcPr>
            <w:tcW w:w="1608" w:type="dxa"/>
            <w:tcBorders>
              <w:top w:val="single" w:sz="4" w:space="0" w:color="auto"/>
              <w:left w:val="single" w:sz="4" w:space="0" w:color="auto"/>
              <w:bottom w:val="single" w:sz="4" w:space="0" w:color="auto"/>
              <w:right w:val="single" w:sz="4" w:space="0" w:color="auto"/>
            </w:tcBorders>
            <w:hideMark/>
          </w:tcPr>
          <w:p w14:paraId="7861E837" w14:textId="77777777" w:rsidR="003663AF" w:rsidRPr="00B7760C" w:rsidRDefault="003663AF" w:rsidP="00E804B7">
            <w:pPr>
              <w:pStyle w:val="Normal6"/>
              <w:jc w:val="right"/>
              <w:rPr>
                <w:b/>
                <w:bCs/>
                <w:i/>
                <w:iCs/>
                <w:sz w:val="20"/>
              </w:rPr>
            </w:pPr>
            <w:r w:rsidRPr="00B7760C">
              <w:rPr>
                <w:b/>
                <w:bCs/>
                <w:i/>
                <w:iCs/>
                <w:sz w:val="20"/>
              </w:rPr>
              <w:t>369 575 884</w:t>
            </w:r>
          </w:p>
        </w:tc>
        <w:tc>
          <w:tcPr>
            <w:tcW w:w="1608" w:type="dxa"/>
            <w:tcBorders>
              <w:top w:val="single" w:sz="4" w:space="0" w:color="auto"/>
              <w:left w:val="single" w:sz="4" w:space="0" w:color="auto"/>
              <w:bottom w:val="single" w:sz="4" w:space="0" w:color="auto"/>
              <w:right w:val="single" w:sz="4" w:space="0" w:color="auto"/>
            </w:tcBorders>
            <w:hideMark/>
          </w:tcPr>
          <w:p w14:paraId="5F16710D" w14:textId="77777777" w:rsidR="003663AF" w:rsidRPr="00B7760C" w:rsidRDefault="003663AF" w:rsidP="00E804B7">
            <w:pPr>
              <w:pStyle w:val="Normal6"/>
              <w:jc w:val="right"/>
              <w:rPr>
                <w:b/>
                <w:bCs/>
                <w:i/>
                <w:iCs/>
                <w:sz w:val="20"/>
              </w:rPr>
            </w:pPr>
            <w:r w:rsidRPr="00B7760C">
              <w:rPr>
                <w:b/>
                <w:bCs/>
                <w:i/>
                <w:iCs/>
                <w:sz w:val="20"/>
              </w:rPr>
              <w:t>362 329 298</w:t>
            </w:r>
          </w:p>
        </w:tc>
        <w:tc>
          <w:tcPr>
            <w:tcW w:w="1608" w:type="dxa"/>
            <w:tcBorders>
              <w:top w:val="single" w:sz="4" w:space="0" w:color="auto"/>
              <w:left w:val="single" w:sz="4" w:space="0" w:color="auto"/>
              <w:bottom w:val="single" w:sz="4" w:space="0" w:color="auto"/>
              <w:right w:val="single" w:sz="4" w:space="0" w:color="auto"/>
            </w:tcBorders>
            <w:hideMark/>
          </w:tcPr>
          <w:p w14:paraId="7AFBEF4A" w14:textId="77777777" w:rsidR="003663AF" w:rsidRPr="00B7760C" w:rsidRDefault="003663AF" w:rsidP="00E804B7">
            <w:pPr>
              <w:pStyle w:val="Normal6"/>
              <w:jc w:val="right"/>
              <w:rPr>
                <w:b/>
                <w:bCs/>
                <w:i/>
                <w:iCs/>
                <w:sz w:val="20"/>
              </w:rPr>
            </w:pPr>
            <w:r w:rsidRPr="00B7760C">
              <w:rPr>
                <w:b/>
                <w:bCs/>
                <w:i/>
                <w:iCs/>
                <w:sz w:val="20"/>
              </w:rPr>
              <w:t>355 224 802</w:t>
            </w:r>
          </w:p>
        </w:tc>
        <w:tc>
          <w:tcPr>
            <w:tcW w:w="1608" w:type="dxa"/>
            <w:tcBorders>
              <w:top w:val="single" w:sz="4" w:space="0" w:color="auto"/>
              <w:left w:val="single" w:sz="4" w:space="0" w:color="auto"/>
              <w:bottom w:val="single" w:sz="4" w:space="0" w:color="auto"/>
              <w:right w:val="single" w:sz="4" w:space="0" w:color="auto"/>
            </w:tcBorders>
            <w:hideMark/>
          </w:tcPr>
          <w:p w14:paraId="2E17D57B" w14:textId="77777777" w:rsidR="003663AF" w:rsidRPr="00B7760C" w:rsidRDefault="003663AF" w:rsidP="00E804B7">
            <w:pPr>
              <w:pStyle w:val="Normal6"/>
              <w:jc w:val="right"/>
              <w:rPr>
                <w:b/>
                <w:bCs/>
                <w:i/>
                <w:iCs/>
                <w:sz w:val="20"/>
              </w:rPr>
            </w:pPr>
            <w:r w:rsidRPr="00B7760C">
              <w:rPr>
                <w:b/>
                <w:bCs/>
                <w:i/>
                <w:iCs/>
                <w:sz w:val="20"/>
              </w:rPr>
              <w:t>348 259 610</w:t>
            </w:r>
          </w:p>
        </w:tc>
        <w:tc>
          <w:tcPr>
            <w:tcW w:w="1616" w:type="dxa"/>
            <w:tcBorders>
              <w:top w:val="single" w:sz="4" w:space="0" w:color="auto"/>
              <w:left w:val="single" w:sz="4" w:space="0" w:color="auto"/>
              <w:bottom w:val="single" w:sz="4" w:space="0" w:color="auto"/>
              <w:right w:val="single" w:sz="4" w:space="0" w:color="auto"/>
            </w:tcBorders>
            <w:hideMark/>
          </w:tcPr>
          <w:p w14:paraId="6365A33A" w14:textId="77777777" w:rsidR="003663AF" w:rsidRPr="00B7760C" w:rsidRDefault="003663AF" w:rsidP="00E804B7">
            <w:pPr>
              <w:pStyle w:val="Normal6"/>
              <w:jc w:val="right"/>
              <w:rPr>
                <w:b/>
                <w:bCs/>
                <w:i/>
                <w:iCs/>
                <w:sz w:val="20"/>
              </w:rPr>
            </w:pPr>
            <w:r w:rsidRPr="00B7760C">
              <w:rPr>
                <w:b/>
                <w:bCs/>
                <w:i/>
                <w:iCs/>
                <w:sz w:val="20"/>
              </w:rPr>
              <w:t>2 589 060 631</w:t>
            </w:r>
          </w:p>
        </w:tc>
      </w:tr>
      <w:tr w:rsidR="003663AF" w:rsidRPr="00B7760C" w14:paraId="46E7A0F5" w14:textId="77777777" w:rsidTr="00E804B7">
        <w:trPr>
          <w:cantSplit/>
          <w:trHeight w:val="255"/>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14:paraId="58ADD645" w14:textId="77777777" w:rsidR="003663AF" w:rsidRPr="00B7760C" w:rsidRDefault="003663AF" w:rsidP="00E804B7">
            <w:pPr>
              <w:pStyle w:val="Normal6"/>
              <w:rPr>
                <w:sz w:val="20"/>
              </w:rPr>
            </w:pPr>
            <w:r w:rsidRPr="00B7760C">
              <w:rPr>
                <w:sz w:val="20"/>
              </w:rPr>
              <w:t>Malta</w:t>
            </w:r>
          </w:p>
        </w:tc>
        <w:tc>
          <w:tcPr>
            <w:tcW w:w="1608" w:type="dxa"/>
            <w:tcBorders>
              <w:top w:val="single" w:sz="4" w:space="0" w:color="auto"/>
              <w:left w:val="single" w:sz="4" w:space="0" w:color="auto"/>
              <w:bottom w:val="single" w:sz="4" w:space="0" w:color="auto"/>
              <w:right w:val="single" w:sz="4" w:space="0" w:color="auto"/>
            </w:tcBorders>
            <w:hideMark/>
          </w:tcPr>
          <w:p w14:paraId="2001EA30" w14:textId="77777777" w:rsidR="003663AF" w:rsidRPr="00B7760C" w:rsidRDefault="003663AF" w:rsidP="00E804B7">
            <w:pPr>
              <w:pStyle w:val="Normal6"/>
              <w:jc w:val="right"/>
              <w:rPr>
                <w:b/>
                <w:bCs/>
                <w:i/>
                <w:iCs/>
                <w:sz w:val="20"/>
              </w:rPr>
            </w:pPr>
            <w:r w:rsidRPr="00B7760C">
              <w:rPr>
                <w:b/>
                <w:bCs/>
                <w:i/>
                <w:iCs/>
                <w:sz w:val="20"/>
              </w:rPr>
              <w:t>11 503 233</w:t>
            </w:r>
          </w:p>
        </w:tc>
        <w:tc>
          <w:tcPr>
            <w:tcW w:w="1608" w:type="dxa"/>
            <w:tcBorders>
              <w:top w:val="single" w:sz="4" w:space="0" w:color="auto"/>
              <w:left w:val="single" w:sz="4" w:space="0" w:color="auto"/>
              <w:bottom w:val="single" w:sz="4" w:space="0" w:color="auto"/>
              <w:right w:val="single" w:sz="4" w:space="0" w:color="auto"/>
            </w:tcBorders>
            <w:hideMark/>
          </w:tcPr>
          <w:p w14:paraId="0481F41B" w14:textId="77777777" w:rsidR="003663AF" w:rsidRPr="00B7760C" w:rsidRDefault="003663AF" w:rsidP="00E804B7">
            <w:pPr>
              <w:pStyle w:val="Normal6"/>
              <w:jc w:val="right"/>
              <w:rPr>
                <w:b/>
                <w:bCs/>
                <w:i/>
                <w:iCs/>
                <w:sz w:val="20"/>
              </w:rPr>
            </w:pPr>
            <w:r w:rsidRPr="00B7760C">
              <w:rPr>
                <w:b/>
                <w:bCs/>
                <w:i/>
                <w:iCs/>
                <w:sz w:val="20"/>
              </w:rPr>
              <w:t>11 277 679</w:t>
            </w:r>
          </w:p>
        </w:tc>
        <w:tc>
          <w:tcPr>
            <w:tcW w:w="1608" w:type="dxa"/>
            <w:tcBorders>
              <w:top w:val="single" w:sz="4" w:space="0" w:color="auto"/>
              <w:left w:val="single" w:sz="4" w:space="0" w:color="auto"/>
              <w:bottom w:val="single" w:sz="4" w:space="0" w:color="auto"/>
              <w:right w:val="single" w:sz="4" w:space="0" w:color="auto"/>
            </w:tcBorders>
            <w:hideMark/>
          </w:tcPr>
          <w:p w14:paraId="087E59EC" w14:textId="77777777" w:rsidR="003663AF" w:rsidRPr="00B7760C" w:rsidRDefault="003663AF" w:rsidP="00E804B7">
            <w:pPr>
              <w:pStyle w:val="Normal6"/>
              <w:jc w:val="right"/>
              <w:rPr>
                <w:b/>
                <w:bCs/>
                <w:i/>
                <w:iCs/>
                <w:sz w:val="20"/>
              </w:rPr>
            </w:pPr>
            <w:r w:rsidRPr="00B7760C">
              <w:rPr>
                <w:b/>
                <w:bCs/>
                <w:i/>
                <w:iCs/>
                <w:sz w:val="20"/>
              </w:rPr>
              <w:t>11 056 548</w:t>
            </w:r>
          </w:p>
        </w:tc>
        <w:tc>
          <w:tcPr>
            <w:tcW w:w="1608" w:type="dxa"/>
            <w:tcBorders>
              <w:top w:val="single" w:sz="4" w:space="0" w:color="auto"/>
              <w:left w:val="single" w:sz="4" w:space="0" w:color="auto"/>
              <w:bottom w:val="single" w:sz="4" w:space="0" w:color="auto"/>
              <w:right w:val="single" w:sz="4" w:space="0" w:color="auto"/>
            </w:tcBorders>
            <w:hideMark/>
          </w:tcPr>
          <w:p w14:paraId="724C695B" w14:textId="77777777" w:rsidR="003663AF" w:rsidRPr="00B7760C" w:rsidRDefault="003663AF" w:rsidP="00E804B7">
            <w:pPr>
              <w:pStyle w:val="Normal6"/>
              <w:jc w:val="right"/>
              <w:rPr>
                <w:b/>
                <w:bCs/>
                <w:i/>
                <w:iCs/>
                <w:sz w:val="20"/>
              </w:rPr>
            </w:pPr>
            <w:r w:rsidRPr="00B7760C">
              <w:rPr>
                <w:b/>
                <w:bCs/>
                <w:i/>
                <w:iCs/>
                <w:sz w:val="20"/>
              </w:rPr>
              <w:t>10 839 753</w:t>
            </w:r>
          </w:p>
        </w:tc>
        <w:tc>
          <w:tcPr>
            <w:tcW w:w="1608" w:type="dxa"/>
            <w:tcBorders>
              <w:top w:val="single" w:sz="4" w:space="0" w:color="auto"/>
              <w:left w:val="single" w:sz="4" w:space="0" w:color="auto"/>
              <w:bottom w:val="single" w:sz="4" w:space="0" w:color="auto"/>
              <w:right w:val="single" w:sz="4" w:space="0" w:color="auto"/>
            </w:tcBorders>
            <w:hideMark/>
          </w:tcPr>
          <w:p w14:paraId="7872B1DB" w14:textId="77777777" w:rsidR="003663AF" w:rsidRPr="00B7760C" w:rsidRDefault="003663AF" w:rsidP="00E804B7">
            <w:pPr>
              <w:pStyle w:val="Normal6"/>
              <w:jc w:val="right"/>
              <w:rPr>
                <w:b/>
                <w:bCs/>
                <w:i/>
                <w:iCs/>
                <w:sz w:val="20"/>
              </w:rPr>
            </w:pPr>
            <w:r w:rsidRPr="00B7760C">
              <w:rPr>
                <w:b/>
                <w:bCs/>
                <w:i/>
                <w:iCs/>
                <w:sz w:val="20"/>
              </w:rPr>
              <w:t>10 627 209</w:t>
            </w:r>
          </w:p>
        </w:tc>
        <w:tc>
          <w:tcPr>
            <w:tcW w:w="1608" w:type="dxa"/>
            <w:tcBorders>
              <w:top w:val="single" w:sz="4" w:space="0" w:color="auto"/>
              <w:left w:val="single" w:sz="4" w:space="0" w:color="auto"/>
              <w:bottom w:val="single" w:sz="4" w:space="0" w:color="auto"/>
              <w:right w:val="single" w:sz="4" w:space="0" w:color="auto"/>
            </w:tcBorders>
            <w:hideMark/>
          </w:tcPr>
          <w:p w14:paraId="631E0AAE" w14:textId="77777777" w:rsidR="003663AF" w:rsidRPr="00B7760C" w:rsidRDefault="003663AF" w:rsidP="00E804B7">
            <w:pPr>
              <w:pStyle w:val="Normal6"/>
              <w:jc w:val="right"/>
              <w:rPr>
                <w:b/>
                <w:bCs/>
                <w:i/>
                <w:iCs/>
                <w:sz w:val="20"/>
              </w:rPr>
            </w:pPr>
            <w:r w:rsidRPr="00B7760C">
              <w:rPr>
                <w:b/>
                <w:bCs/>
                <w:i/>
                <w:iCs/>
                <w:sz w:val="20"/>
              </w:rPr>
              <w:t>10 418 832</w:t>
            </w:r>
          </w:p>
        </w:tc>
        <w:tc>
          <w:tcPr>
            <w:tcW w:w="1608" w:type="dxa"/>
            <w:tcBorders>
              <w:top w:val="single" w:sz="4" w:space="0" w:color="auto"/>
              <w:left w:val="single" w:sz="4" w:space="0" w:color="auto"/>
              <w:bottom w:val="single" w:sz="4" w:space="0" w:color="auto"/>
              <w:right w:val="single" w:sz="4" w:space="0" w:color="auto"/>
            </w:tcBorders>
            <w:hideMark/>
          </w:tcPr>
          <w:p w14:paraId="128C9340" w14:textId="77777777" w:rsidR="003663AF" w:rsidRPr="00B7760C" w:rsidRDefault="003663AF" w:rsidP="00E804B7">
            <w:pPr>
              <w:pStyle w:val="Normal6"/>
              <w:jc w:val="right"/>
              <w:rPr>
                <w:b/>
                <w:bCs/>
                <w:i/>
                <w:iCs/>
                <w:sz w:val="20"/>
              </w:rPr>
            </w:pPr>
            <w:r w:rsidRPr="00B7760C">
              <w:rPr>
                <w:b/>
                <w:bCs/>
                <w:i/>
                <w:iCs/>
                <w:sz w:val="20"/>
              </w:rPr>
              <w:t>10 214 541</w:t>
            </w:r>
          </w:p>
        </w:tc>
        <w:tc>
          <w:tcPr>
            <w:tcW w:w="1616" w:type="dxa"/>
            <w:tcBorders>
              <w:top w:val="single" w:sz="4" w:space="0" w:color="auto"/>
              <w:left w:val="single" w:sz="4" w:space="0" w:color="auto"/>
              <w:bottom w:val="single" w:sz="4" w:space="0" w:color="auto"/>
              <w:right w:val="single" w:sz="4" w:space="0" w:color="auto"/>
            </w:tcBorders>
            <w:hideMark/>
          </w:tcPr>
          <w:p w14:paraId="35F9B027" w14:textId="77777777" w:rsidR="003663AF" w:rsidRPr="00B7760C" w:rsidRDefault="003663AF" w:rsidP="00E804B7">
            <w:pPr>
              <w:pStyle w:val="Normal6"/>
              <w:jc w:val="right"/>
              <w:rPr>
                <w:b/>
                <w:bCs/>
                <w:i/>
                <w:iCs/>
                <w:sz w:val="20"/>
              </w:rPr>
            </w:pPr>
            <w:r w:rsidRPr="00B7760C">
              <w:rPr>
                <w:b/>
                <w:bCs/>
                <w:i/>
                <w:iCs/>
                <w:sz w:val="20"/>
              </w:rPr>
              <w:t>75 937 795</w:t>
            </w:r>
          </w:p>
        </w:tc>
      </w:tr>
      <w:tr w:rsidR="003663AF" w:rsidRPr="00B7760C" w14:paraId="4ACDC592" w14:textId="77777777" w:rsidTr="00E804B7">
        <w:trPr>
          <w:cantSplit/>
          <w:trHeight w:val="255"/>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14:paraId="3F16BA36" w14:textId="77777777" w:rsidR="003663AF" w:rsidRPr="00B7760C" w:rsidRDefault="003663AF" w:rsidP="00E804B7">
            <w:pPr>
              <w:pStyle w:val="Normal6"/>
              <w:rPr>
                <w:sz w:val="20"/>
              </w:rPr>
            </w:pPr>
            <w:r w:rsidRPr="00B7760C">
              <w:rPr>
                <w:sz w:val="20"/>
              </w:rPr>
              <w:t>Nizozemska</w:t>
            </w:r>
          </w:p>
        </w:tc>
        <w:tc>
          <w:tcPr>
            <w:tcW w:w="1608" w:type="dxa"/>
            <w:tcBorders>
              <w:top w:val="single" w:sz="4" w:space="0" w:color="auto"/>
              <w:left w:val="single" w:sz="4" w:space="0" w:color="auto"/>
              <w:bottom w:val="single" w:sz="4" w:space="0" w:color="auto"/>
              <w:right w:val="single" w:sz="4" w:space="0" w:color="auto"/>
            </w:tcBorders>
            <w:hideMark/>
          </w:tcPr>
          <w:p w14:paraId="65F26FF9" w14:textId="77777777" w:rsidR="003663AF" w:rsidRPr="00B7760C" w:rsidRDefault="003663AF" w:rsidP="00E804B7">
            <w:pPr>
              <w:pStyle w:val="Normal6"/>
              <w:jc w:val="right"/>
              <w:rPr>
                <w:b/>
                <w:bCs/>
                <w:i/>
                <w:iCs/>
                <w:sz w:val="20"/>
              </w:rPr>
            </w:pPr>
            <w:r w:rsidRPr="00B7760C">
              <w:rPr>
                <w:b/>
                <w:bCs/>
                <w:i/>
                <w:iCs/>
                <w:sz w:val="20"/>
              </w:rPr>
              <w:t>68 932 004</w:t>
            </w:r>
          </w:p>
        </w:tc>
        <w:tc>
          <w:tcPr>
            <w:tcW w:w="1608" w:type="dxa"/>
            <w:tcBorders>
              <w:top w:val="single" w:sz="4" w:space="0" w:color="auto"/>
              <w:left w:val="single" w:sz="4" w:space="0" w:color="auto"/>
              <w:bottom w:val="single" w:sz="4" w:space="0" w:color="auto"/>
              <w:right w:val="single" w:sz="4" w:space="0" w:color="auto"/>
            </w:tcBorders>
            <w:hideMark/>
          </w:tcPr>
          <w:p w14:paraId="20BE92CD" w14:textId="77777777" w:rsidR="003663AF" w:rsidRPr="00B7760C" w:rsidRDefault="003663AF" w:rsidP="00E804B7">
            <w:pPr>
              <w:pStyle w:val="Normal6"/>
              <w:jc w:val="right"/>
              <w:rPr>
                <w:b/>
                <w:bCs/>
                <w:i/>
                <w:iCs/>
                <w:sz w:val="20"/>
              </w:rPr>
            </w:pPr>
            <w:r w:rsidRPr="00B7760C">
              <w:rPr>
                <w:b/>
                <w:bCs/>
                <w:i/>
                <w:iCs/>
                <w:sz w:val="20"/>
              </w:rPr>
              <w:t>67 580 397</w:t>
            </w:r>
          </w:p>
        </w:tc>
        <w:tc>
          <w:tcPr>
            <w:tcW w:w="1608" w:type="dxa"/>
            <w:tcBorders>
              <w:top w:val="single" w:sz="4" w:space="0" w:color="auto"/>
              <w:left w:val="single" w:sz="4" w:space="0" w:color="auto"/>
              <w:bottom w:val="single" w:sz="4" w:space="0" w:color="auto"/>
              <w:right w:val="single" w:sz="4" w:space="0" w:color="auto"/>
            </w:tcBorders>
            <w:hideMark/>
          </w:tcPr>
          <w:p w14:paraId="4A12992A" w14:textId="77777777" w:rsidR="003663AF" w:rsidRPr="00B7760C" w:rsidRDefault="003663AF" w:rsidP="00E804B7">
            <w:pPr>
              <w:pStyle w:val="Normal6"/>
              <w:jc w:val="right"/>
              <w:rPr>
                <w:b/>
                <w:bCs/>
                <w:i/>
                <w:iCs/>
                <w:sz w:val="20"/>
              </w:rPr>
            </w:pPr>
            <w:r w:rsidRPr="00B7760C">
              <w:rPr>
                <w:b/>
                <w:bCs/>
                <w:i/>
                <w:iCs/>
                <w:sz w:val="20"/>
              </w:rPr>
              <w:t>66 255 291</w:t>
            </w:r>
          </w:p>
        </w:tc>
        <w:tc>
          <w:tcPr>
            <w:tcW w:w="1608" w:type="dxa"/>
            <w:tcBorders>
              <w:top w:val="single" w:sz="4" w:space="0" w:color="auto"/>
              <w:left w:val="single" w:sz="4" w:space="0" w:color="auto"/>
              <w:bottom w:val="single" w:sz="4" w:space="0" w:color="auto"/>
              <w:right w:val="single" w:sz="4" w:space="0" w:color="auto"/>
            </w:tcBorders>
            <w:hideMark/>
          </w:tcPr>
          <w:p w14:paraId="468AC02A" w14:textId="77777777" w:rsidR="003663AF" w:rsidRPr="00B7760C" w:rsidRDefault="003663AF" w:rsidP="00E804B7">
            <w:pPr>
              <w:pStyle w:val="Normal6"/>
              <w:jc w:val="right"/>
              <w:rPr>
                <w:b/>
                <w:bCs/>
                <w:i/>
                <w:iCs/>
                <w:sz w:val="20"/>
              </w:rPr>
            </w:pPr>
            <w:r w:rsidRPr="00B7760C">
              <w:rPr>
                <w:b/>
                <w:bCs/>
                <w:i/>
                <w:iCs/>
                <w:sz w:val="20"/>
              </w:rPr>
              <w:t>64 956 167</w:t>
            </w:r>
          </w:p>
        </w:tc>
        <w:tc>
          <w:tcPr>
            <w:tcW w:w="1608" w:type="dxa"/>
            <w:tcBorders>
              <w:top w:val="single" w:sz="4" w:space="0" w:color="auto"/>
              <w:left w:val="single" w:sz="4" w:space="0" w:color="auto"/>
              <w:bottom w:val="single" w:sz="4" w:space="0" w:color="auto"/>
              <w:right w:val="single" w:sz="4" w:space="0" w:color="auto"/>
            </w:tcBorders>
            <w:hideMark/>
          </w:tcPr>
          <w:p w14:paraId="53FAF847" w14:textId="77777777" w:rsidR="003663AF" w:rsidRPr="00B7760C" w:rsidRDefault="003663AF" w:rsidP="00E804B7">
            <w:pPr>
              <w:pStyle w:val="Normal6"/>
              <w:jc w:val="right"/>
              <w:rPr>
                <w:b/>
                <w:bCs/>
                <w:i/>
                <w:iCs/>
                <w:sz w:val="20"/>
              </w:rPr>
            </w:pPr>
            <w:r w:rsidRPr="00B7760C">
              <w:rPr>
                <w:b/>
                <w:bCs/>
                <w:i/>
                <w:iCs/>
                <w:sz w:val="20"/>
              </w:rPr>
              <w:t>63 682 517</w:t>
            </w:r>
          </w:p>
        </w:tc>
        <w:tc>
          <w:tcPr>
            <w:tcW w:w="1608" w:type="dxa"/>
            <w:tcBorders>
              <w:top w:val="single" w:sz="4" w:space="0" w:color="auto"/>
              <w:left w:val="single" w:sz="4" w:space="0" w:color="auto"/>
              <w:bottom w:val="single" w:sz="4" w:space="0" w:color="auto"/>
              <w:right w:val="single" w:sz="4" w:space="0" w:color="auto"/>
            </w:tcBorders>
            <w:hideMark/>
          </w:tcPr>
          <w:p w14:paraId="5E13A0A5" w14:textId="77777777" w:rsidR="003663AF" w:rsidRPr="00B7760C" w:rsidRDefault="003663AF" w:rsidP="00E804B7">
            <w:pPr>
              <w:pStyle w:val="Normal6"/>
              <w:jc w:val="right"/>
              <w:rPr>
                <w:b/>
                <w:bCs/>
                <w:i/>
                <w:iCs/>
                <w:sz w:val="20"/>
              </w:rPr>
            </w:pPr>
            <w:r w:rsidRPr="00B7760C">
              <w:rPr>
                <w:b/>
                <w:bCs/>
                <w:i/>
                <w:iCs/>
                <w:sz w:val="20"/>
              </w:rPr>
              <w:t>62 433 840</w:t>
            </w:r>
          </w:p>
        </w:tc>
        <w:tc>
          <w:tcPr>
            <w:tcW w:w="1608" w:type="dxa"/>
            <w:tcBorders>
              <w:top w:val="single" w:sz="4" w:space="0" w:color="auto"/>
              <w:left w:val="single" w:sz="4" w:space="0" w:color="auto"/>
              <w:bottom w:val="single" w:sz="4" w:space="0" w:color="auto"/>
              <w:right w:val="single" w:sz="4" w:space="0" w:color="auto"/>
            </w:tcBorders>
            <w:hideMark/>
          </w:tcPr>
          <w:p w14:paraId="3206C684" w14:textId="77777777" w:rsidR="003663AF" w:rsidRPr="00B7760C" w:rsidRDefault="003663AF" w:rsidP="00E804B7">
            <w:pPr>
              <w:pStyle w:val="Normal6"/>
              <w:jc w:val="right"/>
              <w:rPr>
                <w:b/>
                <w:bCs/>
                <w:i/>
                <w:iCs/>
                <w:sz w:val="20"/>
              </w:rPr>
            </w:pPr>
            <w:r w:rsidRPr="00B7760C">
              <w:rPr>
                <w:b/>
                <w:bCs/>
                <w:i/>
                <w:iCs/>
                <w:sz w:val="20"/>
              </w:rPr>
              <w:t>61 209 647</w:t>
            </w:r>
          </w:p>
        </w:tc>
        <w:tc>
          <w:tcPr>
            <w:tcW w:w="1616" w:type="dxa"/>
            <w:tcBorders>
              <w:top w:val="single" w:sz="4" w:space="0" w:color="auto"/>
              <w:left w:val="single" w:sz="4" w:space="0" w:color="auto"/>
              <w:bottom w:val="single" w:sz="4" w:space="0" w:color="auto"/>
              <w:right w:val="single" w:sz="4" w:space="0" w:color="auto"/>
            </w:tcBorders>
            <w:hideMark/>
          </w:tcPr>
          <w:p w14:paraId="48FA70FF" w14:textId="77777777" w:rsidR="003663AF" w:rsidRPr="00B7760C" w:rsidRDefault="003663AF" w:rsidP="00E804B7">
            <w:pPr>
              <w:pStyle w:val="Normal6"/>
              <w:jc w:val="right"/>
              <w:rPr>
                <w:b/>
                <w:bCs/>
                <w:i/>
                <w:iCs/>
                <w:sz w:val="20"/>
              </w:rPr>
            </w:pPr>
            <w:r w:rsidRPr="00B7760C">
              <w:rPr>
                <w:b/>
                <w:bCs/>
                <w:i/>
                <w:iCs/>
                <w:sz w:val="20"/>
              </w:rPr>
              <w:t>455 049 863</w:t>
            </w:r>
          </w:p>
        </w:tc>
      </w:tr>
      <w:tr w:rsidR="003663AF" w:rsidRPr="00B7760C" w14:paraId="4E105E08" w14:textId="77777777" w:rsidTr="00E804B7">
        <w:trPr>
          <w:cantSplit/>
          <w:trHeight w:val="255"/>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14:paraId="53215132" w14:textId="77777777" w:rsidR="003663AF" w:rsidRPr="00B7760C" w:rsidRDefault="003663AF" w:rsidP="00E804B7">
            <w:pPr>
              <w:pStyle w:val="Normal6"/>
              <w:rPr>
                <w:sz w:val="20"/>
              </w:rPr>
            </w:pPr>
            <w:r w:rsidRPr="00B7760C">
              <w:rPr>
                <w:sz w:val="20"/>
              </w:rPr>
              <w:t>Avstrija</w:t>
            </w:r>
          </w:p>
        </w:tc>
        <w:tc>
          <w:tcPr>
            <w:tcW w:w="1608" w:type="dxa"/>
            <w:tcBorders>
              <w:top w:val="single" w:sz="4" w:space="0" w:color="auto"/>
              <w:left w:val="single" w:sz="4" w:space="0" w:color="auto"/>
              <w:bottom w:val="single" w:sz="4" w:space="0" w:color="auto"/>
              <w:right w:val="single" w:sz="4" w:space="0" w:color="auto"/>
            </w:tcBorders>
            <w:hideMark/>
          </w:tcPr>
          <w:p w14:paraId="4034DF3A" w14:textId="77777777" w:rsidR="003663AF" w:rsidRPr="00B7760C" w:rsidRDefault="003663AF" w:rsidP="00E804B7">
            <w:pPr>
              <w:pStyle w:val="Normal6"/>
              <w:jc w:val="right"/>
              <w:rPr>
                <w:b/>
                <w:bCs/>
                <w:i/>
                <w:iCs/>
                <w:sz w:val="20"/>
              </w:rPr>
            </w:pPr>
            <w:r w:rsidRPr="00B7760C">
              <w:rPr>
                <w:b/>
                <w:bCs/>
                <w:i/>
                <w:iCs/>
                <w:sz w:val="20"/>
              </w:rPr>
              <w:t>452 754 814</w:t>
            </w:r>
          </w:p>
        </w:tc>
        <w:tc>
          <w:tcPr>
            <w:tcW w:w="1608" w:type="dxa"/>
            <w:tcBorders>
              <w:top w:val="single" w:sz="4" w:space="0" w:color="auto"/>
              <w:left w:val="single" w:sz="4" w:space="0" w:color="auto"/>
              <w:bottom w:val="single" w:sz="4" w:space="0" w:color="auto"/>
              <w:right w:val="single" w:sz="4" w:space="0" w:color="auto"/>
            </w:tcBorders>
            <w:hideMark/>
          </w:tcPr>
          <w:p w14:paraId="47649BC5" w14:textId="77777777" w:rsidR="003663AF" w:rsidRPr="00B7760C" w:rsidRDefault="003663AF" w:rsidP="00E804B7">
            <w:pPr>
              <w:pStyle w:val="Normal6"/>
              <w:jc w:val="right"/>
              <w:rPr>
                <w:b/>
                <w:bCs/>
                <w:i/>
                <w:iCs/>
                <w:sz w:val="20"/>
              </w:rPr>
            </w:pPr>
            <w:r w:rsidRPr="00B7760C">
              <w:rPr>
                <w:b/>
                <w:bCs/>
                <w:i/>
                <w:iCs/>
                <w:sz w:val="20"/>
              </w:rPr>
              <w:t>443 877 269</w:t>
            </w:r>
          </w:p>
        </w:tc>
        <w:tc>
          <w:tcPr>
            <w:tcW w:w="1608" w:type="dxa"/>
            <w:tcBorders>
              <w:top w:val="single" w:sz="4" w:space="0" w:color="auto"/>
              <w:left w:val="single" w:sz="4" w:space="0" w:color="auto"/>
              <w:bottom w:val="single" w:sz="4" w:space="0" w:color="auto"/>
              <w:right w:val="single" w:sz="4" w:space="0" w:color="auto"/>
            </w:tcBorders>
            <w:hideMark/>
          </w:tcPr>
          <w:p w14:paraId="79B8BD63" w14:textId="77777777" w:rsidR="003663AF" w:rsidRPr="00B7760C" w:rsidRDefault="003663AF" w:rsidP="00E804B7">
            <w:pPr>
              <w:pStyle w:val="Normal6"/>
              <w:jc w:val="right"/>
              <w:rPr>
                <w:b/>
                <w:bCs/>
                <w:i/>
                <w:iCs/>
                <w:sz w:val="20"/>
              </w:rPr>
            </w:pPr>
            <w:r w:rsidRPr="00B7760C">
              <w:rPr>
                <w:b/>
                <w:bCs/>
                <w:i/>
                <w:iCs/>
                <w:sz w:val="20"/>
              </w:rPr>
              <w:t>435 173 793</w:t>
            </w:r>
          </w:p>
        </w:tc>
        <w:tc>
          <w:tcPr>
            <w:tcW w:w="1608" w:type="dxa"/>
            <w:tcBorders>
              <w:top w:val="single" w:sz="4" w:space="0" w:color="auto"/>
              <w:left w:val="single" w:sz="4" w:space="0" w:color="auto"/>
              <w:bottom w:val="single" w:sz="4" w:space="0" w:color="auto"/>
              <w:right w:val="single" w:sz="4" w:space="0" w:color="auto"/>
            </w:tcBorders>
            <w:hideMark/>
          </w:tcPr>
          <w:p w14:paraId="3F468397" w14:textId="77777777" w:rsidR="003663AF" w:rsidRPr="00B7760C" w:rsidRDefault="003663AF" w:rsidP="00E804B7">
            <w:pPr>
              <w:pStyle w:val="Normal6"/>
              <w:jc w:val="right"/>
              <w:rPr>
                <w:b/>
                <w:bCs/>
                <w:i/>
                <w:iCs/>
                <w:sz w:val="20"/>
              </w:rPr>
            </w:pPr>
            <w:r w:rsidRPr="00B7760C">
              <w:rPr>
                <w:b/>
                <w:bCs/>
                <w:i/>
                <w:iCs/>
                <w:sz w:val="20"/>
              </w:rPr>
              <w:t>426 640 974</w:t>
            </w:r>
          </w:p>
        </w:tc>
        <w:tc>
          <w:tcPr>
            <w:tcW w:w="1608" w:type="dxa"/>
            <w:tcBorders>
              <w:top w:val="single" w:sz="4" w:space="0" w:color="auto"/>
              <w:left w:val="single" w:sz="4" w:space="0" w:color="auto"/>
              <w:bottom w:val="single" w:sz="4" w:space="0" w:color="auto"/>
              <w:right w:val="single" w:sz="4" w:space="0" w:color="auto"/>
            </w:tcBorders>
            <w:hideMark/>
          </w:tcPr>
          <w:p w14:paraId="0F32FED1" w14:textId="77777777" w:rsidR="003663AF" w:rsidRPr="00B7760C" w:rsidRDefault="003663AF" w:rsidP="00E804B7">
            <w:pPr>
              <w:pStyle w:val="Normal6"/>
              <w:jc w:val="right"/>
              <w:rPr>
                <w:b/>
                <w:bCs/>
                <w:i/>
                <w:iCs/>
                <w:sz w:val="20"/>
              </w:rPr>
            </w:pPr>
            <w:r w:rsidRPr="00B7760C">
              <w:rPr>
                <w:b/>
                <w:bCs/>
                <w:i/>
                <w:iCs/>
                <w:sz w:val="20"/>
              </w:rPr>
              <w:t>418 275 464</w:t>
            </w:r>
          </w:p>
        </w:tc>
        <w:tc>
          <w:tcPr>
            <w:tcW w:w="1608" w:type="dxa"/>
            <w:tcBorders>
              <w:top w:val="single" w:sz="4" w:space="0" w:color="auto"/>
              <w:left w:val="single" w:sz="4" w:space="0" w:color="auto"/>
              <w:bottom w:val="single" w:sz="4" w:space="0" w:color="auto"/>
              <w:right w:val="single" w:sz="4" w:space="0" w:color="auto"/>
            </w:tcBorders>
            <w:hideMark/>
          </w:tcPr>
          <w:p w14:paraId="32664BED" w14:textId="77777777" w:rsidR="003663AF" w:rsidRPr="00B7760C" w:rsidRDefault="003663AF" w:rsidP="00E804B7">
            <w:pPr>
              <w:pStyle w:val="Normal6"/>
              <w:jc w:val="right"/>
              <w:rPr>
                <w:b/>
                <w:bCs/>
                <w:i/>
                <w:iCs/>
                <w:sz w:val="20"/>
              </w:rPr>
            </w:pPr>
            <w:r w:rsidRPr="00B7760C">
              <w:rPr>
                <w:b/>
                <w:bCs/>
                <w:i/>
                <w:iCs/>
                <w:sz w:val="20"/>
              </w:rPr>
              <w:t>410 073 985</w:t>
            </w:r>
          </w:p>
        </w:tc>
        <w:tc>
          <w:tcPr>
            <w:tcW w:w="1608" w:type="dxa"/>
            <w:tcBorders>
              <w:top w:val="single" w:sz="4" w:space="0" w:color="auto"/>
              <w:left w:val="single" w:sz="4" w:space="0" w:color="auto"/>
              <w:bottom w:val="single" w:sz="4" w:space="0" w:color="auto"/>
              <w:right w:val="single" w:sz="4" w:space="0" w:color="auto"/>
            </w:tcBorders>
            <w:hideMark/>
          </w:tcPr>
          <w:p w14:paraId="197B9F30" w14:textId="77777777" w:rsidR="003663AF" w:rsidRPr="00B7760C" w:rsidRDefault="003663AF" w:rsidP="00E804B7">
            <w:pPr>
              <w:pStyle w:val="Normal6"/>
              <w:jc w:val="right"/>
              <w:rPr>
                <w:b/>
                <w:bCs/>
                <w:i/>
                <w:iCs/>
                <w:sz w:val="20"/>
              </w:rPr>
            </w:pPr>
            <w:r w:rsidRPr="00B7760C">
              <w:rPr>
                <w:b/>
                <w:bCs/>
                <w:i/>
                <w:iCs/>
                <w:sz w:val="20"/>
              </w:rPr>
              <w:t>402 033 318</w:t>
            </w:r>
          </w:p>
        </w:tc>
        <w:tc>
          <w:tcPr>
            <w:tcW w:w="1616" w:type="dxa"/>
            <w:tcBorders>
              <w:top w:val="single" w:sz="4" w:space="0" w:color="auto"/>
              <w:left w:val="single" w:sz="4" w:space="0" w:color="auto"/>
              <w:bottom w:val="single" w:sz="4" w:space="0" w:color="auto"/>
              <w:right w:val="single" w:sz="4" w:space="0" w:color="auto"/>
            </w:tcBorders>
            <w:hideMark/>
          </w:tcPr>
          <w:p w14:paraId="3696B0FB" w14:textId="77777777" w:rsidR="003663AF" w:rsidRPr="00B7760C" w:rsidRDefault="003663AF" w:rsidP="00E804B7">
            <w:pPr>
              <w:pStyle w:val="Normal6"/>
              <w:jc w:val="right"/>
              <w:rPr>
                <w:b/>
                <w:bCs/>
                <w:i/>
                <w:iCs/>
                <w:sz w:val="20"/>
              </w:rPr>
            </w:pPr>
            <w:r w:rsidRPr="00B7760C">
              <w:rPr>
                <w:b/>
                <w:bCs/>
                <w:i/>
                <w:iCs/>
                <w:sz w:val="20"/>
              </w:rPr>
              <w:t>2 988 829 617</w:t>
            </w:r>
          </w:p>
        </w:tc>
      </w:tr>
      <w:tr w:rsidR="003663AF" w:rsidRPr="00B7760C" w14:paraId="08A685B7" w14:textId="77777777" w:rsidTr="00E804B7">
        <w:trPr>
          <w:cantSplit/>
          <w:trHeight w:val="255"/>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14:paraId="64F4325E" w14:textId="77777777" w:rsidR="003663AF" w:rsidRPr="00B7760C" w:rsidRDefault="003663AF" w:rsidP="00E804B7">
            <w:pPr>
              <w:pStyle w:val="Normal6"/>
              <w:rPr>
                <w:sz w:val="20"/>
              </w:rPr>
            </w:pPr>
            <w:r w:rsidRPr="00B7760C">
              <w:rPr>
                <w:sz w:val="20"/>
              </w:rPr>
              <w:t>Poljska</w:t>
            </w:r>
          </w:p>
        </w:tc>
        <w:tc>
          <w:tcPr>
            <w:tcW w:w="1608" w:type="dxa"/>
            <w:tcBorders>
              <w:top w:val="single" w:sz="4" w:space="0" w:color="auto"/>
              <w:left w:val="single" w:sz="4" w:space="0" w:color="auto"/>
              <w:bottom w:val="single" w:sz="4" w:space="0" w:color="auto"/>
              <w:right w:val="single" w:sz="4" w:space="0" w:color="auto"/>
            </w:tcBorders>
            <w:hideMark/>
          </w:tcPr>
          <w:p w14:paraId="073D3BB5" w14:textId="77777777" w:rsidR="003663AF" w:rsidRPr="00B7760C" w:rsidRDefault="003663AF" w:rsidP="00E804B7">
            <w:pPr>
              <w:pStyle w:val="Normal6"/>
              <w:jc w:val="right"/>
              <w:rPr>
                <w:b/>
                <w:bCs/>
                <w:i/>
                <w:iCs/>
                <w:sz w:val="20"/>
              </w:rPr>
            </w:pPr>
            <w:r w:rsidRPr="00B7760C">
              <w:rPr>
                <w:b/>
                <w:bCs/>
                <w:i/>
                <w:iCs/>
                <w:sz w:val="20"/>
              </w:rPr>
              <w:t>1 241 877 681</w:t>
            </w:r>
          </w:p>
        </w:tc>
        <w:tc>
          <w:tcPr>
            <w:tcW w:w="1608" w:type="dxa"/>
            <w:tcBorders>
              <w:top w:val="single" w:sz="4" w:space="0" w:color="auto"/>
              <w:left w:val="single" w:sz="4" w:space="0" w:color="auto"/>
              <w:bottom w:val="single" w:sz="4" w:space="0" w:color="auto"/>
              <w:right w:val="single" w:sz="4" w:space="0" w:color="auto"/>
            </w:tcBorders>
            <w:hideMark/>
          </w:tcPr>
          <w:p w14:paraId="53285662" w14:textId="77777777" w:rsidR="003663AF" w:rsidRPr="00B7760C" w:rsidRDefault="003663AF" w:rsidP="00E804B7">
            <w:pPr>
              <w:pStyle w:val="Normal6"/>
              <w:jc w:val="right"/>
              <w:rPr>
                <w:b/>
                <w:bCs/>
                <w:i/>
                <w:iCs/>
                <w:sz w:val="20"/>
              </w:rPr>
            </w:pPr>
            <w:r w:rsidRPr="00B7760C">
              <w:rPr>
                <w:b/>
                <w:bCs/>
                <w:i/>
                <w:iCs/>
                <w:sz w:val="20"/>
              </w:rPr>
              <w:t>1 217 527 138</w:t>
            </w:r>
          </w:p>
        </w:tc>
        <w:tc>
          <w:tcPr>
            <w:tcW w:w="1608" w:type="dxa"/>
            <w:tcBorders>
              <w:top w:val="single" w:sz="4" w:space="0" w:color="auto"/>
              <w:left w:val="single" w:sz="4" w:space="0" w:color="auto"/>
              <w:bottom w:val="single" w:sz="4" w:space="0" w:color="auto"/>
              <w:right w:val="single" w:sz="4" w:space="0" w:color="auto"/>
            </w:tcBorders>
            <w:hideMark/>
          </w:tcPr>
          <w:p w14:paraId="4D86E051" w14:textId="77777777" w:rsidR="003663AF" w:rsidRPr="00B7760C" w:rsidRDefault="003663AF" w:rsidP="00E804B7">
            <w:pPr>
              <w:pStyle w:val="Normal6"/>
              <w:jc w:val="right"/>
              <w:rPr>
                <w:b/>
                <w:bCs/>
                <w:i/>
                <w:iCs/>
                <w:sz w:val="20"/>
              </w:rPr>
            </w:pPr>
            <w:r w:rsidRPr="00B7760C">
              <w:rPr>
                <w:b/>
                <w:bCs/>
                <w:i/>
                <w:iCs/>
                <w:sz w:val="20"/>
              </w:rPr>
              <w:t>1 193 654 057</w:t>
            </w:r>
          </w:p>
        </w:tc>
        <w:tc>
          <w:tcPr>
            <w:tcW w:w="1608" w:type="dxa"/>
            <w:tcBorders>
              <w:top w:val="single" w:sz="4" w:space="0" w:color="auto"/>
              <w:left w:val="single" w:sz="4" w:space="0" w:color="auto"/>
              <w:bottom w:val="single" w:sz="4" w:space="0" w:color="auto"/>
              <w:right w:val="single" w:sz="4" w:space="0" w:color="auto"/>
            </w:tcBorders>
            <w:hideMark/>
          </w:tcPr>
          <w:p w14:paraId="4A5860C9" w14:textId="77777777" w:rsidR="003663AF" w:rsidRPr="00B7760C" w:rsidRDefault="003663AF" w:rsidP="00E804B7">
            <w:pPr>
              <w:pStyle w:val="Normal6"/>
              <w:jc w:val="right"/>
              <w:rPr>
                <w:b/>
                <w:bCs/>
                <w:i/>
                <w:iCs/>
                <w:sz w:val="20"/>
              </w:rPr>
            </w:pPr>
            <w:r w:rsidRPr="00B7760C">
              <w:rPr>
                <w:b/>
                <w:bCs/>
                <w:i/>
                <w:iCs/>
                <w:sz w:val="20"/>
              </w:rPr>
              <w:t>1 170 249 075</w:t>
            </w:r>
          </w:p>
        </w:tc>
        <w:tc>
          <w:tcPr>
            <w:tcW w:w="1608" w:type="dxa"/>
            <w:tcBorders>
              <w:top w:val="single" w:sz="4" w:space="0" w:color="auto"/>
              <w:left w:val="single" w:sz="4" w:space="0" w:color="auto"/>
              <w:bottom w:val="single" w:sz="4" w:space="0" w:color="auto"/>
              <w:right w:val="single" w:sz="4" w:space="0" w:color="auto"/>
            </w:tcBorders>
            <w:hideMark/>
          </w:tcPr>
          <w:p w14:paraId="3B85E54C" w14:textId="77777777" w:rsidR="003663AF" w:rsidRPr="00B7760C" w:rsidRDefault="003663AF" w:rsidP="00E804B7">
            <w:pPr>
              <w:pStyle w:val="Normal6"/>
              <w:jc w:val="right"/>
              <w:rPr>
                <w:b/>
                <w:bCs/>
                <w:i/>
                <w:iCs/>
                <w:sz w:val="20"/>
              </w:rPr>
            </w:pPr>
            <w:r w:rsidRPr="00B7760C">
              <w:rPr>
                <w:b/>
                <w:bCs/>
                <w:i/>
                <w:iCs/>
                <w:sz w:val="20"/>
              </w:rPr>
              <w:t>1 147 303 015</w:t>
            </w:r>
          </w:p>
        </w:tc>
        <w:tc>
          <w:tcPr>
            <w:tcW w:w="1608" w:type="dxa"/>
            <w:tcBorders>
              <w:top w:val="single" w:sz="4" w:space="0" w:color="auto"/>
              <w:left w:val="single" w:sz="4" w:space="0" w:color="auto"/>
              <w:bottom w:val="single" w:sz="4" w:space="0" w:color="auto"/>
              <w:right w:val="single" w:sz="4" w:space="0" w:color="auto"/>
            </w:tcBorders>
            <w:hideMark/>
          </w:tcPr>
          <w:p w14:paraId="1ABA6C21" w14:textId="77777777" w:rsidR="003663AF" w:rsidRPr="00B7760C" w:rsidRDefault="003663AF" w:rsidP="00E804B7">
            <w:pPr>
              <w:pStyle w:val="Normal6"/>
              <w:jc w:val="right"/>
              <w:rPr>
                <w:b/>
                <w:bCs/>
                <w:i/>
                <w:iCs/>
                <w:sz w:val="20"/>
              </w:rPr>
            </w:pPr>
            <w:r w:rsidRPr="00B7760C">
              <w:rPr>
                <w:b/>
                <w:bCs/>
                <w:i/>
                <w:iCs/>
                <w:sz w:val="20"/>
              </w:rPr>
              <w:t>1 124 806 877</w:t>
            </w:r>
          </w:p>
        </w:tc>
        <w:tc>
          <w:tcPr>
            <w:tcW w:w="1608" w:type="dxa"/>
            <w:tcBorders>
              <w:top w:val="single" w:sz="4" w:space="0" w:color="auto"/>
              <w:left w:val="single" w:sz="4" w:space="0" w:color="auto"/>
              <w:bottom w:val="single" w:sz="4" w:space="0" w:color="auto"/>
              <w:right w:val="single" w:sz="4" w:space="0" w:color="auto"/>
            </w:tcBorders>
            <w:hideMark/>
          </w:tcPr>
          <w:p w14:paraId="7CD2E774" w14:textId="77777777" w:rsidR="003663AF" w:rsidRPr="00B7760C" w:rsidRDefault="003663AF" w:rsidP="00E804B7">
            <w:pPr>
              <w:pStyle w:val="Normal6"/>
              <w:jc w:val="right"/>
              <w:rPr>
                <w:b/>
                <w:bCs/>
                <w:i/>
                <w:iCs/>
                <w:sz w:val="20"/>
              </w:rPr>
            </w:pPr>
            <w:r w:rsidRPr="00B7760C">
              <w:rPr>
                <w:b/>
                <w:bCs/>
                <w:i/>
                <w:iCs/>
                <w:sz w:val="20"/>
              </w:rPr>
              <w:t>1 102 751 840</w:t>
            </w:r>
          </w:p>
        </w:tc>
        <w:tc>
          <w:tcPr>
            <w:tcW w:w="1616" w:type="dxa"/>
            <w:tcBorders>
              <w:top w:val="single" w:sz="4" w:space="0" w:color="auto"/>
              <w:left w:val="single" w:sz="4" w:space="0" w:color="auto"/>
              <w:bottom w:val="single" w:sz="4" w:space="0" w:color="auto"/>
              <w:right w:val="single" w:sz="4" w:space="0" w:color="auto"/>
            </w:tcBorders>
            <w:hideMark/>
          </w:tcPr>
          <w:p w14:paraId="4206598E" w14:textId="77777777" w:rsidR="003663AF" w:rsidRPr="00B7760C" w:rsidRDefault="003663AF" w:rsidP="00E804B7">
            <w:pPr>
              <w:pStyle w:val="Normal6"/>
              <w:jc w:val="right"/>
              <w:rPr>
                <w:b/>
                <w:bCs/>
                <w:i/>
                <w:iCs/>
                <w:sz w:val="20"/>
              </w:rPr>
            </w:pPr>
            <w:r w:rsidRPr="00B7760C">
              <w:rPr>
                <w:b/>
                <w:bCs/>
                <w:i/>
                <w:iCs/>
                <w:sz w:val="20"/>
              </w:rPr>
              <w:t>8 198 169 683</w:t>
            </w:r>
          </w:p>
        </w:tc>
      </w:tr>
      <w:tr w:rsidR="003663AF" w:rsidRPr="00B7760C" w14:paraId="2F05EEB9" w14:textId="77777777" w:rsidTr="00E804B7">
        <w:trPr>
          <w:cantSplit/>
          <w:trHeight w:val="255"/>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14:paraId="77646AE2" w14:textId="77777777" w:rsidR="003663AF" w:rsidRPr="00B7760C" w:rsidRDefault="003663AF" w:rsidP="00E804B7">
            <w:pPr>
              <w:pStyle w:val="Normal6"/>
              <w:rPr>
                <w:sz w:val="20"/>
              </w:rPr>
            </w:pPr>
            <w:r w:rsidRPr="00B7760C">
              <w:rPr>
                <w:sz w:val="20"/>
              </w:rPr>
              <w:t>Portugalska</w:t>
            </w:r>
          </w:p>
        </w:tc>
        <w:tc>
          <w:tcPr>
            <w:tcW w:w="1608" w:type="dxa"/>
            <w:tcBorders>
              <w:top w:val="single" w:sz="4" w:space="0" w:color="auto"/>
              <w:left w:val="single" w:sz="4" w:space="0" w:color="auto"/>
              <w:bottom w:val="single" w:sz="4" w:space="0" w:color="auto"/>
              <w:right w:val="single" w:sz="4" w:space="0" w:color="auto"/>
            </w:tcBorders>
            <w:hideMark/>
          </w:tcPr>
          <w:p w14:paraId="62656326" w14:textId="77777777" w:rsidR="003663AF" w:rsidRPr="00B7760C" w:rsidRDefault="003663AF" w:rsidP="00E804B7">
            <w:pPr>
              <w:pStyle w:val="Normal6"/>
              <w:jc w:val="right"/>
              <w:rPr>
                <w:b/>
                <w:bCs/>
                <w:i/>
                <w:iCs/>
                <w:sz w:val="20"/>
              </w:rPr>
            </w:pPr>
            <w:r w:rsidRPr="00B7760C">
              <w:rPr>
                <w:b/>
                <w:bCs/>
                <w:i/>
                <w:iCs/>
                <w:sz w:val="20"/>
              </w:rPr>
              <w:t>464 767 377</w:t>
            </w:r>
          </w:p>
        </w:tc>
        <w:tc>
          <w:tcPr>
            <w:tcW w:w="1608" w:type="dxa"/>
            <w:tcBorders>
              <w:top w:val="single" w:sz="4" w:space="0" w:color="auto"/>
              <w:left w:val="single" w:sz="4" w:space="0" w:color="auto"/>
              <w:bottom w:val="single" w:sz="4" w:space="0" w:color="auto"/>
              <w:right w:val="single" w:sz="4" w:space="0" w:color="auto"/>
            </w:tcBorders>
            <w:hideMark/>
          </w:tcPr>
          <w:p w14:paraId="66999D2B" w14:textId="77777777" w:rsidR="003663AF" w:rsidRPr="00B7760C" w:rsidRDefault="003663AF" w:rsidP="00E804B7">
            <w:pPr>
              <w:pStyle w:val="Normal6"/>
              <w:jc w:val="right"/>
              <w:rPr>
                <w:b/>
                <w:bCs/>
                <w:i/>
                <w:iCs/>
                <w:sz w:val="20"/>
              </w:rPr>
            </w:pPr>
            <w:r w:rsidRPr="00B7760C">
              <w:rPr>
                <w:b/>
                <w:bCs/>
                <w:i/>
                <w:iCs/>
                <w:sz w:val="20"/>
              </w:rPr>
              <w:t>455 654 291</w:t>
            </w:r>
          </w:p>
        </w:tc>
        <w:tc>
          <w:tcPr>
            <w:tcW w:w="1608" w:type="dxa"/>
            <w:tcBorders>
              <w:top w:val="single" w:sz="4" w:space="0" w:color="auto"/>
              <w:left w:val="single" w:sz="4" w:space="0" w:color="auto"/>
              <w:bottom w:val="single" w:sz="4" w:space="0" w:color="auto"/>
              <w:right w:val="single" w:sz="4" w:space="0" w:color="auto"/>
            </w:tcBorders>
            <w:hideMark/>
          </w:tcPr>
          <w:p w14:paraId="2E2F57D5" w14:textId="77777777" w:rsidR="003663AF" w:rsidRPr="00B7760C" w:rsidRDefault="003663AF" w:rsidP="00E804B7">
            <w:pPr>
              <w:pStyle w:val="Normal6"/>
              <w:jc w:val="right"/>
              <w:rPr>
                <w:b/>
                <w:bCs/>
                <w:i/>
                <w:iCs/>
                <w:sz w:val="20"/>
              </w:rPr>
            </w:pPr>
            <w:r w:rsidRPr="00B7760C">
              <w:rPr>
                <w:b/>
                <w:bCs/>
                <w:i/>
                <w:iCs/>
                <w:sz w:val="20"/>
              </w:rPr>
              <w:t>446 719 893</w:t>
            </w:r>
          </w:p>
        </w:tc>
        <w:tc>
          <w:tcPr>
            <w:tcW w:w="1608" w:type="dxa"/>
            <w:tcBorders>
              <w:top w:val="single" w:sz="4" w:space="0" w:color="auto"/>
              <w:left w:val="single" w:sz="4" w:space="0" w:color="auto"/>
              <w:bottom w:val="single" w:sz="4" w:space="0" w:color="auto"/>
              <w:right w:val="single" w:sz="4" w:space="0" w:color="auto"/>
            </w:tcBorders>
            <w:hideMark/>
          </w:tcPr>
          <w:p w14:paraId="69495EB8" w14:textId="77777777" w:rsidR="003663AF" w:rsidRPr="00B7760C" w:rsidRDefault="003663AF" w:rsidP="00E804B7">
            <w:pPr>
              <w:pStyle w:val="Normal6"/>
              <w:jc w:val="right"/>
              <w:rPr>
                <w:b/>
                <w:bCs/>
                <w:i/>
                <w:iCs/>
                <w:sz w:val="20"/>
              </w:rPr>
            </w:pPr>
            <w:r w:rsidRPr="00B7760C">
              <w:rPr>
                <w:b/>
                <w:bCs/>
                <w:i/>
                <w:iCs/>
                <w:sz w:val="20"/>
              </w:rPr>
              <w:t>437 960 679</w:t>
            </w:r>
          </w:p>
        </w:tc>
        <w:tc>
          <w:tcPr>
            <w:tcW w:w="1608" w:type="dxa"/>
            <w:tcBorders>
              <w:top w:val="single" w:sz="4" w:space="0" w:color="auto"/>
              <w:left w:val="single" w:sz="4" w:space="0" w:color="auto"/>
              <w:bottom w:val="single" w:sz="4" w:space="0" w:color="auto"/>
              <w:right w:val="single" w:sz="4" w:space="0" w:color="auto"/>
            </w:tcBorders>
            <w:hideMark/>
          </w:tcPr>
          <w:p w14:paraId="3EC3989A" w14:textId="77777777" w:rsidR="003663AF" w:rsidRPr="00B7760C" w:rsidRDefault="003663AF" w:rsidP="00E804B7">
            <w:pPr>
              <w:pStyle w:val="Normal6"/>
              <w:jc w:val="right"/>
              <w:rPr>
                <w:b/>
                <w:bCs/>
                <w:i/>
                <w:iCs/>
                <w:sz w:val="20"/>
              </w:rPr>
            </w:pPr>
            <w:r w:rsidRPr="00B7760C">
              <w:rPr>
                <w:b/>
                <w:bCs/>
                <w:i/>
                <w:iCs/>
                <w:sz w:val="20"/>
              </w:rPr>
              <w:t>429 373 215</w:t>
            </w:r>
          </w:p>
        </w:tc>
        <w:tc>
          <w:tcPr>
            <w:tcW w:w="1608" w:type="dxa"/>
            <w:tcBorders>
              <w:top w:val="single" w:sz="4" w:space="0" w:color="auto"/>
              <w:left w:val="single" w:sz="4" w:space="0" w:color="auto"/>
              <w:bottom w:val="single" w:sz="4" w:space="0" w:color="auto"/>
              <w:right w:val="single" w:sz="4" w:space="0" w:color="auto"/>
            </w:tcBorders>
            <w:hideMark/>
          </w:tcPr>
          <w:p w14:paraId="70C22B07" w14:textId="77777777" w:rsidR="003663AF" w:rsidRPr="00B7760C" w:rsidRDefault="003663AF" w:rsidP="00E804B7">
            <w:pPr>
              <w:pStyle w:val="Normal6"/>
              <w:jc w:val="right"/>
              <w:rPr>
                <w:b/>
                <w:bCs/>
                <w:i/>
                <w:iCs/>
                <w:sz w:val="20"/>
              </w:rPr>
            </w:pPr>
            <w:r w:rsidRPr="00B7760C">
              <w:rPr>
                <w:b/>
                <w:bCs/>
                <w:i/>
                <w:iCs/>
                <w:sz w:val="20"/>
              </w:rPr>
              <w:t>420 954 132</w:t>
            </w:r>
          </w:p>
        </w:tc>
        <w:tc>
          <w:tcPr>
            <w:tcW w:w="1608" w:type="dxa"/>
            <w:tcBorders>
              <w:top w:val="single" w:sz="4" w:space="0" w:color="auto"/>
              <w:left w:val="single" w:sz="4" w:space="0" w:color="auto"/>
              <w:bottom w:val="single" w:sz="4" w:space="0" w:color="auto"/>
              <w:right w:val="single" w:sz="4" w:space="0" w:color="auto"/>
            </w:tcBorders>
            <w:hideMark/>
          </w:tcPr>
          <w:p w14:paraId="63F998A3" w14:textId="77777777" w:rsidR="003663AF" w:rsidRPr="00B7760C" w:rsidRDefault="003663AF" w:rsidP="00E804B7">
            <w:pPr>
              <w:pStyle w:val="Normal6"/>
              <w:jc w:val="right"/>
              <w:rPr>
                <w:b/>
                <w:bCs/>
                <w:i/>
                <w:iCs/>
                <w:sz w:val="20"/>
              </w:rPr>
            </w:pPr>
            <w:r w:rsidRPr="00B7760C">
              <w:rPr>
                <w:b/>
                <w:bCs/>
                <w:i/>
                <w:iCs/>
                <w:sz w:val="20"/>
              </w:rPr>
              <w:t>412 700 130</w:t>
            </w:r>
          </w:p>
        </w:tc>
        <w:tc>
          <w:tcPr>
            <w:tcW w:w="1616" w:type="dxa"/>
            <w:tcBorders>
              <w:top w:val="single" w:sz="4" w:space="0" w:color="auto"/>
              <w:left w:val="single" w:sz="4" w:space="0" w:color="auto"/>
              <w:bottom w:val="single" w:sz="4" w:space="0" w:color="auto"/>
              <w:right w:val="single" w:sz="4" w:space="0" w:color="auto"/>
            </w:tcBorders>
            <w:hideMark/>
          </w:tcPr>
          <w:p w14:paraId="79619109" w14:textId="77777777" w:rsidR="003663AF" w:rsidRPr="00B7760C" w:rsidRDefault="003663AF" w:rsidP="00E804B7">
            <w:pPr>
              <w:pStyle w:val="Normal6"/>
              <w:jc w:val="right"/>
              <w:rPr>
                <w:b/>
                <w:bCs/>
                <w:i/>
                <w:iCs/>
                <w:sz w:val="20"/>
              </w:rPr>
            </w:pPr>
            <w:r w:rsidRPr="00B7760C">
              <w:rPr>
                <w:b/>
                <w:bCs/>
                <w:i/>
                <w:iCs/>
                <w:sz w:val="20"/>
              </w:rPr>
              <w:t>3 068 129 717</w:t>
            </w:r>
          </w:p>
        </w:tc>
      </w:tr>
      <w:tr w:rsidR="003663AF" w:rsidRPr="00B7760C" w14:paraId="723B2F77" w14:textId="77777777" w:rsidTr="00E804B7">
        <w:trPr>
          <w:cantSplit/>
          <w:trHeight w:val="255"/>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14:paraId="11A3EAC7" w14:textId="77777777" w:rsidR="003663AF" w:rsidRPr="00B7760C" w:rsidRDefault="003663AF" w:rsidP="00E804B7">
            <w:pPr>
              <w:pStyle w:val="Normal6"/>
              <w:rPr>
                <w:sz w:val="20"/>
              </w:rPr>
            </w:pPr>
            <w:r w:rsidRPr="00B7760C">
              <w:rPr>
                <w:sz w:val="20"/>
              </w:rPr>
              <w:t>Romunija</w:t>
            </w:r>
          </w:p>
        </w:tc>
        <w:tc>
          <w:tcPr>
            <w:tcW w:w="1608" w:type="dxa"/>
            <w:tcBorders>
              <w:top w:val="single" w:sz="4" w:space="0" w:color="auto"/>
              <w:left w:val="single" w:sz="4" w:space="0" w:color="auto"/>
              <w:bottom w:val="single" w:sz="4" w:space="0" w:color="auto"/>
              <w:right w:val="single" w:sz="4" w:space="0" w:color="auto"/>
            </w:tcBorders>
            <w:hideMark/>
          </w:tcPr>
          <w:p w14:paraId="58729747" w14:textId="77777777" w:rsidR="003663AF" w:rsidRPr="00B7760C" w:rsidRDefault="003663AF" w:rsidP="00E804B7">
            <w:pPr>
              <w:pStyle w:val="Normal6"/>
              <w:jc w:val="right"/>
              <w:rPr>
                <w:b/>
                <w:bCs/>
                <w:i/>
                <w:iCs/>
                <w:sz w:val="20"/>
              </w:rPr>
            </w:pPr>
            <w:r w:rsidRPr="00B7760C">
              <w:rPr>
                <w:b/>
                <w:bCs/>
                <w:i/>
                <w:iCs/>
                <w:sz w:val="20"/>
              </w:rPr>
              <w:t>909 815 361</w:t>
            </w:r>
          </w:p>
        </w:tc>
        <w:tc>
          <w:tcPr>
            <w:tcW w:w="1608" w:type="dxa"/>
            <w:tcBorders>
              <w:top w:val="single" w:sz="4" w:space="0" w:color="auto"/>
              <w:left w:val="single" w:sz="4" w:space="0" w:color="auto"/>
              <w:bottom w:val="single" w:sz="4" w:space="0" w:color="auto"/>
              <w:right w:val="single" w:sz="4" w:space="0" w:color="auto"/>
            </w:tcBorders>
            <w:hideMark/>
          </w:tcPr>
          <w:p w14:paraId="3F226778" w14:textId="77777777" w:rsidR="003663AF" w:rsidRPr="00B7760C" w:rsidRDefault="003663AF" w:rsidP="00E804B7">
            <w:pPr>
              <w:pStyle w:val="Normal6"/>
              <w:jc w:val="right"/>
              <w:rPr>
                <w:b/>
                <w:bCs/>
                <w:i/>
                <w:iCs/>
                <w:sz w:val="20"/>
              </w:rPr>
            </w:pPr>
            <w:r w:rsidRPr="00B7760C">
              <w:rPr>
                <w:b/>
                <w:bCs/>
                <w:i/>
                <w:iCs/>
                <w:sz w:val="20"/>
              </w:rPr>
              <w:t>891 975 844</w:t>
            </w:r>
          </w:p>
        </w:tc>
        <w:tc>
          <w:tcPr>
            <w:tcW w:w="1608" w:type="dxa"/>
            <w:tcBorders>
              <w:top w:val="single" w:sz="4" w:space="0" w:color="auto"/>
              <w:left w:val="single" w:sz="4" w:space="0" w:color="auto"/>
              <w:bottom w:val="single" w:sz="4" w:space="0" w:color="auto"/>
              <w:right w:val="single" w:sz="4" w:space="0" w:color="auto"/>
            </w:tcBorders>
            <w:hideMark/>
          </w:tcPr>
          <w:p w14:paraId="25E836EB" w14:textId="77777777" w:rsidR="003663AF" w:rsidRPr="00B7760C" w:rsidRDefault="003663AF" w:rsidP="00E804B7">
            <w:pPr>
              <w:pStyle w:val="Normal6"/>
              <w:jc w:val="right"/>
              <w:rPr>
                <w:b/>
                <w:bCs/>
                <w:i/>
                <w:iCs/>
                <w:sz w:val="20"/>
              </w:rPr>
            </w:pPr>
            <w:r w:rsidRPr="00B7760C">
              <w:rPr>
                <w:b/>
                <w:bCs/>
                <w:i/>
                <w:iCs/>
                <w:sz w:val="20"/>
              </w:rPr>
              <w:t>874 486 121</w:t>
            </w:r>
          </w:p>
        </w:tc>
        <w:tc>
          <w:tcPr>
            <w:tcW w:w="1608" w:type="dxa"/>
            <w:tcBorders>
              <w:top w:val="single" w:sz="4" w:space="0" w:color="auto"/>
              <w:left w:val="single" w:sz="4" w:space="0" w:color="auto"/>
              <w:bottom w:val="single" w:sz="4" w:space="0" w:color="auto"/>
              <w:right w:val="single" w:sz="4" w:space="0" w:color="auto"/>
            </w:tcBorders>
            <w:hideMark/>
          </w:tcPr>
          <w:p w14:paraId="588FA46B" w14:textId="77777777" w:rsidR="003663AF" w:rsidRPr="00B7760C" w:rsidRDefault="003663AF" w:rsidP="00E804B7">
            <w:pPr>
              <w:pStyle w:val="Normal6"/>
              <w:jc w:val="right"/>
              <w:rPr>
                <w:b/>
                <w:bCs/>
                <w:i/>
                <w:iCs/>
                <w:sz w:val="20"/>
              </w:rPr>
            </w:pPr>
            <w:r w:rsidRPr="00B7760C">
              <w:rPr>
                <w:b/>
                <w:bCs/>
                <w:i/>
                <w:iCs/>
                <w:sz w:val="20"/>
              </w:rPr>
              <w:t>857 339 335</w:t>
            </w:r>
          </w:p>
        </w:tc>
        <w:tc>
          <w:tcPr>
            <w:tcW w:w="1608" w:type="dxa"/>
            <w:tcBorders>
              <w:top w:val="single" w:sz="4" w:space="0" w:color="auto"/>
              <w:left w:val="single" w:sz="4" w:space="0" w:color="auto"/>
              <w:bottom w:val="single" w:sz="4" w:space="0" w:color="auto"/>
              <w:right w:val="single" w:sz="4" w:space="0" w:color="auto"/>
            </w:tcBorders>
            <w:hideMark/>
          </w:tcPr>
          <w:p w14:paraId="19A38EEA" w14:textId="77777777" w:rsidR="003663AF" w:rsidRPr="00B7760C" w:rsidRDefault="003663AF" w:rsidP="00E804B7">
            <w:pPr>
              <w:pStyle w:val="Normal6"/>
              <w:jc w:val="right"/>
              <w:rPr>
                <w:b/>
                <w:bCs/>
                <w:i/>
                <w:iCs/>
                <w:sz w:val="20"/>
              </w:rPr>
            </w:pPr>
            <w:r w:rsidRPr="00B7760C">
              <w:rPr>
                <w:b/>
                <w:bCs/>
                <w:i/>
                <w:iCs/>
                <w:sz w:val="20"/>
              </w:rPr>
              <w:t>840 528 760</w:t>
            </w:r>
          </w:p>
        </w:tc>
        <w:tc>
          <w:tcPr>
            <w:tcW w:w="1608" w:type="dxa"/>
            <w:tcBorders>
              <w:top w:val="single" w:sz="4" w:space="0" w:color="auto"/>
              <w:left w:val="single" w:sz="4" w:space="0" w:color="auto"/>
              <w:bottom w:val="single" w:sz="4" w:space="0" w:color="auto"/>
              <w:right w:val="single" w:sz="4" w:space="0" w:color="auto"/>
            </w:tcBorders>
            <w:hideMark/>
          </w:tcPr>
          <w:p w14:paraId="32AE6C05" w14:textId="77777777" w:rsidR="003663AF" w:rsidRPr="00B7760C" w:rsidRDefault="003663AF" w:rsidP="00E804B7">
            <w:pPr>
              <w:pStyle w:val="Normal6"/>
              <w:jc w:val="right"/>
              <w:rPr>
                <w:b/>
                <w:bCs/>
                <w:i/>
                <w:iCs/>
                <w:sz w:val="20"/>
              </w:rPr>
            </w:pPr>
            <w:r w:rsidRPr="00B7760C">
              <w:rPr>
                <w:b/>
                <w:bCs/>
                <w:i/>
                <w:iCs/>
                <w:sz w:val="20"/>
              </w:rPr>
              <w:t>824 047 803</w:t>
            </w:r>
          </w:p>
        </w:tc>
        <w:tc>
          <w:tcPr>
            <w:tcW w:w="1608" w:type="dxa"/>
            <w:tcBorders>
              <w:top w:val="single" w:sz="4" w:space="0" w:color="auto"/>
              <w:left w:val="single" w:sz="4" w:space="0" w:color="auto"/>
              <w:bottom w:val="single" w:sz="4" w:space="0" w:color="auto"/>
              <w:right w:val="single" w:sz="4" w:space="0" w:color="auto"/>
            </w:tcBorders>
            <w:hideMark/>
          </w:tcPr>
          <w:p w14:paraId="6872BA74" w14:textId="77777777" w:rsidR="003663AF" w:rsidRPr="00B7760C" w:rsidRDefault="003663AF" w:rsidP="00E804B7">
            <w:pPr>
              <w:pStyle w:val="Normal6"/>
              <w:jc w:val="right"/>
              <w:rPr>
                <w:b/>
                <w:bCs/>
                <w:i/>
                <w:iCs/>
                <w:sz w:val="20"/>
              </w:rPr>
            </w:pPr>
            <w:r w:rsidRPr="00B7760C">
              <w:rPr>
                <w:b/>
                <w:bCs/>
                <w:i/>
                <w:iCs/>
                <w:sz w:val="20"/>
              </w:rPr>
              <w:t>807 890 003</w:t>
            </w:r>
          </w:p>
        </w:tc>
        <w:tc>
          <w:tcPr>
            <w:tcW w:w="1616" w:type="dxa"/>
            <w:tcBorders>
              <w:top w:val="single" w:sz="4" w:space="0" w:color="auto"/>
              <w:left w:val="single" w:sz="4" w:space="0" w:color="auto"/>
              <w:bottom w:val="single" w:sz="4" w:space="0" w:color="auto"/>
              <w:right w:val="single" w:sz="4" w:space="0" w:color="auto"/>
            </w:tcBorders>
            <w:hideMark/>
          </w:tcPr>
          <w:p w14:paraId="1467EEA7" w14:textId="77777777" w:rsidR="003663AF" w:rsidRPr="00B7760C" w:rsidRDefault="003663AF" w:rsidP="00E804B7">
            <w:pPr>
              <w:pStyle w:val="Normal6"/>
              <w:jc w:val="right"/>
              <w:rPr>
                <w:b/>
                <w:bCs/>
                <w:i/>
                <w:iCs/>
                <w:sz w:val="20"/>
              </w:rPr>
            </w:pPr>
            <w:r w:rsidRPr="00B7760C">
              <w:rPr>
                <w:b/>
                <w:bCs/>
                <w:i/>
                <w:iCs/>
                <w:sz w:val="20"/>
              </w:rPr>
              <w:t>6 006 083 227</w:t>
            </w:r>
          </w:p>
        </w:tc>
      </w:tr>
      <w:tr w:rsidR="003663AF" w:rsidRPr="00B7760C" w14:paraId="33659C7E" w14:textId="77777777" w:rsidTr="00E804B7">
        <w:trPr>
          <w:cantSplit/>
          <w:trHeight w:val="255"/>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14:paraId="6398EE46" w14:textId="77777777" w:rsidR="003663AF" w:rsidRPr="00B7760C" w:rsidRDefault="003663AF" w:rsidP="00E804B7">
            <w:pPr>
              <w:pStyle w:val="Normal6"/>
              <w:rPr>
                <w:sz w:val="20"/>
              </w:rPr>
            </w:pPr>
            <w:r w:rsidRPr="00B7760C">
              <w:rPr>
                <w:sz w:val="20"/>
              </w:rPr>
              <w:t>Slovenija</w:t>
            </w:r>
          </w:p>
        </w:tc>
        <w:tc>
          <w:tcPr>
            <w:tcW w:w="1608" w:type="dxa"/>
            <w:tcBorders>
              <w:top w:val="single" w:sz="4" w:space="0" w:color="auto"/>
              <w:left w:val="single" w:sz="4" w:space="0" w:color="auto"/>
              <w:bottom w:val="single" w:sz="4" w:space="0" w:color="auto"/>
              <w:right w:val="single" w:sz="4" w:space="0" w:color="auto"/>
            </w:tcBorders>
            <w:hideMark/>
          </w:tcPr>
          <w:p w14:paraId="7CF9F1FB" w14:textId="77777777" w:rsidR="003663AF" w:rsidRPr="00B7760C" w:rsidRDefault="003663AF" w:rsidP="00E804B7">
            <w:pPr>
              <w:pStyle w:val="Normal6"/>
              <w:jc w:val="right"/>
              <w:rPr>
                <w:b/>
                <w:bCs/>
                <w:i/>
                <w:iCs/>
                <w:sz w:val="20"/>
              </w:rPr>
            </w:pPr>
            <w:r w:rsidRPr="00B7760C">
              <w:rPr>
                <w:b/>
                <w:bCs/>
                <w:i/>
                <w:iCs/>
                <w:sz w:val="20"/>
              </w:rPr>
              <w:t>96 351 317</w:t>
            </w:r>
          </w:p>
        </w:tc>
        <w:tc>
          <w:tcPr>
            <w:tcW w:w="1608" w:type="dxa"/>
            <w:tcBorders>
              <w:top w:val="single" w:sz="4" w:space="0" w:color="auto"/>
              <w:left w:val="single" w:sz="4" w:space="0" w:color="auto"/>
              <w:bottom w:val="single" w:sz="4" w:space="0" w:color="auto"/>
              <w:right w:val="single" w:sz="4" w:space="0" w:color="auto"/>
            </w:tcBorders>
            <w:hideMark/>
          </w:tcPr>
          <w:p w14:paraId="1BC5225F" w14:textId="77777777" w:rsidR="003663AF" w:rsidRPr="00B7760C" w:rsidRDefault="003663AF" w:rsidP="00E804B7">
            <w:pPr>
              <w:pStyle w:val="Normal6"/>
              <w:jc w:val="right"/>
              <w:rPr>
                <w:b/>
                <w:bCs/>
                <w:i/>
                <w:iCs/>
                <w:sz w:val="20"/>
              </w:rPr>
            </w:pPr>
            <w:r w:rsidRPr="00B7760C">
              <w:rPr>
                <w:b/>
                <w:bCs/>
                <w:i/>
                <w:iCs/>
                <w:sz w:val="20"/>
              </w:rPr>
              <w:t xml:space="preserve"> 94 462 075</w:t>
            </w:r>
          </w:p>
        </w:tc>
        <w:tc>
          <w:tcPr>
            <w:tcW w:w="1608" w:type="dxa"/>
            <w:tcBorders>
              <w:top w:val="single" w:sz="4" w:space="0" w:color="auto"/>
              <w:left w:val="single" w:sz="4" w:space="0" w:color="auto"/>
              <w:bottom w:val="single" w:sz="4" w:space="0" w:color="auto"/>
              <w:right w:val="single" w:sz="4" w:space="0" w:color="auto"/>
            </w:tcBorders>
            <w:hideMark/>
          </w:tcPr>
          <w:p w14:paraId="74C45779" w14:textId="77777777" w:rsidR="003663AF" w:rsidRPr="00B7760C" w:rsidRDefault="003663AF" w:rsidP="00E804B7">
            <w:pPr>
              <w:pStyle w:val="Normal6"/>
              <w:jc w:val="right"/>
              <w:rPr>
                <w:b/>
                <w:bCs/>
                <w:i/>
                <w:iCs/>
                <w:sz w:val="20"/>
              </w:rPr>
            </w:pPr>
            <w:r w:rsidRPr="00B7760C">
              <w:rPr>
                <w:b/>
                <w:bCs/>
                <w:i/>
                <w:iCs/>
                <w:sz w:val="20"/>
              </w:rPr>
              <w:t>92 609 878</w:t>
            </w:r>
          </w:p>
        </w:tc>
        <w:tc>
          <w:tcPr>
            <w:tcW w:w="1608" w:type="dxa"/>
            <w:tcBorders>
              <w:top w:val="single" w:sz="4" w:space="0" w:color="auto"/>
              <w:left w:val="single" w:sz="4" w:space="0" w:color="auto"/>
              <w:bottom w:val="single" w:sz="4" w:space="0" w:color="auto"/>
              <w:right w:val="single" w:sz="4" w:space="0" w:color="auto"/>
            </w:tcBorders>
            <w:hideMark/>
          </w:tcPr>
          <w:p w14:paraId="2B5CA94E" w14:textId="77777777" w:rsidR="003663AF" w:rsidRPr="00B7760C" w:rsidRDefault="003663AF" w:rsidP="00E804B7">
            <w:pPr>
              <w:pStyle w:val="Normal6"/>
              <w:jc w:val="right"/>
              <w:rPr>
                <w:b/>
                <w:bCs/>
                <w:i/>
                <w:iCs/>
                <w:sz w:val="20"/>
              </w:rPr>
            </w:pPr>
            <w:r w:rsidRPr="00B7760C">
              <w:rPr>
                <w:b/>
                <w:bCs/>
                <w:i/>
                <w:iCs/>
                <w:sz w:val="20"/>
              </w:rPr>
              <w:t>90 793 998</w:t>
            </w:r>
          </w:p>
        </w:tc>
        <w:tc>
          <w:tcPr>
            <w:tcW w:w="1608" w:type="dxa"/>
            <w:tcBorders>
              <w:top w:val="single" w:sz="4" w:space="0" w:color="auto"/>
              <w:left w:val="single" w:sz="4" w:space="0" w:color="auto"/>
              <w:bottom w:val="single" w:sz="4" w:space="0" w:color="auto"/>
              <w:right w:val="single" w:sz="4" w:space="0" w:color="auto"/>
            </w:tcBorders>
            <w:hideMark/>
          </w:tcPr>
          <w:p w14:paraId="1CD7E1FD" w14:textId="77777777" w:rsidR="003663AF" w:rsidRPr="00B7760C" w:rsidRDefault="003663AF" w:rsidP="00E804B7">
            <w:pPr>
              <w:pStyle w:val="Normal6"/>
              <w:jc w:val="right"/>
              <w:rPr>
                <w:b/>
                <w:bCs/>
                <w:i/>
                <w:iCs/>
                <w:sz w:val="20"/>
              </w:rPr>
            </w:pPr>
            <w:r w:rsidRPr="00B7760C">
              <w:rPr>
                <w:b/>
                <w:bCs/>
                <w:i/>
                <w:iCs/>
                <w:sz w:val="20"/>
              </w:rPr>
              <w:t>89 013 723</w:t>
            </w:r>
          </w:p>
        </w:tc>
        <w:tc>
          <w:tcPr>
            <w:tcW w:w="1608" w:type="dxa"/>
            <w:tcBorders>
              <w:top w:val="single" w:sz="4" w:space="0" w:color="auto"/>
              <w:left w:val="single" w:sz="4" w:space="0" w:color="auto"/>
              <w:bottom w:val="single" w:sz="4" w:space="0" w:color="auto"/>
              <w:right w:val="single" w:sz="4" w:space="0" w:color="auto"/>
            </w:tcBorders>
            <w:hideMark/>
          </w:tcPr>
          <w:p w14:paraId="210579C8" w14:textId="77777777" w:rsidR="003663AF" w:rsidRPr="00B7760C" w:rsidRDefault="003663AF" w:rsidP="00E804B7">
            <w:pPr>
              <w:pStyle w:val="Normal6"/>
              <w:jc w:val="right"/>
              <w:rPr>
                <w:b/>
                <w:bCs/>
                <w:i/>
                <w:iCs/>
                <w:sz w:val="20"/>
              </w:rPr>
            </w:pPr>
            <w:r w:rsidRPr="00B7760C">
              <w:rPr>
                <w:b/>
                <w:bCs/>
                <w:i/>
                <w:iCs/>
                <w:sz w:val="20"/>
              </w:rPr>
              <w:t>87 268 356</w:t>
            </w:r>
          </w:p>
        </w:tc>
        <w:tc>
          <w:tcPr>
            <w:tcW w:w="1608" w:type="dxa"/>
            <w:tcBorders>
              <w:top w:val="single" w:sz="4" w:space="0" w:color="auto"/>
              <w:left w:val="single" w:sz="4" w:space="0" w:color="auto"/>
              <w:bottom w:val="single" w:sz="4" w:space="0" w:color="auto"/>
              <w:right w:val="single" w:sz="4" w:space="0" w:color="auto"/>
            </w:tcBorders>
            <w:hideMark/>
          </w:tcPr>
          <w:p w14:paraId="6A1DC372" w14:textId="77777777" w:rsidR="003663AF" w:rsidRPr="00B7760C" w:rsidRDefault="003663AF" w:rsidP="00E804B7">
            <w:pPr>
              <w:pStyle w:val="Normal6"/>
              <w:jc w:val="right"/>
              <w:rPr>
                <w:b/>
                <w:bCs/>
                <w:i/>
                <w:iCs/>
                <w:sz w:val="20"/>
              </w:rPr>
            </w:pPr>
            <w:r w:rsidRPr="00B7760C">
              <w:rPr>
                <w:b/>
                <w:bCs/>
                <w:i/>
                <w:iCs/>
                <w:sz w:val="20"/>
              </w:rPr>
              <w:t>85 557 212</w:t>
            </w:r>
          </w:p>
        </w:tc>
        <w:tc>
          <w:tcPr>
            <w:tcW w:w="1616" w:type="dxa"/>
            <w:tcBorders>
              <w:top w:val="single" w:sz="4" w:space="0" w:color="auto"/>
              <w:left w:val="single" w:sz="4" w:space="0" w:color="auto"/>
              <w:bottom w:val="single" w:sz="4" w:space="0" w:color="auto"/>
              <w:right w:val="single" w:sz="4" w:space="0" w:color="auto"/>
            </w:tcBorders>
            <w:hideMark/>
          </w:tcPr>
          <w:p w14:paraId="12DFEBCC" w14:textId="77777777" w:rsidR="003663AF" w:rsidRPr="00B7760C" w:rsidRDefault="003663AF" w:rsidP="00E804B7">
            <w:pPr>
              <w:pStyle w:val="Normal6"/>
              <w:jc w:val="right"/>
              <w:rPr>
                <w:b/>
                <w:bCs/>
                <w:i/>
                <w:iCs/>
                <w:sz w:val="20"/>
              </w:rPr>
            </w:pPr>
            <w:r w:rsidRPr="00B7760C">
              <w:rPr>
                <w:b/>
                <w:bCs/>
                <w:i/>
                <w:iCs/>
                <w:sz w:val="20"/>
              </w:rPr>
              <w:t>636 056 559</w:t>
            </w:r>
          </w:p>
        </w:tc>
      </w:tr>
      <w:tr w:rsidR="003663AF" w:rsidRPr="00B7760C" w14:paraId="0AC40CB5" w14:textId="77777777" w:rsidTr="00E804B7">
        <w:trPr>
          <w:cantSplit/>
          <w:trHeight w:val="255"/>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14:paraId="5C316E21" w14:textId="77777777" w:rsidR="003663AF" w:rsidRPr="00B7760C" w:rsidRDefault="003663AF" w:rsidP="00E804B7">
            <w:pPr>
              <w:pStyle w:val="Normal6"/>
              <w:rPr>
                <w:sz w:val="20"/>
              </w:rPr>
            </w:pPr>
            <w:r w:rsidRPr="00B7760C">
              <w:rPr>
                <w:sz w:val="20"/>
              </w:rPr>
              <w:t>Slovaška</w:t>
            </w:r>
          </w:p>
        </w:tc>
        <w:tc>
          <w:tcPr>
            <w:tcW w:w="1608" w:type="dxa"/>
            <w:tcBorders>
              <w:top w:val="single" w:sz="4" w:space="0" w:color="auto"/>
              <w:left w:val="single" w:sz="4" w:space="0" w:color="auto"/>
              <w:bottom w:val="single" w:sz="4" w:space="0" w:color="auto"/>
              <w:right w:val="single" w:sz="4" w:space="0" w:color="auto"/>
            </w:tcBorders>
            <w:hideMark/>
          </w:tcPr>
          <w:p w14:paraId="6F5AD874" w14:textId="77777777" w:rsidR="003663AF" w:rsidRPr="00B7760C" w:rsidRDefault="003663AF" w:rsidP="00E804B7">
            <w:pPr>
              <w:pStyle w:val="Normal6"/>
              <w:jc w:val="right"/>
              <w:rPr>
                <w:b/>
                <w:bCs/>
                <w:i/>
                <w:iCs/>
                <w:sz w:val="20"/>
              </w:rPr>
            </w:pPr>
            <w:r w:rsidRPr="00B7760C">
              <w:rPr>
                <w:b/>
                <w:bCs/>
                <w:i/>
                <w:iCs/>
                <w:sz w:val="20"/>
              </w:rPr>
              <w:t>214 550 513</w:t>
            </w:r>
          </w:p>
        </w:tc>
        <w:tc>
          <w:tcPr>
            <w:tcW w:w="1608" w:type="dxa"/>
            <w:tcBorders>
              <w:top w:val="single" w:sz="4" w:space="0" w:color="auto"/>
              <w:left w:val="single" w:sz="4" w:space="0" w:color="auto"/>
              <w:bottom w:val="single" w:sz="4" w:space="0" w:color="auto"/>
              <w:right w:val="single" w:sz="4" w:space="0" w:color="auto"/>
            </w:tcBorders>
            <w:hideMark/>
          </w:tcPr>
          <w:p w14:paraId="0B2ECCA2" w14:textId="77777777" w:rsidR="003663AF" w:rsidRPr="00B7760C" w:rsidRDefault="003663AF" w:rsidP="00E804B7">
            <w:pPr>
              <w:pStyle w:val="Normal6"/>
              <w:jc w:val="right"/>
              <w:rPr>
                <w:b/>
                <w:bCs/>
                <w:i/>
                <w:iCs/>
                <w:sz w:val="20"/>
              </w:rPr>
            </w:pPr>
            <w:r w:rsidRPr="00B7760C">
              <w:rPr>
                <w:b/>
                <w:bCs/>
                <w:i/>
                <w:iCs/>
                <w:sz w:val="20"/>
              </w:rPr>
              <w:t>210 343 640</w:t>
            </w:r>
          </w:p>
        </w:tc>
        <w:tc>
          <w:tcPr>
            <w:tcW w:w="1608" w:type="dxa"/>
            <w:tcBorders>
              <w:top w:val="single" w:sz="4" w:space="0" w:color="auto"/>
              <w:left w:val="single" w:sz="4" w:space="0" w:color="auto"/>
              <w:bottom w:val="single" w:sz="4" w:space="0" w:color="auto"/>
              <w:right w:val="single" w:sz="4" w:space="0" w:color="auto"/>
            </w:tcBorders>
            <w:hideMark/>
          </w:tcPr>
          <w:p w14:paraId="1D6D2B4F" w14:textId="77777777" w:rsidR="003663AF" w:rsidRPr="00B7760C" w:rsidRDefault="003663AF" w:rsidP="00E804B7">
            <w:pPr>
              <w:pStyle w:val="Normal6"/>
              <w:jc w:val="right"/>
              <w:rPr>
                <w:b/>
                <w:bCs/>
                <w:i/>
                <w:iCs/>
                <w:sz w:val="20"/>
              </w:rPr>
            </w:pPr>
            <w:r w:rsidRPr="00B7760C">
              <w:rPr>
                <w:b/>
                <w:bCs/>
                <w:i/>
                <w:iCs/>
                <w:sz w:val="20"/>
              </w:rPr>
              <w:t>206 219 255</w:t>
            </w:r>
          </w:p>
        </w:tc>
        <w:tc>
          <w:tcPr>
            <w:tcW w:w="1608" w:type="dxa"/>
            <w:tcBorders>
              <w:top w:val="single" w:sz="4" w:space="0" w:color="auto"/>
              <w:left w:val="single" w:sz="4" w:space="0" w:color="auto"/>
              <w:bottom w:val="single" w:sz="4" w:space="0" w:color="auto"/>
              <w:right w:val="single" w:sz="4" w:space="0" w:color="auto"/>
            </w:tcBorders>
            <w:hideMark/>
          </w:tcPr>
          <w:p w14:paraId="002341FB" w14:textId="77777777" w:rsidR="003663AF" w:rsidRPr="00B7760C" w:rsidRDefault="003663AF" w:rsidP="00E804B7">
            <w:pPr>
              <w:pStyle w:val="Normal6"/>
              <w:jc w:val="right"/>
              <w:rPr>
                <w:b/>
                <w:bCs/>
                <w:i/>
                <w:iCs/>
                <w:sz w:val="20"/>
              </w:rPr>
            </w:pPr>
            <w:r w:rsidRPr="00B7760C">
              <w:rPr>
                <w:b/>
                <w:bCs/>
                <w:i/>
                <w:iCs/>
                <w:sz w:val="20"/>
              </w:rPr>
              <w:t>202 175 740</w:t>
            </w:r>
          </w:p>
        </w:tc>
        <w:tc>
          <w:tcPr>
            <w:tcW w:w="1608" w:type="dxa"/>
            <w:tcBorders>
              <w:top w:val="single" w:sz="4" w:space="0" w:color="auto"/>
              <w:left w:val="single" w:sz="4" w:space="0" w:color="auto"/>
              <w:bottom w:val="single" w:sz="4" w:space="0" w:color="auto"/>
              <w:right w:val="single" w:sz="4" w:space="0" w:color="auto"/>
            </w:tcBorders>
            <w:hideMark/>
          </w:tcPr>
          <w:p w14:paraId="63A6EA36" w14:textId="77777777" w:rsidR="003663AF" w:rsidRPr="00B7760C" w:rsidRDefault="003663AF" w:rsidP="00E804B7">
            <w:pPr>
              <w:pStyle w:val="Normal6"/>
              <w:jc w:val="right"/>
              <w:rPr>
                <w:b/>
                <w:bCs/>
                <w:i/>
                <w:iCs/>
                <w:sz w:val="20"/>
              </w:rPr>
            </w:pPr>
            <w:r w:rsidRPr="00B7760C">
              <w:rPr>
                <w:b/>
                <w:bCs/>
                <w:i/>
                <w:iCs/>
                <w:sz w:val="20"/>
              </w:rPr>
              <w:t>198 211 510</w:t>
            </w:r>
          </w:p>
        </w:tc>
        <w:tc>
          <w:tcPr>
            <w:tcW w:w="1608" w:type="dxa"/>
            <w:tcBorders>
              <w:top w:val="single" w:sz="4" w:space="0" w:color="auto"/>
              <w:left w:val="single" w:sz="4" w:space="0" w:color="auto"/>
              <w:bottom w:val="single" w:sz="4" w:space="0" w:color="auto"/>
              <w:right w:val="single" w:sz="4" w:space="0" w:color="auto"/>
            </w:tcBorders>
            <w:hideMark/>
          </w:tcPr>
          <w:p w14:paraId="15740405" w14:textId="77777777" w:rsidR="003663AF" w:rsidRPr="00B7760C" w:rsidRDefault="003663AF" w:rsidP="00E804B7">
            <w:pPr>
              <w:pStyle w:val="Normal6"/>
              <w:jc w:val="right"/>
              <w:rPr>
                <w:b/>
                <w:bCs/>
                <w:i/>
                <w:iCs/>
                <w:sz w:val="20"/>
              </w:rPr>
            </w:pPr>
            <w:r w:rsidRPr="00B7760C">
              <w:rPr>
                <w:b/>
                <w:bCs/>
                <w:i/>
                <w:iCs/>
                <w:sz w:val="20"/>
              </w:rPr>
              <w:t>194 325 010</w:t>
            </w:r>
          </w:p>
        </w:tc>
        <w:tc>
          <w:tcPr>
            <w:tcW w:w="1608" w:type="dxa"/>
            <w:tcBorders>
              <w:top w:val="single" w:sz="4" w:space="0" w:color="auto"/>
              <w:left w:val="single" w:sz="4" w:space="0" w:color="auto"/>
              <w:bottom w:val="single" w:sz="4" w:space="0" w:color="auto"/>
              <w:right w:val="single" w:sz="4" w:space="0" w:color="auto"/>
            </w:tcBorders>
            <w:hideMark/>
          </w:tcPr>
          <w:p w14:paraId="1ECAF2FC" w14:textId="77777777" w:rsidR="003663AF" w:rsidRPr="00B7760C" w:rsidRDefault="003663AF" w:rsidP="00E804B7">
            <w:pPr>
              <w:pStyle w:val="Normal6"/>
              <w:jc w:val="right"/>
              <w:rPr>
                <w:b/>
                <w:bCs/>
                <w:i/>
                <w:iCs/>
                <w:sz w:val="20"/>
              </w:rPr>
            </w:pPr>
            <w:r w:rsidRPr="00B7760C">
              <w:rPr>
                <w:b/>
                <w:bCs/>
                <w:i/>
                <w:iCs/>
                <w:sz w:val="20"/>
              </w:rPr>
              <w:t>190 514 716</w:t>
            </w:r>
          </w:p>
        </w:tc>
        <w:tc>
          <w:tcPr>
            <w:tcW w:w="1616" w:type="dxa"/>
            <w:tcBorders>
              <w:top w:val="single" w:sz="4" w:space="0" w:color="auto"/>
              <w:left w:val="single" w:sz="4" w:space="0" w:color="auto"/>
              <w:bottom w:val="single" w:sz="4" w:space="0" w:color="auto"/>
              <w:right w:val="single" w:sz="4" w:space="0" w:color="auto"/>
            </w:tcBorders>
            <w:hideMark/>
          </w:tcPr>
          <w:p w14:paraId="6AD865BE" w14:textId="77777777" w:rsidR="003663AF" w:rsidRPr="00B7760C" w:rsidRDefault="003663AF" w:rsidP="00E804B7">
            <w:pPr>
              <w:pStyle w:val="Normal6"/>
              <w:jc w:val="right"/>
              <w:rPr>
                <w:b/>
                <w:bCs/>
                <w:i/>
                <w:iCs/>
                <w:sz w:val="20"/>
              </w:rPr>
            </w:pPr>
            <w:r w:rsidRPr="00B7760C">
              <w:rPr>
                <w:b/>
                <w:bCs/>
                <w:i/>
                <w:iCs/>
                <w:sz w:val="20"/>
              </w:rPr>
              <w:t>1 416 340 384</w:t>
            </w:r>
          </w:p>
        </w:tc>
      </w:tr>
      <w:tr w:rsidR="003663AF" w:rsidRPr="00B7760C" w14:paraId="5913520D" w14:textId="77777777" w:rsidTr="00E804B7">
        <w:trPr>
          <w:cantSplit/>
          <w:trHeight w:val="255"/>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14:paraId="1E2837C6" w14:textId="77777777" w:rsidR="003663AF" w:rsidRPr="00B7760C" w:rsidRDefault="003663AF" w:rsidP="00E804B7">
            <w:pPr>
              <w:pStyle w:val="Normal6"/>
              <w:rPr>
                <w:sz w:val="20"/>
              </w:rPr>
            </w:pPr>
            <w:r w:rsidRPr="00B7760C">
              <w:rPr>
                <w:sz w:val="20"/>
              </w:rPr>
              <w:t>Finska</w:t>
            </w:r>
          </w:p>
        </w:tc>
        <w:tc>
          <w:tcPr>
            <w:tcW w:w="1608" w:type="dxa"/>
            <w:tcBorders>
              <w:top w:val="single" w:sz="4" w:space="0" w:color="auto"/>
              <w:left w:val="single" w:sz="4" w:space="0" w:color="auto"/>
              <w:bottom w:val="single" w:sz="4" w:space="0" w:color="auto"/>
              <w:right w:val="single" w:sz="4" w:space="0" w:color="auto"/>
            </w:tcBorders>
            <w:hideMark/>
          </w:tcPr>
          <w:p w14:paraId="07F06D5E" w14:textId="77777777" w:rsidR="003663AF" w:rsidRPr="00B7760C" w:rsidRDefault="003663AF" w:rsidP="00E804B7">
            <w:pPr>
              <w:pStyle w:val="Normal6"/>
              <w:jc w:val="right"/>
              <w:rPr>
                <w:b/>
                <w:bCs/>
                <w:i/>
                <w:iCs/>
                <w:sz w:val="20"/>
              </w:rPr>
            </w:pPr>
            <w:r w:rsidRPr="00B7760C">
              <w:rPr>
                <w:b/>
                <w:bCs/>
                <w:i/>
                <w:iCs/>
                <w:sz w:val="20"/>
              </w:rPr>
              <w:t>275 178 124</w:t>
            </w:r>
          </w:p>
        </w:tc>
        <w:tc>
          <w:tcPr>
            <w:tcW w:w="1608" w:type="dxa"/>
            <w:tcBorders>
              <w:top w:val="single" w:sz="4" w:space="0" w:color="auto"/>
              <w:left w:val="single" w:sz="4" w:space="0" w:color="auto"/>
              <w:bottom w:val="single" w:sz="4" w:space="0" w:color="auto"/>
              <w:right w:val="single" w:sz="4" w:space="0" w:color="auto"/>
            </w:tcBorders>
            <w:hideMark/>
          </w:tcPr>
          <w:p w14:paraId="2DA058BC" w14:textId="77777777" w:rsidR="003663AF" w:rsidRPr="00B7760C" w:rsidRDefault="003663AF" w:rsidP="00E804B7">
            <w:pPr>
              <w:pStyle w:val="Normal6"/>
              <w:jc w:val="right"/>
              <w:rPr>
                <w:b/>
                <w:bCs/>
                <w:i/>
                <w:iCs/>
                <w:sz w:val="20"/>
              </w:rPr>
            </w:pPr>
            <w:r w:rsidRPr="00B7760C">
              <w:rPr>
                <w:b/>
                <w:bCs/>
                <w:i/>
                <w:iCs/>
                <w:sz w:val="20"/>
              </w:rPr>
              <w:t>269 782 474</w:t>
            </w:r>
          </w:p>
        </w:tc>
        <w:tc>
          <w:tcPr>
            <w:tcW w:w="1608" w:type="dxa"/>
            <w:tcBorders>
              <w:top w:val="single" w:sz="4" w:space="0" w:color="auto"/>
              <w:left w:val="single" w:sz="4" w:space="0" w:color="auto"/>
              <w:bottom w:val="single" w:sz="4" w:space="0" w:color="auto"/>
              <w:right w:val="single" w:sz="4" w:space="0" w:color="auto"/>
            </w:tcBorders>
            <w:hideMark/>
          </w:tcPr>
          <w:p w14:paraId="7B78F6DD" w14:textId="77777777" w:rsidR="003663AF" w:rsidRPr="00B7760C" w:rsidRDefault="003663AF" w:rsidP="00E804B7">
            <w:pPr>
              <w:pStyle w:val="Normal6"/>
              <w:jc w:val="right"/>
              <w:rPr>
                <w:b/>
                <w:bCs/>
                <w:i/>
                <w:iCs/>
                <w:sz w:val="20"/>
              </w:rPr>
            </w:pPr>
            <w:r w:rsidRPr="00B7760C">
              <w:rPr>
                <w:b/>
                <w:bCs/>
                <w:i/>
                <w:iCs/>
                <w:sz w:val="20"/>
              </w:rPr>
              <w:t>264 492 622</w:t>
            </w:r>
          </w:p>
        </w:tc>
        <w:tc>
          <w:tcPr>
            <w:tcW w:w="1608" w:type="dxa"/>
            <w:tcBorders>
              <w:top w:val="single" w:sz="4" w:space="0" w:color="auto"/>
              <w:left w:val="single" w:sz="4" w:space="0" w:color="auto"/>
              <w:bottom w:val="single" w:sz="4" w:space="0" w:color="auto"/>
              <w:right w:val="single" w:sz="4" w:space="0" w:color="auto"/>
            </w:tcBorders>
            <w:hideMark/>
          </w:tcPr>
          <w:p w14:paraId="6AA382EE" w14:textId="77777777" w:rsidR="003663AF" w:rsidRPr="00B7760C" w:rsidRDefault="003663AF" w:rsidP="00E804B7">
            <w:pPr>
              <w:pStyle w:val="Normal6"/>
              <w:jc w:val="right"/>
              <w:rPr>
                <w:b/>
                <w:bCs/>
                <w:i/>
                <w:iCs/>
                <w:sz w:val="20"/>
              </w:rPr>
            </w:pPr>
            <w:r w:rsidRPr="00B7760C">
              <w:rPr>
                <w:b/>
                <w:bCs/>
                <w:i/>
                <w:iCs/>
                <w:sz w:val="20"/>
              </w:rPr>
              <w:t>259 306 492</w:t>
            </w:r>
          </w:p>
        </w:tc>
        <w:tc>
          <w:tcPr>
            <w:tcW w:w="1608" w:type="dxa"/>
            <w:tcBorders>
              <w:top w:val="single" w:sz="4" w:space="0" w:color="auto"/>
              <w:left w:val="single" w:sz="4" w:space="0" w:color="auto"/>
              <w:bottom w:val="single" w:sz="4" w:space="0" w:color="auto"/>
              <w:right w:val="single" w:sz="4" w:space="0" w:color="auto"/>
            </w:tcBorders>
            <w:hideMark/>
          </w:tcPr>
          <w:p w14:paraId="1DE2CE0A" w14:textId="77777777" w:rsidR="003663AF" w:rsidRPr="00B7760C" w:rsidRDefault="003663AF" w:rsidP="00E804B7">
            <w:pPr>
              <w:pStyle w:val="Normal6"/>
              <w:jc w:val="right"/>
              <w:rPr>
                <w:b/>
                <w:bCs/>
                <w:i/>
                <w:iCs/>
                <w:sz w:val="20"/>
              </w:rPr>
            </w:pPr>
            <w:r w:rsidRPr="00B7760C">
              <w:rPr>
                <w:b/>
                <w:bCs/>
                <w:i/>
                <w:iCs/>
                <w:sz w:val="20"/>
              </w:rPr>
              <w:t>254 222 051</w:t>
            </w:r>
          </w:p>
        </w:tc>
        <w:tc>
          <w:tcPr>
            <w:tcW w:w="1608" w:type="dxa"/>
            <w:tcBorders>
              <w:top w:val="single" w:sz="4" w:space="0" w:color="auto"/>
              <w:left w:val="single" w:sz="4" w:space="0" w:color="auto"/>
              <w:bottom w:val="single" w:sz="4" w:space="0" w:color="auto"/>
              <w:right w:val="single" w:sz="4" w:space="0" w:color="auto"/>
            </w:tcBorders>
            <w:hideMark/>
          </w:tcPr>
          <w:p w14:paraId="2107067D" w14:textId="77777777" w:rsidR="003663AF" w:rsidRPr="00B7760C" w:rsidRDefault="003663AF" w:rsidP="00E804B7">
            <w:pPr>
              <w:pStyle w:val="Normal6"/>
              <w:jc w:val="right"/>
              <w:rPr>
                <w:b/>
                <w:bCs/>
                <w:i/>
                <w:iCs/>
                <w:sz w:val="20"/>
              </w:rPr>
            </w:pPr>
            <w:r w:rsidRPr="00B7760C">
              <w:rPr>
                <w:b/>
                <w:bCs/>
                <w:i/>
                <w:iCs/>
                <w:sz w:val="20"/>
              </w:rPr>
              <w:t>249 237 305</w:t>
            </w:r>
          </w:p>
        </w:tc>
        <w:tc>
          <w:tcPr>
            <w:tcW w:w="1608" w:type="dxa"/>
            <w:tcBorders>
              <w:top w:val="single" w:sz="4" w:space="0" w:color="auto"/>
              <w:left w:val="single" w:sz="4" w:space="0" w:color="auto"/>
              <w:bottom w:val="single" w:sz="4" w:space="0" w:color="auto"/>
              <w:right w:val="single" w:sz="4" w:space="0" w:color="auto"/>
            </w:tcBorders>
            <w:hideMark/>
          </w:tcPr>
          <w:p w14:paraId="2590AD5F" w14:textId="77777777" w:rsidR="003663AF" w:rsidRPr="00B7760C" w:rsidRDefault="003663AF" w:rsidP="00E804B7">
            <w:pPr>
              <w:pStyle w:val="Normal6"/>
              <w:jc w:val="right"/>
              <w:rPr>
                <w:b/>
                <w:bCs/>
                <w:i/>
                <w:iCs/>
                <w:sz w:val="20"/>
              </w:rPr>
            </w:pPr>
            <w:r w:rsidRPr="00B7760C">
              <w:rPr>
                <w:b/>
                <w:bCs/>
                <w:i/>
                <w:iCs/>
                <w:sz w:val="20"/>
              </w:rPr>
              <w:t>244 350 299</w:t>
            </w:r>
          </w:p>
        </w:tc>
        <w:tc>
          <w:tcPr>
            <w:tcW w:w="1616" w:type="dxa"/>
            <w:tcBorders>
              <w:top w:val="single" w:sz="4" w:space="0" w:color="auto"/>
              <w:left w:val="single" w:sz="4" w:space="0" w:color="auto"/>
              <w:bottom w:val="single" w:sz="4" w:space="0" w:color="auto"/>
              <w:right w:val="single" w:sz="4" w:space="0" w:color="auto"/>
            </w:tcBorders>
            <w:hideMark/>
          </w:tcPr>
          <w:p w14:paraId="3A57E5B0" w14:textId="77777777" w:rsidR="003663AF" w:rsidRPr="00B7760C" w:rsidRDefault="003663AF" w:rsidP="00E804B7">
            <w:pPr>
              <w:pStyle w:val="Normal6"/>
              <w:jc w:val="right"/>
              <w:rPr>
                <w:b/>
                <w:bCs/>
                <w:i/>
                <w:iCs/>
                <w:sz w:val="20"/>
              </w:rPr>
            </w:pPr>
            <w:r w:rsidRPr="00B7760C">
              <w:rPr>
                <w:b/>
                <w:bCs/>
                <w:i/>
                <w:iCs/>
                <w:sz w:val="20"/>
              </w:rPr>
              <w:t>1 816 569 367</w:t>
            </w:r>
          </w:p>
        </w:tc>
      </w:tr>
      <w:tr w:rsidR="003663AF" w:rsidRPr="00B7760C" w14:paraId="3A12A9F5" w14:textId="77777777" w:rsidTr="00E804B7">
        <w:trPr>
          <w:cantSplit/>
          <w:trHeight w:val="255"/>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14:paraId="553F90A4" w14:textId="77777777" w:rsidR="003663AF" w:rsidRPr="00B7760C" w:rsidRDefault="003663AF" w:rsidP="00E804B7">
            <w:pPr>
              <w:pStyle w:val="Normal6"/>
              <w:rPr>
                <w:sz w:val="20"/>
              </w:rPr>
            </w:pPr>
            <w:r w:rsidRPr="00B7760C">
              <w:rPr>
                <w:sz w:val="20"/>
              </w:rPr>
              <w:t>Švedska</w:t>
            </w:r>
          </w:p>
        </w:tc>
        <w:tc>
          <w:tcPr>
            <w:tcW w:w="1608" w:type="dxa"/>
            <w:tcBorders>
              <w:top w:val="single" w:sz="4" w:space="0" w:color="auto"/>
              <w:left w:val="single" w:sz="4" w:space="0" w:color="auto"/>
              <w:bottom w:val="single" w:sz="4" w:space="0" w:color="auto"/>
              <w:right w:val="single" w:sz="4" w:space="0" w:color="auto"/>
            </w:tcBorders>
            <w:hideMark/>
          </w:tcPr>
          <w:p w14:paraId="029CCE35" w14:textId="77777777" w:rsidR="003663AF" w:rsidRPr="00B7760C" w:rsidRDefault="003663AF" w:rsidP="00E804B7">
            <w:pPr>
              <w:pStyle w:val="Normal6"/>
              <w:jc w:val="right"/>
              <w:rPr>
                <w:b/>
                <w:bCs/>
                <w:i/>
                <w:iCs/>
                <w:sz w:val="20"/>
              </w:rPr>
            </w:pPr>
            <w:r w:rsidRPr="00B7760C">
              <w:rPr>
                <w:b/>
                <w:bCs/>
                <w:i/>
                <w:iCs/>
                <w:sz w:val="20"/>
              </w:rPr>
              <w:t>199 349 116</w:t>
            </w:r>
          </w:p>
        </w:tc>
        <w:tc>
          <w:tcPr>
            <w:tcW w:w="1608" w:type="dxa"/>
            <w:tcBorders>
              <w:top w:val="single" w:sz="4" w:space="0" w:color="auto"/>
              <w:left w:val="single" w:sz="4" w:space="0" w:color="auto"/>
              <w:bottom w:val="single" w:sz="4" w:space="0" w:color="auto"/>
              <w:right w:val="single" w:sz="4" w:space="0" w:color="auto"/>
            </w:tcBorders>
            <w:hideMark/>
          </w:tcPr>
          <w:p w14:paraId="549F6693" w14:textId="77777777" w:rsidR="003663AF" w:rsidRPr="00B7760C" w:rsidRDefault="003663AF" w:rsidP="00E804B7">
            <w:pPr>
              <w:pStyle w:val="Normal6"/>
              <w:jc w:val="right"/>
              <w:rPr>
                <w:b/>
                <w:bCs/>
                <w:i/>
                <w:iCs/>
                <w:sz w:val="20"/>
              </w:rPr>
            </w:pPr>
            <w:r w:rsidRPr="00B7760C">
              <w:rPr>
                <w:b/>
                <w:bCs/>
                <w:i/>
                <w:iCs/>
                <w:sz w:val="20"/>
              </w:rPr>
              <w:t>195 440 310</w:t>
            </w:r>
          </w:p>
        </w:tc>
        <w:tc>
          <w:tcPr>
            <w:tcW w:w="1608" w:type="dxa"/>
            <w:tcBorders>
              <w:top w:val="single" w:sz="4" w:space="0" w:color="auto"/>
              <w:left w:val="single" w:sz="4" w:space="0" w:color="auto"/>
              <w:bottom w:val="single" w:sz="4" w:space="0" w:color="auto"/>
              <w:right w:val="single" w:sz="4" w:space="0" w:color="auto"/>
            </w:tcBorders>
            <w:hideMark/>
          </w:tcPr>
          <w:p w14:paraId="022EEC67" w14:textId="77777777" w:rsidR="003663AF" w:rsidRPr="00B7760C" w:rsidRDefault="003663AF" w:rsidP="00E804B7">
            <w:pPr>
              <w:pStyle w:val="Normal6"/>
              <w:jc w:val="right"/>
              <w:rPr>
                <w:b/>
                <w:bCs/>
                <w:i/>
                <w:iCs/>
                <w:sz w:val="20"/>
              </w:rPr>
            </w:pPr>
            <w:r w:rsidRPr="00B7760C">
              <w:rPr>
                <w:b/>
                <w:bCs/>
                <w:i/>
                <w:iCs/>
                <w:sz w:val="20"/>
              </w:rPr>
              <w:t>191 608 147</w:t>
            </w:r>
          </w:p>
        </w:tc>
        <w:tc>
          <w:tcPr>
            <w:tcW w:w="1608" w:type="dxa"/>
            <w:tcBorders>
              <w:top w:val="single" w:sz="4" w:space="0" w:color="auto"/>
              <w:left w:val="single" w:sz="4" w:space="0" w:color="auto"/>
              <w:bottom w:val="single" w:sz="4" w:space="0" w:color="auto"/>
              <w:right w:val="single" w:sz="4" w:space="0" w:color="auto"/>
            </w:tcBorders>
            <w:hideMark/>
          </w:tcPr>
          <w:p w14:paraId="5D2FCB1C" w14:textId="77777777" w:rsidR="003663AF" w:rsidRPr="00B7760C" w:rsidRDefault="003663AF" w:rsidP="00E804B7">
            <w:pPr>
              <w:pStyle w:val="Normal6"/>
              <w:jc w:val="right"/>
              <w:rPr>
                <w:b/>
                <w:bCs/>
                <w:i/>
                <w:iCs/>
                <w:sz w:val="20"/>
              </w:rPr>
            </w:pPr>
            <w:r w:rsidRPr="00B7760C">
              <w:rPr>
                <w:b/>
                <w:bCs/>
                <w:i/>
                <w:iCs/>
                <w:sz w:val="20"/>
              </w:rPr>
              <w:t>187 851 124</w:t>
            </w:r>
          </w:p>
        </w:tc>
        <w:tc>
          <w:tcPr>
            <w:tcW w:w="1608" w:type="dxa"/>
            <w:tcBorders>
              <w:top w:val="single" w:sz="4" w:space="0" w:color="auto"/>
              <w:left w:val="single" w:sz="4" w:space="0" w:color="auto"/>
              <w:bottom w:val="single" w:sz="4" w:space="0" w:color="auto"/>
              <w:right w:val="single" w:sz="4" w:space="0" w:color="auto"/>
            </w:tcBorders>
            <w:hideMark/>
          </w:tcPr>
          <w:p w14:paraId="0D8FEB03" w14:textId="77777777" w:rsidR="003663AF" w:rsidRPr="00B7760C" w:rsidRDefault="003663AF" w:rsidP="00E804B7">
            <w:pPr>
              <w:pStyle w:val="Normal6"/>
              <w:jc w:val="right"/>
              <w:rPr>
                <w:b/>
                <w:bCs/>
                <w:i/>
                <w:iCs/>
                <w:sz w:val="20"/>
              </w:rPr>
            </w:pPr>
            <w:r w:rsidRPr="00B7760C">
              <w:rPr>
                <w:b/>
                <w:bCs/>
                <w:i/>
                <w:iCs/>
                <w:sz w:val="20"/>
              </w:rPr>
              <w:t>184 167 769</w:t>
            </w:r>
          </w:p>
        </w:tc>
        <w:tc>
          <w:tcPr>
            <w:tcW w:w="1608" w:type="dxa"/>
            <w:tcBorders>
              <w:top w:val="single" w:sz="4" w:space="0" w:color="auto"/>
              <w:left w:val="single" w:sz="4" w:space="0" w:color="auto"/>
              <w:bottom w:val="single" w:sz="4" w:space="0" w:color="auto"/>
              <w:right w:val="single" w:sz="4" w:space="0" w:color="auto"/>
            </w:tcBorders>
            <w:hideMark/>
          </w:tcPr>
          <w:p w14:paraId="6537838A" w14:textId="77777777" w:rsidR="003663AF" w:rsidRPr="00B7760C" w:rsidRDefault="003663AF" w:rsidP="00E804B7">
            <w:pPr>
              <w:pStyle w:val="Normal6"/>
              <w:jc w:val="right"/>
              <w:rPr>
                <w:b/>
                <w:bCs/>
                <w:i/>
                <w:iCs/>
                <w:sz w:val="20"/>
              </w:rPr>
            </w:pPr>
            <w:r w:rsidRPr="00B7760C">
              <w:rPr>
                <w:b/>
                <w:bCs/>
                <w:i/>
                <w:iCs/>
                <w:sz w:val="20"/>
              </w:rPr>
              <w:t>180 556 636</w:t>
            </w:r>
          </w:p>
        </w:tc>
        <w:tc>
          <w:tcPr>
            <w:tcW w:w="1608" w:type="dxa"/>
            <w:tcBorders>
              <w:top w:val="single" w:sz="4" w:space="0" w:color="auto"/>
              <w:left w:val="single" w:sz="4" w:space="0" w:color="auto"/>
              <w:bottom w:val="single" w:sz="4" w:space="0" w:color="auto"/>
              <w:right w:val="single" w:sz="4" w:space="0" w:color="auto"/>
            </w:tcBorders>
            <w:hideMark/>
          </w:tcPr>
          <w:p w14:paraId="1DBE40D8" w14:textId="77777777" w:rsidR="003663AF" w:rsidRPr="00B7760C" w:rsidRDefault="003663AF" w:rsidP="00E804B7">
            <w:pPr>
              <w:pStyle w:val="Normal6"/>
              <w:jc w:val="right"/>
              <w:rPr>
                <w:b/>
                <w:bCs/>
                <w:i/>
                <w:iCs/>
                <w:sz w:val="20"/>
              </w:rPr>
            </w:pPr>
            <w:r w:rsidRPr="00B7760C">
              <w:rPr>
                <w:b/>
                <w:bCs/>
                <w:i/>
                <w:iCs/>
                <w:sz w:val="20"/>
              </w:rPr>
              <w:t>177 016 310</w:t>
            </w:r>
          </w:p>
        </w:tc>
        <w:tc>
          <w:tcPr>
            <w:tcW w:w="1616" w:type="dxa"/>
            <w:tcBorders>
              <w:top w:val="single" w:sz="4" w:space="0" w:color="auto"/>
              <w:left w:val="single" w:sz="4" w:space="0" w:color="auto"/>
              <w:bottom w:val="single" w:sz="4" w:space="0" w:color="auto"/>
              <w:right w:val="single" w:sz="4" w:space="0" w:color="auto"/>
            </w:tcBorders>
            <w:hideMark/>
          </w:tcPr>
          <w:p w14:paraId="26CA4DAD" w14:textId="77777777" w:rsidR="003663AF" w:rsidRPr="00B7760C" w:rsidRDefault="003663AF" w:rsidP="00E804B7">
            <w:pPr>
              <w:pStyle w:val="Normal6"/>
              <w:jc w:val="right"/>
              <w:rPr>
                <w:b/>
                <w:bCs/>
                <w:i/>
                <w:iCs/>
                <w:sz w:val="20"/>
              </w:rPr>
            </w:pPr>
            <w:r w:rsidRPr="00B7760C">
              <w:rPr>
                <w:b/>
                <w:bCs/>
                <w:i/>
                <w:iCs/>
                <w:sz w:val="20"/>
              </w:rPr>
              <w:t>1 315 989 412</w:t>
            </w:r>
          </w:p>
        </w:tc>
      </w:tr>
      <w:tr w:rsidR="003663AF" w:rsidRPr="00B7760C" w14:paraId="6BF61CED" w14:textId="77777777" w:rsidTr="00E804B7">
        <w:trPr>
          <w:cantSplit/>
          <w:trHeight w:val="255"/>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14:paraId="790EFA1C" w14:textId="77777777" w:rsidR="003663AF" w:rsidRPr="00B7760C" w:rsidRDefault="003663AF" w:rsidP="00E804B7">
            <w:pPr>
              <w:pStyle w:val="Normal6"/>
              <w:rPr>
                <w:sz w:val="20"/>
              </w:rPr>
            </w:pPr>
            <w:r w:rsidRPr="00B7760C">
              <w:rPr>
                <w:sz w:val="20"/>
              </w:rPr>
              <w:t>EU-27 skupaj</w:t>
            </w:r>
          </w:p>
        </w:tc>
        <w:tc>
          <w:tcPr>
            <w:tcW w:w="1608" w:type="dxa"/>
            <w:tcBorders>
              <w:top w:val="single" w:sz="4" w:space="0" w:color="auto"/>
              <w:left w:val="single" w:sz="4" w:space="0" w:color="auto"/>
              <w:bottom w:val="single" w:sz="4" w:space="0" w:color="auto"/>
              <w:right w:val="single" w:sz="4" w:space="0" w:color="auto"/>
            </w:tcBorders>
            <w:hideMark/>
          </w:tcPr>
          <w:p w14:paraId="4E9E09C5" w14:textId="77777777" w:rsidR="003663AF" w:rsidRPr="00B7760C" w:rsidRDefault="003663AF" w:rsidP="00E804B7">
            <w:pPr>
              <w:pStyle w:val="Normal6"/>
              <w:jc w:val="right"/>
              <w:rPr>
                <w:b/>
                <w:bCs/>
                <w:i/>
                <w:iCs/>
                <w:sz w:val="20"/>
              </w:rPr>
            </w:pPr>
            <w:r w:rsidRPr="00B7760C">
              <w:rPr>
                <w:b/>
                <w:bCs/>
                <w:i/>
                <w:iCs/>
                <w:sz w:val="20"/>
              </w:rPr>
              <w:t>10 582 808 505</w:t>
            </w:r>
          </w:p>
        </w:tc>
        <w:tc>
          <w:tcPr>
            <w:tcW w:w="1608" w:type="dxa"/>
            <w:tcBorders>
              <w:top w:val="single" w:sz="4" w:space="0" w:color="auto"/>
              <w:left w:val="single" w:sz="4" w:space="0" w:color="auto"/>
              <w:bottom w:val="single" w:sz="4" w:space="0" w:color="auto"/>
              <w:right w:val="single" w:sz="4" w:space="0" w:color="auto"/>
            </w:tcBorders>
            <w:hideMark/>
          </w:tcPr>
          <w:p w14:paraId="1FE99F50" w14:textId="77777777" w:rsidR="003663AF" w:rsidRPr="00B7760C" w:rsidRDefault="003663AF" w:rsidP="00E804B7">
            <w:pPr>
              <w:pStyle w:val="Normal6"/>
              <w:jc w:val="right"/>
              <w:rPr>
                <w:b/>
                <w:bCs/>
                <w:i/>
                <w:iCs/>
                <w:sz w:val="20"/>
              </w:rPr>
            </w:pPr>
            <w:r w:rsidRPr="00B7760C">
              <w:rPr>
                <w:b/>
                <w:bCs/>
                <w:i/>
                <w:iCs/>
                <w:sz w:val="20"/>
              </w:rPr>
              <w:t>10 375 302 457</w:t>
            </w:r>
          </w:p>
        </w:tc>
        <w:tc>
          <w:tcPr>
            <w:tcW w:w="1608" w:type="dxa"/>
            <w:tcBorders>
              <w:top w:val="single" w:sz="4" w:space="0" w:color="auto"/>
              <w:left w:val="single" w:sz="4" w:space="0" w:color="auto"/>
              <w:bottom w:val="single" w:sz="4" w:space="0" w:color="auto"/>
              <w:right w:val="single" w:sz="4" w:space="0" w:color="auto"/>
            </w:tcBorders>
            <w:hideMark/>
          </w:tcPr>
          <w:p w14:paraId="6091843F" w14:textId="77777777" w:rsidR="003663AF" w:rsidRPr="00B7760C" w:rsidRDefault="003663AF" w:rsidP="00E804B7">
            <w:pPr>
              <w:pStyle w:val="Normal6"/>
              <w:jc w:val="right"/>
              <w:rPr>
                <w:b/>
                <w:bCs/>
                <w:i/>
                <w:iCs/>
                <w:sz w:val="20"/>
              </w:rPr>
            </w:pPr>
            <w:r w:rsidRPr="00B7760C">
              <w:rPr>
                <w:b/>
                <w:bCs/>
                <w:i/>
                <w:iCs/>
                <w:sz w:val="20"/>
              </w:rPr>
              <w:t>10 171 865 154</w:t>
            </w:r>
          </w:p>
        </w:tc>
        <w:tc>
          <w:tcPr>
            <w:tcW w:w="1608" w:type="dxa"/>
            <w:tcBorders>
              <w:top w:val="single" w:sz="4" w:space="0" w:color="auto"/>
              <w:left w:val="single" w:sz="4" w:space="0" w:color="auto"/>
              <w:bottom w:val="single" w:sz="4" w:space="0" w:color="auto"/>
              <w:right w:val="single" w:sz="4" w:space="0" w:color="auto"/>
            </w:tcBorders>
            <w:hideMark/>
          </w:tcPr>
          <w:p w14:paraId="498B49F7" w14:textId="77777777" w:rsidR="003663AF" w:rsidRPr="00B7760C" w:rsidRDefault="003663AF" w:rsidP="00E804B7">
            <w:pPr>
              <w:pStyle w:val="Normal6"/>
              <w:jc w:val="right"/>
              <w:rPr>
                <w:b/>
                <w:bCs/>
                <w:i/>
                <w:iCs/>
                <w:sz w:val="20"/>
              </w:rPr>
            </w:pPr>
            <w:r w:rsidRPr="00B7760C">
              <w:rPr>
                <w:b/>
                <w:bCs/>
                <w:i/>
                <w:iCs/>
                <w:sz w:val="20"/>
              </w:rPr>
              <w:t>9 972 416 815</w:t>
            </w:r>
          </w:p>
        </w:tc>
        <w:tc>
          <w:tcPr>
            <w:tcW w:w="1608" w:type="dxa"/>
            <w:tcBorders>
              <w:top w:val="single" w:sz="4" w:space="0" w:color="auto"/>
              <w:left w:val="single" w:sz="4" w:space="0" w:color="auto"/>
              <w:bottom w:val="single" w:sz="4" w:space="0" w:color="auto"/>
              <w:right w:val="single" w:sz="4" w:space="0" w:color="auto"/>
            </w:tcBorders>
            <w:hideMark/>
          </w:tcPr>
          <w:p w14:paraId="7FA163D7" w14:textId="77777777" w:rsidR="003663AF" w:rsidRPr="00B7760C" w:rsidRDefault="003663AF" w:rsidP="00E804B7">
            <w:pPr>
              <w:pStyle w:val="Normal6"/>
              <w:jc w:val="right"/>
              <w:rPr>
                <w:b/>
                <w:bCs/>
                <w:i/>
                <w:iCs/>
                <w:sz w:val="20"/>
              </w:rPr>
            </w:pPr>
            <w:r w:rsidRPr="00B7760C">
              <w:rPr>
                <w:b/>
                <w:bCs/>
                <w:i/>
                <w:iCs/>
                <w:sz w:val="20"/>
              </w:rPr>
              <w:t>9 776 879 229</w:t>
            </w:r>
          </w:p>
        </w:tc>
        <w:tc>
          <w:tcPr>
            <w:tcW w:w="1608" w:type="dxa"/>
            <w:tcBorders>
              <w:top w:val="single" w:sz="4" w:space="0" w:color="auto"/>
              <w:left w:val="single" w:sz="4" w:space="0" w:color="auto"/>
              <w:bottom w:val="single" w:sz="4" w:space="0" w:color="auto"/>
              <w:right w:val="single" w:sz="4" w:space="0" w:color="auto"/>
            </w:tcBorders>
            <w:hideMark/>
          </w:tcPr>
          <w:p w14:paraId="6D802A83" w14:textId="77777777" w:rsidR="003663AF" w:rsidRPr="00B7760C" w:rsidRDefault="003663AF" w:rsidP="00E804B7">
            <w:pPr>
              <w:pStyle w:val="Normal6"/>
              <w:jc w:val="right"/>
              <w:rPr>
                <w:b/>
                <w:bCs/>
                <w:i/>
                <w:iCs/>
                <w:sz w:val="20"/>
              </w:rPr>
            </w:pPr>
            <w:r w:rsidRPr="00B7760C">
              <w:rPr>
                <w:b/>
                <w:bCs/>
                <w:i/>
                <w:iCs/>
                <w:sz w:val="20"/>
              </w:rPr>
              <w:t>9 585 175 716</w:t>
            </w:r>
          </w:p>
        </w:tc>
        <w:tc>
          <w:tcPr>
            <w:tcW w:w="1608" w:type="dxa"/>
            <w:tcBorders>
              <w:top w:val="single" w:sz="4" w:space="0" w:color="auto"/>
              <w:left w:val="single" w:sz="4" w:space="0" w:color="auto"/>
              <w:bottom w:val="single" w:sz="4" w:space="0" w:color="auto"/>
              <w:right w:val="single" w:sz="4" w:space="0" w:color="auto"/>
            </w:tcBorders>
            <w:hideMark/>
          </w:tcPr>
          <w:p w14:paraId="68EBC3B8" w14:textId="77777777" w:rsidR="003663AF" w:rsidRPr="00B7760C" w:rsidRDefault="003663AF" w:rsidP="00E804B7">
            <w:pPr>
              <w:pStyle w:val="Normal6"/>
              <w:jc w:val="right"/>
              <w:rPr>
                <w:b/>
                <w:bCs/>
                <w:i/>
                <w:iCs/>
                <w:sz w:val="20"/>
              </w:rPr>
            </w:pPr>
            <w:r w:rsidRPr="00B7760C">
              <w:rPr>
                <w:b/>
                <w:bCs/>
                <w:i/>
                <w:iCs/>
                <w:sz w:val="20"/>
              </w:rPr>
              <w:t>9 397 231 093</w:t>
            </w:r>
          </w:p>
        </w:tc>
        <w:tc>
          <w:tcPr>
            <w:tcW w:w="1616" w:type="dxa"/>
            <w:tcBorders>
              <w:top w:val="single" w:sz="4" w:space="0" w:color="auto"/>
              <w:left w:val="single" w:sz="4" w:space="0" w:color="auto"/>
              <w:bottom w:val="single" w:sz="4" w:space="0" w:color="auto"/>
              <w:right w:val="single" w:sz="4" w:space="0" w:color="auto"/>
            </w:tcBorders>
            <w:hideMark/>
          </w:tcPr>
          <w:p w14:paraId="37C06BD8" w14:textId="77777777" w:rsidR="003663AF" w:rsidRPr="00B7760C" w:rsidRDefault="003663AF" w:rsidP="00E804B7">
            <w:pPr>
              <w:pStyle w:val="Normal6"/>
              <w:jc w:val="right"/>
              <w:rPr>
                <w:b/>
                <w:bCs/>
                <w:i/>
                <w:iCs/>
                <w:sz w:val="20"/>
              </w:rPr>
            </w:pPr>
            <w:r w:rsidRPr="00B7760C">
              <w:rPr>
                <w:b/>
                <w:bCs/>
                <w:i/>
                <w:iCs/>
                <w:sz w:val="20"/>
              </w:rPr>
              <w:t>69 861 678 969</w:t>
            </w:r>
          </w:p>
        </w:tc>
      </w:tr>
      <w:tr w:rsidR="003663AF" w:rsidRPr="00B7760C" w14:paraId="2102D080" w14:textId="77777777" w:rsidTr="00E804B7">
        <w:trPr>
          <w:cantSplit/>
          <w:trHeight w:val="255"/>
          <w:jc w:val="center"/>
        </w:trPr>
        <w:tc>
          <w:tcPr>
            <w:tcW w:w="1630" w:type="dxa"/>
            <w:tcBorders>
              <w:top w:val="single" w:sz="4" w:space="0" w:color="auto"/>
              <w:left w:val="nil"/>
              <w:bottom w:val="single" w:sz="4" w:space="0" w:color="auto"/>
              <w:right w:val="nil"/>
            </w:tcBorders>
            <w:vAlign w:val="center"/>
          </w:tcPr>
          <w:p w14:paraId="5BC099AC" w14:textId="77777777" w:rsidR="003663AF" w:rsidRPr="00B7760C" w:rsidRDefault="003663AF" w:rsidP="00E804B7">
            <w:pPr>
              <w:pStyle w:val="Normal6"/>
              <w:rPr>
                <w:sz w:val="20"/>
              </w:rPr>
            </w:pPr>
          </w:p>
        </w:tc>
        <w:tc>
          <w:tcPr>
            <w:tcW w:w="1608" w:type="dxa"/>
            <w:tcBorders>
              <w:top w:val="single" w:sz="4" w:space="0" w:color="auto"/>
              <w:left w:val="nil"/>
              <w:bottom w:val="single" w:sz="4" w:space="0" w:color="auto"/>
              <w:right w:val="nil"/>
            </w:tcBorders>
          </w:tcPr>
          <w:p w14:paraId="06D432C8" w14:textId="77777777" w:rsidR="003663AF" w:rsidRPr="00B7760C" w:rsidRDefault="003663AF" w:rsidP="00E804B7">
            <w:pPr>
              <w:pStyle w:val="Normal6"/>
              <w:jc w:val="right"/>
              <w:rPr>
                <w:b/>
                <w:bCs/>
                <w:i/>
                <w:iCs/>
                <w:sz w:val="20"/>
              </w:rPr>
            </w:pPr>
          </w:p>
        </w:tc>
        <w:tc>
          <w:tcPr>
            <w:tcW w:w="1608" w:type="dxa"/>
            <w:tcBorders>
              <w:top w:val="single" w:sz="4" w:space="0" w:color="auto"/>
              <w:left w:val="nil"/>
              <w:bottom w:val="single" w:sz="4" w:space="0" w:color="auto"/>
              <w:right w:val="nil"/>
            </w:tcBorders>
          </w:tcPr>
          <w:p w14:paraId="15ACC739" w14:textId="77777777" w:rsidR="003663AF" w:rsidRPr="00B7760C" w:rsidRDefault="003663AF" w:rsidP="00E804B7">
            <w:pPr>
              <w:pStyle w:val="Normal6"/>
              <w:jc w:val="right"/>
              <w:rPr>
                <w:b/>
                <w:bCs/>
                <w:i/>
                <w:iCs/>
                <w:sz w:val="20"/>
              </w:rPr>
            </w:pPr>
          </w:p>
        </w:tc>
        <w:tc>
          <w:tcPr>
            <w:tcW w:w="1608" w:type="dxa"/>
            <w:tcBorders>
              <w:top w:val="single" w:sz="4" w:space="0" w:color="auto"/>
              <w:left w:val="nil"/>
              <w:bottom w:val="single" w:sz="4" w:space="0" w:color="auto"/>
              <w:right w:val="nil"/>
            </w:tcBorders>
          </w:tcPr>
          <w:p w14:paraId="2063A1C3" w14:textId="77777777" w:rsidR="003663AF" w:rsidRPr="00B7760C" w:rsidRDefault="003663AF" w:rsidP="00E804B7">
            <w:pPr>
              <w:pStyle w:val="Normal6"/>
              <w:jc w:val="right"/>
              <w:rPr>
                <w:b/>
                <w:bCs/>
                <w:i/>
                <w:iCs/>
                <w:sz w:val="20"/>
              </w:rPr>
            </w:pPr>
          </w:p>
        </w:tc>
        <w:tc>
          <w:tcPr>
            <w:tcW w:w="1608" w:type="dxa"/>
            <w:tcBorders>
              <w:top w:val="single" w:sz="4" w:space="0" w:color="auto"/>
              <w:left w:val="nil"/>
              <w:bottom w:val="single" w:sz="4" w:space="0" w:color="auto"/>
              <w:right w:val="nil"/>
            </w:tcBorders>
          </w:tcPr>
          <w:p w14:paraId="29417754" w14:textId="77777777" w:rsidR="003663AF" w:rsidRPr="00B7760C" w:rsidRDefault="003663AF" w:rsidP="00E804B7">
            <w:pPr>
              <w:pStyle w:val="Normal6"/>
              <w:jc w:val="right"/>
              <w:rPr>
                <w:b/>
                <w:bCs/>
                <w:i/>
                <w:iCs/>
                <w:sz w:val="20"/>
              </w:rPr>
            </w:pPr>
          </w:p>
        </w:tc>
        <w:tc>
          <w:tcPr>
            <w:tcW w:w="1608" w:type="dxa"/>
            <w:tcBorders>
              <w:top w:val="single" w:sz="4" w:space="0" w:color="auto"/>
              <w:left w:val="nil"/>
              <w:bottom w:val="single" w:sz="4" w:space="0" w:color="auto"/>
              <w:right w:val="nil"/>
            </w:tcBorders>
          </w:tcPr>
          <w:p w14:paraId="4F8BA1EA" w14:textId="77777777" w:rsidR="003663AF" w:rsidRPr="00B7760C" w:rsidRDefault="003663AF" w:rsidP="00E804B7">
            <w:pPr>
              <w:pStyle w:val="Normal6"/>
              <w:jc w:val="right"/>
              <w:rPr>
                <w:b/>
                <w:bCs/>
                <w:i/>
                <w:iCs/>
                <w:sz w:val="20"/>
              </w:rPr>
            </w:pPr>
          </w:p>
        </w:tc>
        <w:tc>
          <w:tcPr>
            <w:tcW w:w="1608" w:type="dxa"/>
            <w:tcBorders>
              <w:top w:val="single" w:sz="4" w:space="0" w:color="auto"/>
              <w:left w:val="nil"/>
              <w:bottom w:val="single" w:sz="4" w:space="0" w:color="auto"/>
              <w:right w:val="nil"/>
            </w:tcBorders>
          </w:tcPr>
          <w:p w14:paraId="3ACF6407" w14:textId="77777777" w:rsidR="003663AF" w:rsidRPr="00B7760C" w:rsidRDefault="003663AF" w:rsidP="00E804B7">
            <w:pPr>
              <w:pStyle w:val="Normal6"/>
              <w:jc w:val="right"/>
              <w:rPr>
                <w:b/>
                <w:bCs/>
                <w:i/>
                <w:iCs/>
                <w:sz w:val="20"/>
              </w:rPr>
            </w:pPr>
          </w:p>
        </w:tc>
        <w:tc>
          <w:tcPr>
            <w:tcW w:w="1608" w:type="dxa"/>
            <w:tcBorders>
              <w:top w:val="single" w:sz="4" w:space="0" w:color="auto"/>
              <w:left w:val="nil"/>
              <w:bottom w:val="single" w:sz="4" w:space="0" w:color="auto"/>
              <w:right w:val="nil"/>
            </w:tcBorders>
          </w:tcPr>
          <w:p w14:paraId="413D281A" w14:textId="77777777" w:rsidR="003663AF" w:rsidRPr="00B7760C" w:rsidRDefault="003663AF" w:rsidP="00E804B7">
            <w:pPr>
              <w:pStyle w:val="Normal6"/>
              <w:jc w:val="right"/>
              <w:rPr>
                <w:b/>
                <w:bCs/>
                <w:i/>
                <w:iCs/>
                <w:sz w:val="20"/>
              </w:rPr>
            </w:pPr>
          </w:p>
        </w:tc>
        <w:tc>
          <w:tcPr>
            <w:tcW w:w="1616" w:type="dxa"/>
            <w:tcBorders>
              <w:top w:val="single" w:sz="4" w:space="0" w:color="auto"/>
              <w:left w:val="nil"/>
              <w:bottom w:val="single" w:sz="4" w:space="0" w:color="auto"/>
              <w:right w:val="nil"/>
            </w:tcBorders>
          </w:tcPr>
          <w:p w14:paraId="623832D4" w14:textId="77777777" w:rsidR="003663AF" w:rsidRPr="00B7760C" w:rsidRDefault="003663AF" w:rsidP="00E804B7">
            <w:pPr>
              <w:pStyle w:val="Normal6"/>
              <w:jc w:val="right"/>
              <w:rPr>
                <w:b/>
                <w:bCs/>
                <w:i/>
                <w:iCs/>
                <w:sz w:val="20"/>
              </w:rPr>
            </w:pPr>
          </w:p>
        </w:tc>
      </w:tr>
      <w:tr w:rsidR="003663AF" w:rsidRPr="00B7760C" w14:paraId="7C39547D" w14:textId="77777777" w:rsidTr="00E804B7">
        <w:trPr>
          <w:cantSplit/>
          <w:trHeight w:val="255"/>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14:paraId="04057E0B" w14:textId="77777777" w:rsidR="003663AF" w:rsidRPr="00B7760C" w:rsidRDefault="003663AF" w:rsidP="00E804B7">
            <w:pPr>
              <w:pStyle w:val="Normal6"/>
              <w:rPr>
                <w:sz w:val="20"/>
              </w:rPr>
            </w:pPr>
            <w:r w:rsidRPr="00B7760C">
              <w:rPr>
                <w:sz w:val="20"/>
              </w:rPr>
              <w:t>Tehnična pomoč (0,25 %)</w:t>
            </w:r>
          </w:p>
        </w:tc>
        <w:tc>
          <w:tcPr>
            <w:tcW w:w="1608" w:type="dxa"/>
            <w:tcBorders>
              <w:top w:val="single" w:sz="4" w:space="0" w:color="auto"/>
              <w:left w:val="single" w:sz="4" w:space="0" w:color="auto"/>
              <w:bottom w:val="single" w:sz="4" w:space="0" w:color="auto"/>
              <w:right w:val="single" w:sz="4" w:space="0" w:color="auto"/>
            </w:tcBorders>
            <w:hideMark/>
          </w:tcPr>
          <w:p w14:paraId="61C120AB" w14:textId="77777777" w:rsidR="003663AF" w:rsidRPr="00B7760C" w:rsidRDefault="003663AF" w:rsidP="00E804B7">
            <w:pPr>
              <w:pStyle w:val="Normal6"/>
              <w:jc w:val="right"/>
              <w:rPr>
                <w:b/>
                <w:bCs/>
                <w:i/>
                <w:iCs/>
                <w:sz w:val="20"/>
              </w:rPr>
            </w:pPr>
            <w:r w:rsidRPr="00B7760C">
              <w:rPr>
                <w:b/>
                <w:bCs/>
                <w:i/>
                <w:iCs/>
                <w:sz w:val="20"/>
              </w:rPr>
              <w:t>26 523 330</w:t>
            </w:r>
          </w:p>
        </w:tc>
        <w:tc>
          <w:tcPr>
            <w:tcW w:w="1608" w:type="dxa"/>
            <w:tcBorders>
              <w:top w:val="single" w:sz="4" w:space="0" w:color="auto"/>
              <w:left w:val="single" w:sz="4" w:space="0" w:color="auto"/>
              <w:bottom w:val="single" w:sz="4" w:space="0" w:color="auto"/>
              <w:right w:val="single" w:sz="4" w:space="0" w:color="auto"/>
            </w:tcBorders>
            <w:hideMark/>
          </w:tcPr>
          <w:p w14:paraId="490F348F" w14:textId="77777777" w:rsidR="003663AF" w:rsidRPr="00B7760C" w:rsidRDefault="003663AF" w:rsidP="00E804B7">
            <w:pPr>
              <w:pStyle w:val="Normal6"/>
              <w:jc w:val="right"/>
              <w:rPr>
                <w:b/>
                <w:bCs/>
                <w:i/>
                <w:iCs/>
                <w:sz w:val="20"/>
              </w:rPr>
            </w:pPr>
            <w:r w:rsidRPr="00B7760C">
              <w:rPr>
                <w:b/>
                <w:bCs/>
                <w:i/>
                <w:iCs/>
                <w:sz w:val="20"/>
              </w:rPr>
              <w:t>26 003 264</w:t>
            </w:r>
          </w:p>
        </w:tc>
        <w:tc>
          <w:tcPr>
            <w:tcW w:w="1608" w:type="dxa"/>
            <w:tcBorders>
              <w:top w:val="single" w:sz="4" w:space="0" w:color="auto"/>
              <w:left w:val="single" w:sz="4" w:space="0" w:color="auto"/>
              <w:bottom w:val="single" w:sz="4" w:space="0" w:color="auto"/>
              <w:right w:val="single" w:sz="4" w:space="0" w:color="auto"/>
            </w:tcBorders>
            <w:hideMark/>
          </w:tcPr>
          <w:p w14:paraId="67603620" w14:textId="77777777" w:rsidR="003663AF" w:rsidRPr="00B7760C" w:rsidRDefault="003663AF" w:rsidP="00E804B7">
            <w:pPr>
              <w:pStyle w:val="Normal6"/>
              <w:jc w:val="right"/>
              <w:rPr>
                <w:b/>
                <w:bCs/>
                <w:i/>
                <w:iCs/>
                <w:sz w:val="20"/>
              </w:rPr>
            </w:pPr>
            <w:r w:rsidRPr="00B7760C">
              <w:rPr>
                <w:b/>
                <w:bCs/>
                <w:i/>
                <w:iCs/>
                <w:sz w:val="20"/>
              </w:rPr>
              <w:t>25 493 396</w:t>
            </w:r>
          </w:p>
        </w:tc>
        <w:tc>
          <w:tcPr>
            <w:tcW w:w="1608" w:type="dxa"/>
            <w:tcBorders>
              <w:top w:val="single" w:sz="4" w:space="0" w:color="auto"/>
              <w:left w:val="single" w:sz="4" w:space="0" w:color="auto"/>
              <w:bottom w:val="single" w:sz="4" w:space="0" w:color="auto"/>
              <w:right w:val="single" w:sz="4" w:space="0" w:color="auto"/>
            </w:tcBorders>
            <w:hideMark/>
          </w:tcPr>
          <w:p w14:paraId="71096434" w14:textId="77777777" w:rsidR="003663AF" w:rsidRPr="00B7760C" w:rsidRDefault="003663AF" w:rsidP="00E804B7">
            <w:pPr>
              <w:pStyle w:val="Normal6"/>
              <w:jc w:val="right"/>
              <w:rPr>
                <w:b/>
                <w:bCs/>
                <w:i/>
                <w:iCs/>
                <w:sz w:val="20"/>
              </w:rPr>
            </w:pPr>
            <w:r w:rsidRPr="00B7760C">
              <w:rPr>
                <w:b/>
                <w:bCs/>
                <w:i/>
                <w:iCs/>
                <w:sz w:val="20"/>
              </w:rPr>
              <w:t>24 993 526</w:t>
            </w:r>
          </w:p>
        </w:tc>
        <w:tc>
          <w:tcPr>
            <w:tcW w:w="1608" w:type="dxa"/>
            <w:tcBorders>
              <w:top w:val="single" w:sz="4" w:space="0" w:color="auto"/>
              <w:left w:val="single" w:sz="4" w:space="0" w:color="auto"/>
              <w:bottom w:val="single" w:sz="4" w:space="0" w:color="auto"/>
              <w:right w:val="single" w:sz="4" w:space="0" w:color="auto"/>
            </w:tcBorders>
            <w:hideMark/>
          </w:tcPr>
          <w:p w14:paraId="10562564" w14:textId="77777777" w:rsidR="003663AF" w:rsidRPr="00B7760C" w:rsidRDefault="003663AF" w:rsidP="00E804B7">
            <w:pPr>
              <w:pStyle w:val="Normal6"/>
              <w:jc w:val="right"/>
              <w:rPr>
                <w:b/>
                <w:bCs/>
                <w:i/>
                <w:iCs/>
                <w:sz w:val="20"/>
              </w:rPr>
            </w:pPr>
            <w:r w:rsidRPr="00B7760C">
              <w:rPr>
                <w:b/>
                <w:bCs/>
                <w:i/>
                <w:iCs/>
                <w:sz w:val="20"/>
              </w:rPr>
              <w:t>24 503 457</w:t>
            </w:r>
          </w:p>
        </w:tc>
        <w:tc>
          <w:tcPr>
            <w:tcW w:w="1608" w:type="dxa"/>
            <w:tcBorders>
              <w:top w:val="single" w:sz="4" w:space="0" w:color="auto"/>
              <w:left w:val="single" w:sz="4" w:space="0" w:color="auto"/>
              <w:bottom w:val="single" w:sz="4" w:space="0" w:color="auto"/>
              <w:right w:val="single" w:sz="4" w:space="0" w:color="auto"/>
            </w:tcBorders>
            <w:hideMark/>
          </w:tcPr>
          <w:p w14:paraId="53E5229A" w14:textId="77777777" w:rsidR="003663AF" w:rsidRPr="00B7760C" w:rsidRDefault="003663AF" w:rsidP="00E804B7">
            <w:pPr>
              <w:pStyle w:val="Normal6"/>
              <w:jc w:val="right"/>
              <w:rPr>
                <w:b/>
                <w:bCs/>
                <w:i/>
                <w:iCs/>
                <w:sz w:val="20"/>
              </w:rPr>
            </w:pPr>
            <w:r w:rsidRPr="00B7760C">
              <w:rPr>
                <w:b/>
                <w:bCs/>
                <w:i/>
                <w:iCs/>
                <w:sz w:val="20"/>
              </w:rPr>
              <w:t>24 022 997</w:t>
            </w:r>
          </w:p>
        </w:tc>
        <w:tc>
          <w:tcPr>
            <w:tcW w:w="1608" w:type="dxa"/>
            <w:tcBorders>
              <w:top w:val="single" w:sz="4" w:space="0" w:color="auto"/>
              <w:left w:val="single" w:sz="4" w:space="0" w:color="auto"/>
              <w:bottom w:val="single" w:sz="4" w:space="0" w:color="auto"/>
              <w:right w:val="single" w:sz="4" w:space="0" w:color="auto"/>
            </w:tcBorders>
            <w:hideMark/>
          </w:tcPr>
          <w:p w14:paraId="186D4D68" w14:textId="77777777" w:rsidR="003663AF" w:rsidRPr="00B7760C" w:rsidRDefault="003663AF" w:rsidP="00E804B7">
            <w:pPr>
              <w:pStyle w:val="Normal6"/>
              <w:jc w:val="right"/>
              <w:rPr>
                <w:b/>
                <w:bCs/>
                <w:i/>
                <w:iCs/>
                <w:sz w:val="20"/>
              </w:rPr>
            </w:pPr>
            <w:r w:rsidRPr="00B7760C">
              <w:rPr>
                <w:b/>
                <w:bCs/>
                <w:i/>
                <w:iCs/>
                <w:sz w:val="20"/>
              </w:rPr>
              <w:t>23 551 958</w:t>
            </w:r>
          </w:p>
        </w:tc>
        <w:tc>
          <w:tcPr>
            <w:tcW w:w="1616" w:type="dxa"/>
            <w:tcBorders>
              <w:top w:val="single" w:sz="4" w:space="0" w:color="auto"/>
              <w:left w:val="single" w:sz="4" w:space="0" w:color="auto"/>
              <w:bottom w:val="single" w:sz="4" w:space="0" w:color="auto"/>
              <w:right w:val="single" w:sz="4" w:space="0" w:color="auto"/>
            </w:tcBorders>
            <w:hideMark/>
          </w:tcPr>
          <w:p w14:paraId="343F51FE" w14:textId="77777777" w:rsidR="003663AF" w:rsidRPr="00B7760C" w:rsidRDefault="003663AF" w:rsidP="00E804B7">
            <w:pPr>
              <w:pStyle w:val="Normal6"/>
              <w:jc w:val="right"/>
              <w:rPr>
                <w:b/>
                <w:bCs/>
                <w:i/>
                <w:iCs/>
                <w:sz w:val="20"/>
              </w:rPr>
            </w:pPr>
            <w:r w:rsidRPr="00B7760C">
              <w:rPr>
                <w:b/>
                <w:bCs/>
                <w:i/>
                <w:iCs/>
                <w:sz w:val="20"/>
              </w:rPr>
              <w:t>175 091 928</w:t>
            </w:r>
          </w:p>
        </w:tc>
      </w:tr>
      <w:tr w:rsidR="003663AF" w:rsidRPr="00B7760C" w14:paraId="4AF7FAF7" w14:textId="77777777" w:rsidTr="00E804B7">
        <w:trPr>
          <w:cantSplit/>
          <w:trHeight w:val="255"/>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14:paraId="3E6B29BC" w14:textId="77777777" w:rsidR="003663AF" w:rsidRPr="00B7760C" w:rsidRDefault="003663AF" w:rsidP="00E804B7">
            <w:pPr>
              <w:pStyle w:val="Normal6"/>
              <w:rPr>
                <w:sz w:val="20"/>
              </w:rPr>
            </w:pPr>
            <w:r w:rsidRPr="00B7760C">
              <w:rPr>
                <w:sz w:val="20"/>
              </w:rPr>
              <w:t>Skupaj</w:t>
            </w:r>
          </w:p>
        </w:tc>
        <w:tc>
          <w:tcPr>
            <w:tcW w:w="1608" w:type="dxa"/>
            <w:tcBorders>
              <w:top w:val="single" w:sz="4" w:space="0" w:color="auto"/>
              <w:left w:val="single" w:sz="4" w:space="0" w:color="auto"/>
              <w:bottom w:val="single" w:sz="4" w:space="0" w:color="auto"/>
              <w:right w:val="single" w:sz="4" w:space="0" w:color="auto"/>
            </w:tcBorders>
            <w:hideMark/>
          </w:tcPr>
          <w:p w14:paraId="302CE18C" w14:textId="77777777" w:rsidR="003663AF" w:rsidRPr="00B7760C" w:rsidRDefault="003663AF" w:rsidP="00E804B7">
            <w:pPr>
              <w:pStyle w:val="Normal6"/>
              <w:jc w:val="right"/>
              <w:rPr>
                <w:b/>
                <w:bCs/>
                <w:i/>
                <w:iCs/>
                <w:sz w:val="20"/>
              </w:rPr>
            </w:pPr>
            <w:r w:rsidRPr="00B7760C">
              <w:rPr>
                <w:b/>
                <w:bCs/>
                <w:i/>
                <w:iCs/>
                <w:sz w:val="20"/>
              </w:rPr>
              <w:t>10 609 331 835</w:t>
            </w:r>
          </w:p>
        </w:tc>
        <w:tc>
          <w:tcPr>
            <w:tcW w:w="1608" w:type="dxa"/>
            <w:tcBorders>
              <w:top w:val="single" w:sz="4" w:space="0" w:color="auto"/>
              <w:left w:val="single" w:sz="4" w:space="0" w:color="auto"/>
              <w:bottom w:val="single" w:sz="4" w:space="0" w:color="auto"/>
              <w:right w:val="single" w:sz="4" w:space="0" w:color="auto"/>
            </w:tcBorders>
            <w:hideMark/>
          </w:tcPr>
          <w:p w14:paraId="44D57FF1" w14:textId="77777777" w:rsidR="003663AF" w:rsidRPr="00B7760C" w:rsidRDefault="003663AF" w:rsidP="00E804B7">
            <w:pPr>
              <w:pStyle w:val="Normal6"/>
              <w:jc w:val="right"/>
              <w:rPr>
                <w:b/>
                <w:bCs/>
                <w:i/>
                <w:iCs/>
                <w:sz w:val="20"/>
              </w:rPr>
            </w:pPr>
            <w:r w:rsidRPr="00B7760C">
              <w:rPr>
                <w:b/>
                <w:bCs/>
                <w:i/>
                <w:iCs/>
                <w:sz w:val="20"/>
              </w:rPr>
              <w:t>10 401 305 721</w:t>
            </w:r>
          </w:p>
        </w:tc>
        <w:tc>
          <w:tcPr>
            <w:tcW w:w="1608" w:type="dxa"/>
            <w:tcBorders>
              <w:top w:val="single" w:sz="4" w:space="0" w:color="auto"/>
              <w:left w:val="single" w:sz="4" w:space="0" w:color="auto"/>
              <w:bottom w:val="single" w:sz="4" w:space="0" w:color="auto"/>
              <w:right w:val="single" w:sz="4" w:space="0" w:color="auto"/>
            </w:tcBorders>
            <w:hideMark/>
          </w:tcPr>
          <w:p w14:paraId="4D9A1059" w14:textId="77777777" w:rsidR="003663AF" w:rsidRPr="00B7760C" w:rsidRDefault="003663AF" w:rsidP="00E804B7">
            <w:pPr>
              <w:pStyle w:val="Normal6"/>
              <w:jc w:val="right"/>
              <w:rPr>
                <w:b/>
                <w:bCs/>
                <w:i/>
                <w:iCs/>
                <w:sz w:val="20"/>
              </w:rPr>
            </w:pPr>
            <w:r w:rsidRPr="00B7760C">
              <w:rPr>
                <w:b/>
                <w:bCs/>
                <w:i/>
                <w:iCs/>
                <w:sz w:val="20"/>
              </w:rPr>
              <w:t>10 197 358 550</w:t>
            </w:r>
          </w:p>
        </w:tc>
        <w:tc>
          <w:tcPr>
            <w:tcW w:w="1608" w:type="dxa"/>
            <w:tcBorders>
              <w:top w:val="single" w:sz="4" w:space="0" w:color="auto"/>
              <w:left w:val="single" w:sz="4" w:space="0" w:color="auto"/>
              <w:bottom w:val="single" w:sz="4" w:space="0" w:color="auto"/>
              <w:right w:val="single" w:sz="4" w:space="0" w:color="auto"/>
            </w:tcBorders>
            <w:hideMark/>
          </w:tcPr>
          <w:p w14:paraId="2A721155" w14:textId="77777777" w:rsidR="003663AF" w:rsidRPr="00B7760C" w:rsidRDefault="003663AF" w:rsidP="00E804B7">
            <w:pPr>
              <w:pStyle w:val="Normal6"/>
              <w:jc w:val="right"/>
              <w:rPr>
                <w:b/>
                <w:bCs/>
                <w:i/>
                <w:iCs/>
                <w:sz w:val="20"/>
              </w:rPr>
            </w:pPr>
            <w:r w:rsidRPr="00B7760C">
              <w:rPr>
                <w:b/>
                <w:bCs/>
                <w:i/>
                <w:iCs/>
                <w:sz w:val="20"/>
              </w:rPr>
              <w:t>9 997 410 341</w:t>
            </w:r>
          </w:p>
        </w:tc>
        <w:tc>
          <w:tcPr>
            <w:tcW w:w="1608" w:type="dxa"/>
            <w:tcBorders>
              <w:top w:val="single" w:sz="4" w:space="0" w:color="auto"/>
              <w:left w:val="single" w:sz="4" w:space="0" w:color="auto"/>
              <w:bottom w:val="single" w:sz="4" w:space="0" w:color="auto"/>
              <w:right w:val="single" w:sz="4" w:space="0" w:color="auto"/>
            </w:tcBorders>
            <w:hideMark/>
          </w:tcPr>
          <w:p w14:paraId="750FAC0A" w14:textId="77777777" w:rsidR="003663AF" w:rsidRPr="00B7760C" w:rsidRDefault="003663AF" w:rsidP="00E804B7">
            <w:pPr>
              <w:pStyle w:val="Normal6"/>
              <w:jc w:val="right"/>
              <w:rPr>
                <w:b/>
                <w:bCs/>
                <w:i/>
                <w:iCs/>
                <w:sz w:val="20"/>
              </w:rPr>
            </w:pPr>
            <w:r w:rsidRPr="00B7760C">
              <w:rPr>
                <w:b/>
                <w:bCs/>
                <w:i/>
                <w:iCs/>
                <w:sz w:val="20"/>
              </w:rPr>
              <w:t>9 801 382 686</w:t>
            </w:r>
          </w:p>
        </w:tc>
        <w:tc>
          <w:tcPr>
            <w:tcW w:w="1608" w:type="dxa"/>
            <w:tcBorders>
              <w:top w:val="single" w:sz="4" w:space="0" w:color="auto"/>
              <w:left w:val="single" w:sz="4" w:space="0" w:color="auto"/>
              <w:bottom w:val="single" w:sz="4" w:space="0" w:color="auto"/>
              <w:right w:val="single" w:sz="4" w:space="0" w:color="auto"/>
            </w:tcBorders>
            <w:hideMark/>
          </w:tcPr>
          <w:p w14:paraId="7547E461" w14:textId="77777777" w:rsidR="003663AF" w:rsidRPr="00B7760C" w:rsidRDefault="003663AF" w:rsidP="00E804B7">
            <w:pPr>
              <w:pStyle w:val="Normal6"/>
              <w:jc w:val="right"/>
              <w:rPr>
                <w:b/>
                <w:bCs/>
                <w:i/>
                <w:iCs/>
                <w:sz w:val="20"/>
              </w:rPr>
            </w:pPr>
            <w:r w:rsidRPr="00B7760C">
              <w:rPr>
                <w:b/>
                <w:bCs/>
                <w:i/>
                <w:iCs/>
                <w:sz w:val="20"/>
              </w:rPr>
              <w:t>9 609 198 713</w:t>
            </w:r>
          </w:p>
        </w:tc>
        <w:tc>
          <w:tcPr>
            <w:tcW w:w="1608" w:type="dxa"/>
            <w:tcBorders>
              <w:top w:val="single" w:sz="4" w:space="0" w:color="auto"/>
              <w:left w:val="single" w:sz="4" w:space="0" w:color="auto"/>
              <w:bottom w:val="single" w:sz="4" w:space="0" w:color="auto"/>
              <w:right w:val="single" w:sz="4" w:space="0" w:color="auto"/>
            </w:tcBorders>
            <w:hideMark/>
          </w:tcPr>
          <w:p w14:paraId="62115B0B" w14:textId="77777777" w:rsidR="003663AF" w:rsidRPr="00B7760C" w:rsidRDefault="003663AF" w:rsidP="00E804B7">
            <w:pPr>
              <w:pStyle w:val="Normal6"/>
              <w:jc w:val="right"/>
              <w:rPr>
                <w:b/>
                <w:bCs/>
                <w:i/>
                <w:iCs/>
                <w:sz w:val="20"/>
              </w:rPr>
            </w:pPr>
            <w:r w:rsidRPr="00B7760C">
              <w:rPr>
                <w:b/>
                <w:bCs/>
                <w:i/>
                <w:iCs/>
                <w:sz w:val="20"/>
              </w:rPr>
              <w:t>9 420 783 051</w:t>
            </w:r>
          </w:p>
        </w:tc>
        <w:tc>
          <w:tcPr>
            <w:tcW w:w="1616" w:type="dxa"/>
            <w:tcBorders>
              <w:top w:val="single" w:sz="4" w:space="0" w:color="auto"/>
              <w:left w:val="single" w:sz="4" w:space="0" w:color="auto"/>
              <w:bottom w:val="single" w:sz="4" w:space="0" w:color="auto"/>
              <w:right w:val="single" w:sz="4" w:space="0" w:color="auto"/>
            </w:tcBorders>
            <w:hideMark/>
          </w:tcPr>
          <w:p w14:paraId="4EDE8DEF" w14:textId="77777777" w:rsidR="003663AF" w:rsidRPr="00B7760C" w:rsidRDefault="003663AF" w:rsidP="00E804B7">
            <w:pPr>
              <w:pStyle w:val="Normal6"/>
              <w:jc w:val="right"/>
              <w:rPr>
                <w:b/>
                <w:bCs/>
                <w:i/>
                <w:iCs/>
                <w:sz w:val="20"/>
              </w:rPr>
            </w:pPr>
            <w:r w:rsidRPr="00B7760C">
              <w:rPr>
                <w:b/>
                <w:bCs/>
                <w:i/>
                <w:iCs/>
                <w:sz w:val="20"/>
              </w:rPr>
              <w:t>70 036 770 897</w:t>
            </w:r>
          </w:p>
        </w:tc>
      </w:tr>
      <w:tr w:rsidR="003663AF" w:rsidRPr="00B7760C" w14:paraId="5AEB7358" w14:textId="77777777" w:rsidTr="00E804B7">
        <w:trPr>
          <w:cantSplit/>
          <w:trHeight w:val="255"/>
          <w:jc w:val="center"/>
        </w:trPr>
        <w:tc>
          <w:tcPr>
            <w:tcW w:w="14502" w:type="dxa"/>
            <w:gridSpan w:val="9"/>
            <w:tcBorders>
              <w:top w:val="single" w:sz="4" w:space="0" w:color="auto"/>
              <w:left w:val="single" w:sz="4" w:space="0" w:color="auto"/>
              <w:bottom w:val="single" w:sz="4" w:space="0" w:color="auto"/>
              <w:right w:val="single" w:sz="4" w:space="0" w:color="auto"/>
            </w:tcBorders>
            <w:vAlign w:val="center"/>
            <w:hideMark/>
          </w:tcPr>
          <w:p w14:paraId="2663BA36" w14:textId="77777777" w:rsidR="003663AF" w:rsidRPr="00B7760C" w:rsidRDefault="003663AF" w:rsidP="00E804B7">
            <w:pPr>
              <w:pStyle w:val="Normal6"/>
              <w:rPr>
                <w:sz w:val="20"/>
              </w:rPr>
            </w:pPr>
            <w:r w:rsidRPr="00B7760C">
              <w:rPr>
                <w:sz w:val="20"/>
              </w:rPr>
              <w:t>__________________</w:t>
            </w:r>
          </w:p>
        </w:tc>
      </w:tr>
      <w:tr w:rsidR="003663AF" w:rsidRPr="00B7760C" w14:paraId="58F4363E" w14:textId="77777777" w:rsidTr="00E804B7">
        <w:trPr>
          <w:cantSplit/>
          <w:trHeight w:val="255"/>
          <w:jc w:val="center"/>
        </w:trPr>
        <w:tc>
          <w:tcPr>
            <w:tcW w:w="14502" w:type="dxa"/>
            <w:gridSpan w:val="9"/>
            <w:tcBorders>
              <w:top w:val="single" w:sz="4" w:space="0" w:color="auto"/>
              <w:left w:val="single" w:sz="4" w:space="0" w:color="auto"/>
              <w:bottom w:val="single" w:sz="4" w:space="0" w:color="auto"/>
              <w:right w:val="single" w:sz="4" w:space="0" w:color="auto"/>
            </w:tcBorders>
            <w:vAlign w:val="center"/>
            <w:hideMark/>
          </w:tcPr>
          <w:p w14:paraId="15B4ECFC" w14:textId="77777777" w:rsidR="003663AF" w:rsidRPr="00B7760C" w:rsidRDefault="003663AF" w:rsidP="00E804B7">
            <w:pPr>
              <w:pStyle w:val="Normal6"/>
              <w:rPr>
                <w:sz w:val="20"/>
              </w:rPr>
            </w:pPr>
            <w:r w:rsidRPr="00B7760C">
              <w:rPr>
                <w:sz w:val="20"/>
                <w:vertAlign w:val="superscript"/>
              </w:rPr>
              <w:t>1</w:t>
            </w:r>
            <w:r w:rsidRPr="00B7760C">
              <w:rPr>
                <w:sz w:val="20"/>
              </w:rPr>
              <w:t xml:space="preserve"> Zneski pod „cene v letu 2018“ so vključeni informativno; gre za okvirne zneske, ki niso pravno zavezujoči.</w:t>
            </w:r>
          </w:p>
        </w:tc>
      </w:tr>
    </w:tbl>
    <w:p w14:paraId="2BD1D94B" w14:textId="77777777" w:rsidR="003663AF" w:rsidRPr="00B7760C" w:rsidRDefault="003663AF" w:rsidP="003663AF"/>
    <w:p w14:paraId="2C89D3E3" w14:textId="77777777" w:rsidR="003663AF" w:rsidRPr="00B7760C" w:rsidRDefault="003663AF" w:rsidP="003663AF">
      <w:pPr>
        <w:pStyle w:val="ColumnHeading"/>
        <w:jc w:val="left"/>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3663AF" w:rsidRPr="00B7760C" w14:paraId="10FD8D77" w14:textId="77777777" w:rsidTr="00E804B7">
        <w:tc>
          <w:tcPr>
            <w:tcW w:w="14502" w:type="dxa"/>
            <w:vAlign w:val="center"/>
            <w:hideMark/>
          </w:tcPr>
          <w:p w14:paraId="3E926370" w14:textId="017A1390" w:rsidR="003663AF" w:rsidRPr="00B7760C" w:rsidRDefault="00877691" w:rsidP="00E804B7">
            <w:pPr>
              <w:pStyle w:val="ColumnHeading"/>
            </w:pPr>
            <w:r w:rsidRPr="00B7760C">
              <w:t>Sprememba</w:t>
            </w:r>
          </w:p>
        </w:tc>
      </w:tr>
      <w:tr w:rsidR="003663AF" w:rsidRPr="00B7760C" w14:paraId="3BBB2A79" w14:textId="77777777" w:rsidTr="00E804B7">
        <w:tc>
          <w:tcPr>
            <w:tcW w:w="14502" w:type="dxa"/>
            <w:vAlign w:val="center"/>
            <w:hideMark/>
          </w:tcPr>
          <w:p w14:paraId="6A28D689" w14:textId="77777777" w:rsidR="003663AF" w:rsidRPr="00B7760C" w:rsidRDefault="003663AF" w:rsidP="00E804B7">
            <w:pPr>
              <w:pStyle w:val="Normal6"/>
            </w:pPr>
            <w:r w:rsidRPr="00B7760C">
              <w:rPr>
                <w:sz w:val="20"/>
              </w:rPr>
              <w:t>RAZČLENITEV PODPORE UNIJE ZA VRSTE INTERVENCIJ ZA RAZVOJ PODEŽELJA (od leta 2021 do leta 2027) IZ ČLENA 83(3)</w:t>
            </w:r>
          </w:p>
        </w:tc>
      </w:tr>
    </w:tbl>
    <w:p w14:paraId="16594298" w14:textId="77777777" w:rsidR="003663AF" w:rsidRPr="00B7760C" w:rsidRDefault="003663AF" w:rsidP="003663AF"/>
    <w:p w14:paraId="795C8480" w14:textId="77777777" w:rsidR="003663AF" w:rsidRPr="00B7760C" w:rsidRDefault="003663AF" w:rsidP="003663AF">
      <w:pPr>
        <w:jc w:val="right"/>
        <w:rPr>
          <w:sz w:val="20"/>
        </w:rPr>
      </w:pPr>
      <w:r w:rsidRPr="00B7760C">
        <w:rPr>
          <w:rStyle w:val="Normal6Char"/>
          <w:sz w:val="20"/>
        </w:rPr>
        <w:t>(cene v letu 2018</w:t>
      </w:r>
      <w:r w:rsidRPr="00B7760C">
        <w:rPr>
          <w:rStyle w:val="Normal6Char"/>
          <w:sz w:val="20"/>
          <w:vertAlign w:val="superscript"/>
        </w:rPr>
        <w:t>1</w:t>
      </w:r>
      <w:r w:rsidRPr="00B7760C">
        <w:rPr>
          <w:rStyle w:val="Normal6Char"/>
          <w:sz w:val="20"/>
        </w:rPr>
        <w:t xml:space="preserve"> v EUR)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935"/>
        <w:gridCol w:w="934"/>
        <w:gridCol w:w="934"/>
        <w:gridCol w:w="934"/>
        <w:gridCol w:w="934"/>
        <w:gridCol w:w="934"/>
        <w:gridCol w:w="934"/>
        <w:gridCol w:w="1164"/>
      </w:tblGrid>
      <w:tr w:rsidR="003663AF" w:rsidRPr="00B7760C" w14:paraId="2763E43B" w14:textId="77777777" w:rsidTr="00E804B7">
        <w:trPr>
          <w:cantSplit/>
          <w:trHeight w:val="255"/>
          <w:tblHeader/>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14:paraId="6D54270C" w14:textId="77777777" w:rsidR="003663AF" w:rsidRPr="00B7760C" w:rsidRDefault="003663AF" w:rsidP="00E804B7">
            <w:pPr>
              <w:pStyle w:val="Normal6"/>
              <w:rPr>
                <w:sz w:val="20"/>
              </w:rPr>
            </w:pPr>
            <w:r w:rsidRPr="00B7760C">
              <w:rPr>
                <w:sz w:val="20"/>
              </w:rPr>
              <w:t>Leto</w:t>
            </w:r>
          </w:p>
        </w:tc>
        <w:tc>
          <w:tcPr>
            <w:tcW w:w="1608" w:type="dxa"/>
            <w:tcBorders>
              <w:top w:val="single" w:sz="4" w:space="0" w:color="auto"/>
              <w:left w:val="single" w:sz="4" w:space="0" w:color="auto"/>
              <w:bottom w:val="single" w:sz="4" w:space="0" w:color="auto"/>
              <w:right w:val="single" w:sz="4" w:space="0" w:color="auto"/>
            </w:tcBorders>
            <w:vAlign w:val="center"/>
            <w:hideMark/>
          </w:tcPr>
          <w:p w14:paraId="506ADDA3" w14:textId="77777777" w:rsidR="003663AF" w:rsidRPr="00B7760C" w:rsidRDefault="003663AF" w:rsidP="00E804B7">
            <w:pPr>
              <w:pStyle w:val="Normal6"/>
              <w:rPr>
                <w:sz w:val="20"/>
              </w:rPr>
            </w:pPr>
            <w:r w:rsidRPr="00B7760C">
              <w:rPr>
                <w:sz w:val="20"/>
              </w:rPr>
              <w:t>2021</w:t>
            </w:r>
          </w:p>
        </w:tc>
        <w:tc>
          <w:tcPr>
            <w:tcW w:w="1608" w:type="dxa"/>
            <w:tcBorders>
              <w:top w:val="single" w:sz="4" w:space="0" w:color="auto"/>
              <w:left w:val="single" w:sz="4" w:space="0" w:color="auto"/>
              <w:bottom w:val="single" w:sz="4" w:space="0" w:color="auto"/>
              <w:right w:val="single" w:sz="4" w:space="0" w:color="auto"/>
            </w:tcBorders>
            <w:vAlign w:val="center"/>
            <w:hideMark/>
          </w:tcPr>
          <w:p w14:paraId="2EC58DCF" w14:textId="77777777" w:rsidR="003663AF" w:rsidRPr="00B7760C" w:rsidRDefault="003663AF" w:rsidP="00E804B7">
            <w:pPr>
              <w:pStyle w:val="Normal6"/>
              <w:rPr>
                <w:sz w:val="20"/>
              </w:rPr>
            </w:pPr>
            <w:r w:rsidRPr="00B7760C">
              <w:rPr>
                <w:sz w:val="20"/>
              </w:rPr>
              <w:t>2022</w:t>
            </w:r>
          </w:p>
        </w:tc>
        <w:tc>
          <w:tcPr>
            <w:tcW w:w="1608" w:type="dxa"/>
            <w:tcBorders>
              <w:top w:val="single" w:sz="4" w:space="0" w:color="auto"/>
              <w:left w:val="single" w:sz="4" w:space="0" w:color="auto"/>
              <w:bottom w:val="single" w:sz="4" w:space="0" w:color="auto"/>
              <w:right w:val="single" w:sz="4" w:space="0" w:color="auto"/>
            </w:tcBorders>
            <w:vAlign w:val="center"/>
            <w:hideMark/>
          </w:tcPr>
          <w:p w14:paraId="6BDDFEA3" w14:textId="77777777" w:rsidR="003663AF" w:rsidRPr="00B7760C" w:rsidRDefault="003663AF" w:rsidP="00E804B7">
            <w:pPr>
              <w:pStyle w:val="Normal6"/>
              <w:rPr>
                <w:sz w:val="20"/>
              </w:rPr>
            </w:pPr>
            <w:r w:rsidRPr="00B7760C">
              <w:rPr>
                <w:sz w:val="20"/>
              </w:rPr>
              <w:t>2023</w:t>
            </w:r>
          </w:p>
        </w:tc>
        <w:tc>
          <w:tcPr>
            <w:tcW w:w="1608" w:type="dxa"/>
            <w:tcBorders>
              <w:top w:val="single" w:sz="4" w:space="0" w:color="auto"/>
              <w:left w:val="single" w:sz="4" w:space="0" w:color="auto"/>
              <w:bottom w:val="single" w:sz="4" w:space="0" w:color="auto"/>
              <w:right w:val="single" w:sz="4" w:space="0" w:color="auto"/>
            </w:tcBorders>
            <w:vAlign w:val="center"/>
            <w:hideMark/>
          </w:tcPr>
          <w:p w14:paraId="3E7E9526" w14:textId="77777777" w:rsidR="003663AF" w:rsidRPr="00B7760C" w:rsidRDefault="003663AF" w:rsidP="00E804B7">
            <w:pPr>
              <w:pStyle w:val="Normal6"/>
              <w:rPr>
                <w:sz w:val="20"/>
              </w:rPr>
            </w:pPr>
            <w:r w:rsidRPr="00B7760C">
              <w:rPr>
                <w:sz w:val="20"/>
              </w:rPr>
              <w:t>2024</w:t>
            </w:r>
          </w:p>
        </w:tc>
        <w:tc>
          <w:tcPr>
            <w:tcW w:w="1608" w:type="dxa"/>
            <w:tcBorders>
              <w:top w:val="single" w:sz="4" w:space="0" w:color="auto"/>
              <w:left w:val="single" w:sz="4" w:space="0" w:color="auto"/>
              <w:bottom w:val="single" w:sz="4" w:space="0" w:color="auto"/>
              <w:right w:val="single" w:sz="4" w:space="0" w:color="auto"/>
            </w:tcBorders>
            <w:vAlign w:val="center"/>
            <w:hideMark/>
          </w:tcPr>
          <w:p w14:paraId="192C95DE" w14:textId="77777777" w:rsidR="003663AF" w:rsidRPr="00B7760C" w:rsidRDefault="003663AF" w:rsidP="00E804B7">
            <w:pPr>
              <w:pStyle w:val="Normal6"/>
              <w:rPr>
                <w:sz w:val="20"/>
              </w:rPr>
            </w:pPr>
            <w:r w:rsidRPr="00B7760C">
              <w:rPr>
                <w:sz w:val="20"/>
              </w:rPr>
              <w:t>2025</w:t>
            </w:r>
          </w:p>
        </w:tc>
        <w:tc>
          <w:tcPr>
            <w:tcW w:w="1608" w:type="dxa"/>
            <w:tcBorders>
              <w:top w:val="single" w:sz="4" w:space="0" w:color="auto"/>
              <w:left w:val="single" w:sz="4" w:space="0" w:color="auto"/>
              <w:bottom w:val="single" w:sz="4" w:space="0" w:color="auto"/>
              <w:right w:val="single" w:sz="4" w:space="0" w:color="auto"/>
            </w:tcBorders>
            <w:vAlign w:val="center"/>
            <w:hideMark/>
          </w:tcPr>
          <w:p w14:paraId="5E7E2EED" w14:textId="77777777" w:rsidR="003663AF" w:rsidRPr="00B7760C" w:rsidRDefault="003663AF" w:rsidP="00E804B7">
            <w:pPr>
              <w:pStyle w:val="Normal6"/>
              <w:rPr>
                <w:sz w:val="20"/>
              </w:rPr>
            </w:pPr>
            <w:r w:rsidRPr="00B7760C">
              <w:rPr>
                <w:sz w:val="20"/>
              </w:rPr>
              <w:t>2026</w:t>
            </w:r>
          </w:p>
        </w:tc>
        <w:tc>
          <w:tcPr>
            <w:tcW w:w="1608" w:type="dxa"/>
            <w:tcBorders>
              <w:top w:val="single" w:sz="4" w:space="0" w:color="auto"/>
              <w:left w:val="single" w:sz="4" w:space="0" w:color="auto"/>
              <w:bottom w:val="single" w:sz="4" w:space="0" w:color="auto"/>
              <w:right w:val="single" w:sz="4" w:space="0" w:color="auto"/>
            </w:tcBorders>
            <w:vAlign w:val="center"/>
            <w:hideMark/>
          </w:tcPr>
          <w:p w14:paraId="29DB2CAA" w14:textId="77777777" w:rsidR="003663AF" w:rsidRPr="00B7760C" w:rsidRDefault="003663AF" w:rsidP="00E804B7">
            <w:pPr>
              <w:pStyle w:val="Normal6"/>
              <w:rPr>
                <w:sz w:val="20"/>
              </w:rPr>
            </w:pPr>
            <w:r w:rsidRPr="00B7760C">
              <w:rPr>
                <w:sz w:val="20"/>
              </w:rPr>
              <w:t>2027</w:t>
            </w:r>
          </w:p>
        </w:tc>
        <w:tc>
          <w:tcPr>
            <w:tcW w:w="1616" w:type="dxa"/>
            <w:tcBorders>
              <w:top w:val="single" w:sz="4" w:space="0" w:color="auto"/>
              <w:left w:val="single" w:sz="4" w:space="0" w:color="auto"/>
              <w:bottom w:val="single" w:sz="4" w:space="0" w:color="auto"/>
              <w:right w:val="single" w:sz="4" w:space="0" w:color="auto"/>
            </w:tcBorders>
            <w:vAlign w:val="center"/>
            <w:hideMark/>
          </w:tcPr>
          <w:p w14:paraId="584D452E" w14:textId="77777777" w:rsidR="003663AF" w:rsidRPr="00B7760C" w:rsidRDefault="003663AF" w:rsidP="00E804B7">
            <w:pPr>
              <w:pStyle w:val="Normal6"/>
              <w:rPr>
                <w:sz w:val="20"/>
              </w:rPr>
            </w:pPr>
            <w:r w:rsidRPr="00B7760C">
              <w:rPr>
                <w:sz w:val="20"/>
              </w:rPr>
              <w:t>SKUPAJ 2021–2027</w:t>
            </w:r>
          </w:p>
        </w:tc>
      </w:tr>
      <w:tr w:rsidR="003663AF" w:rsidRPr="00B7760C" w14:paraId="0CAA385E" w14:textId="77777777" w:rsidTr="00E804B7">
        <w:trPr>
          <w:cantSplit/>
          <w:trHeight w:val="255"/>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14:paraId="3E378233" w14:textId="77777777" w:rsidR="003663AF" w:rsidRPr="00B7760C" w:rsidRDefault="003663AF" w:rsidP="00E804B7">
            <w:pPr>
              <w:pStyle w:val="Normal6"/>
              <w:rPr>
                <w:sz w:val="20"/>
              </w:rPr>
            </w:pPr>
            <w:r w:rsidRPr="00B7760C">
              <w:rPr>
                <w:sz w:val="20"/>
              </w:rPr>
              <w:t>Belgija</w:t>
            </w:r>
          </w:p>
        </w:tc>
        <w:tc>
          <w:tcPr>
            <w:tcW w:w="1608" w:type="dxa"/>
            <w:tcBorders>
              <w:top w:val="single" w:sz="4" w:space="0" w:color="auto"/>
              <w:left w:val="single" w:sz="4" w:space="0" w:color="auto"/>
              <w:bottom w:val="single" w:sz="4" w:space="0" w:color="auto"/>
              <w:right w:val="single" w:sz="4" w:space="0" w:color="auto"/>
            </w:tcBorders>
            <w:hideMark/>
          </w:tcPr>
          <w:p w14:paraId="728AC567"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50C3E951"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06DAADA8"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0E44C8B9"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7FD507A4"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2A9325C0"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6A1C044C" w14:textId="77777777" w:rsidR="003663AF" w:rsidRPr="00B7760C" w:rsidRDefault="003663AF" w:rsidP="00E804B7">
            <w:pPr>
              <w:pStyle w:val="Normal6"/>
              <w:jc w:val="right"/>
              <w:rPr>
                <w:b/>
                <w:bCs/>
                <w:i/>
                <w:iCs/>
                <w:sz w:val="20"/>
              </w:rPr>
            </w:pPr>
            <w:r w:rsidRPr="00B7760C">
              <w:rPr>
                <w:b/>
                <w:bCs/>
                <w:i/>
                <w:iCs/>
                <w:sz w:val="20"/>
              </w:rPr>
              <w:t>X</w:t>
            </w:r>
          </w:p>
        </w:tc>
        <w:tc>
          <w:tcPr>
            <w:tcW w:w="1616" w:type="dxa"/>
            <w:tcBorders>
              <w:top w:val="single" w:sz="4" w:space="0" w:color="auto"/>
              <w:left w:val="single" w:sz="4" w:space="0" w:color="auto"/>
              <w:bottom w:val="single" w:sz="4" w:space="0" w:color="auto"/>
              <w:right w:val="single" w:sz="4" w:space="0" w:color="auto"/>
            </w:tcBorders>
            <w:hideMark/>
          </w:tcPr>
          <w:p w14:paraId="4FDDD7BC"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1851ED34" w14:textId="77777777" w:rsidTr="00E804B7">
        <w:trPr>
          <w:cantSplit/>
          <w:trHeight w:val="255"/>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14:paraId="7941254B" w14:textId="77777777" w:rsidR="003663AF" w:rsidRPr="00B7760C" w:rsidRDefault="003663AF" w:rsidP="00E804B7">
            <w:pPr>
              <w:pStyle w:val="Normal6"/>
              <w:rPr>
                <w:sz w:val="20"/>
              </w:rPr>
            </w:pPr>
            <w:r w:rsidRPr="00B7760C">
              <w:rPr>
                <w:sz w:val="20"/>
              </w:rPr>
              <w:t>Bolgarija</w:t>
            </w:r>
          </w:p>
        </w:tc>
        <w:tc>
          <w:tcPr>
            <w:tcW w:w="1608" w:type="dxa"/>
            <w:tcBorders>
              <w:top w:val="single" w:sz="4" w:space="0" w:color="auto"/>
              <w:left w:val="single" w:sz="4" w:space="0" w:color="auto"/>
              <w:bottom w:val="single" w:sz="4" w:space="0" w:color="auto"/>
              <w:right w:val="single" w:sz="4" w:space="0" w:color="auto"/>
            </w:tcBorders>
            <w:hideMark/>
          </w:tcPr>
          <w:p w14:paraId="5340A276"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71A55837"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6F361D87"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0A17C573"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4CFE7490"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58CAA375"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70EDB5F6" w14:textId="77777777" w:rsidR="003663AF" w:rsidRPr="00B7760C" w:rsidRDefault="003663AF" w:rsidP="00E804B7">
            <w:pPr>
              <w:pStyle w:val="Normal6"/>
              <w:jc w:val="right"/>
              <w:rPr>
                <w:b/>
                <w:bCs/>
                <w:i/>
                <w:iCs/>
                <w:sz w:val="20"/>
              </w:rPr>
            </w:pPr>
            <w:r w:rsidRPr="00B7760C">
              <w:rPr>
                <w:b/>
                <w:bCs/>
                <w:i/>
                <w:iCs/>
                <w:sz w:val="20"/>
              </w:rPr>
              <w:t>X</w:t>
            </w:r>
          </w:p>
        </w:tc>
        <w:tc>
          <w:tcPr>
            <w:tcW w:w="1616" w:type="dxa"/>
            <w:tcBorders>
              <w:top w:val="single" w:sz="4" w:space="0" w:color="auto"/>
              <w:left w:val="single" w:sz="4" w:space="0" w:color="auto"/>
              <w:bottom w:val="single" w:sz="4" w:space="0" w:color="auto"/>
              <w:right w:val="single" w:sz="4" w:space="0" w:color="auto"/>
            </w:tcBorders>
            <w:hideMark/>
          </w:tcPr>
          <w:p w14:paraId="6A6AA53C"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4FEC8089" w14:textId="77777777" w:rsidTr="00E804B7">
        <w:trPr>
          <w:cantSplit/>
          <w:trHeight w:val="497"/>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14:paraId="1A05A7C7" w14:textId="77777777" w:rsidR="003663AF" w:rsidRPr="00B7760C" w:rsidRDefault="003663AF" w:rsidP="00E804B7">
            <w:pPr>
              <w:pStyle w:val="Normal6"/>
              <w:rPr>
                <w:sz w:val="20"/>
              </w:rPr>
            </w:pPr>
            <w:r w:rsidRPr="00B7760C">
              <w:rPr>
                <w:sz w:val="20"/>
              </w:rPr>
              <w:t>Češka</w:t>
            </w:r>
          </w:p>
        </w:tc>
        <w:tc>
          <w:tcPr>
            <w:tcW w:w="1608" w:type="dxa"/>
            <w:tcBorders>
              <w:top w:val="single" w:sz="4" w:space="0" w:color="auto"/>
              <w:left w:val="single" w:sz="4" w:space="0" w:color="auto"/>
              <w:bottom w:val="single" w:sz="4" w:space="0" w:color="auto"/>
              <w:right w:val="single" w:sz="4" w:space="0" w:color="auto"/>
            </w:tcBorders>
            <w:hideMark/>
          </w:tcPr>
          <w:p w14:paraId="6602467F"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005761BD"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334D3CD8"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3523F241"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3F1169ED"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1A19796C"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5E53F348" w14:textId="77777777" w:rsidR="003663AF" w:rsidRPr="00B7760C" w:rsidRDefault="003663AF" w:rsidP="00E804B7">
            <w:pPr>
              <w:pStyle w:val="Normal6"/>
              <w:jc w:val="right"/>
              <w:rPr>
                <w:b/>
                <w:bCs/>
                <w:i/>
                <w:iCs/>
                <w:sz w:val="20"/>
              </w:rPr>
            </w:pPr>
            <w:r w:rsidRPr="00B7760C">
              <w:rPr>
                <w:b/>
                <w:bCs/>
                <w:i/>
                <w:iCs/>
                <w:sz w:val="20"/>
              </w:rPr>
              <w:t>X</w:t>
            </w:r>
          </w:p>
        </w:tc>
        <w:tc>
          <w:tcPr>
            <w:tcW w:w="1616" w:type="dxa"/>
            <w:tcBorders>
              <w:top w:val="single" w:sz="4" w:space="0" w:color="auto"/>
              <w:left w:val="single" w:sz="4" w:space="0" w:color="auto"/>
              <w:bottom w:val="single" w:sz="4" w:space="0" w:color="auto"/>
              <w:right w:val="single" w:sz="4" w:space="0" w:color="auto"/>
            </w:tcBorders>
            <w:hideMark/>
          </w:tcPr>
          <w:p w14:paraId="55A90332"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068220B0" w14:textId="77777777" w:rsidTr="00E804B7">
        <w:trPr>
          <w:cantSplit/>
          <w:trHeight w:val="255"/>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14:paraId="3F0BECC6" w14:textId="77777777" w:rsidR="003663AF" w:rsidRPr="00B7760C" w:rsidRDefault="003663AF" w:rsidP="00E804B7">
            <w:pPr>
              <w:pStyle w:val="Normal6"/>
              <w:rPr>
                <w:sz w:val="20"/>
              </w:rPr>
            </w:pPr>
            <w:r w:rsidRPr="00B7760C">
              <w:rPr>
                <w:sz w:val="20"/>
              </w:rPr>
              <w:t>Danska</w:t>
            </w:r>
          </w:p>
        </w:tc>
        <w:tc>
          <w:tcPr>
            <w:tcW w:w="1608" w:type="dxa"/>
            <w:tcBorders>
              <w:top w:val="single" w:sz="4" w:space="0" w:color="auto"/>
              <w:left w:val="single" w:sz="4" w:space="0" w:color="auto"/>
              <w:bottom w:val="single" w:sz="4" w:space="0" w:color="auto"/>
              <w:right w:val="single" w:sz="4" w:space="0" w:color="auto"/>
            </w:tcBorders>
            <w:hideMark/>
          </w:tcPr>
          <w:p w14:paraId="47873C13"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2A187E12"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08A931DD"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5DEA9D09"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0C97537D"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246AA77F"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2AA878BF" w14:textId="77777777" w:rsidR="003663AF" w:rsidRPr="00B7760C" w:rsidRDefault="003663AF" w:rsidP="00E804B7">
            <w:pPr>
              <w:pStyle w:val="Normal6"/>
              <w:jc w:val="right"/>
              <w:rPr>
                <w:b/>
                <w:bCs/>
                <w:i/>
                <w:iCs/>
                <w:sz w:val="20"/>
              </w:rPr>
            </w:pPr>
            <w:r w:rsidRPr="00B7760C">
              <w:rPr>
                <w:b/>
                <w:bCs/>
                <w:i/>
                <w:iCs/>
                <w:sz w:val="20"/>
              </w:rPr>
              <w:t>X</w:t>
            </w:r>
          </w:p>
        </w:tc>
        <w:tc>
          <w:tcPr>
            <w:tcW w:w="1616" w:type="dxa"/>
            <w:tcBorders>
              <w:top w:val="single" w:sz="4" w:space="0" w:color="auto"/>
              <w:left w:val="single" w:sz="4" w:space="0" w:color="auto"/>
              <w:bottom w:val="single" w:sz="4" w:space="0" w:color="auto"/>
              <w:right w:val="single" w:sz="4" w:space="0" w:color="auto"/>
            </w:tcBorders>
            <w:hideMark/>
          </w:tcPr>
          <w:p w14:paraId="1C2D076A"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376650E9" w14:textId="77777777" w:rsidTr="00E804B7">
        <w:trPr>
          <w:cantSplit/>
          <w:trHeight w:val="255"/>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14:paraId="492CB5BC" w14:textId="77777777" w:rsidR="003663AF" w:rsidRPr="00B7760C" w:rsidRDefault="003663AF" w:rsidP="00E804B7">
            <w:pPr>
              <w:pStyle w:val="Normal6"/>
              <w:rPr>
                <w:sz w:val="20"/>
              </w:rPr>
            </w:pPr>
            <w:r w:rsidRPr="00B7760C">
              <w:rPr>
                <w:sz w:val="20"/>
              </w:rPr>
              <w:t>Nemčija</w:t>
            </w:r>
          </w:p>
        </w:tc>
        <w:tc>
          <w:tcPr>
            <w:tcW w:w="1608" w:type="dxa"/>
            <w:tcBorders>
              <w:top w:val="single" w:sz="4" w:space="0" w:color="auto"/>
              <w:left w:val="single" w:sz="4" w:space="0" w:color="auto"/>
              <w:bottom w:val="single" w:sz="4" w:space="0" w:color="auto"/>
              <w:right w:val="single" w:sz="4" w:space="0" w:color="auto"/>
            </w:tcBorders>
            <w:hideMark/>
          </w:tcPr>
          <w:p w14:paraId="5344D72B"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12FF7FB7"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6ED342F4"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39BC82AD"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0FEE0064"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3891B221"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486B5F80" w14:textId="77777777" w:rsidR="003663AF" w:rsidRPr="00B7760C" w:rsidRDefault="003663AF" w:rsidP="00E804B7">
            <w:pPr>
              <w:pStyle w:val="Normal6"/>
              <w:jc w:val="right"/>
              <w:rPr>
                <w:b/>
                <w:bCs/>
                <w:i/>
                <w:iCs/>
                <w:sz w:val="20"/>
              </w:rPr>
            </w:pPr>
            <w:r w:rsidRPr="00B7760C">
              <w:rPr>
                <w:b/>
                <w:bCs/>
                <w:i/>
                <w:iCs/>
                <w:sz w:val="20"/>
              </w:rPr>
              <w:t>X</w:t>
            </w:r>
          </w:p>
        </w:tc>
        <w:tc>
          <w:tcPr>
            <w:tcW w:w="1616" w:type="dxa"/>
            <w:tcBorders>
              <w:top w:val="single" w:sz="4" w:space="0" w:color="auto"/>
              <w:left w:val="single" w:sz="4" w:space="0" w:color="auto"/>
              <w:bottom w:val="single" w:sz="4" w:space="0" w:color="auto"/>
              <w:right w:val="single" w:sz="4" w:space="0" w:color="auto"/>
            </w:tcBorders>
            <w:hideMark/>
          </w:tcPr>
          <w:p w14:paraId="5A3B7E3A"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7BFCFD79" w14:textId="77777777" w:rsidTr="00E804B7">
        <w:trPr>
          <w:cantSplit/>
          <w:trHeight w:val="255"/>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14:paraId="6B3ACC50" w14:textId="77777777" w:rsidR="003663AF" w:rsidRPr="00B7760C" w:rsidRDefault="003663AF" w:rsidP="00E804B7">
            <w:pPr>
              <w:pStyle w:val="Normal6"/>
              <w:rPr>
                <w:sz w:val="20"/>
              </w:rPr>
            </w:pPr>
            <w:r w:rsidRPr="00B7760C">
              <w:rPr>
                <w:sz w:val="20"/>
              </w:rPr>
              <w:t>Estonija</w:t>
            </w:r>
          </w:p>
        </w:tc>
        <w:tc>
          <w:tcPr>
            <w:tcW w:w="1608" w:type="dxa"/>
            <w:tcBorders>
              <w:top w:val="single" w:sz="4" w:space="0" w:color="auto"/>
              <w:left w:val="single" w:sz="4" w:space="0" w:color="auto"/>
              <w:bottom w:val="single" w:sz="4" w:space="0" w:color="auto"/>
              <w:right w:val="single" w:sz="4" w:space="0" w:color="auto"/>
            </w:tcBorders>
            <w:hideMark/>
          </w:tcPr>
          <w:p w14:paraId="49BD18D1"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766DD839"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6F0CFBCA"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6024629A"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6EE78F46"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44706EC2"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2855EBE8" w14:textId="77777777" w:rsidR="003663AF" w:rsidRPr="00B7760C" w:rsidRDefault="003663AF" w:rsidP="00E804B7">
            <w:pPr>
              <w:pStyle w:val="Normal6"/>
              <w:jc w:val="right"/>
              <w:rPr>
                <w:b/>
                <w:bCs/>
                <w:i/>
                <w:iCs/>
                <w:sz w:val="20"/>
              </w:rPr>
            </w:pPr>
            <w:r w:rsidRPr="00B7760C">
              <w:rPr>
                <w:b/>
                <w:bCs/>
                <w:i/>
                <w:iCs/>
                <w:sz w:val="20"/>
              </w:rPr>
              <w:t>X</w:t>
            </w:r>
          </w:p>
        </w:tc>
        <w:tc>
          <w:tcPr>
            <w:tcW w:w="1616" w:type="dxa"/>
            <w:tcBorders>
              <w:top w:val="single" w:sz="4" w:space="0" w:color="auto"/>
              <w:left w:val="single" w:sz="4" w:space="0" w:color="auto"/>
              <w:bottom w:val="single" w:sz="4" w:space="0" w:color="auto"/>
              <w:right w:val="single" w:sz="4" w:space="0" w:color="auto"/>
            </w:tcBorders>
            <w:hideMark/>
          </w:tcPr>
          <w:p w14:paraId="0347FE8C"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54CA68D8" w14:textId="77777777" w:rsidTr="00E804B7">
        <w:trPr>
          <w:cantSplit/>
          <w:trHeight w:val="255"/>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14:paraId="33950924" w14:textId="77777777" w:rsidR="003663AF" w:rsidRPr="00B7760C" w:rsidRDefault="003663AF" w:rsidP="00E804B7">
            <w:pPr>
              <w:pStyle w:val="Normal6"/>
              <w:rPr>
                <w:sz w:val="20"/>
              </w:rPr>
            </w:pPr>
            <w:r w:rsidRPr="00B7760C">
              <w:rPr>
                <w:sz w:val="20"/>
              </w:rPr>
              <w:t>Irska</w:t>
            </w:r>
          </w:p>
        </w:tc>
        <w:tc>
          <w:tcPr>
            <w:tcW w:w="1608" w:type="dxa"/>
            <w:tcBorders>
              <w:top w:val="single" w:sz="4" w:space="0" w:color="auto"/>
              <w:left w:val="single" w:sz="4" w:space="0" w:color="auto"/>
              <w:bottom w:val="single" w:sz="4" w:space="0" w:color="auto"/>
              <w:right w:val="single" w:sz="4" w:space="0" w:color="auto"/>
            </w:tcBorders>
            <w:hideMark/>
          </w:tcPr>
          <w:p w14:paraId="778C7022"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61B6C22F"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3B446C67"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4AFF7167"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44AE48EB"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6D304AAA"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70AD6027" w14:textId="77777777" w:rsidR="003663AF" w:rsidRPr="00B7760C" w:rsidRDefault="003663AF" w:rsidP="00E804B7">
            <w:pPr>
              <w:pStyle w:val="Normal6"/>
              <w:jc w:val="right"/>
              <w:rPr>
                <w:b/>
                <w:bCs/>
                <w:i/>
                <w:iCs/>
                <w:sz w:val="20"/>
              </w:rPr>
            </w:pPr>
            <w:r w:rsidRPr="00B7760C">
              <w:rPr>
                <w:b/>
                <w:bCs/>
                <w:i/>
                <w:iCs/>
                <w:sz w:val="20"/>
              </w:rPr>
              <w:t>X</w:t>
            </w:r>
          </w:p>
        </w:tc>
        <w:tc>
          <w:tcPr>
            <w:tcW w:w="1616" w:type="dxa"/>
            <w:tcBorders>
              <w:top w:val="single" w:sz="4" w:space="0" w:color="auto"/>
              <w:left w:val="single" w:sz="4" w:space="0" w:color="auto"/>
              <w:bottom w:val="single" w:sz="4" w:space="0" w:color="auto"/>
              <w:right w:val="single" w:sz="4" w:space="0" w:color="auto"/>
            </w:tcBorders>
            <w:hideMark/>
          </w:tcPr>
          <w:p w14:paraId="464EB6DF"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404CAB8E" w14:textId="77777777" w:rsidTr="00E804B7">
        <w:trPr>
          <w:cantSplit/>
          <w:trHeight w:val="255"/>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14:paraId="74250C85" w14:textId="77777777" w:rsidR="003663AF" w:rsidRPr="00B7760C" w:rsidRDefault="003663AF" w:rsidP="00E804B7">
            <w:pPr>
              <w:pStyle w:val="Normal6"/>
              <w:rPr>
                <w:sz w:val="20"/>
              </w:rPr>
            </w:pPr>
            <w:r w:rsidRPr="00B7760C">
              <w:rPr>
                <w:sz w:val="20"/>
              </w:rPr>
              <w:t>Grčija</w:t>
            </w:r>
          </w:p>
        </w:tc>
        <w:tc>
          <w:tcPr>
            <w:tcW w:w="1608" w:type="dxa"/>
            <w:tcBorders>
              <w:top w:val="single" w:sz="4" w:space="0" w:color="auto"/>
              <w:left w:val="single" w:sz="4" w:space="0" w:color="auto"/>
              <w:bottom w:val="single" w:sz="4" w:space="0" w:color="auto"/>
              <w:right w:val="single" w:sz="4" w:space="0" w:color="auto"/>
            </w:tcBorders>
            <w:hideMark/>
          </w:tcPr>
          <w:p w14:paraId="4C5E334A"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54E28A27"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11DAE611"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15B8E33C"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70F22C17"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15927082"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2DF2F256" w14:textId="77777777" w:rsidR="003663AF" w:rsidRPr="00B7760C" w:rsidRDefault="003663AF" w:rsidP="00E804B7">
            <w:pPr>
              <w:pStyle w:val="Normal6"/>
              <w:jc w:val="right"/>
              <w:rPr>
                <w:b/>
                <w:bCs/>
                <w:i/>
                <w:iCs/>
                <w:sz w:val="20"/>
              </w:rPr>
            </w:pPr>
            <w:r w:rsidRPr="00B7760C">
              <w:rPr>
                <w:b/>
                <w:bCs/>
                <w:i/>
                <w:iCs/>
                <w:sz w:val="20"/>
              </w:rPr>
              <w:t>X</w:t>
            </w:r>
          </w:p>
        </w:tc>
        <w:tc>
          <w:tcPr>
            <w:tcW w:w="1616" w:type="dxa"/>
            <w:tcBorders>
              <w:top w:val="single" w:sz="4" w:space="0" w:color="auto"/>
              <w:left w:val="single" w:sz="4" w:space="0" w:color="auto"/>
              <w:bottom w:val="single" w:sz="4" w:space="0" w:color="auto"/>
              <w:right w:val="single" w:sz="4" w:space="0" w:color="auto"/>
            </w:tcBorders>
            <w:hideMark/>
          </w:tcPr>
          <w:p w14:paraId="5C478F2D"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47B36715" w14:textId="77777777" w:rsidTr="00E804B7">
        <w:trPr>
          <w:cantSplit/>
          <w:trHeight w:val="255"/>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14:paraId="585E4A3D" w14:textId="77777777" w:rsidR="003663AF" w:rsidRPr="00B7760C" w:rsidRDefault="003663AF" w:rsidP="00E804B7">
            <w:pPr>
              <w:pStyle w:val="Normal6"/>
              <w:rPr>
                <w:sz w:val="20"/>
              </w:rPr>
            </w:pPr>
            <w:r w:rsidRPr="00B7760C">
              <w:rPr>
                <w:sz w:val="20"/>
              </w:rPr>
              <w:t>Španija</w:t>
            </w:r>
          </w:p>
        </w:tc>
        <w:tc>
          <w:tcPr>
            <w:tcW w:w="1608" w:type="dxa"/>
            <w:tcBorders>
              <w:top w:val="single" w:sz="4" w:space="0" w:color="auto"/>
              <w:left w:val="single" w:sz="4" w:space="0" w:color="auto"/>
              <w:bottom w:val="single" w:sz="4" w:space="0" w:color="auto"/>
              <w:right w:val="single" w:sz="4" w:space="0" w:color="auto"/>
            </w:tcBorders>
            <w:hideMark/>
          </w:tcPr>
          <w:p w14:paraId="3452F654"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6DC0CB21"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183DB04B"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11A0F81A"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675AC287"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1FE5A104"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475EE67A" w14:textId="77777777" w:rsidR="003663AF" w:rsidRPr="00B7760C" w:rsidRDefault="003663AF" w:rsidP="00E804B7">
            <w:pPr>
              <w:pStyle w:val="Normal6"/>
              <w:jc w:val="right"/>
              <w:rPr>
                <w:b/>
                <w:bCs/>
                <w:i/>
                <w:iCs/>
                <w:sz w:val="20"/>
              </w:rPr>
            </w:pPr>
            <w:r w:rsidRPr="00B7760C">
              <w:rPr>
                <w:b/>
                <w:bCs/>
                <w:i/>
                <w:iCs/>
                <w:sz w:val="20"/>
              </w:rPr>
              <w:t>X</w:t>
            </w:r>
          </w:p>
        </w:tc>
        <w:tc>
          <w:tcPr>
            <w:tcW w:w="1616" w:type="dxa"/>
            <w:tcBorders>
              <w:top w:val="single" w:sz="4" w:space="0" w:color="auto"/>
              <w:left w:val="single" w:sz="4" w:space="0" w:color="auto"/>
              <w:bottom w:val="single" w:sz="4" w:space="0" w:color="auto"/>
              <w:right w:val="single" w:sz="4" w:space="0" w:color="auto"/>
            </w:tcBorders>
            <w:hideMark/>
          </w:tcPr>
          <w:p w14:paraId="1EBCAFDD"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16A904D3" w14:textId="77777777" w:rsidTr="00E804B7">
        <w:trPr>
          <w:cantSplit/>
          <w:trHeight w:val="255"/>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14:paraId="48867A81" w14:textId="77777777" w:rsidR="003663AF" w:rsidRPr="00B7760C" w:rsidRDefault="003663AF" w:rsidP="00E804B7">
            <w:pPr>
              <w:pStyle w:val="Normal6"/>
              <w:rPr>
                <w:sz w:val="20"/>
              </w:rPr>
            </w:pPr>
            <w:r w:rsidRPr="00B7760C">
              <w:rPr>
                <w:sz w:val="20"/>
              </w:rPr>
              <w:t>Francija</w:t>
            </w:r>
          </w:p>
        </w:tc>
        <w:tc>
          <w:tcPr>
            <w:tcW w:w="1608" w:type="dxa"/>
            <w:tcBorders>
              <w:top w:val="single" w:sz="4" w:space="0" w:color="auto"/>
              <w:left w:val="single" w:sz="4" w:space="0" w:color="auto"/>
              <w:bottom w:val="single" w:sz="4" w:space="0" w:color="auto"/>
              <w:right w:val="single" w:sz="4" w:space="0" w:color="auto"/>
            </w:tcBorders>
            <w:hideMark/>
          </w:tcPr>
          <w:p w14:paraId="6A167396"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7A5D41B1"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66AE1B55"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405B8BC8"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130E53D2"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27B262CD"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01851F34" w14:textId="77777777" w:rsidR="003663AF" w:rsidRPr="00B7760C" w:rsidRDefault="003663AF" w:rsidP="00E804B7">
            <w:pPr>
              <w:pStyle w:val="Normal6"/>
              <w:jc w:val="right"/>
              <w:rPr>
                <w:b/>
                <w:bCs/>
                <w:i/>
                <w:iCs/>
                <w:sz w:val="20"/>
              </w:rPr>
            </w:pPr>
            <w:r w:rsidRPr="00B7760C">
              <w:rPr>
                <w:b/>
                <w:bCs/>
                <w:i/>
                <w:iCs/>
                <w:sz w:val="20"/>
              </w:rPr>
              <w:t>X</w:t>
            </w:r>
          </w:p>
        </w:tc>
        <w:tc>
          <w:tcPr>
            <w:tcW w:w="1616" w:type="dxa"/>
            <w:tcBorders>
              <w:top w:val="single" w:sz="4" w:space="0" w:color="auto"/>
              <w:left w:val="single" w:sz="4" w:space="0" w:color="auto"/>
              <w:bottom w:val="single" w:sz="4" w:space="0" w:color="auto"/>
              <w:right w:val="single" w:sz="4" w:space="0" w:color="auto"/>
            </w:tcBorders>
            <w:hideMark/>
          </w:tcPr>
          <w:p w14:paraId="6B0AC15D"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28013AFF" w14:textId="77777777" w:rsidTr="00E804B7">
        <w:trPr>
          <w:cantSplit/>
          <w:trHeight w:val="255"/>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14:paraId="6D2AD137" w14:textId="77777777" w:rsidR="003663AF" w:rsidRPr="00B7760C" w:rsidRDefault="003663AF" w:rsidP="00E804B7">
            <w:pPr>
              <w:pStyle w:val="Normal6"/>
              <w:rPr>
                <w:sz w:val="20"/>
              </w:rPr>
            </w:pPr>
            <w:r w:rsidRPr="00B7760C">
              <w:rPr>
                <w:sz w:val="20"/>
              </w:rPr>
              <w:t>Hrvaška</w:t>
            </w:r>
          </w:p>
        </w:tc>
        <w:tc>
          <w:tcPr>
            <w:tcW w:w="1608" w:type="dxa"/>
            <w:tcBorders>
              <w:top w:val="single" w:sz="4" w:space="0" w:color="auto"/>
              <w:left w:val="single" w:sz="4" w:space="0" w:color="auto"/>
              <w:bottom w:val="single" w:sz="4" w:space="0" w:color="auto"/>
              <w:right w:val="single" w:sz="4" w:space="0" w:color="auto"/>
            </w:tcBorders>
            <w:hideMark/>
          </w:tcPr>
          <w:p w14:paraId="1EA91E86"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5904B1C0"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2423FFFF"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1420AD09"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449AEC1D"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0660F712"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50F31B8B" w14:textId="77777777" w:rsidR="003663AF" w:rsidRPr="00B7760C" w:rsidRDefault="003663AF" w:rsidP="00E804B7">
            <w:pPr>
              <w:pStyle w:val="Normal6"/>
              <w:jc w:val="right"/>
              <w:rPr>
                <w:b/>
                <w:bCs/>
                <w:i/>
                <w:iCs/>
                <w:sz w:val="20"/>
              </w:rPr>
            </w:pPr>
            <w:r w:rsidRPr="00B7760C">
              <w:rPr>
                <w:b/>
                <w:bCs/>
                <w:i/>
                <w:iCs/>
                <w:sz w:val="20"/>
              </w:rPr>
              <w:t>X</w:t>
            </w:r>
          </w:p>
        </w:tc>
        <w:tc>
          <w:tcPr>
            <w:tcW w:w="1616" w:type="dxa"/>
            <w:tcBorders>
              <w:top w:val="single" w:sz="4" w:space="0" w:color="auto"/>
              <w:left w:val="single" w:sz="4" w:space="0" w:color="auto"/>
              <w:bottom w:val="single" w:sz="4" w:space="0" w:color="auto"/>
              <w:right w:val="single" w:sz="4" w:space="0" w:color="auto"/>
            </w:tcBorders>
            <w:hideMark/>
          </w:tcPr>
          <w:p w14:paraId="19749192"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548AA055" w14:textId="77777777" w:rsidTr="00E804B7">
        <w:trPr>
          <w:cantSplit/>
          <w:trHeight w:val="255"/>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14:paraId="524121E0" w14:textId="77777777" w:rsidR="003663AF" w:rsidRPr="00B7760C" w:rsidRDefault="003663AF" w:rsidP="00E804B7">
            <w:pPr>
              <w:pStyle w:val="Normal6"/>
              <w:rPr>
                <w:sz w:val="20"/>
              </w:rPr>
            </w:pPr>
            <w:r w:rsidRPr="00B7760C">
              <w:rPr>
                <w:sz w:val="20"/>
              </w:rPr>
              <w:t>Italija</w:t>
            </w:r>
          </w:p>
        </w:tc>
        <w:tc>
          <w:tcPr>
            <w:tcW w:w="1608" w:type="dxa"/>
            <w:tcBorders>
              <w:top w:val="single" w:sz="4" w:space="0" w:color="auto"/>
              <w:left w:val="single" w:sz="4" w:space="0" w:color="auto"/>
              <w:bottom w:val="single" w:sz="4" w:space="0" w:color="auto"/>
              <w:right w:val="single" w:sz="4" w:space="0" w:color="auto"/>
            </w:tcBorders>
            <w:hideMark/>
          </w:tcPr>
          <w:p w14:paraId="27BD7507"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2A3F618A"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5C8DB65C"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4399CF59"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7EB460B2"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68EE84EC"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216E401B" w14:textId="77777777" w:rsidR="003663AF" w:rsidRPr="00B7760C" w:rsidRDefault="003663AF" w:rsidP="00E804B7">
            <w:pPr>
              <w:pStyle w:val="Normal6"/>
              <w:jc w:val="right"/>
              <w:rPr>
                <w:b/>
                <w:bCs/>
                <w:i/>
                <w:iCs/>
                <w:sz w:val="20"/>
              </w:rPr>
            </w:pPr>
            <w:r w:rsidRPr="00B7760C">
              <w:rPr>
                <w:b/>
                <w:bCs/>
                <w:i/>
                <w:iCs/>
                <w:sz w:val="20"/>
              </w:rPr>
              <w:t>X</w:t>
            </w:r>
          </w:p>
        </w:tc>
        <w:tc>
          <w:tcPr>
            <w:tcW w:w="1616" w:type="dxa"/>
            <w:tcBorders>
              <w:top w:val="single" w:sz="4" w:space="0" w:color="auto"/>
              <w:left w:val="single" w:sz="4" w:space="0" w:color="auto"/>
              <w:bottom w:val="single" w:sz="4" w:space="0" w:color="auto"/>
              <w:right w:val="single" w:sz="4" w:space="0" w:color="auto"/>
            </w:tcBorders>
            <w:hideMark/>
          </w:tcPr>
          <w:p w14:paraId="1D9E14A4"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0489DDFF" w14:textId="77777777" w:rsidTr="00E804B7">
        <w:trPr>
          <w:cantSplit/>
          <w:trHeight w:val="255"/>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14:paraId="6535C507" w14:textId="77777777" w:rsidR="003663AF" w:rsidRPr="00B7760C" w:rsidRDefault="003663AF" w:rsidP="00E804B7">
            <w:pPr>
              <w:pStyle w:val="Normal6"/>
              <w:rPr>
                <w:sz w:val="20"/>
              </w:rPr>
            </w:pPr>
            <w:r w:rsidRPr="00B7760C">
              <w:rPr>
                <w:sz w:val="20"/>
              </w:rPr>
              <w:t>Ciper</w:t>
            </w:r>
          </w:p>
        </w:tc>
        <w:tc>
          <w:tcPr>
            <w:tcW w:w="1608" w:type="dxa"/>
            <w:tcBorders>
              <w:top w:val="single" w:sz="4" w:space="0" w:color="auto"/>
              <w:left w:val="single" w:sz="4" w:space="0" w:color="auto"/>
              <w:bottom w:val="single" w:sz="4" w:space="0" w:color="auto"/>
              <w:right w:val="single" w:sz="4" w:space="0" w:color="auto"/>
            </w:tcBorders>
            <w:hideMark/>
          </w:tcPr>
          <w:p w14:paraId="5AD489D0"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26B7DC76"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769163EB"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42B33265"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6FA128A0"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14A07D76"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6BF9CABE" w14:textId="77777777" w:rsidR="003663AF" w:rsidRPr="00B7760C" w:rsidRDefault="003663AF" w:rsidP="00E804B7">
            <w:pPr>
              <w:pStyle w:val="Normal6"/>
              <w:jc w:val="right"/>
              <w:rPr>
                <w:b/>
                <w:bCs/>
                <w:i/>
                <w:iCs/>
                <w:sz w:val="20"/>
              </w:rPr>
            </w:pPr>
            <w:r w:rsidRPr="00B7760C">
              <w:rPr>
                <w:b/>
                <w:bCs/>
                <w:i/>
                <w:iCs/>
                <w:sz w:val="20"/>
              </w:rPr>
              <w:t>X</w:t>
            </w:r>
          </w:p>
        </w:tc>
        <w:tc>
          <w:tcPr>
            <w:tcW w:w="1616" w:type="dxa"/>
            <w:tcBorders>
              <w:top w:val="single" w:sz="4" w:space="0" w:color="auto"/>
              <w:left w:val="single" w:sz="4" w:space="0" w:color="auto"/>
              <w:bottom w:val="single" w:sz="4" w:space="0" w:color="auto"/>
              <w:right w:val="single" w:sz="4" w:space="0" w:color="auto"/>
            </w:tcBorders>
            <w:hideMark/>
          </w:tcPr>
          <w:p w14:paraId="68E3C1AC"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7993518E" w14:textId="77777777" w:rsidTr="00E804B7">
        <w:trPr>
          <w:cantSplit/>
          <w:trHeight w:val="255"/>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14:paraId="38163270" w14:textId="77777777" w:rsidR="003663AF" w:rsidRPr="00B7760C" w:rsidRDefault="003663AF" w:rsidP="00E804B7">
            <w:pPr>
              <w:pStyle w:val="Normal6"/>
              <w:rPr>
                <w:sz w:val="20"/>
              </w:rPr>
            </w:pPr>
            <w:r w:rsidRPr="00B7760C">
              <w:rPr>
                <w:sz w:val="20"/>
              </w:rPr>
              <w:t>Latvija</w:t>
            </w:r>
          </w:p>
        </w:tc>
        <w:tc>
          <w:tcPr>
            <w:tcW w:w="1608" w:type="dxa"/>
            <w:tcBorders>
              <w:top w:val="single" w:sz="4" w:space="0" w:color="auto"/>
              <w:left w:val="single" w:sz="4" w:space="0" w:color="auto"/>
              <w:bottom w:val="single" w:sz="4" w:space="0" w:color="auto"/>
              <w:right w:val="single" w:sz="4" w:space="0" w:color="auto"/>
            </w:tcBorders>
            <w:hideMark/>
          </w:tcPr>
          <w:p w14:paraId="4699D25F"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16285EA1"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25C31158"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477D220D"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269038B2"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05DBD4B1"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5D7B3D7A" w14:textId="77777777" w:rsidR="003663AF" w:rsidRPr="00B7760C" w:rsidRDefault="003663AF" w:rsidP="00E804B7">
            <w:pPr>
              <w:pStyle w:val="Normal6"/>
              <w:jc w:val="right"/>
              <w:rPr>
                <w:b/>
                <w:bCs/>
                <w:i/>
                <w:iCs/>
                <w:sz w:val="20"/>
              </w:rPr>
            </w:pPr>
            <w:r w:rsidRPr="00B7760C">
              <w:rPr>
                <w:b/>
                <w:bCs/>
                <w:i/>
                <w:iCs/>
                <w:sz w:val="20"/>
              </w:rPr>
              <w:t>X</w:t>
            </w:r>
          </w:p>
        </w:tc>
        <w:tc>
          <w:tcPr>
            <w:tcW w:w="1616" w:type="dxa"/>
            <w:tcBorders>
              <w:top w:val="single" w:sz="4" w:space="0" w:color="auto"/>
              <w:left w:val="single" w:sz="4" w:space="0" w:color="auto"/>
              <w:bottom w:val="single" w:sz="4" w:space="0" w:color="auto"/>
              <w:right w:val="single" w:sz="4" w:space="0" w:color="auto"/>
            </w:tcBorders>
            <w:hideMark/>
          </w:tcPr>
          <w:p w14:paraId="5BF24D7B"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77B7C41C" w14:textId="77777777" w:rsidTr="00E804B7">
        <w:trPr>
          <w:cantSplit/>
          <w:trHeight w:val="255"/>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14:paraId="23ACA7AE" w14:textId="77777777" w:rsidR="003663AF" w:rsidRPr="00B7760C" w:rsidRDefault="003663AF" w:rsidP="00E804B7">
            <w:pPr>
              <w:pStyle w:val="Normal6"/>
              <w:rPr>
                <w:sz w:val="20"/>
              </w:rPr>
            </w:pPr>
            <w:r w:rsidRPr="00B7760C">
              <w:rPr>
                <w:sz w:val="20"/>
              </w:rPr>
              <w:t>Litva</w:t>
            </w:r>
          </w:p>
        </w:tc>
        <w:tc>
          <w:tcPr>
            <w:tcW w:w="1608" w:type="dxa"/>
            <w:tcBorders>
              <w:top w:val="single" w:sz="4" w:space="0" w:color="auto"/>
              <w:left w:val="single" w:sz="4" w:space="0" w:color="auto"/>
              <w:bottom w:val="single" w:sz="4" w:space="0" w:color="auto"/>
              <w:right w:val="single" w:sz="4" w:space="0" w:color="auto"/>
            </w:tcBorders>
            <w:hideMark/>
          </w:tcPr>
          <w:p w14:paraId="31A971B0"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4C7B3E9C"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2F1DC010"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235DF40A"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6667EF62"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3C5774F1"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022E2270" w14:textId="77777777" w:rsidR="003663AF" w:rsidRPr="00B7760C" w:rsidRDefault="003663AF" w:rsidP="00E804B7">
            <w:pPr>
              <w:pStyle w:val="Normal6"/>
              <w:jc w:val="right"/>
              <w:rPr>
                <w:b/>
                <w:bCs/>
                <w:i/>
                <w:iCs/>
                <w:sz w:val="20"/>
              </w:rPr>
            </w:pPr>
            <w:r w:rsidRPr="00B7760C">
              <w:rPr>
                <w:b/>
                <w:bCs/>
                <w:i/>
                <w:iCs/>
                <w:sz w:val="20"/>
              </w:rPr>
              <w:t>X</w:t>
            </w:r>
          </w:p>
        </w:tc>
        <w:tc>
          <w:tcPr>
            <w:tcW w:w="1616" w:type="dxa"/>
            <w:tcBorders>
              <w:top w:val="single" w:sz="4" w:space="0" w:color="auto"/>
              <w:left w:val="single" w:sz="4" w:space="0" w:color="auto"/>
              <w:bottom w:val="single" w:sz="4" w:space="0" w:color="auto"/>
              <w:right w:val="single" w:sz="4" w:space="0" w:color="auto"/>
            </w:tcBorders>
            <w:hideMark/>
          </w:tcPr>
          <w:p w14:paraId="3EEBD0D8"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5B1363D8" w14:textId="77777777" w:rsidTr="00E804B7">
        <w:trPr>
          <w:cantSplit/>
          <w:trHeight w:val="255"/>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14:paraId="5FEB6E9D" w14:textId="77777777" w:rsidR="003663AF" w:rsidRPr="00B7760C" w:rsidRDefault="003663AF" w:rsidP="00E804B7">
            <w:pPr>
              <w:pStyle w:val="Normal6"/>
              <w:rPr>
                <w:sz w:val="20"/>
              </w:rPr>
            </w:pPr>
            <w:r w:rsidRPr="00B7760C">
              <w:rPr>
                <w:sz w:val="20"/>
              </w:rPr>
              <w:t>Luksemburg</w:t>
            </w:r>
          </w:p>
        </w:tc>
        <w:tc>
          <w:tcPr>
            <w:tcW w:w="1608" w:type="dxa"/>
            <w:tcBorders>
              <w:top w:val="single" w:sz="4" w:space="0" w:color="auto"/>
              <w:left w:val="single" w:sz="4" w:space="0" w:color="auto"/>
              <w:bottom w:val="single" w:sz="4" w:space="0" w:color="auto"/>
              <w:right w:val="single" w:sz="4" w:space="0" w:color="auto"/>
            </w:tcBorders>
            <w:hideMark/>
          </w:tcPr>
          <w:p w14:paraId="65FF7465"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14212E18"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57F21BAB"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7E1C5DDD"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2149D2F6"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282EDB98"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28AB20D9" w14:textId="77777777" w:rsidR="003663AF" w:rsidRPr="00B7760C" w:rsidRDefault="003663AF" w:rsidP="00E804B7">
            <w:pPr>
              <w:pStyle w:val="Normal6"/>
              <w:jc w:val="right"/>
              <w:rPr>
                <w:b/>
                <w:bCs/>
                <w:i/>
                <w:iCs/>
                <w:sz w:val="20"/>
              </w:rPr>
            </w:pPr>
            <w:r w:rsidRPr="00B7760C">
              <w:rPr>
                <w:b/>
                <w:bCs/>
                <w:i/>
                <w:iCs/>
                <w:sz w:val="20"/>
              </w:rPr>
              <w:t>X</w:t>
            </w:r>
          </w:p>
        </w:tc>
        <w:tc>
          <w:tcPr>
            <w:tcW w:w="1616" w:type="dxa"/>
            <w:tcBorders>
              <w:top w:val="single" w:sz="4" w:space="0" w:color="auto"/>
              <w:left w:val="single" w:sz="4" w:space="0" w:color="auto"/>
              <w:bottom w:val="single" w:sz="4" w:space="0" w:color="auto"/>
              <w:right w:val="single" w:sz="4" w:space="0" w:color="auto"/>
            </w:tcBorders>
            <w:hideMark/>
          </w:tcPr>
          <w:p w14:paraId="4817FB60"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5871AC40" w14:textId="77777777" w:rsidTr="00E804B7">
        <w:trPr>
          <w:cantSplit/>
          <w:trHeight w:val="255"/>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14:paraId="11EA4ABC" w14:textId="77777777" w:rsidR="003663AF" w:rsidRPr="00B7760C" w:rsidRDefault="003663AF" w:rsidP="00E804B7">
            <w:pPr>
              <w:pStyle w:val="Normal6"/>
              <w:rPr>
                <w:sz w:val="20"/>
              </w:rPr>
            </w:pPr>
            <w:r w:rsidRPr="00B7760C">
              <w:rPr>
                <w:sz w:val="20"/>
              </w:rPr>
              <w:t>Madžarska</w:t>
            </w:r>
          </w:p>
        </w:tc>
        <w:tc>
          <w:tcPr>
            <w:tcW w:w="1608" w:type="dxa"/>
            <w:tcBorders>
              <w:top w:val="single" w:sz="4" w:space="0" w:color="auto"/>
              <w:left w:val="single" w:sz="4" w:space="0" w:color="auto"/>
              <w:bottom w:val="single" w:sz="4" w:space="0" w:color="auto"/>
              <w:right w:val="single" w:sz="4" w:space="0" w:color="auto"/>
            </w:tcBorders>
            <w:hideMark/>
          </w:tcPr>
          <w:p w14:paraId="6441CC09"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4B3D68E2"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0DED8A5C"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6CE1A03E"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26CD6CE7"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31D78F7E"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35A8A9BE" w14:textId="77777777" w:rsidR="003663AF" w:rsidRPr="00B7760C" w:rsidRDefault="003663AF" w:rsidP="00E804B7">
            <w:pPr>
              <w:pStyle w:val="Normal6"/>
              <w:jc w:val="right"/>
              <w:rPr>
                <w:b/>
                <w:bCs/>
                <w:i/>
                <w:iCs/>
                <w:sz w:val="20"/>
              </w:rPr>
            </w:pPr>
            <w:r w:rsidRPr="00B7760C">
              <w:rPr>
                <w:b/>
                <w:bCs/>
                <w:i/>
                <w:iCs/>
                <w:sz w:val="20"/>
              </w:rPr>
              <w:t>X</w:t>
            </w:r>
          </w:p>
        </w:tc>
        <w:tc>
          <w:tcPr>
            <w:tcW w:w="1616" w:type="dxa"/>
            <w:tcBorders>
              <w:top w:val="single" w:sz="4" w:space="0" w:color="auto"/>
              <w:left w:val="single" w:sz="4" w:space="0" w:color="auto"/>
              <w:bottom w:val="single" w:sz="4" w:space="0" w:color="auto"/>
              <w:right w:val="single" w:sz="4" w:space="0" w:color="auto"/>
            </w:tcBorders>
            <w:hideMark/>
          </w:tcPr>
          <w:p w14:paraId="2284B71E"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2774E435" w14:textId="77777777" w:rsidTr="00E804B7">
        <w:trPr>
          <w:cantSplit/>
          <w:trHeight w:val="255"/>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14:paraId="1BE9EF7D" w14:textId="77777777" w:rsidR="003663AF" w:rsidRPr="00B7760C" w:rsidRDefault="003663AF" w:rsidP="00E804B7">
            <w:pPr>
              <w:pStyle w:val="Normal6"/>
              <w:rPr>
                <w:sz w:val="20"/>
              </w:rPr>
            </w:pPr>
            <w:r w:rsidRPr="00B7760C">
              <w:rPr>
                <w:sz w:val="20"/>
              </w:rPr>
              <w:t>Malta</w:t>
            </w:r>
          </w:p>
        </w:tc>
        <w:tc>
          <w:tcPr>
            <w:tcW w:w="1608" w:type="dxa"/>
            <w:tcBorders>
              <w:top w:val="single" w:sz="4" w:space="0" w:color="auto"/>
              <w:left w:val="single" w:sz="4" w:space="0" w:color="auto"/>
              <w:bottom w:val="single" w:sz="4" w:space="0" w:color="auto"/>
              <w:right w:val="single" w:sz="4" w:space="0" w:color="auto"/>
            </w:tcBorders>
            <w:hideMark/>
          </w:tcPr>
          <w:p w14:paraId="789558E3"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147FEB70"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0A77DB9E"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3330EB28"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76BA1E31"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5D2534A3"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77612E59" w14:textId="77777777" w:rsidR="003663AF" w:rsidRPr="00B7760C" w:rsidRDefault="003663AF" w:rsidP="00E804B7">
            <w:pPr>
              <w:pStyle w:val="Normal6"/>
              <w:jc w:val="right"/>
              <w:rPr>
                <w:b/>
                <w:bCs/>
                <w:i/>
                <w:iCs/>
                <w:sz w:val="20"/>
              </w:rPr>
            </w:pPr>
            <w:r w:rsidRPr="00B7760C">
              <w:rPr>
                <w:b/>
                <w:bCs/>
                <w:i/>
                <w:iCs/>
                <w:sz w:val="20"/>
              </w:rPr>
              <w:t>X</w:t>
            </w:r>
          </w:p>
        </w:tc>
        <w:tc>
          <w:tcPr>
            <w:tcW w:w="1616" w:type="dxa"/>
            <w:tcBorders>
              <w:top w:val="single" w:sz="4" w:space="0" w:color="auto"/>
              <w:left w:val="single" w:sz="4" w:space="0" w:color="auto"/>
              <w:bottom w:val="single" w:sz="4" w:space="0" w:color="auto"/>
              <w:right w:val="single" w:sz="4" w:space="0" w:color="auto"/>
            </w:tcBorders>
            <w:hideMark/>
          </w:tcPr>
          <w:p w14:paraId="663C0411"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0CADF991" w14:textId="77777777" w:rsidTr="00E804B7">
        <w:trPr>
          <w:cantSplit/>
          <w:trHeight w:val="255"/>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14:paraId="4A638B89" w14:textId="77777777" w:rsidR="003663AF" w:rsidRPr="00B7760C" w:rsidRDefault="003663AF" w:rsidP="00E804B7">
            <w:pPr>
              <w:pStyle w:val="Normal6"/>
              <w:rPr>
                <w:sz w:val="20"/>
              </w:rPr>
            </w:pPr>
            <w:r w:rsidRPr="00B7760C">
              <w:rPr>
                <w:sz w:val="20"/>
              </w:rPr>
              <w:t>Nizozemska</w:t>
            </w:r>
          </w:p>
        </w:tc>
        <w:tc>
          <w:tcPr>
            <w:tcW w:w="1608" w:type="dxa"/>
            <w:tcBorders>
              <w:top w:val="single" w:sz="4" w:space="0" w:color="auto"/>
              <w:left w:val="single" w:sz="4" w:space="0" w:color="auto"/>
              <w:bottom w:val="single" w:sz="4" w:space="0" w:color="auto"/>
              <w:right w:val="single" w:sz="4" w:space="0" w:color="auto"/>
            </w:tcBorders>
            <w:hideMark/>
          </w:tcPr>
          <w:p w14:paraId="67ECEF24"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079F3942"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02645227"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5DB045FB"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4E79A7A5"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2C214048"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12ABCDBF" w14:textId="77777777" w:rsidR="003663AF" w:rsidRPr="00B7760C" w:rsidRDefault="003663AF" w:rsidP="00E804B7">
            <w:pPr>
              <w:pStyle w:val="Normal6"/>
              <w:jc w:val="right"/>
              <w:rPr>
                <w:b/>
                <w:bCs/>
                <w:i/>
                <w:iCs/>
                <w:sz w:val="20"/>
              </w:rPr>
            </w:pPr>
            <w:r w:rsidRPr="00B7760C">
              <w:rPr>
                <w:b/>
                <w:bCs/>
                <w:i/>
                <w:iCs/>
                <w:sz w:val="20"/>
              </w:rPr>
              <w:t>X</w:t>
            </w:r>
          </w:p>
        </w:tc>
        <w:tc>
          <w:tcPr>
            <w:tcW w:w="1616" w:type="dxa"/>
            <w:tcBorders>
              <w:top w:val="single" w:sz="4" w:space="0" w:color="auto"/>
              <w:left w:val="single" w:sz="4" w:space="0" w:color="auto"/>
              <w:bottom w:val="single" w:sz="4" w:space="0" w:color="auto"/>
              <w:right w:val="single" w:sz="4" w:space="0" w:color="auto"/>
            </w:tcBorders>
            <w:hideMark/>
          </w:tcPr>
          <w:p w14:paraId="6400C5B7"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04AD5548" w14:textId="77777777" w:rsidTr="00E804B7">
        <w:trPr>
          <w:cantSplit/>
          <w:trHeight w:val="255"/>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14:paraId="094BDB5D" w14:textId="77777777" w:rsidR="003663AF" w:rsidRPr="00B7760C" w:rsidRDefault="003663AF" w:rsidP="00E804B7">
            <w:pPr>
              <w:pStyle w:val="Normal6"/>
              <w:rPr>
                <w:sz w:val="20"/>
              </w:rPr>
            </w:pPr>
            <w:r w:rsidRPr="00B7760C">
              <w:rPr>
                <w:sz w:val="20"/>
              </w:rPr>
              <w:t>Avstrija</w:t>
            </w:r>
          </w:p>
        </w:tc>
        <w:tc>
          <w:tcPr>
            <w:tcW w:w="1608" w:type="dxa"/>
            <w:tcBorders>
              <w:top w:val="single" w:sz="4" w:space="0" w:color="auto"/>
              <w:left w:val="single" w:sz="4" w:space="0" w:color="auto"/>
              <w:bottom w:val="single" w:sz="4" w:space="0" w:color="auto"/>
              <w:right w:val="single" w:sz="4" w:space="0" w:color="auto"/>
            </w:tcBorders>
            <w:hideMark/>
          </w:tcPr>
          <w:p w14:paraId="3E2B2E4A"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199BACDE"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04438E47"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2EB5F42A"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1564B5D8"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53A0D6FD"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5C64989A" w14:textId="77777777" w:rsidR="003663AF" w:rsidRPr="00B7760C" w:rsidRDefault="003663AF" w:rsidP="00E804B7">
            <w:pPr>
              <w:pStyle w:val="Normal6"/>
              <w:jc w:val="right"/>
              <w:rPr>
                <w:b/>
                <w:bCs/>
                <w:i/>
                <w:iCs/>
                <w:sz w:val="20"/>
              </w:rPr>
            </w:pPr>
            <w:r w:rsidRPr="00B7760C">
              <w:rPr>
                <w:b/>
                <w:bCs/>
                <w:i/>
                <w:iCs/>
                <w:sz w:val="20"/>
              </w:rPr>
              <w:t>X</w:t>
            </w:r>
          </w:p>
        </w:tc>
        <w:tc>
          <w:tcPr>
            <w:tcW w:w="1616" w:type="dxa"/>
            <w:tcBorders>
              <w:top w:val="single" w:sz="4" w:space="0" w:color="auto"/>
              <w:left w:val="single" w:sz="4" w:space="0" w:color="auto"/>
              <w:bottom w:val="single" w:sz="4" w:space="0" w:color="auto"/>
              <w:right w:val="single" w:sz="4" w:space="0" w:color="auto"/>
            </w:tcBorders>
            <w:hideMark/>
          </w:tcPr>
          <w:p w14:paraId="1A3F2CFB"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35463338" w14:textId="77777777" w:rsidTr="00E804B7">
        <w:trPr>
          <w:cantSplit/>
          <w:trHeight w:val="255"/>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14:paraId="08AD5233" w14:textId="77777777" w:rsidR="003663AF" w:rsidRPr="00B7760C" w:rsidRDefault="003663AF" w:rsidP="00E804B7">
            <w:pPr>
              <w:pStyle w:val="Normal6"/>
              <w:rPr>
                <w:sz w:val="20"/>
              </w:rPr>
            </w:pPr>
            <w:r w:rsidRPr="00B7760C">
              <w:rPr>
                <w:sz w:val="20"/>
              </w:rPr>
              <w:t>Poljska</w:t>
            </w:r>
          </w:p>
        </w:tc>
        <w:tc>
          <w:tcPr>
            <w:tcW w:w="1608" w:type="dxa"/>
            <w:tcBorders>
              <w:top w:val="single" w:sz="4" w:space="0" w:color="auto"/>
              <w:left w:val="single" w:sz="4" w:space="0" w:color="auto"/>
              <w:bottom w:val="single" w:sz="4" w:space="0" w:color="auto"/>
              <w:right w:val="single" w:sz="4" w:space="0" w:color="auto"/>
            </w:tcBorders>
            <w:hideMark/>
          </w:tcPr>
          <w:p w14:paraId="7C3713FD"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6806CA38"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6788A32E"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7FE8F792"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276E9068"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57A69CB4"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2DD684B3" w14:textId="77777777" w:rsidR="003663AF" w:rsidRPr="00B7760C" w:rsidRDefault="003663AF" w:rsidP="00E804B7">
            <w:pPr>
              <w:pStyle w:val="Normal6"/>
              <w:jc w:val="right"/>
              <w:rPr>
                <w:b/>
                <w:bCs/>
                <w:i/>
                <w:iCs/>
                <w:sz w:val="20"/>
              </w:rPr>
            </w:pPr>
            <w:r w:rsidRPr="00B7760C">
              <w:rPr>
                <w:b/>
                <w:bCs/>
                <w:i/>
                <w:iCs/>
                <w:sz w:val="20"/>
              </w:rPr>
              <w:t>X</w:t>
            </w:r>
          </w:p>
        </w:tc>
        <w:tc>
          <w:tcPr>
            <w:tcW w:w="1616" w:type="dxa"/>
            <w:tcBorders>
              <w:top w:val="single" w:sz="4" w:space="0" w:color="auto"/>
              <w:left w:val="single" w:sz="4" w:space="0" w:color="auto"/>
              <w:bottom w:val="single" w:sz="4" w:space="0" w:color="auto"/>
              <w:right w:val="single" w:sz="4" w:space="0" w:color="auto"/>
            </w:tcBorders>
            <w:hideMark/>
          </w:tcPr>
          <w:p w14:paraId="19ADA2AB"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5263D2DD" w14:textId="77777777" w:rsidTr="00E804B7">
        <w:trPr>
          <w:cantSplit/>
          <w:trHeight w:val="255"/>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14:paraId="6127AE8D" w14:textId="77777777" w:rsidR="003663AF" w:rsidRPr="00B7760C" w:rsidRDefault="003663AF" w:rsidP="00E804B7">
            <w:pPr>
              <w:pStyle w:val="Normal6"/>
              <w:rPr>
                <w:sz w:val="20"/>
              </w:rPr>
            </w:pPr>
            <w:r w:rsidRPr="00B7760C">
              <w:rPr>
                <w:sz w:val="20"/>
              </w:rPr>
              <w:t>Portugalska</w:t>
            </w:r>
          </w:p>
        </w:tc>
        <w:tc>
          <w:tcPr>
            <w:tcW w:w="1608" w:type="dxa"/>
            <w:tcBorders>
              <w:top w:val="single" w:sz="4" w:space="0" w:color="auto"/>
              <w:left w:val="single" w:sz="4" w:space="0" w:color="auto"/>
              <w:bottom w:val="single" w:sz="4" w:space="0" w:color="auto"/>
              <w:right w:val="single" w:sz="4" w:space="0" w:color="auto"/>
            </w:tcBorders>
            <w:hideMark/>
          </w:tcPr>
          <w:p w14:paraId="4A6054CD"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6CA226CB"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23B73049"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45C421C8"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1050D784"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08689EF9"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30A77CE4" w14:textId="77777777" w:rsidR="003663AF" w:rsidRPr="00B7760C" w:rsidRDefault="003663AF" w:rsidP="00E804B7">
            <w:pPr>
              <w:pStyle w:val="Normal6"/>
              <w:jc w:val="right"/>
              <w:rPr>
                <w:b/>
                <w:bCs/>
                <w:i/>
                <w:iCs/>
                <w:sz w:val="20"/>
              </w:rPr>
            </w:pPr>
            <w:r w:rsidRPr="00B7760C">
              <w:rPr>
                <w:b/>
                <w:bCs/>
                <w:i/>
                <w:iCs/>
                <w:sz w:val="20"/>
              </w:rPr>
              <w:t>X</w:t>
            </w:r>
          </w:p>
        </w:tc>
        <w:tc>
          <w:tcPr>
            <w:tcW w:w="1616" w:type="dxa"/>
            <w:tcBorders>
              <w:top w:val="single" w:sz="4" w:space="0" w:color="auto"/>
              <w:left w:val="single" w:sz="4" w:space="0" w:color="auto"/>
              <w:bottom w:val="single" w:sz="4" w:space="0" w:color="auto"/>
              <w:right w:val="single" w:sz="4" w:space="0" w:color="auto"/>
            </w:tcBorders>
            <w:hideMark/>
          </w:tcPr>
          <w:p w14:paraId="246F06C7"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67670EED" w14:textId="77777777" w:rsidTr="00E804B7">
        <w:trPr>
          <w:cantSplit/>
          <w:trHeight w:val="255"/>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14:paraId="5A9D4891" w14:textId="77777777" w:rsidR="003663AF" w:rsidRPr="00B7760C" w:rsidRDefault="003663AF" w:rsidP="00E804B7">
            <w:pPr>
              <w:pStyle w:val="Normal6"/>
              <w:rPr>
                <w:sz w:val="20"/>
              </w:rPr>
            </w:pPr>
            <w:r w:rsidRPr="00B7760C">
              <w:rPr>
                <w:sz w:val="20"/>
              </w:rPr>
              <w:t>Romunija</w:t>
            </w:r>
          </w:p>
        </w:tc>
        <w:tc>
          <w:tcPr>
            <w:tcW w:w="1608" w:type="dxa"/>
            <w:tcBorders>
              <w:top w:val="single" w:sz="4" w:space="0" w:color="auto"/>
              <w:left w:val="single" w:sz="4" w:space="0" w:color="auto"/>
              <w:bottom w:val="single" w:sz="4" w:space="0" w:color="auto"/>
              <w:right w:val="single" w:sz="4" w:space="0" w:color="auto"/>
            </w:tcBorders>
            <w:hideMark/>
          </w:tcPr>
          <w:p w14:paraId="5EF5CC2C"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16A6AA99"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12EB77AB"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6E5A848E"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219C2696"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7E810AA6"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3782916B" w14:textId="77777777" w:rsidR="003663AF" w:rsidRPr="00B7760C" w:rsidRDefault="003663AF" w:rsidP="00E804B7">
            <w:pPr>
              <w:pStyle w:val="Normal6"/>
              <w:jc w:val="right"/>
              <w:rPr>
                <w:b/>
                <w:bCs/>
                <w:i/>
                <w:iCs/>
                <w:sz w:val="20"/>
              </w:rPr>
            </w:pPr>
            <w:r w:rsidRPr="00B7760C">
              <w:rPr>
                <w:b/>
                <w:bCs/>
                <w:i/>
                <w:iCs/>
                <w:sz w:val="20"/>
              </w:rPr>
              <w:t>X</w:t>
            </w:r>
          </w:p>
        </w:tc>
        <w:tc>
          <w:tcPr>
            <w:tcW w:w="1616" w:type="dxa"/>
            <w:tcBorders>
              <w:top w:val="single" w:sz="4" w:space="0" w:color="auto"/>
              <w:left w:val="single" w:sz="4" w:space="0" w:color="auto"/>
              <w:bottom w:val="single" w:sz="4" w:space="0" w:color="auto"/>
              <w:right w:val="single" w:sz="4" w:space="0" w:color="auto"/>
            </w:tcBorders>
            <w:hideMark/>
          </w:tcPr>
          <w:p w14:paraId="27118D50"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2E8D9081" w14:textId="77777777" w:rsidTr="00E804B7">
        <w:trPr>
          <w:cantSplit/>
          <w:trHeight w:val="255"/>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14:paraId="77B48445" w14:textId="77777777" w:rsidR="003663AF" w:rsidRPr="00B7760C" w:rsidRDefault="003663AF" w:rsidP="00E804B7">
            <w:pPr>
              <w:pStyle w:val="Normal6"/>
              <w:rPr>
                <w:sz w:val="20"/>
              </w:rPr>
            </w:pPr>
            <w:r w:rsidRPr="00B7760C">
              <w:rPr>
                <w:sz w:val="20"/>
              </w:rPr>
              <w:t>Slovenija</w:t>
            </w:r>
          </w:p>
        </w:tc>
        <w:tc>
          <w:tcPr>
            <w:tcW w:w="1608" w:type="dxa"/>
            <w:tcBorders>
              <w:top w:val="single" w:sz="4" w:space="0" w:color="auto"/>
              <w:left w:val="single" w:sz="4" w:space="0" w:color="auto"/>
              <w:bottom w:val="single" w:sz="4" w:space="0" w:color="auto"/>
              <w:right w:val="single" w:sz="4" w:space="0" w:color="auto"/>
            </w:tcBorders>
            <w:hideMark/>
          </w:tcPr>
          <w:p w14:paraId="634333AA"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2421F07A"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45134B7E"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1043EC14"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18C483CD"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4600FC5B"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2EDE0155" w14:textId="77777777" w:rsidR="003663AF" w:rsidRPr="00B7760C" w:rsidRDefault="003663AF" w:rsidP="00E804B7">
            <w:pPr>
              <w:pStyle w:val="Normal6"/>
              <w:jc w:val="right"/>
              <w:rPr>
                <w:b/>
                <w:bCs/>
                <w:i/>
                <w:iCs/>
                <w:sz w:val="20"/>
              </w:rPr>
            </w:pPr>
            <w:r w:rsidRPr="00B7760C">
              <w:rPr>
                <w:b/>
                <w:bCs/>
                <w:i/>
                <w:iCs/>
                <w:sz w:val="20"/>
              </w:rPr>
              <w:t>X</w:t>
            </w:r>
          </w:p>
        </w:tc>
        <w:tc>
          <w:tcPr>
            <w:tcW w:w="1616" w:type="dxa"/>
            <w:tcBorders>
              <w:top w:val="single" w:sz="4" w:space="0" w:color="auto"/>
              <w:left w:val="single" w:sz="4" w:space="0" w:color="auto"/>
              <w:bottom w:val="single" w:sz="4" w:space="0" w:color="auto"/>
              <w:right w:val="single" w:sz="4" w:space="0" w:color="auto"/>
            </w:tcBorders>
            <w:hideMark/>
          </w:tcPr>
          <w:p w14:paraId="15E5DE4B"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689AB393" w14:textId="77777777" w:rsidTr="00E804B7">
        <w:trPr>
          <w:cantSplit/>
          <w:trHeight w:val="255"/>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14:paraId="07ED739E" w14:textId="77777777" w:rsidR="003663AF" w:rsidRPr="00B7760C" w:rsidRDefault="003663AF" w:rsidP="00E804B7">
            <w:pPr>
              <w:pStyle w:val="Normal6"/>
              <w:rPr>
                <w:sz w:val="20"/>
              </w:rPr>
            </w:pPr>
            <w:r w:rsidRPr="00B7760C">
              <w:rPr>
                <w:sz w:val="20"/>
              </w:rPr>
              <w:t>Slovaška</w:t>
            </w:r>
          </w:p>
        </w:tc>
        <w:tc>
          <w:tcPr>
            <w:tcW w:w="1608" w:type="dxa"/>
            <w:tcBorders>
              <w:top w:val="single" w:sz="4" w:space="0" w:color="auto"/>
              <w:left w:val="single" w:sz="4" w:space="0" w:color="auto"/>
              <w:bottom w:val="single" w:sz="4" w:space="0" w:color="auto"/>
              <w:right w:val="single" w:sz="4" w:space="0" w:color="auto"/>
            </w:tcBorders>
            <w:hideMark/>
          </w:tcPr>
          <w:p w14:paraId="3B792434"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316EB463"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7F0AF71A"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62B6A90A"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147FC392"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047E70D7"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01BB8F72" w14:textId="77777777" w:rsidR="003663AF" w:rsidRPr="00B7760C" w:rsidRDefault="003663AF" w:rsidP="00E804B7">
            <w:pPr>
              <w:pStyle w:val="Normal6"/>
              <w:jc w:val="right"/>
              <w:rPr>
                <w:b/>
                <w:bCs/>
                <w:i/>
                <w:iCs/>
                <w:sz w:val="20"/>
              </w:rPr>
            </w:pPr>
            <w:r w:rsidRPr="00B7760C">
              <w:rPr>
                <w:b/>
                <w:bCs/>
                <w:i/>
                <w:iCs/>
                <w:sz w:val="20"/>
              </w:rPr>
              <w:t>X</w:t>
            </w:r>
          </w:p>
        </w:tc>
        <w:tc>
          <w:tcPr>
            <w:tcW w:w="1616" w:type="dxa"/>
            <w:tcBorders>
              <w:top w:val="single" w:sz="4" w:space="0" w:color="auto"/>
              <w:left w:val="single" w:sz="4" w:space="0" w:color="auto"/>
              <w:bottom w:val="single" w:sz="4" w:space="0" w:color="auto"/>
              <w:right w:val="single" w:sz="4" w:space="0" w:color="auto"/>
            </w:tcBorders>
            <w:hideMark/>
          </w:tcPr>
          <w:p w14:paraId="137AC9C1"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59A7E0F3" w14:textId="77777777" w:rsidTr="00E804B7">
        <w:trPr>
          <w:cantSplit/>
          <w:trHeight w:val="255"/>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14:paraId="11E803AB" w14:textId="77777777" w:rsidR="003663AF" w:rsidRPr="00B7760C" w:rsidRDefault="003663AF" w:rsidP="00E804B7">
            <w:pPr>
              <w:pStyle w:val="Normal6"/>
              <w:rPr>
                <w:sz w:val="20"/>
              </w:rPr>
            </w:pPr>
            <w:r w:rsidRPr="00B7760C">
              <w:rPr>
                <w:sz w:val="20"/>
              </w:rPr>
              <w:t>Finska</w:t>
            </w:r>
          </w:p>
        </w:tc>
        <w:tc>
          <w:tcPr>
            <w:tcW w:w="1608" w:type="dxa"/>
            <w:tcBorders>
              <w:top w:val="single" w:sz="4" w:space="0" w:color="auto"/>
              <w:left w:val="single" w:sz="4" w:space="0" w:color="auto"/>
              <w:bottom w:val="single" w:sz="4" w:space="0" w:color="auto"/>
              <w:right w:val="single" w:sz="4" w:space="0" w:color="auto"/>
            </w:tcBorders>
            <w:hideMark/>
          </w:tcPr>
          <w:p w14:paraId="0CE174DE"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404D0F89"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6759DF06"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7DCDC45D"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59F32629"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600BCED4"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400A9659" w14:textId="77777777" w:rsidR="003663AF" w:rsidRPr="00B7760C" w:rsidRDefault="003663AF" w:rsidP="00E804B7">
            <w:pPr>
              <w:pStyle w:val="Normal6"/>
              <w:jc w:val="right"/>
              <w:rPr>
                <w:b/>
                <w:bCs/>
                <w:i/>
                <w:iCs/>
                <w:sz w:val="20"/>
              </w:rPr>
            </w:pPr>
            <w:r w:rsidRPr="00B7760C">
              <w:rPr>
                <w:b/>
                <w:bCs/>
                <w:i/>
                <w:iCs/>
                <w:sz w:val="20"/>
              </w:rPr>
              <w:t>X</w:t>
            </w:r>
          </w:p>
        </w:tc>
        <w:tc>
          <w:tcPr>
            <w:tcW w:w="1616" w:type="dxa"/>
            <w:tcBorders>
              <w:top w:val="single" w:sz="4" w:space="0" w:color="auto"/>
              <w:left w:val="single" w:sz="4" w:space="0" w:color="auto"/>
              <w:bottom w:val="single" w:sz="4" w:space="0" w:color="auto"/>
              <w:right w:val="single" w:sz="4" w:space="0" w:color="auto"/>
            </w:tcBorders>
            <w:hideMark/>
          </w:tcPr>
          <w:p w14:paraId="7136AD6B"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025CD69E" w14:textId="77777777" w:rsidTr="00E804B7">
        <w:trPr>
          <w:cantSplit/>
          <w:trHeight w:val="255"/>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14:paraId="186DA684" w14:textId="77777777" w:rsidR="003663AF" w:rsidRPr="00B7760C" w:rsidRDefault="003663AF" w:rsidP="00E804B7">
            <w:pPr>
              <w:pStyle w:val="Normal6"/>
              <w:rPr>
                <w:sz w:val="20"/>
              </w:rPr>
            </w:pPr>
            <w:r w:rsidRPr="00B7760C">
              <w:rPr>
                <w:sz w:val="20"/>
              </w:rPr>
              <w:t>Švedska</w:t>
            </w:r>
          </w:p>
        </w:tc>
        <w:tc>
          <w:tcPr>
            <w:tcW w:w="1608" w:type="dxa"/>
            <w:tcBorders>
              <w:top w:val="single" w:sz="4" w:space="0" w:color="auto"/>
              <w:left w:val="single" w:sz="4" w:space="0" w:color="auto"/>
              <w:bottom w:val="single" w:sz="4" w:space="0" w:color="auto"/>
              <w:right w:val="single" w:sz="4" w:space="0" w:color="auto"/>
            </w:tcBorders>
            <w:hideMark/>
          </w:tcPr>
          <w:p w14:paraId="4199E06F"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4743CAEE"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0ECCE6AE"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65BA48FF"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368F49C9"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320E741E"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6F898367" w14:textId="77777777" w:rsidR="003663AF" w:rsidRPr="00B7760C" w:rsidRDefault="003663AF" w:rsidP="00E804B7">
            <w:pPr>
              <w:pStyle w:val="Normal6"/>
              <w:jc w:val="right"/>
              <w:rPr>
                <w:b/>
                <w:bCs/>
                <w:i/>
                <w:iCs/>
                <w:sz w:val="20"/>
              </w:rPr>
            </w:pPr>
            <w:r w:rsidRPr="00B7760C">
              <w:rPr>
                <w:b/>
                <w:bCs/>
                <w:i/>
                <w:iCs/>
                <w:sz w:val="20"/>
              </w:rPr>
              <w:t>X</w:t>
            </w:r>
          </w:p>
        </w:tc>
        <w:tc>
          <w:tcPr>
            <w:tcW w:w="1616" w:type="dxa"/>
            <w:tcBorders>
              <w:top w:val="single" w:sz="4" w:space="0" w:color="auto"/>
              <w:left w:val="single" w:sz="4" w:space="0" w:color="auto"/>
              <w:bottom w:val="single" w:sz="4" w:space="0" w:color="auto"/>
              <w:right w:val="single" w:sz="4" w:space="0" w:color="auto"/>
            </w:tcBorders>
            <w:hideMark/>
          </w:tcPr>
          <w:p w14:paraId="098304D3"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4E5E5E24" w14:textId="77777777" w:rsidTr="00E804B7">
        <w:trPr>
          <w:cantSplit/>
          <w:trHeight w:val="255"/>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14:paraId="3EA21535" w14:textId="77777777" w:rsidR="003663AF" w:rsidRPr="00B7760C" w:rsidRDefault="003663AF" w:rsidP="00E804B7">
            <w:pPr>
              <w:pStyle w:val="Normal6"/>
              <w:rPr>
                <w:sz w:val="20"/>
              </w:rPr>
            </w:pPr>
            <w:r w:rsidRPr="00B7760C">
              <w:rPr>
                <w:sz w:val="20"/>
              </w:rPr>
              <w:t>EU-27 skupaj</w:t>
            </w:r>
          </w:p>
        </w:tc>
        <w:tc>
          <w:tcPr>
            <w:tcW w:w="1608" w:type="dxa"/>
            <w:tcBorders>
              <w:top w:val="single" w:sz="4" w:space="0" w:color="auto"/>
              <w:left w:val="single" w:sz="4" w:space="0" w:color="auto"/>
              <w:bottom w:val="single" w:sz="4" w:space="0" w:color="auto"/>
              <w:right w:val="single" w:sz="4" w:space="0" w:color="auto"/>
            </w:tcBorders>
            <w:hideMark/>
          </w:tcPr>
          <w:p w14:paraId="6B1479BB"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0B8EE5DC"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0414E432"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3082F947"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2BA1EB97"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7DD7CEAD"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5B20C658" w14:textId="77777777" w:rsidR="003663AF" w:rsidRPr="00B7760C" w:rsidRDefault="003663AF" w:rsidP="00E804B7">
            <w:pPr>
              <w:pStyle w:val="Normal6"/>
              <w:jc w:val="right"/>
              <w:rPr>
                <w:b/>
                <w:bCs/>
                <w:i/>
                <w:iCs/>
                <w:sz w:val="20"/>
              </w:rPr>
            </w:pPr>
            <w:r w:rsidRPr="00B7760C">
              <w:rPr>
                <w:b/>
                <w:bCs/>
                <w:i/>
                <w:iCs/>
                <w:sz w:val="20"/>
              </w:rPr>
              <w:t>X</w:t>
            </w:r>
          </w:p>
        </w:tc>
        <w:tc>
          <w:tcPr>
            <w:tcW w:w="1616" w:type="dxa"/>
            <w:tcBorders>
              <w:top w:val="single" w:sz="4" w:space="0" w:color="auto"/>
              <w:left w:val="single" w:sz="4" w:space="0" w:color="auto"/>
              <w:bottom w:val="single" w:sz="4" w:space="0" w:color="auto"/>
              <w:right w:val="single" w:sz="4" w:space="0" w:color="auto"/>
            </w:tcBorders>
            <w:hideMark/>
          </w:tcPr>
          <w:p w14:paraId="136615C8"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5FA13088" w14:textId="77777777" w:rsidTr="00E804B7">
        <w:trPr>
          <w:cantSplit/>
          <w:trHeight w:val="255"/>
          <w:jc w:val="center"/>
        </w:trPr>
        <w:tc>
          <w:tcPr>
            <w:tcW w:w="1630" w:type="dxa"/>
            <w:tcBorders>
              <w:top w:val="single" w:sz="4" w:space="0" w:color="auto"/>
              <w:left w:val="nil"/>
              <w:bottom w:val="single" w:sz="4" w:space="0" w:color="auto"/>
              <w:right w:val="nil"/>
            </w:tcBorders>
            <w:vAlign w:val="center"/>
          </w:tcPr>
          <w:p w14:paraId="154E65AB" w14:textId="77777777" w:rsidR="003663AF" w:rsidRPr="00B7760C" w:rsidRDefault="003663AF" w:rsidP="00E804B7">
            <w:pPr>
              <w:pStyle w:val="Normal6"/>
              <w:rPr>
                <w:sz w:val="20"/>
              </w:rPr>
            </w:pPr>
          </w:p>
        </w:tc>
        <w:tc>
          <w:tcPr>
            <w:tcW w:w="1608" w:type="dxa"/>
            <w:tcBorders>
              <w:top w:val="single" w:sz="4" w:space="0" w:color="auto"/>
              <w:left w:val="nil"/>
              <w:bottom w:val="single" w:sz="4" w:space="0" w:color="auto"/>
              <w:right w:val="nil"/>
            </w:tcBorders>
          </w:tcPr>
          <w:p w14:paraId="7B9F1BBF" w14:textId="77777777" w:rsidR="003663AF" w:rsidRPr="00B7760C" w:rsidRDefault="003663AF" w:rsidP="00E804B7">
            <w:pPr>
              <w:pStyle w:val="Normal6"/>
              <w:jc w:val="right"/>
              <w:rPr>
                <w:b/>
                <w:bCs/>
                <w:i/>
                <w:iCs/>
                <w:sz w:val="20"/>
              </w:rPr>
            </w:pPr>
          </w:p>
        </w:tc>
        <w:tc>
          <w:tcPr>
            <w:tcW w:w="1608" w:type="dxa"/>
            <w:tcBorders>
              <w:top w:val="single" w:sz="4" w:space="0" w:color="auto"/>
              <w:left w:val="nil"/>
              <w:bottom w:val="single" w:sz="4" w:space="0" w:color="auto"/>
              <w:right w:val="nil"/>
            </w:tcBorders>
          </w:tcPr>
          <w:p w14:paraId="21F86B4B" w14:textId="77777777" w:rsidR="003663AF" w:rsidRPr="00B7760C" w:rsidRDefault="003663AF" w:rsidP="00E804B7">
            <w:pPr>
              <w:pStyle w:val="Normal6"/>
              <w:jc w:val="right"/>
              <w:rPr>
                <w:b/>
                <w:bCs/>
                <w:i/>
                <w:iCs/>
                <w:sz w:val="20"/>
              </w:rPr>
            </w:pPr>
          </w:p>
        </w:tc>
        <w:tc>
          <w:tcPr>
            <w:tcW w:w="1608" w:type="dxa"/>
            <w:tcBorders>
              <w:top w:val="single" w:sz="4" w:space="0" w:color="auto"/>
              <w:left w:val="nil"/>
              <w:bottom w:val="single" w:sz="4" w:space="0" w:color="auto"/>
              <w:right w:val="nil"/>
            </w:tcBorders>
          </w:tcPr>
          <w:p w14:paraId="5238EE4B" w14:textId="77777777" w:rsidR="003663AF" w:rsidRPr="00B7760C" w:rsidRDefault="003663AF" w:rsidP="00E804B7">
            <w:pPr>
              <w:pStyle w:val="Normal6"/>
              <w:jc w:val="right"/>
              <w:rPr>
                <w:b/>
                <w:bCs/>
                <w:i/>
                <w:iCs/>
                <w:sz w:val="20"/>
              </w:rPr>
            </w:pPr>
          </w:p>
        </w:tc>
        <w:tc>
          <w:tcPr>
            <w:tcW w:w="1608" w:type="dxa"/>
            <w:tcBorders>
              <w:top w:val="single" w:sz="4" w:space="0" w:color="auto"/>
              <w:left w:val="nil"/>
              <w:bottom w:val="single" w:sz="4" w:space="0" w:color="auto"/>
              <w:right w:val="nil"/>
            </w:tcBorders>
          </w:tcPr>
          <w:p w14:paraId="6D1A891D" w14:textId="77777777" w:rsidR="003663AF" w:rsidRPr="00B7760C" w:rsidRDefault="003663AF" w:rsidP="00E804B7">
            <w:pPr>
              <w:pStyle w:val="Normal6"/>
              <w:jc w:val="right"/>
              <w:rPr>
                <w:b/>
                <w:bCs/>
                <w:i/>
                <w:iCs/>
                <w:sz w:val="20"/>
              </w:rPr>
            </w:pPr>
          </w:p>
        </w:tc>
        <w:tc>
          <w:tcPr>
            <w:tcW w:w="1608" w:type="dxa"/>
            <w:tcBorders>
              <w:top w:val="single" w:sz="4" w:space="0" w:color="auto"/>
              <w:left w:val="nil"/>
              <w:bottom w:val="single" w:sz="4" w:space="0" w:color="auto"/>
              <w:right w:val="nil"/>
            </w:tcBorders>
          </w:tcPr>
          <w:p w14:paraId="2E0AFD85" w14:textId="77777777" w:rsidR="003663AF" w:rsidRPr="00B7760C" w:rsidRDefault="003663AF" w:rsidP="00E804B7">
            <w:pPr>
              <w:pStyle w:val="Normal6"/>
              <w:jc w:val="right"/>
              <w:rPr>
                <w:b/>
                <w:bCs/>
                <w:i/>
                <w:iCs/>
                <w:sz w:val="20"/>
              </w:rPr>
            </w:pPr>
          </w:p>
        </w:tc>
        <w:tc>
          <w:tcPr>
            <w:tcW w:w="1608" w:type="dxa"/>
            <w:tcBorders>
              <w:top w:val="single" w:sz="4" w:space="0" w:color="auto"/>
              <w:left w:val="nil"/>
              <w:bottom w:val="single" w:sz="4" w:space="0" w:color="auto"/>
              <w:right w:val="nil"/>
            </w:tcBorders>
          </w:tcPr>
          <w:p w14:paraId="76ACA504" w14:textId="77777777" w:rsidR="003663AF" w:rsidRPr="00B7760C" w:rsidRDefault="003663AF" w:rsidP="00E804B7">
            <w:pPr>
              <w:pStyle w:val="Normal6"/>
              <w:jc w:val="right"/>
              <w:rPr>
                <w:b/>
                <w:bCs/>
                <w:i/>
                <w:iCs/>
                <w:sz w:val="20"/>
              </w:rPr>
            </w:pPr>
          </w:p>
        </w:tc>
        <w:tc>
          <w:tcPr>
            <w:tcW w:w="1608" w:type="dxa"/>
            <w:tcBorders>
              <w:top w:val="single" w:sz="4" w:space="0" w:color="auto"/>
              <w:left w:val="nil"/>
              <w:bottom w:val="single" w:sz="4" w:space="0" w:color="auto"/>
              <w:right w:val="nil"/>
            </w:tcBorders>
          </w:tcPr>
          <w:p w14:paraId="58437227" w14:textId="77777777" w:rsidR="003663AF" w:rsidRPr="00B7760C" w:rsidRDefault="003663AF" w:rsidP="00E804B7">
            <w:pPr>
              <w:pStyle w:val="Normal6"/>
              <w:jc w:val="right"/>
              <w:rPr>
                <w:b/>
                <w:bCs/>
                <w:i/>
                <w:iCs/>
                <w:sz w:val="20"/>
              </w:rPr>
            </w:pPr>
          </w:p>
        </w:tc>
        <w:tc>
          <w:tcPr>
            <w:tcW w:w="1616" w:type="dxa"/>
            <w:tcBorders>
              <w:top w:val="single" w:sz="4" w:space="0" w:color="auto"/>
              <w:left w:val="nil"/>
              <w:bottom w:val="single" w:sz="4" w:space="0" w:color="auto"/>
              <w:right w:val="nil"/>
            </w:tcBorders>
          </w:tcPr>
          <w:p w14:paraId="2E7F2AFE" w14:textId="77777777" w:rsidR="003663AF" w:rsidRPr="00B7760C" w:rsidRDefault="003663AF" w:rsidP="00E804B7">
            <w:pPr>
              <w:pStyle w:val="Normal6"/>
              <w:jc w:val="right"/>
              <w:rPr>
                <w:b/>
                <w:bCs/>
                <w:i/>
                <w:iCs/>
                <w:sz w:val="20"/>
              </w:rPr>
            </w:pPr>
          </w:p>
        </w:tc>
      </w:tr>
      <w:tr w:rsidR="003663AF" w:rsidRPr="00B7760C" w14:paraId="07B12CD7" w14:textId="77777777" w:rsidTr="00E804B7">
        <w:trPr>
          <w:cantSplit/>
          <w:trHeight w:val="255"/>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14:paraId="45CFBE94" w14:textId="77777777" w:rsidR="003663AF" w:rsidRPr="00B7760C" w:rsidRDefault="003663AF" w:rsidP="00E804B7">
            <w:pPr>
              <w:pStyle w:val="Normal6"/>
              <w:rPr>
                <w:sz w:val="20"/>
              </w:rPr>
            </w:pPr>
            <w:r w:rsidRPr="00B7760C">
              <w:rPr>
                <w:sz w:val="20"/>
              </w:rPr>
              <w:t>Tehnična pomoč (0,25 %)</w:t>
            </w:r>
          </w:p>
        </w:tc>
        <w:tc>
          <w:tcPr>
            <w:tcW w:w="1608" w:type="dxa"/>
            <w:tcBorders>
              <w:top w:val="single" w:sz="4" w:space="0" w:color="auto"/>
              <w:left w:val="single" w:sz="4" w:space="0" w:color="auto"/>
              <w:bottom w:val="single" w:sz="4" w:space="0" w:color="auto"/>
              <w:right w:val="single" w:sz="4" w:space="0" w:color="auto"/>
            </w:tcBorders>
            <w:hideMark/>
          </w:tcPr>
          <w:p w14:paraId="4DCF0031"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19473C22"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5CDAA025"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4A3E8355"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5B413030"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6EE2993F"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061DF0BD" w14:textId="77777777" w:rsidR="003663AF" w:rsidRPr="00B7760C" w:rsidRDefault="003663AF" w:rsidP="00E804B7">
            <w:pPr>
              <w:pStyle w:val="Normal6"/>
              <w:jc w:val="right"/>
              <w:rPr>
                <w:b/>
                <w:bCs/>
                <w:i/>
                <w:iCs/>
                <w:sz w:val="20"/>
              </w:rPr>
            </w:pPr>
            <w:r w:rsidRPr="00B7760C">
              <w:rPr>
                <w:b/>
                <w:bCs/>
                <w:i/>
                <w:iCs/>
                <w:sz w:val="20"/>
              </w:rPr>
              <w:t>X</w:t>
            </w:r>
          </w:p>
        </w:tc>
        <w:tc>
          <w:tcPr>
            <w:tcW w:w="1616" w:type="dxa"/>
            <w:tcBorders>
              <w:top w:val="single" w:sz="4" w:space="0" w:color="auto"/>
              <w:left w:val="single" w:sz="4" w:space="0" w:color="auto"/>
              <w:bottom w:val="single" w:sz="4" w:space="0" w:color="auto"/>
              <w:right w:val="single" w:sz="4" w:space="0" w:color="auto"/>
            </w:tcBorders>
            <w:hideMark/>
          </w:tcPr>
          <w:p w14:paraId="45A93709"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4CB9F947" w14:textId="77777777" w:rsidTr="00E804B7">
        <w:trPr>
          <w:cantSplit/>
          <w:trHeight w:val="255"/>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14:paraId="3311DC0B" w14:textId="77777777" w:rsidR="003663AF" w:rsidRPr="00B7760C" w:rsidRDefault="003663AF" w:rsidP="00E804B7">
            <w:pPr>
              <w:pStyle w:val="Normal6"/>
              <w:rPr>
                <w:sz w:val="20"/>
              </w:rPr>
            </w:pPr>
            <w:r w:rsidRPr="00B7760C">
              <w:rPr>
                <w:sz w:val="20"/>
              </w:rPr>
              <w:t>Skupaj</w:t>
            </w:r>
          </w:p>
        </w:tc>
        <w:tc>
          <w:tcPr>
            <w:tcW w:w="1608" w:type="dxa"/>
            <w:tcBorders>
              <w:top w:val="single" w:sz="4" w:space="0" w:color="auto"/>
              <w:left w:val="single" w:sz="4" w:space="0" w:color="auto"/>
              <w:bottom w:val="single" w:sz="4" w:space="0" w:color="auto"/>
              <w:right w:val="single" w:sz="4" w:space="0" w:color="auto"/>
            </w:tcBorders>
            <w:hideMark/>
          </w:tcPr>
          <w:p w14:paraId="4F3364B7"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01ABAEB4"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3259EA49"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3E7DC385"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79C29D5B"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3A1B964F" w14:textId="77777777" w:rsidR="003663AF" w:rsidRPr="00B7760C" w:rsidRDefault="003663AF" w:rsidP="00E804B7">
            <w:pPr>
              <w:pStyle w:val="Normal6"/>
              <w:jc w:val="right"/>
              <w:rPr>
                <w:b/>
                <w:bCs/>
                <w:i/>
                <w:iCs/>
                <w:sz w:val="20"/>
              </w:rPr>
            </w:pPr>
            <w:r w:rsidRPr="00B7760C">
              <w:rPr>
                <w:b/>
                <w:bCs/>
                <w:i/>
                <w:iCs/>
                <w:sz w:val="20"/>
              </w:rPr>
              <w:t>X</w:t>
            </w:r>
          </w:p>
        </w:tc>
        <w:tc>
          <w:tcPr>
            <w:tcW w:w="1608" w:type="dxa"/>
            <w:tcBorders>
              <w:top w:val="single" w:sz="4" w:space="0" w:color="auto"/>
              <w:left w:val="single" w:sz="4" w:space="0" w:color="auto"/>
              <w:bottom w:val="single" w:sz="4" w:space="0" w:color="auto"/>
              <w:right w:val="single" w:sz="4" w:space="0" w:color="auto"/>
            </w:tcBorders>
            <w:hideMark/>
          </w:tcPr>
          <w:p w14:paraId="4F621E0E" w14:textId="77777777" w:rsidR="003663AF" w:rsidRPr="00B7760C" w:rsidRDefault="003663AF" w:rsidP="00E804B7">
            <w:pPr>
              <w:pStyle w:val="Normal6"/>
              <w:jc w:val="right"/>
              <w:rPr>
                <w:b/>
                <w:bCs/>
                <w:i/>
                <w:iCs/>
                <w:sz w:val="20"/>
              </w:rPr>
            </w:pPr>
            <w:r w:rsidRPr="00B7760C">
              <w:rPr>
                <w:b/>
                <w:bCs/>
                <w:i/>
                <w:iCs/>
                <w:sz w:val="20"/>
              </w:rPr>
              <w:t>X</w:t>
            </w:r>
          </w:p>
        </w:tc>
        <w:tc>
          <w:tcPr>
            <w:tcW w:w="1616" w:type="dxa"/>
            <w:tcBorders>
              <w:top w:val="single" w:sz="4" w:space="0" w:color="auto"/>
              <w:left w:val="single" w:sz="4" w:space="0" w:color="auto"/>
              <w:bottom w:val="single" w:sz="4" w:space="0" w:color="auto"/>
              <w:right w:val="single" w:sz="4" w:space="0" w:color="auto"/>
            </w:tcBorders>
            <w:hideMark/>
          </w:tcPr>
          <w:p w14:paraId="0227D243"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443CD530" w14:textId="77777777" w:rsidTr="00E804B7">
        <w:trPr>
          <w:cantSplit/>
          <w:trHeight w:val="255"/>
          <w:jc w:val="center"/>
        </w:trPr>
        <w:tc>
          <w:tcPr>
            <w:tcW w:w="14502" w:type="dxa"/>
            <w:gridSpan w:val="9"/>
            <w:tcBorders>
              <w:top w:val="single" w:sz="4" w:space="0" w:color="auto"/>
              <w:left w:val="single" w:sz="4" w:space="0" w:color="auto"/>
              <w:bottom w:val="single" w:sz="4" w:space="0" w:color="auto"/>
              <w:right w:val="single" w:sz="4" w:space="0" w:color="auto"/>
            </w:tcBorders>
            <w:vAlign w:val="center"/>
            <w:hideMark/>
          </w:tcPr>
          <w:p w14:paraId="159D07B1" w14:textId="77777777" w:rsidR="003663AF" w:rsidRPr="00B7760C" w:rsidRDefault="003663AF" w:rsidP="00E804B7">
            <w:pPr>
              <w:pStyle w:val="Normal6"/>
              <w:rPr>
                <w:sz w:val="20"/>
              </w:rPr>
            </w:pPr>
            <w:r w:rsidRPr="00B7760C">
              <w:rPr>
                <w:sz w:val="20"/>
              </w:rPr>
              <w:t>__________________</w:t>
            </w:r>
          </w:p>
        </w:tc>
      </w:tr>
      <w:tr w:rsidR="003663AF" w:rsidRPr="00B7760C" w14:paraId="50878E2D" w14:textId="77777777" w:rsidTr="00E804B7">
        <w:trPr>
          <w:cantSplit/>
          <w:trHeight w:val="255"/>
          <w:jc w:val="center"/>
        </w:trPr>
        <w:tc>
          <w:tcPr>
            <w:tcW w:w="14502" w:type="dxa"/>
            <w:gridSpan w:val="9"/>
            <w:tcBorders>
              <w:top w:val="single" w:sz="4" w:space="0" w:color="auto"/>
              <w:left w:val="single" w:sz="4" w:space="0" w:color="auto"/>
              <w:bottom w:val="single" w:sz="4" w:space="0" w:color="auto"/>
              <w:right w:val="single" w:sz="4" w:space="0" w:color="auto"/>
            </w:tcBorders>
            <w:vAlign w:val="center"/>
            <w:hideMark/>
          </w:tcPr>
          <w:p w14:paraId="6CCB5BA4" w14:textId="77777777" w:rsidR="003663AF" w:rsidRPr="00B7760C" w:rsidRDefault="003663AF" w:rsidP="00E804B7">
            <w:pPr>
              <w:pStyle w:val="Normal6"/>
              <w:rPr>
                <w:sz w:val="20"/>
              </w:rPr>
            </w:pPr>
            <w:r w:rsidRPr="00B7760C">
              <w:rPr>
                <w:sz w:val="20"/>
                <w:vertAlign w:val="superscript"/>
              </w:rPr>
              <w:t>1</w:t>
            </w:r>
            <w:r w:rsidRPr="00B7760C">
              <w:rPr>
                <w:sz w:val="20"/>
              </w:rPr>
              <w:t xml:space="preserve"> Zneski pod „cene v letu 2018“ so vključeni informativno; gre za okvirne zneske, ki niso pravno zavezujoči.</w:t>
            </w:r>
          </w:p>
        </w:tc>
      </w:tr>
    </w:tbl>
    <w:p w14:paraId="7B6627E4" w14:textId="77777777" w:rsidR="003663AF" w:rsidRPr="00B7760C" w:rsidRDefault="003663AF" w:rsidP="003663AF"/>
    <w:p w14:paraId="12D5986F" w14:textId="77777777" w:rsidR="00D83206" w:rsidRPr="00B7760C" w:rsidRDefault="00D83206" w:rsidP="00D83206">
      <w:pPr>
        <w:pStyle w:val="AMNumberTabs"/>
        <w:keepNext/>
      </w:pPr>
      <w:r w:rsidRPr="00B7760C">
        <w:t>Sprememba</w:t>
      </w:r>
      <w:r w:rsidRPr="00B7760C">
        <w:tab/>
      </w:r>
      <w:r w:rsidRPr="00B7760C">
        <w:tab/>
        <w:t>725</w:t>
      </w:r>
    </w:p>
    <w:p w14:paraId="274585A2" w14:textId="77777777" w:rsidR="00D83206" w:rsidRPr="00B7760C" w:rsidRDefault="00D83206" w:rsidP="00D83206">
      <w:pPr>
        <w:pStyle w:val="NormalBold12b"/>
      </w:pPr>
      <w:r w:rsidRPr="00B7760C">
        <w:t>Predlog uredbe</w:t>
      </w:r>
    </w:p>
    <w:p w14:paraId="3124713E" w14:textId="77777777" w:rsidR="00D83206" w:rsidRPr="00B7760C" w:rsidRDefault="00D83206" w:rsidP="00D83206">
      <w:pPr>
        <w:pStyle w:val="NormalBold"/>
        <w:keepNext/>
      </w:pPr>
      <w:r w:rsidRPr="00B7760C">
        <w:t>Priloga IX a a (novo)</w:t>
      </w:r>
    </w:p>
    <w:p w14:paraId="5E1925BF" w14:textId="77777777" w:rsidR="00D83206" w:rsidRPr="00B7760C" w:rsidRDefault="00D83206" w:rsidP="00D83206">
      <w:pPr>
        <w:pStyle w:val="Normal6"/>
      </w:pPr>
    </w:p>
    <w:p w14:paraId="05CA0282" w14:textId="77777777" w:rsidR="00D83206" w:rsidRPr="00B7760C" w:rsidRDefault="00D83206" w:rsidP="00D83206">
      <w:pPr>
        <w:pStyle w:val="Normal6"/>
        <w:rPr>
          <w:i/>
        </w:rPr>
      </w:pPr>
      <w:r w:rsidRPr="00B7760C">
        <w:rPr>
          <w:i/>
        </w:rPr>
        <w:t>Besedilo, ki ga predlaga Komisija</w:t>
      </w:r>
    </w:p>
    <w:p w14:paraId="31CEDAD7" w14:textId="77777777" w:rsidR="00D83206" w:rsidRPr="00B7760C" w:rsidRDefault="00D83206" w:rsidP="00D83206">
      <w:r w:rsidRPr="00B7760C">
        <w:t>/</w:t>
      </w:r>
    </w:p>
    <w:p w14:paraId="67AE4AFC" w14:textId="77777777" w:rsidR="00D83206" w:rsidRPr="00B7760C" w:rsidRDefault="00D83206" w:rsidP="00D83206"/>
    <w:p w14:paraId="247FA06E" w14:textId="77777777" w:rsidR="00D83206" w:rsidRPr="00B7760C" w:rsidRDefault="00D83206" w:rsidP="00D83206">
      <w:pPr>
        <w:rPr>
          <w:i/>
        </w:rPr>
      </w:pPr>
      <w:r w:rsidRPr="00B7760C">
        <w:rPr>
          <w:i/>
        </w:rPr>
        <w:t>Sprememba</w:t>
      </w:r>
    </w:p>
    <w:p w14:paraId="4F3A719A" w14:textId="77777777" w:rsidR="00D83206" w:rsidRPr="00B7760C" w:rsidRDefault="00D83206" w:rsidP="00D83206"/>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D83206" w:rsidRPr="00B7760C" w14:paraId="793F39F3" w14:textId="77777777" w:rsidTr="006A3A9D">
        <w:trPr>
          <w:trHeight w:val="413"/>
        </w:trPr>
        <w:tc>
          <w:tcPr>
            <w:tcW w:w="9210" w:type="dxa"/>
            <w:vAlign w:val="center"/>
          </w:tcPr>
          <w:p w14:paraId="10251264" w14:textId="77777777" w:rsidR="00D83206" w:rsidRPr="00B7760C" w:rsidRDefault="00D83206" w:rsidP="006A3A9D">
            <w:pPr>
              <w:jc w:val="center"/>
              <w:rPr>
                <w:b/>
                <w:i/>
                <w:sz w:val="20"/>
              </w:rPr>
            </w:pPr>
            <w:r w:rsidRPr="00B7760C">
              <w:rPr>
                <w:b/>
                <w:i/>
                <w:sz w:val="20"/>
              </w:rPr>
              <w:t>Priloga IXaa (novo)</w:t>
            </w:r>
          </w:p>
        </w:tc>
      </w:tr>
      <w:tr w:rsidR="00D83206" w:rsidRPr="00B7760C" w14:paraId="3964D966" w14:textId="77777777" w:rsidTr="006A3A9D">
        <w:trPr>
          <w:trHeight w:val="701"/>
        </w:trPr>
        <w:tc>
          <w:tcPr>
            <w:tcW w:w="9210" w:type="dxa"/>
            <w:vAlign w:val="center"/>
          </w:tcPr>
          <w:p w14:paraId="099F2541" w14:textId="77777777" w:rsidR="00D83206" w:rsidRPr="00B7760C" w:rsidRDefault="00D83206" w:rsidP="006A3A9D">
            <w:pPr>
              <w:jc w:val="center"/>
              <w:rPr>
                <w:b/>
                <w:i/>
                <w:sz w:val="20"/>
              </w:rPr>
            </w:pPr>
            <w:r w:rsidRPr="00B7760C">
              <w:rPr>
                <w:b/>
                <w:i/>
                <w:sz w:val="20"/>
              </w:rPr>
              <w:t>ZNESKI PODPORE ZA NEKATERE VRSTE INTERVENCIJ ZA RAZVOJ PODEŽELJA</w:t>
            </w:r>
          </w:p>
        </w:tc>
      </w:tr>
    </w:tbl>
    <w:p w14:paraId="6CF4ED07" w14:textId="77777777" w:rsidR="00D83206" w:rsidRPr="00B7760C" w:rsidRDefault="00D83206" w:rsidP="00D83206"/>
    <w:p w14:paraId="0B36109E" w14:textId="77777777" w:rsidR="00D83206" w:rsidRPr="00B7760C" w:rsidRDefault="00D83206" w:rsidP="00D83206"/>
    <w:tbl>
      <w:tblPr>
        <w:tblStyle w:val="Tabelamrea"/>
        <w:tblW w:w="0" w:type="auto"/>
        <w:tblLook w:val="04A0" w:firstRow="1" w:lastRow="0" w:firstColumn="1" w:lastColumn="0" w:noHBand="0" w:noVBand="1"/>
      </w:tblPr>
      <w:tblGrid>
        <w:gridCol w:w="1137"/>
        <w:gridCol w:w="2804"/>
        <w:gridCol w:w="1861"/>
        <w:gridCol w:w="3258"/>
      </w:tblGrid>
      <w:tr w:rsidR="00D83206" w:rsidRPr="00B7760C" w14:paraId="6F024E94" w14:textId="77777777" w:rsidTr="006A3A9D">
        <w:trPr>
          <w:trHeight w:val="465"/>
          <w:tblHeader/>
        </w:trPr>
        <w:tc>
          <w:tcPr>
            <w:tcW w:w="1173" w:type="dxa"/>
            <w:vAlign w:val="center"/>
          </w:tcPr>
          <w:p w14:paraId="3428469B" w14:textId="77777777" w:rsidR="00D83206" w:rsidRPr="00B7760C" w:rsidRDefault="00D83206" w:rsidP="006A3A9D">
            <w:pPr>
              <w:jc w:val="center"/>
              <w:rPr>
                <w:b/>
                <w:i/>
                <w:sz w:val="20"/>
              </w:rPr>
            </w:pPr>
            <w:r w:rsidRPr="00B7760C">
              <w:rPr>
                <w:b/>
                <w:i/>
                <w:sz w:val="20"/>
              </w:rPr>
              <w:t>Člen</w:t>
            </w:r>
          </w:p>
        </w:tc>
        <w:tc>
          <w:tcPr>
            <w:tcW w:w="2904" w:type="dxa"/>
            <w:vAlign w:val="center"/>
          </w:tcPr>
          <w:p w14:paraId="08296D8C" w14:textId="77777777" w:rsidR="00D83206" w:rsidRPr="00B7760C" w:rsidRDefault="00D83206" w:rsidP="006A3A9D">
            <w:pPr>
              <w:jc w:val="center"/>
              <w:rPr>
                <w:b/>
                <w:i/>
                <w:sz w:val="20"/>
              </w:rPr>
            </w:pPr>
            <w:r w:rsidRPr="00B7760C">
              <w:rPr>
                <w:b/>
                <w:i/>
                <w:sz w:val="20"/>
              </w:rPr>
              <w:t>Predmet urejanja</w:t>
            </w:r>
          </w:p>
        </w:tc>
        <w:tc>
          <w:tcPr>
            <w:tcW w:w="1883" w:type="dxa"/>
          </w:tcPr>
          <w:p w14:paraId="385C410B" w14:textId="77777777" w:rsidR="00D83206" w:rsidRPr="00B7760C" w:rsidRDefault="00D83206" w:rsidP="006A3A9D">
            <w:pPr>
              <w:jc w:val="center"/>
              <w:rPr>
                <w:b/>
                <w:i/>
                <w:sz w:val="20"/>
              </w:rPr>
            </w:pPr>
            <w:r w:rsidRPr="00B7760C">
              <w:rPr>
                <w:b/>
                <w:i/>
                <w:sz w:val="20"/>
              </w:rPr>
              <w:t>Najnižji/najvišji zneski v EUR ali stopnje</w:t>
            </w:r>
          </w:p>
        </w:tc>
        <w:tc>
          <w:tcPr>
            <w:tcW w:w="3326" w:type="dxa"/>
            <w:vAlign w:val="center"/>
          </w:tcPr>
          <w:p w14:paraId="46380AC7" w14:textId="77777777" w:rsidR="00D83206" w:rsidRPr="00B7760C" w:rsidRDefault="00D83206" w:rsidP="006A3A9D">
            <w:pPr>
              <w:jc w:val="center"/>
              <w:rPr>
                <w:b/>
                <w:i/>
                <w:sz w:val="20"/>
              </w:rPr>
            </w:pPr>
          </w:p>
        </w:tc>
      </w:tr>
      <w:tr w:rsidR="00D83206" w:rsidRPr="00B7760C" w14:paraId="4360D3EC" w14:textId="77777777" w:rsidTr="006A3A9D">
        <w:tc>
          <w:tcPr>
            <w:tcW w:w="1173" w:type="dxa"/>
            <w:vMerge w:val="restart"/>
          </w:tcPr>
          <w:p w14:paraId="468D7F3F" w14:textId="77777777" w:rsidR="00D83206" w:rsidRPr="00B7760C" w:rsidRDefault="00D83206" w:rsidP="006A3A9D">
            <w:pPr>
              <w:spacing w:before="60" w:after="60"/>
              <w:jc w:val="center"/>
              <w:rPr>
                <w:b/>
                <w:i/>
                <w:sz w:val="20"/>
              </w:rPr>
            </w:pPr>
            <w:r w:rsidRPr="00B7760C">
              <w:rPr>
                <w:b/>
                <w:i/>
                <w:sz w:val="20"/>
              </w:rPr>
              <w:t>Člen 65</w:t>
            </w:r>
          </w:p>
        </w:tc>
        <w:tc>
          <w:tcPr>
            <w:tcW w:w="2904" w:type="dxa"/>
          </w:tcPr>
          <w:p w14:paraId="3D577AEA" w14:textId="77777777" w:rsidR="00D83206" w:rsidRPr="00B7760C" w:rsidRDefault="00D83206" w:rsidP="006A3A9D">
            <w:pPr>
              <w:spacing w:before="60" w:after="60"/>
              <w:rPr>
                <w:b/>
                <w:i/>
                <w:sz w:val="20"/>
              </w:rPr>
            </w:pPr>
            <w:r w:rsidRPr="00B7760C">
              <w:rPr>
                <w:b/>
                <w:i/>
                <w:sz w:val="20"/>
              </w:rPr>
              <w:t>Pomoč za kmetijsko-okoljsko trajnost, blažitev podnebnih sprememb in prilagajanje nanje ter druge upravljavske obveznosti</w:t>
            </w:r>
          </w:p>
        </w:tc>
        <w:tc>
          <w:tcPr>
            <w:tcW w:w="1883" w:type="dxa"/>
          </w:tcPr>
          <w:p w14:paraId="6013337B" w14:textId="77777777" w:rsidR="00D83206" w:rsidRPr="00B7760C" w:rsidRDefault="00D83206" w:rsidP="006A3A9D">
            <w:pPr>
              <w:tabs>
                <w:tab w:val="left" w:pos="510"/>
              </w:tabs>
              <w:spacing w:before="60" w:after="60"/>
              <w:ind w:right="-17"/>
              <w:jc w:val="center"/>
              <w:rPr>
                <w:b/>
                <w:i/>
                <w:sz w:val="20"/>
              </w:rPr>
            </w:pPr>
            <w:r w:rsidRPr="00B7760C">
              <w:rPr>
                <w:b/>
                <w:i/>
                <w:sz w:val="20"/>
              </w:rPr>
              <w:t>600(*)</w:t>
            </w:r>
          </w:p>
        </w:tc>
        <w:tc>
          <w:tcPr>
            <w:tcW w:w="3326" w:type="dxa"/>
          </w:tcPr>
          <w:p w14:paraId="5BAAD2AB" w14:textId="77777777" w:rsidR="00D83206" w:rsidRPr="00B7760C" w:rsidRDefault="00D83206" w:rsidP="006A3A9D">
            <w:pPr>
              <w:tabs>
                <w:tab w:val="left" w:pos="193"/>
              </w:tabs>
              <w:spacing w:before="60" w:after="60"/>
              <w:rPr>
                <w:b/>
                <w:i/>
                <w:sz w:val="20"/>
              </w:rPr>
            </w:pPr>
            <w:r w:rsidRPr="00B7760C">
              <w:rPr>
                <w:b/>
                <w:i/>
                <w:sz w:val="20"/>
              </w:rPr>
              <w:t>Največ na hektar in na leto za enoletnice</w:t>
            </w:r>
          </w:p>
        </w:tc>
      </w:tr>
      <w:tr w:rsidR="00D83206" w:rsidRPr="00B7760C" w14:paraId="0EB36679" w14:textId="77777777" w:rsidTr="006A3A9D">
        <w:tc>
          <w:tcPr>
            <w:tcW w:w="1173" w:type="dxa"/>
            <w:vMerge/>
            <w:vAlign w:val="center"/>
          </w:tcPr>
          <w:p w14:paraId="74AECA7D" w14:textId="77777777" w:rsidR="00D83206" w:rsidRPr="00B7760C" w:rsidRDefault="00D83206" w:rsidP="006A3A9D">
            <w:pPr>
              <w:rPr>
                <w:b/>
                <w:i/>
                <w:sz w:val="20"/>
                <w:lang w:eastAsia="en-US"/>
              </w:rPr>
            </w:pPr>
          </w:p>
        </w:tc>
        <w:tc>
          <w:tcPr>
            <w:tcW w:w="2904" w:type="dxa"/>
            <w:vAlign w:val="center"/>
          </w:tcPr>
          <w:p w14:paraId="709B21BB" w14:textId="77777777" w:rsidR="00D83206" w:rsidRPr="00B7760C" w:rsidRDefault="00D83206" w:rsidP="006A3A9D">
            <w:pPr>
              <w:rPr>
                <w:b/>
                <w:i/>
                <w:sz w:val="20"/>
                <w:lang w:eastAsia="en-US"/>
              </w:rPr>
            </w:pPr>
          </w:p>
        </w:tc>
        <w:tc>
          <w:tcPr>
            <w:tcW w:w="1883" w:type="dxa"/>
          </w:tcPr>
          <w:p w14:paraId="0A69FABF" w14:textId="77777777" w:rsidR="00D83206" w:rsidRPr="00B7760C" w:rsidRDefault="00D83206" w:rsidP="006A3A9D">
            <w:pPr>
              <w:tabs>
                <w:tab w:val="left" w:pos="510"/>
              </w:tabs>
              <w:spacing w:before="60" w:after="60"/>
              <w:ind w:right="-17"/>
              <w:jc w:val="center"/>
              <w:rPr>
                <w:b/>
                <w:i/>
                <w:sz w:val="20"/>
              </w:rPr>
            </w:pPr>
            <w:r w:rsidRPr="00B7760C">
              <w:rPr>
                <w:b/>
                <w:i/>
                <w:sz w:val="20"/>
              </w:rPr>
              <w:t>900(*)</w:t>
            </w:r>
          </w:p>
        </w:tc>
        <w:tc>
          <w:tcPr>
            <w:tcW w:w="3326" w:type="dxa"/>
          </w:tcPr>
          <w:p w14:paraId="1EC535F3" w14:textId="77777777" w:rsidR="00D83206" w:rsidRPr="00B7760C" w:rsidRDefault="00D83206" w:rsidP="006A3A9D">
            <w:pPr>
              <w:tabs>
                <w:tab w:val="left" w:pos="193"/>
              </w:tabs>
              <w:spacing w:before="60" w:after="60"/>
              <w:rPr>
                <w:b/>
                <w:i/>
                <w:sz w:val="20"/>
              </w:rPr>
            </w:pPr>
            <w:r w:rsidRPr="00B7760C">
              <w:rPr>
                <w:b/>
                <w:i/>
                <w:sz w:val="20"/>
              </w:rPr>
              <w:t>Največ na hektar in na leto za posebne trajnice</w:t>
            </w:r>
          </w:p>
        </w:tc>
      </w:tr>
      <w:tr w:rsidR="00D83206" w:rsidRPr="00B7760C" w14:paraId="3C53550B" w14:textId="77777777" w:rsidTr="006A3A9D">
        <w:tc>
          <w:tcPr>
            <w:tcW w:w="1173" w:type="dxa"/>
            <w:vMerge/>
            <w:vAlign w:val="center"/>
          </w:tcPr>
          <w:p w14:paraId="136EF678" w14:textId="77777777" w:rsidR="00D83206" w:rsidRPr="00B7760C" w:rsidRDefault="00D83206" w:rsidP="006A3A9D">
            <w:pPr>
              <w:rPr>
                <w:b/>
                <w:i/>
                <w:sz w:val="20"/>
                <w:lang w:eastAsia="en-US"/>
              </w:rPr>
            </w:pPr>
          </w:p>
        </w:tc>
        <w:tc>
          <w:tcPr>
            <w:tcW w:w="2904" w:type="dxa"/>
            <w:vAlign w:val="center"/>
          </w:tcPr>
          <w:p w14:paraId="22F20A26" w14:textId="77777777" w:rsidR="00D83206" w:rsidRPr="00B7760C" w:rsidRDefault="00D83206" w:rsidP="006A3A9D">
            <w:pPr>
              <w:rPr>
                <w:b/>
                <w:i/>
                <w:sz w:val="20"/>
                <w:lang w:eastAsia="en-US"/>
              </w:rPr>
            </w:pPr>
          </w:p>
        </w:tc>
        <w:tc>
          <w:tcPr>
            <w:tcW w:w="1883" w:type="dxa"/>
          </w:tcPr>
          <w:p w14:paraId="3A7C2241" w14:textId="77777777" w:rsidR="00D83206" w:rsidRPr="00B7760C" w:rsidRDefault="00D83206" w:rsidP="006A3A9D">
            <w:pPr>
              <w:tabs>
                <w:tab w:val="left" w:pos="510"/>
              </w:tabs>
              <w:spacing w:before="60" w:after="60"/>
              <w:ind w:right="-17"/>
              <w:jc w:val="center"/>
              <w:rPr>
                <w:b/>
                <w:i/>
                <w:sz w:val="20"/>
              </w:rPr>
            </w:pPr>
            <w:r w:rsidRPr="00B7760C">
              <w:rPr>
                <w:b/>
                <w:i/>
                <w:sz w:val="20"/>
              </w:rPr>
              <w:t>450(*)</w:t>
            </w:r>
          </w:p>
        </w:tc>
        <w:tc>
          <w:tcPr>
            <w:tcW w:w="3326" w:type="dxa"/>
          </w:tcPr>
          <w:p w14:paraId="473AF845" w14:textId="77777777" w:rsidR="00D83206" w:rsidRPr="00B7760C" w:rsidRDefault="00D83206" w:rsidP="006A3A9D">
            <w:pPr>
              <w:tabs>
                <w:tab w:val="left" w:pos="193"/>
              </w:tabs>
              <w:spacing w:before="60" w:after="60"/>
              <w:rPr>
                <w:b/>
                <w:i/>
                <w:sz w:val="20"/>
              </w:rPr>
            </w:pPr>
            <w:r w:rsidRPr="00B7760C">
              <w:rPr>
                <w:b/>
                <w:i/>
                <w:sz w:val="20"/>
              </w:rPr>
              <w:t>Največ na hektar in na leto za drugo rabo zemljišča</w:t>
            </w:r>
          </w:p>
        </w:tc>
      </w:tr>
      <w:tr w:rsidR="00D83206" w:rsidRPr="00B7760C" w14:paraId="26672AA2" w14:textId="77777777" w:rsidTr="006A3A9D">
        <w:tc>
          <w:tcPr>
            <w:tcW w:w="1173" w:type="dxa"/>
            <w:vMerge/>
            <w:vAlign w:val="center"/>
          </w:tcPr>
          <w:p w14:paraId="63F26900" w14:textId="77777777" w:rsidR="00D83206" w:rsidRPr="00B7760C" w:rsidRDefault="00D83206" w:rsidP="006A3A9D">
            <w:pPr>
              <w:rPr>
                <w:b/>
                <w:i/>
                <w:sz w:val="20"/>
                <w:lang w:eastAsia="en-US"/>
              </w:rPr>
            </w:pPr>
          </w:p>
        </w:tc>
        <w:tc>
          <w:tcPr>
            <w:tcW w:w="2904" w:type="dxa"/>
            <w:vAlign w:val="center"/>
          </w:tcPr>
          <w:p w14:paraId="65B31551" w14:textId="77777777" w:rsidR="00D83206" w:rsidRPr="00B7760C" w:rsidRDefault="00D83206" w:rsidP="006A3A9D">
            <w:pPr>
              <w:rPr>
                <w:b/>
                <w:i/>
                <w:sz w:val="20"/>
                <w:lang w:eastAsia="en-US"/>
              </w:rPr>
            </w:pPr>
          </w:p>
        </w:tc>
        <w:tc>
          <w:tcPr>
            <w:tcW w:w="1883" w:type="dxa"/>
          </w:tcPr>
          <w:p w14:paraId="2245A8FB" w14:textId="77777777" w:rsidR="00D83206" w:rsidRPr="00B7760C" w:rsidRDefault="00D83206" w:rsidP="006A3A9D">
            <w:pPr>
              <w:tabs>
                <w:tab w:val="left" w:pos="510"/>
              </w:tabs>
              <w:spacing w:before="60" w:after="60"/>
              <w:ind w:right="-17"/>
              <w:jc w:val="center"/>
              <w:rPr>
                <w:b/>
                <w:i/>
                <w:sz w:val="20"/>
              </w:rPr>
            </w:pPr>
            <w:r w:rsidRPr="00B7760C">
              <w:rPr>
                <w:b/>
                <w:i/>
                <w:sz w:val="20"/>
              </w:rPr>
              <w:t>200(*)</w:t>
            </w:r>
          </w:p>
        </w:tc>
        <w:tc>
          <w:tcPr>
            <w:tcW w:w="3326" w:type="dxa"/>
          </w:tcPr>
          <w:p w14:paraId="657075E1" w14:textId="77777777" w:rsidR="00D83206" w:rsidRPr="00B7760C" w:rsidRDefault="00D83206" w:rsidP="006A3A9D">
            <w:pPr>
              <w:tabs>
                <w:tab w:val="left" w:pos="193"/>
              </w:tabs>
              <w:spacing w:before="60" w:after="60"/>
              <w:rPr>
                <w:b/>
                <w:i/>
                <w:sz w:val="20"/>
              </w:rPr>
            </w:pPr>
            <w:r w:rsidRPr="00B7760C">
              <w:rPr>
                <w:b/>
                <w:i/>
                <w:sz w:val="20"/>
              </w:rPr>
              <w:t>Največ na glavo velike živine na leto za lokalne pasme, ki jim grozi prenehanje reje</w:t>
            </w:r>
          </w:p>
        </w:tc>
      </w:tr>
      <w:tr w:rsidR="00D83206" w:rsidRPr="00B7760C" w14:paraId="193EBCFE" w14:textId="77777777" w:rsidTr="006A3A9D">
        <w:tc>
          <w:tcPr>
            <w:tcW w:w="1173" w:type="dxa"/>
            <w:vMerge/>
            <w:vAlign w:val="center"/>
          </w:tcPr>
          <w:p w14:paraId="5EDB3FEC" w14:textId="77777777" w:rsidR="00D83206" w:rsidRPr="00B7760C" w:rsidRDefault="00D83206" w:rsidP="006A3A9D">
            <w:pPr>
              <w:rPr>
                <w:b/>
                <w:i/>
                <w:sz w:val="20"/>
                <w:lang w:eastAsia="en-US"/>
              </w:rPr>
            </w:pPr>
          </w:p>
        </w:tc>
        <w:tc>
          <w:tcPr>
            <w:tcW w:w="2904" w:type="dxa"/>
            <w:vAlign w:val="center"/>
          </w:tcPr>
          <w:p w14:paraId="1C302DFB" w14:textId="77777777" w:rsidR="00D83206" w:rsidRPr="00B7760C" w:rsidRDefault="00D83206" w:rsidP="006A3A9D">
            <w:pPr>
              <w:rPr>
                <w:b/>
                <w:i/>
                <w:sz w:val="20"/>
                <w:lang w:eastAsia="en-US"/>
              </w:rPr>
            </w:pPr>
          </w:p>
        </w:tc>
        <w:tc>
          <w:tcPr>
            <w:tcW w:w="1883" w:type="dxa"/>
          </w:tcPr>
          <w:p w14:paraId="7F60C993" w14:textId="77777777" w:rsidR="00D83206" w:rsidRPr="00B7760C" w:rsidRDefault="00D83206" w:rsidP="006A3A9D">
            <w:pPr>
              <w:tabs>
                <w:tab w:val="left" w:pos="510"/>
              </w:tabs>
              <w:spacing w:before="60" w:after="60"/>
              <w:ind w:right="-17"/>
              <w:jc w:val="center"/>
              <w:rPr>
                <w:b/>
                <w:i/>
                <w:sz w:val="20"/>
              </w:rPr>
            </w:pPr>
            <w:r w:rsidRPr="00B7760C">
              <w:rPr>
                <w:b/>
                <w:i/>
                <w:sz w:val="20"/>
              </w:rPr>
              <w:t>500</w:t>
            </w:r>
          </w:p>
        </w:tc>
        <w:tc>
          <w:tcPr>
            <w:tcW w:w="3326" w:type="dxa"/>
          </w:tcPr>
          <w:p w14:paraId="3F2212F9" w14:textId="77777777" w:rsidR="00D83206" w:rsidRPr="00B7760C" w:rsidRDefault="00D83206" w:rsidP="006A3A9D">
            <w:pPr>
              <w:tabs>
                <w:tab w:val="left" w:pos="193"/>
              </w:tabs>
              <w:spacing w:before="60" w:after="60"/>
              <w:rPr>
                <w:b/>
                <w:i/>
                <w:sz w:val="20"/>
              </w:rPr>
            </w:pPr>
            <w:r w:rsidRPr="00B7760C">
              <w:rPr>
                <w:b/>
                <w:i/>
                <w:sz w:val="20"/>
              </w:rPr>
              <w:t>Največ na glavo velike živine za ukrepe za dobrobit živali</w:t>
            </w:r>
          </w:p>
        </w:tc>
      </w:tr>
      <w:tr w:rsidR="00D83206" w:rsidRPr="00B7760C" w14:paraId="6ECF0095" w14:textId="77777777" w:rsidTr="006A3A9D">
        <w:tc>
          <w:tcPr>
            <w:tcW w:w="1173" w:type="dxa"/>
            <w:vMerge/>
            <w:vAlign w:val="center"/>
          </w:tcPr>
          <w:p w14:paraId="16E50A48" w14:textId="77777777" w:rsidR="00D83206" w:rsidRPr="00B7760C" w:rsidRDefault="00D83206" w:rsidP="006A3A9D">
            <w:pPr>
              <w:rPr>
                <w:b/>
                <w:i/>
                <w:sz w:val="20"/>
                <w:lang w:eastAsia="en-US"/>
              </w:rPr>
            </w:pPr>
          </w:p>
        </w:tc>
        <w:tc>
          <w:tcPr>
            <w:tcW w:w="2904" w:type="dxa"/>
            <w:vAlign w:val="center"/>
          </w:tcPr>
          <w:p w14:paraId="6BC833DC" w14:textId="77777777" w:rsidR="00D83206" w:rsidRPr="00B7760C" w:rsidRDefault="00D83206" w:rsidP="006A3A9D">
            <w:pPr>
              <w:rPr>
                <w:b/>
                <w:i/>
                <w:sz w:val="20"/>
                <w:lang w:eastAsia="en-US"/>
              </w:rPr>
            </w:pPr>
          </w:p>
        </w:tc>
        <w:tc>
          <w:tcPr>
            <w:tcW w:w="1883" w:type="dxa"/>
          </w:tcPr>
          <w:p w14:paraId="7A7A789A" w14:textId="77777777" w:rsidR="00D83206" w:rsidRPr="00B7760C" w:rsidRDefault="00D83206" w:rsidP="006A3A9D">
            <w:pPr>
              <w:tabs>
                <w:tab w:val="left" w:pos="510"/>
              </w:tabs>
              <w:spacing w:before="60" w:after="60"/>
              <w:ind w:right="-17"/>
              <w:jc w:val="center"/>
              <w:rPr>
                <w:b/>
                <w:i/>
                <w:sz w:val="20"/>
              </w:rPr>
            </w:pPr>
            <w:r w:rsidRPr="00B7760C">
              <w:rPr>
                <w:b/>
                <w:i/>
                <w:sz w:val="20"/>
              </w:rPr>
              <w:t>200(*)</w:t>
            </w:r>
          </w:p>
        </w:tc>
        <w:tc>
          <w:tcPr>
            <w:tcW w:w="3326" w:type="dxa"/>
          </w:tcPr>
          <w:p w14:paraId="4771AB8C" w14:textId="77777777" w:rsidR="00D83206" w:rsidRPr="00B7760C" w:rsidRDefault="00D83206" w:rsidP="006A3A9D">
            <w:pPr>
              <w:tabs>
                <w:tab w:val="left" w:pos="193"/>
              </w:tabs>
              <w:spacing w:before="60" w:after="60"/>
              <w:rPr>
                <w:b/>
                <w:i/>
                <w:sz w:val="20"/>
              </w:rPr>
            </w:pPr>
            <w:r w:rsidRPr="00B7760C">
              <w:rPr>
                <w:b/>
                <w:i/>
                <w:sz w:val="20"/>
              </w:rPr>
              <w:t>Največ na hektar in na leto za ukrepe, ki vključujejo gozdarske, okoljske in podnebne storitve ter ohranjanje gozdov</w:t>
            </w:r>
          </w:p>
        </w:tc>
      </w:tr>
      <w:tr w:rsidR="00D83206" w:rsidRPr="00B7760C" w14:paraId="2FE29A09" w14:textId="77777777" w:rsidTr="006A3A9D">
        <w:tc>
          <w:tcPr>
            <w:tcW w:w="1173" w:type="dxa"/>
            <w:vMerge w:val="restart"/>
          </w:tcPr>
          <w:p w14:paraId="16565575" w14:textId="77777777" w:rsidR="00D83206" w:rsidRPr="00B7760C" w:rsidRDefault="00D83206" w:rsidP="006A3A9D">
            <w:pPr>
              <w:spacing w:before="60" w:after="60"/>
              <w:jc w:val="center"/>
              <w:rPr>
                <w:b/>
                <w:i/>
                <w:sz w:val="20"/>
              </w:rPr>
            </w:pPr>
            <w:r w:rsidRPr="00B7760C">
              <w:rPr>
                <w:b/>
                <w:i/>
                <w:sz w:val="20"/>
              </w:rPr>
              <w:t>Člen 66</w:t>
            </w:r>
          </w:p>
        </w:tc>
        <w:tc>
          <w:tcPr>
            <w:tcW w:w="2904" w:type="dxa"/>
          </w:tcPr>
          <w:p w14:paraId="091930C4" w14:textId="77777777" w:rsidR="00D83206" w:rsidRPr="00B7760C" w:rsidRDefault="00D83206" w:rsidP="006A3A9D">
            <w:pPr>
              <w:spacing w:before="60" w:after="60"/>
              <w:rPr>
                <w:b/>
                <w:i/>
                <w:sz w:val="20"/>
              </w:rPr>
            </w:pPr>
            <w:r w:rsidRPr="00B7760C">
              <w:rPr>
                <w:b/>
                <w:i/>
                <w:sz w:val="20"/>
              </w:rPr>
              <w:t>Pomoč za naravne ali druge omejitve, značilne za posamezno območje</w:t>
            </w:r>
          </w:p>
        </w:tc>
        <w:tc>
          <w:tcPr>
            <w:tcW w:w="1883" w:type="dxa"/>
          </w:tcPr>
          <w:p w14:paraId="267078B7" w14:textId="77777777" w:rsidR="00D83206" w:rsidRPr="00B7760C" w:rsidRDefault="00D83206" w:rsidP="006A3A9D">
            <w:pPr>
              <w:tabs>
                <w:tab w:val="left" w:pos="510"/>
              </w:tabs>
              <w:spacing w:before="60" w:after="60"/>
              <w:ind w:right="-17"/>
              <w:jc w:val="center"/>
              <w:rPr>
                <w:b/>
                <w:i/>
                <w:sz w:val="20"/>
              </w:rPr>
            </w:pPr>
            <w:r w:rsidRPr="00B7760C">
              <w:rPr>
                <w:b/>
                <w:i/>
                <w:sz w:val="20"/>
              </w:rPr>
              <w:t>25</w:t>
            </w:r>
          </w:p>
        </w:tc>
        <w:tc>
          <w:tcPr>
            <w:tcW w:w="3326" w:type="dxa"/>
          </w:tcPr>
          <w:p w14:paraId="43D3D015" w14:textId="77777777" w:rsidR="00D83206" w:rsidRPr="00B7760C" w:rsidRDefault="00D83206" w:rsidP="006A3A9D">
            <w:pPr>
              <w:tabs>
                <w:tab w:val="left" w:pos="193"/>
              </w:tabs>
              <w:spacing w:before="60" w:after="60"/>
              <w:rPr>
                <w:b/>
                <w:i/>
                <w:sz w:val="20"/>
              </w:rPr>
            </w:pPr>
            <w:r w:rsidRPr="00B7760C">
              <w:rPr>
                <w:b/>
                <w:i/>
                <w:sz w:val="20"/>
              </w:rPr>
              <w:t>Najmanj na hektar in na leto v povprečju za površino, za katero upravičenec prejema podporo</w:t>
            </w:r>
          </w:p>
        </w:tc>
      </w:tr>
      <w:tr w:rsidR="00D83206" w:rsidRPr="00B7760C" w14:paraId="6F59C0E7" w14:textId="77777777" w:rsidTr="006A3A9D">
        <w:tc>
          <w:tcPr>
            <w:tcW w:w="1173" w:type="dxa"/>
            <w:vMerge/>
            <w:vAlign w:val="center"/>
          </w:tcPr>
          <w:p w14:paraId="233C0E08" w14:textId="77777777" w:rsidR="00D83206" w:rsidRPr="00B7760C" w:rsidRDefault="00D83206" w:rsidP="006A3A9D">
            <w:pPr>
              <w:rPr>
                <w:b/>
                <w:i/>
                <w:sz w:val="20"/>
                <w:lang w:eastAsia="en-US"/>
              </w:rPr>
            </w:pPr>
          </w:p>
        </w:tc>
        <w:tc>
          <w:tcPr>
            <w:tcW w:w="2904" w:type="dxa"/>
            <w:vAlign w:val="center"/>
          </w:tcPr>
          <w:p w14:paraId="51F31CAD" w14:textId="77777777" w:rsidR="00D83206" w:rsidRPr="00B7760C" w:rsidRDefault="00D83206" w:rsidP="006A3A9D">
            <w:pPr>
              <w:rPr>
                <w:b/>
                <w:i/>
                <w:sz w:val="20"/>
                <w:lang w:eastAsia="en-US"/>
              </w:rPr>
            </w:pPr>
          </w:p>
        </w:tc>
        <w:tc>
          <w:tcPr>
            <w:tcW w:w="1883" w:type="dxa"/>
          </w:tcPr>
          <w:p w14:paraId="769FF588" w14:textId="77777777" w:rsidR="00D83206" w:rsidRPr="00B7760C" w:rsidRDefault="00D83206" w:rsidP="006A3A9D">
            <w:pPr>
              <w:tabs>
                <w:tab w:val="left" w:pos="510"/>
              </w:tabs>
              <w:spacing w:before="60" w:after="60"/>
              <w:ind w:right="-17"/>
              <w:jc w:val="center"/>
              <w:rPr>
                <w:b/>
                <w:i/>
                <w:sz w:val="20"/>
              </w:rPr>
            </w:pPr>
            <w:r w:rsidRPr="00B7760C">
              <w:rPr>
                <w:b/>
                <w:i/>
                <w:sz w:val="20"/>
              </w:rPr>
              <w:t>250(*)</w:t>
            </w:r>
          </w:p>
        </w:tc>
        <w:tc>
          <w:tcPr>
            <w:tcW w:w="3326" w:type="dxa"/>
          </w:tcPr>
          <w:p w14:paraId="719B56B1" w14:textId="77777777" w:rsidR="00D83206" w:rsidRPr="00B7760C" w:rsidRDefault="00D83206" w:rsidP="006A3A9D">
            <w:pPr>
              <w:tabs>
                <w:tab w:val="left" w:pos="193"/>
              </w:tabs>
              <w:spacing w:before="60" w:after="60"/>
              <w:rPr>
                <w:b/>
                <w:i/>
                <w:sz w:val="20"/>
              </w:rPr>
            </w:pPr>
            <w:r w:rsidRPr="00B7760C">
              <w:rPr>
                <w:b/>
                <w:i/>
                <w:sz w:val="20"/>
              </w:rPr>
              <w:t>Največ na hektar in na leto</w:t>
            </w:r>
          </w:p>
        </w:tc>
      </w:tr>
      <w:tr w:rsidR="00D83206" w:rsidRPr="00B7760C" w14:paraId="2739F850" w14:textId="77777777" w:rsidTr="006A3A9D">
        <w:tc>
          <w:tcPr>
            <w:tcW w:w="1173" w:type="dxa"/>
            <w:vMerge/>
            <w:vAlign w:val="center"/>
          </w:tcPr>
          <w:p w14:paraId="614A60D1" w14:textId="77777777" w:rsidR="00D83206" w:rsidRPr="00B7760C" w:rsidRDefault="00D83206" w:rsidP="006A3A9D">
            <w:pPr>
              <w:rPr>
                <w:b/>
                <w:i/>
                <w:sz w:val="20"/>
                <w:lang w:eastAsia="en-US"/>
              </w:rPr>
            </w:pPr>
          </w:p>
        </w:tc>
        <w:tc>
          <w:tcPr>
            <w:tcW w:w="2904" w:type="dxa"/>
            <w:vAlign w:val="center"/>
          </w:tcPr>
          <w:p w14:paraId="7D711859" w14:textId="77777777" w:rsidR="00D83206" w:rsidRPr="00B7760C" w:rsidRDefault="00D83206" w:rsidP="006A3A9D">
            <w:pPr>
              <w:rPr>
                <w:b/>
                <w:i/>
                <w:sz w:val="20"/>
                <w:lang w:eastAsia="en-US"/>
              </w:rPr>
            </w:pPr>
          </w:p>
        </w:tc>
        <w:tc>
          <w:tcPr>
            <w:tcW w:w="1883" w:type="dxa"/>
          </w:tcPr>
          <w:p w14:paraId="76C01A25" w14:textId="77777777" w:rsidR="00D83206" w:rsidRPr="00B7760C" w:rsidRDefault="00D83206" w:rsidP="006A3A9D">
            <w:pPr>
              <w:tabs>
                <w:tab w:val="left" w:pos="510"/>
              </w:tabs>
              <w:spacing w:before="60" w:after="60"/>
              <w:ind w:right="-17"/>
              <w:jc w:val="center"/>
              <w:rPr>
                <w:b/>
                <w:i/>
                <w:sz w:val="20"/>
              </w:rPr>
            </w:pPr>
            <w:r w:rsidRPr="00B7760C">
              <w:rPr>
                <w:b/>
                <w:i/>
                <w:sz w:val="20"/>
              </w:rPr>
              <w:t>450(*)</w:t>
            </w:r>
          </w:p>
        </w:tc>
        <w:tc>
          <w:tcPr>
            <w:tcW w:w="3326" w:type="dxa"/>
          </w:tcPr>
          <w:p w14:paraId="42B7FB8C" w14:textId="77777777" w:rsidR="00D83206" w:rsidRPr="00B7760C" w:rsidRDefault="00D83206" w:rsidP="006A3A9D">
            <w:pPr>
              <w:tabs>
                <w:tab w:val="left" w:pos="193"/>
              </w:tabs>
              <w:spacing w:before="60" w:after="60"/>
              <w:rPr>
                <w:b/>
                <w:i/>
                <w:sz w:val="20"/>
              </w:rPr>
            </w:pPr>
            <w:r w:rsidRPr="00B7760C">
              <w:rPr>
                <w:b/>
                <w:i/>
                <w:sz w:val="20"/>
              </w:rPr>
              <w:t>Največ na hektar in na leto v gorskih območjih iz člena 32(2) Uredbe (EU) 1305/2013.</w:t>
            </w:r>
          </w:p>
        </w:tc>
      </w:tr>
      <w:tr w:rsidR="00D83206" w:rsidRPr="00B7760C" w14:paraId="310185D5" w14:textId="77777777" w:rsidTr="006A3A9D">
        <w:tc>
          <w:tcPr>
            <w:tcW w:w="1173" w:type="dxa"/>
            <w:vMerge w:val="restart"/>
          </w:tcPr>
          <w:p w14:paraId="75F7CF5B" w14:textId="77777777" w:rsidR="00D83206" w:rsidRPr="00B7760C" w:rsidRDefault="00D83206" w:rsidP="006A3A9D">
            <w:pPr>
              <w:spacing w:before="60" w:after="60"/>
              <w:jc w:val="center"/>
              <w:rPr>
                <w:b/>
                <w:i/>
                <w:sz w:val="20"/>
              </w:rPr>
            </w:pPr>
            <w:r w:rsidRPr="00B7760C">
              <w:rPr>
                <w:b/>
                <w:i/>
                <w:sz w:val="20"/>
              </w:rPr>
              <w:t>Člen 67</w:t>
            </w:r>
          </w:p>
        </w:tc>
        <w:tc>
          <w:tcPr>
            <w:tcW w:w="2904" w:type="dxa"/>
          </w:tcPr>
          <w:p w14:paraId="3EDABC09" w14:textId="77777777" w:rsidR="00D83206" w:rsidRPr="00B7760C" w:rsidRDefault="00D83206" w:rsidP="006A3A9D">
            <w:pPr>
              <w:spacing w:before="60" w:after="60"/>
              <w:rPr>
                <w:b/>
                <w:i/>
                <w:sz w:val="20"/>
              </w:rPr>
            </w:pPr>
            <w:r w:rsidRPr="00B7760C">
              <w:rPr>
                <w:b/>
                <w:i/>
                <w:sz w:val="20"/>
              </w:rPr>
              <w:t>Pomoč za slabosti, značilne za posamezno območje, ki izhajajo iz nekaterih obveznih zahtev</w:t>
            </w:r>
          </w:p>
        </w:tc>
        <w:tc>
          <w:tcPr>
            <w:tcW w:w="1883" w:type="dxa"/>
          </w:tcPr>
          <w:p w14:paraId="686C8759" w14:textId="77777777" w:rsidR="00D83206" w:rsidRPr="00B7760C" w:rsidRDefault="00D83206" w:rsidP="006A3A9D">
            <w:pPr>
              <w:tabs>
                <w:tab w:val="left" w:pos="510"/>
              </w:tabs>
              <w:spacing w:before="60" w:after="60"/>
              <w:ind w:right="-17"/>
              <w:jc w:val="center"/>
              <w:rPr>
                <w:b/>
                <w:i/>
                <w:sz w:val="20"/>
              </w:rPr>
            </w:pPr>
            <w:r w:rsidRPr="00B7760C">
              <w:rPr>
                <w:b/>
                <w:i/>
                <w:sz w:val="20"/>
              </w:rPr>
              <w:t>500(*)</w:t>
            </w:r>
          </w:p>
        </w:tc>
        <w:tc>
          <w:tcPr>
            <w:tcW w:w="3326" w:type="dxa"/>
          </w:tcPr>
          <w:p w14:paraId="2691589F" w14:textId="77777777" w:rsidR="00D83206" w:rsidRPr="00B7760C" w:rsidRDefault="00D83206" w:rsidP="006A3A9D">
            <w:pPr>
              <w:tabs>
                <w:tab w:val="left" w:pos="193"/>
              </w:tabs>
              <w:spacing w:before="60" w:after="60"/>
              <w:rPr>
                <w:b/>
                <w:i/>
                <w:sz w:val="20"/>
              </w:rPr>
            </w:pPr>
            <w:r w:rsidRPr="00B7760C">
              <w:rPr>
                <w:b/>
                <w:i/>
                <w:sz w:val="20"/>
              </w:rPr>
              <w:t>Največ na hektar in na leto v začetnem obdobju, ki ni daljše od pet let</w:t>
            </w:r>
          </w:p>
        </w:tc>
      </w:tr>
      <w:tr w:rsidR="00D83206" w:rsidRPr="00B7760C" w14:paraId="30CC8C3F" w14:textId="77777777" w:rsidTr="006A3A9D">
        <w:tc>
          <w:tcPr>
            <w:tcW w:w="1173" w:type="dxa"/>
            <w:vMerge/>
            <w:vAlign w:val="center"/>
          </w:tcPr>
          <w:p w14:paraId="22780D74" w14:textId="77777777" w:rsidR="00D83206" w:rsidRPr="00B7760C" w:rsidRDefault="00D83206" w:rsidP="006A3A9D">
            <w:pPr>
              <w:rPr>
                <w:b/>
                <w:i/>
                <w:sz w:val="20"/>
                <w:lang w:eastAsia="en-US"/>
              </w:rPr>
            </w:pPr>
          </w:p>
        </w:tc>
        <w:tc>
          <w:tcPr>
            <w:tcW w:w="2904" w:type="dxa"/>
            <w:vAlign w:val="center"/>
          </w:tcPr>
          <w:p w14:paraId="72A8E325" w14:textId="77777777" w:rsidR="00D83206" w:rsidRPr="00B7760C" w:rsidRDefault="00D83206" w:rsidP="006A3A9D">
            <w:pPr>
              <w:rPr>
                <w:b/>
                <w:i/>
                <w:sz w:val="20"/>
                <w:lang w:eastAsia="en-US"/>
              </w:rPr>
            </w:pPr>
          </w:p>
        </w:tc>
        <w:tc>
          <w:tcPr>
            <w:tcW w:w="1883" w:type="dxa"/>
          </w:tcPr>
          <w:p w14:paraId="541EF1A2" w14:textId="77777777" w:rsidR="00D83206" w:rsidRPr="00B7760C" w:rsidRDefault="00D83206" w:rsidP="006A3A9D">
            <w:pPr>
              <w:tabs>
                <w:tab w:val="left" w:pos="510"/>
              </w:tabs>
              <w:spacing w:before="60" w:after="60"/>
              <w:ind w:right="-17"/>
              <w:jc w:val="center"/>
              <w:rPr>
                <w:b/>
                <w:i/>
                <w:sz w:val="20"/>
              </w:rPr>
            </w:pPr>
            <w:r w:rsidRPr="00B7760C">
              <w:rPr>
                <w:b/>
                <w:i/>
                <w:sz w:val="20"/>
              </w:rPr>
              <w:t>200(*)</w:t>
            </w:r>
          </w:p>
        </w:tc>
        <w:tc>
          <w:tcPr>
            <w:tcW w:w="3326" w:type="dxa"/>
          </w:tcPr>
          <w:p w14:paraId="4228C2F8" w14:textId="77777777" w:rsidR="00D83206" w:rsidRPr="00B7760C" w:rsidRDefault="00D83206" w:rsidP="006A3A9D">
            <w:pPr>
              <w:tabs>
                <w:tab w:val="left" w:pos="193"/>
              </w:tabs>
              <w:spacing w:before="60" w:after="60"/>
              <w:rPr>
                <w:b/>
                <w:i/>
                <w:sz w:val="20"/>
              </w:rPr>
            </w:pPr>
            <w:r w:rsidRPr="00B7760C">
              <w:rPr>
                <w:b/>
                <w:i/>
                <w:sz w:val="20"/>
              </w:rPr>
              <w:t>Največ na hektar in na leto</w:t>
            </w:r>
          </w:p>
        </w:tc>
      </w:tr>
      <w:tr w:rsidR="00D83206" w:rsidRPr="00B7760C" w14:paraId="02E5FA67" w14:textId="77777777" w:rsidTr="006A3A9D">
        <w:tc>
          <w:tcPr>
            <w:tcW w:w="1173" w:type="dxa"/>
            <w:vMerge/>
            <w:vAlign w:val="center"/>
          </w:tcPr>
          <w:p w14:paraId="322D12CC" w14:textId="77777777" w:rsidR="00D83206" w:rsidRPr="00B7760C" w:rsidRDefault="00D83206" w:rsidP="006A3A9D">
            <w:pPr>
              <w:rPr>
                <w:b/>
                <w:i/>
                <w:sz w:val="20"/>
                <w:lang w:eastAsia="en-US"/>
              </w:rPr>
            </w:pPr>
          </w:p>
        </w:tc>
        <w:tc>
          <w:tcPr>
            <w:tcW w:w="2904" w:type="dxa"/>
            <w:vAlign w:val="center"/>
          </w:tcPr>
          <w:p w14:paraId="0636E1A6" w14:textId="77777777" w:rsidR="00D83206" w:rsidRPr="00B7760C" w:rsidRDefault="00D83206" w:rsidP="006A3A9D">
            <w:pPr>
              <w:rPr>
                <w:b/>
                <w:i/>
                <w:sz w:val="20"/>
                <w:lang w:eastAsia="en-US"/>
              </w:rPr>
            </w:pPr>
          </w:p>
        </w:tc>
        <w:tc>
          <w:tcPr>
            <w:tcW w:w="1883" w:type="dxa"/>
          </w:tcPr>
          <w:p w14:paraId="027B4000" w14:textId="77777777" w:rsidR="00D83206" w:rsidRPr="00B7760C" w:rsidRDefault="00D83206" w:rsidP="006A3A9D">
            <w:pPr>
              <w:tabs>
                <w:tab w:val="left" w:pos="510"/>
              </w:tabs>
              <w:spacing w:before="60" w:after="60"/>
              <w:ind w:right="-17"/>
              <w:jc w:val="center"/>
              <w:rPr>
                <w:b/>
                <w:i/>
                <w:sz w:val="20"/>
              </w:rPr>
            </w:pPr>
            <w:r w:rsidRPr="00B7760C">
              <w:rPr>
                <w:b/>
                <w:i/>
                <w:sz w:val="20"/>
              </w:rPr>
              <w:t>50(**)</w:t>
            </w:r>
          </w:p>
        </w:tc>
        <w:tc>
          <w:tcPr>
            <w:tcW w:w="3326" w:type="dxa"/>
          </w:tcPr>
          <w:p w14:paraId="4D52F74C" w14:textId="77777777" w:rsidR="00D83206" w:rsidRPr="00B7760C" w:rsidRDefault="00D83206" w:rsidP="006A3A9D">
            <w:pPr>
              <w:tabs>
                <w:tab w:val="left" w:pos="193"/>
              </w:tabs>
              <w:spacing w:before="60" w:after="60"/>
              <w:rPr>
                <w:b/>
                <w:i/>
                <w:sz w:val="20"/>
              </w:rPr>
            </w:pPr>
            <w:r w:rsidRPr="00B7760C">
              <w:rPr>
                <w:b/>
                <w:i/>
                <w:sz w:val="20"/>
              </w:rPr>
              <w:t>Najmanj na hektar in na leto za plačila na podlagi okvirne direktive o vodah</w:t>
            </w:r>
          </w:p>
        </w:tc>
      </w:tr>
      <w:tr w:rsidR="00D83206" w:rsidRPr="00B7760C" w14:paraId="0B9779C1" w14:textId="77777777" w:rsidTr="006A3A9D">
        <w:tc>
          <w:tcPr>
            <w:tcW w:w="1173" w:type="dxa"/>
          </w:tcPr>
          <w:p w14:paraId="4BC3F917" w14:textId="77777777" w:rsidR="00D83206" w:rsidRPr="00B7760C" w:rsidRDefault="00D83206" w:rsidP="006A3A9D">
            <w:pPr>
              <w:spacing w:before="60" w:after="60"/>
              <w:jc w:val="center"/>
              <w:rPr>
                <w:b/>
                <w:i/>
                <w:sz w:val="20"/>
              </w:rPr>
            </w:pPr>
            <w:r w:rsidRPr="00B7760C">
              <w:rPr>
                <w:b/>
                <w:i/>
                <w:sz w:val="20"/>
              </w:rPr>
              <w:t>Člen 68</w:t>
            </w:r>
          </w:p>
        </w:tc>
        <w:tc>
          <w:tcPr>
            <w:tcW w:w="2904" w:type="dxa"/>
          </w:tcPr>
          <w:p w14:paraId="3837BFA0" w14:textId="77777777" w:rsidR="00D83206" w:rsidRPr="00B7760C" w:rsidRDefault="00D83206" w:rsidP="006A3A9D">
            <w:pPr>
              <w:spacing w:before="60" w:after="60"/>
              <w:rPr>
                <w:b/>
                <w:i/>
                <w:sz w:val="20"/>
              </w:rPr>
            </w:pPr>
            <w:r w:rsidRPr="00B7760C">
              <w:rPr>
                <w:b/>
                <w:i/>
                <w:sz w:val="20"/>
              </w:rPr>
              <w:t>Pomoč za naložbe</w:t>
            </w:r>
          </w:p>
        </w:tc>
        <w:tc>
          <w:tcPr>
            <w:tcW w:w="1883" w:type="dxa"/>
          </w:tcPr>
          <w:p w14:paraId="4DBF268E" w14:textId="77777777" w:rsidR="00D83206" w:rsidRPr="00B7760C" w:rsidRDefault="00D83206" w:rsidP="006A3A9D">
            <w:pPr>
              <w:tabs>
                <w:tab w:val="left" w:pos="510"/>
              </w:tabs>
              <w:spacing w:before="60" w:after="60"/>
              <w:ind w:right="-17"/>
              <w:jc w:val="center"/>
              <w:rPr>
                <w:b/>
                <w:i/>
                <w:sz w:val="20"/>
              </w:rPr>
            </w:pPr>
            <w:r w:rsidRPr="00B7760C">
              <w:rPr>
                <w:b/>
                <w:i/>
                <w:sz w:val="20"/>
              </w:rPr>
              <w:t>55 %</w:t>
            </w:r>
          </w:p>
        </w:tc>
        <w:tc>
          <w:tcPr>
            <w:tcW w:w="3326" w:type="dxa"/>
          </w:tcPr>
          <w:p w14:paraId="3936EFBA" w14:textId="77777777" w:rsidR="00D83206" w:rsidRPr="00B7760C" w:rsidRDefault="00D83206" w:rsidP="006A3A9D">
            <w:pPr>
              <w:tabs>
                <w:tab w:val="left" w:pos="193"/>
              </w:tabs>
              <w:spacing w:before="60" w:after="60"/>
              <w:rPr>
                <w:b/>
                <w:i/>
                <w:sz w:val="20"/>
              </w:rPr>
            </w:pPr>
            <w:r w:rsidRPr="00B7760C">
              <w:rPr>
                <w:b/>
                <w:i/>
                <w:sz w:val="20"/>
              </w:rPr>
              <w:t>Največja stopnja zneska upravičenih stroškov. Ta stopnja se lahko preseže skladno s členom 68(4).</w:t>
            </w:r>
          </w:p>
        </w:tc>
      </w:tr>
      <w:tr w:rsidR="00D83206" w:rsidRPr="00B7760C" w14:paraId="10ACFA83" w14:textId="77777777" w:rsidTr="006A3A9D">
        <w:tc>
          <w:tcPr>
            <w:tcW w:w="1173" w:type="dxa"/>
          </w:tcPr>
          <w:p w14:paraId="4D26AA05" w14:textId="77777777" w:rsidR="00D83206" w:rsidRPr="00B7760C" w:rsidRDefault="00D83206" w:rsidP="006A3A9D">
            <w:pPr>
              <w:spacing w:before="60" w:after="60"/>
              <w:jc w:val="center"/>
              <w:rPr>
                <w:b/>
                <w:i/>
                <w:sz w:val="20"/>
              </w:rPr>
            </w:pPr>
            <w:r w:rsidRPr="00B7760C">
              <w:rPr>
                <w:b/>
                <w:i/>
                <w:sz w:val="20"/>
              </w:rPr>
              <w:t>Člen 68a</w:t>
            </w:r>
          </w:p>
        </w:tc>
        <w:tc>
          <w:tcPr>
            <w:tcW w:w="2904" w:type="dxa"/>
          </w:tcPr>
          <w:p w14:paraId="5F55518A" w14:textId="77777777" w:rsidR="00D83206" w:rsidRPr="00B7760C" w:rsidRDefault="00D83206" w:rsidP="006A3A9D">
            <w:pPr>
              <w:spacing w:before="60" w:after="60"/>
              <w:rPr>
                <w:b/>
                <w:i/>
                <w:sz w:val="20"/>
              </w:rPr>
            </w:pPr>
            <w:r w:rsidRPr="00B7760C">
              <w:rPr>
                <w:b/>
                <w:i/>
                <w:sz w:val="20"/>
              </w:rPr>
              <w:t>Pomoč za naložbe v namakanje</w:t>
            </w:r>
          </w:p>
        </w:tc>
        <w:tc>
          <w:tcPr>
            <w:tcW w:w="1883" w:type="dxa"/>
          </w:tcPr>
          <w:p w14:paraId="6725FF29" w14:textId="77777777" w:rsidR="00D83206" w:rsidRPr="00B7760C" w:rsidRDefault="00D83206" w:rsidP="006A3A9D">
            <w:pPr>
              <w:tabs>
                <w:tab w:val="left" w:pos="510"/>
              </w:tabs>
              <w:spacing w:before="60" w:after="60"/>
              <w:ind w:right="-17"/>
              <w:jc w:val="center"/>
              <w:rPr>
                <w:b/>
                <w:i/>
                <w:sz w:val="20"/>
              </w:rPr>
            </w:pPr>
            <w:r w:rsidRPr="00B7760C">
              <w:rPr>
                <w:b/>
                <w:i/>
                <w:sz w:val="20"/>
              </w:rPr>
              <w:t>75 %</w:t>
            </w:r>
          </w:p>
        </w:tc>
        <w:tc>
          <w:tcPr>
            <w:tcW w:w="3326" w:type="dxa"/>
          </w:tcPr>
          <w:p w14:paraId="37BAB48B" w14:textId="77777777" w:rsidR="00D83206" w:rsidRPr="00B7760C" w:rsidRDefault="00D83206" w:rsidP="006A3A9D">
            <w:pPr>
              <w:tabs>
                <w:tab w:val="left" w:pos="193"/>
              </w:tabs>
              <w:spacing w:before="60" w:after="60"/>
              <w:rPr>
                <w:b/>
                <w:i/>
                <w:sz w:val="20"/>
              </w:rPr>
            </w:pPr>
            <w:r w:rsidRPr="00B7760C">
              <w:rPr>
                <w:b/>
                <w:i/>
                <w:sz w:val="20"/>
              </w:rPr>
              <w:t>Največja stopnja zneska upravičenih stroškov</w:t>
            </w:r>
          </w:p>
        </w:tc>
      </w:tr>
      <w:tr w:rsidR="00D83206" w:rsidRPr="00B7760C" w14:paraId="4479FA73" w14:textId="77777777" w:rsidTr="006A3A9D">
        <w:tc>
          <w:tcPr>
            <w:tcW w:w="1173" w:type="dxa"/>
          </w:tcPr>
          <w:p w14:paraId="5713280A" w14:textId="77777777" w:rsidR="00D83206" w:rsidRPr="00B7760C" w:rsidRDefault="00D83206" w:rsidP="006A3A9D">
            <w:pPr>
              <w:spacing w:before="60" w:after="60"/>
              <w:jc w:val="center"/>
              <w:rPr>
                <w:b/>
                <w:i/>
                <w:sz w:val="20"/>
              </w:rPr>
            </w:pPr>
            <w:r w:rsidRPr="00B7760C">
              <w:rPr>
                <w:b/>
                <w:i/>
                <w:sz w:val="20"/>
              </w:rPr>
              <w:t>Člen 69</w:t>
            </w:r>
          </w:p>
        </w:tc>
        <w:tc>
          <w:tcPr>
            <w:tcW w:w="2904" w:type="dxa"/>
          </w:tcPr>
          <w:p w14:paraId="14F3E72B" w14:textId="77777777" w:rsidR="00D83206" w:rsidRPr="00B7760C" w:rsidRDefault="00D83206" w:rsidP="006A3A9D">
            <w:pPr>
              <w:spacing w:before="60" w:after="60"/>
              <w:rPr>
                <w:b/>
                <w:i/>
                <w:sz w:val="20"/>
              </w:rPr>
            </w:pPr>
            <w:r w:rsidRPr="00B7760C">
              <w:rPr>
                <w:b/>
                <w:i/>
                <w:sz w:val="20"/>
              </w:rPr>
              <w:t>Pomoč za vzpostavitev gospodarstev mladih in novih kmetov ter zagon in razvoj trajnostnih podeželskih podjetij</w:t>
            </w:r>
          </w:p>
        </w:tc>
        <w:tc>
          <w:tcPr>
            <w:tcW w:w="1883" w:type="dxa"/>
          </w:tcPr>
          <w:p w14:paraId="6BF826CC" w14:textId="77777777" w:rsidR="00D83206" w:rsidRPr="00B7760C" w:rsidRDefault="00D83206" w:rsidP="006A3A9D">
            <w:pPr>
              <w:tabs>
                <w:tab w:val="left" w:pos="510"/>
              </w:tabs>
              <w:spacing w:before="60" w:after="60"/>
              <w:ind w:right="-17"/>
              <w:jc w:val="center"/>
              <w:rPr>
                <w:b/>
                <w:i/>
                <w:sz w:val="20"/>
              </w:rPr>
            </w:pPr>
            <w:r w:rsidRPr="00B7760C">
              <w:rPr>
                <w:b/>
                <w:i/>
                <w:sz w:val="20"/>
              </w:rPr>
              <w:t>100 000</w:t>
            </w:r>
          </w:p>
        </w:tc>
        <w:tc>
          <w:tcPr>
            <w:tcW w:w="3326" w:type="dxa"/>
          </w:tcPr>
          <w:p w14:paraId="29F55992" w14:textId="77777777" w:rsidR="00D83206" w:rsidRPr="00B7760C" w:rsidRDefault="00D83206" w:rsidP="006A3A9D">
            <w:pPr>
              <w:tabs>
                <w:tab w:val="left" w:pos="193"/>
              </w:tabs>
              <w:spacing w:before="60" w:after="60"/>
              <w:rPr>
                <w:b/>
                <w:i/>
                <w:sz w:val="20"/>
              </w:rPr>
            </w:pPr>
            <w:r w:rsidRPr="00B7760C">
              <w:rPr>
                <w:b/>
                <w:i/>
                <w:sz w:val="20"/>
              </w:rPr>
              <w:t xml:space="preserve"> Največ na upravičenca </w:t>
            </w:r>
          </w:p>
        </w:tc>
      </w:tr>
      <w:tr w:rsidR="00D83206" w:rsidRPr="00B7760C" w14:paraId="6FB52523" w14:textId="77777777" w:rsidTr="006A3A9D">
        <w:tc>
          <w:tcPr>
            <w:tcW w:w="1173" w:type="dxa"/>
          </w:tcPr>
          <w:p w14:paraId="1689E166" w14:textId="77777777" w:rsidR="00D83206" w:rsidRPr="00B7760C" w:rsidRDefault="00D83206" w:rsidP="006A3A9D">
            <w:pPr>
              <w:spacing w:before="60" w:after="60"/>
              <w:jc w:val="center"/>
              <w:rPr>
                <w:b/>
                <w:i/>
                <w:sz w:val="20"/>
              </w:rPr>
            </w:pPr>
            <w:r w:rsidRPr="00B7760C">
              <w:rPr>
                <w:b/>
                <w:i/>
                <w:sz w:val="20"/>
              </w:rPr>
              <w:t>Člen 69a</w:t>
            </w:r>
          </w:p>
        </w:tc>
        <w:tc>
          <w:tcPr>
            <w:tcW w:w="2904" w:type="dxa"/>
          </w:tcPr>
          <w:p w14:paraId="4298D4CE" w14:textId="77777777" w:rsidR="00D83206" w:rsidRPr="00B7760C" w:rsidRDefault="00D83206" w:rsidP="006A3A9D">
            <w:pPr>
              <w:spacing w:before="60" w:after="60"/>
              <w:rPr>
                <w:b/>
                <w:i/>
                <w:sz w:val="20"/>
              </w:rPr>
            </w:pPr>
            <w:r w:rsidRPr="00B7760C">
              <w:rPr>
                <w:b/>
                <w:i/>
                <w:sz w:val="20"/>
              </w:rPr>
              <w:t>Pomoč za namestitev digitalnih tehnologij</w:t>
            </w:r>
          </w:p>
        </w:tc>
        <w:tc>
          <w:tcPr>
            <w:tcW w:w="1883" w:type="dxa"/>
          </w:tcPr>
          <w:p w14:paraId="7C28B900" w14:textId="77777777" w:rsidR="00D83206" w:rsidRPr="00B7760C" w:rsidRDefault="00D83206" w:rsidP="006A3A9D">
            <w:pPr>
              <w:tabs>
                <w:tab w:val="left" w:pos="510"/>
              </w:tabs>
              <w:spacing w:before="60" w:after="60"/>
              <w:ind w:right="-17"/>
              <w:jc w:val="center"/>
              <w:rPr>
                <w:b/>
                <w:i/>
                <w:sz w:val="20"/>
              </w:rPr>
            </w:pPr>
            <w:r w:rsidRPr="00B7760C">
              <w:rPr>
                <w:b/>
                <w:i/>
                <w:sz w:val="20"/>
              </w:rPr>
              <w:t>70 %</w:t>
            </w:r>
          </w:p>
        </w:tc>
        <w:tc>
          <w:tcPr>
            <w:tcW w:w="3326" w:type="dxa"/>
          </w:tcPr>
          <w:p w14:paraId="414E30DB" w14:textId="77777777" w:rsidR="00D83206" w:rsidRPr="00B7760C" w:rsidRDefault="00D83206" w:rsidP="006A3A9D">
            <w:pPr>
              <w:tabs>
                <w:tab w:val="left" w:pos="193"/>
              </w:tabs>
              <w:spacing w:before="60" w:after="60"/>
              <w:rPr>
                <w:b/>
                <w:i/>
                <w:sz w:val="20"/>
              </w:rPr>
            </w:pPr>
            <w:r w:rsidRPr="00B7760C">
              <w:rPr>
                <w:b/>
                <w:i/>
                <w:sz w:val="20"/>
              </w:rPr>
              <w:t>Največja stopnja zneska upravičenih stroškov</w:t>
            </w:r>
          </w:p>
        </w:tc>
      </w:tr>
      <w:tr w:rsidR="00D83206" w:rsidRPr="00B7760C" w14:paraId="11673446" w14:textId="77777777" w:rsidTr="006A3A9D">
        <w:tc>
          <w:tcPr>
            <w:tcW w:w="1173" w:type="dxa"/>
          </w:tcPr>
          <w:p w14:paraId="135E98EB" w14:textId="77777777" w:rsidR="00D83206" w:rsidRPr="00B7760C" w:rsidRDefault="00D83206" w:rsidP="006A3A9D">
            <w:pPr>
              <w:spacing w:before="60" w:after="60"/>
              <w:jc w:val="center"/>
              <w:rPr>
                <w:b/>
                <w:i/>
                <w:sz w:val="20"/>
              </w:rPr>
            </w:pPr>
            <w:r w:rsidRPr="00B7760C">
              <w:rPr>
                <w:b/>
                <w:i/>
                <w:sz w:val="20"/>
              </w:rPr>
              <w:t>Člen 70</w:t>
            </w:r>
          </w:p>
        </w:tc>
        <w:tc>
          <w:tcPr>
            <w:tcW w:w="2904" w:type="dxa"/>
          </w:tcPr>
          <w:p w14:paraId="2F1D23BF" w14:textId="77777777" w:rsidR="00D83206" w:rsidRPr="00B7760C" w:rsidRDefault="00D83206" w:rsidP="006A3A9D">
            <w:pPr>
              <w:spacing w:before="60" w:after="60"/>
              <w:rPr>
                <w:b/>
                <w:i/>
                <w:sz w:val="20"/>
              </w:rPr>
            </w:pPr>
            <w:r w:rsidRPr="00B7760C">
              <w:rPr>
                <w:b/>
                <w:i/>
                <w:sz w:val="20"/>
              </w:rPr>
              <w:t>Pomoč za instrumente za obvladovanje tveganj</w:t>
            </w:r>
          </w:p>
        </w:tc>
        <w:tc>
          <w:tcPr>
            <w:tcW w:w="1883" w:type="dxa"/>
          </w:tcPr>
          <w:p w14:paraId="0BF12EF5" w14:textId="77777777" w:rsidR="00D83206" w:rsidRPr="00B7760C" w:rsidRDefault="00D83206" w:rsidP="006A3A9D">
            <w:pPr>
              <w:tabs>
                <w:tab w:val="left" w:pos="510"/>
              </w:tabs>
              <w:spacing w:before="60" w:after="60"/>
              <w:ind w:right="-17"/>
              <w:jc w:val="center"/>
              <w:rPr>
                <w:b/>
                <w:i/>
                <w:sz w:val="20"/>
              </w:rPr>
            </w:pPr>
            <w:r w:rsidRPr="00B7760C">
              <w:rPr>
                <w:b/>
                <w:i/>
                <w:sz w:val="20"/>
              </w:rPr>
              <w:t>70 %</w:t>
            </w:r>
          </w:p>
        </w:tc>
        <w:tc>
          <w:tcPr>
            <w:tcW w:w="3326" w:type="dxa"/>
          </w:tcPr>
          <w:p w14:paraId="3EA314F1" w14:textId="77777777" w:rsidR="00D83206" w:rsidRPr="00B7760C" w:rsidRDefault="00D83206" w:rsidP="006A3A9D">
            <w:pPr>
              <w:tabs>
                <w:tab w:val="left" w:pos="193"/>
              </w:tabs>
              <w:spacing w:before="60" w:after="60"/>
              <w:rPr>
                <w:b/>
                <w:i/>
                <w:sz w:val="20"/>
              </w:rPr>
            </w:pPr>
            <w:r w:rsidRPr="00B7760C">
              <w:rPr>
                <w:b/>
                <w:i/>
                <w:sz w:val="20"/>
              </w:rPr>
              <w:t xml:space="preserve">Največja stopnja zneska upravičenih stroškov. </w:t>
            </w:r>
          </w:p>
        </w:tc>
      </w:tr>
      <w:tr w:rsidR="00D83206" w:rsidRPr="00B7760C" w14:paraId="2D908C79" w14:textId="77777777" w:rsidTr="006A3A9D">
        <w:tc>
          <w:tcPr>
            <w:tcW w:w="1173" w:type="dxa"/>
            <w:vMerge w:val="restart"/>
          </w:tcPr>
          <w:p w14:paraId="3F4D2949" w14:textId="77777777" w:rsidR="00D83206" w:rsidRPr="00B7760C" w:rsidRDefault="00D83206" w:rsidP="006A3A9D">
            <w:pPr>
              <w:spacing w:before="60" w:after="60"/>
              <w:jc w:val="center"/>
              <w:rPr>
                <w:b/>
                <w:i/>
                <w:sz w:val="20"/>
              </w:rPr>
            </w:pPr>
            <w:r w:rsidRPr="00B7760C">
              <w:rPr>
                <w:b/>
                <w:i/>
                <w:sz w:val="20"/>
              </w:rPr>
              <w:t>Člen 71</w:t>
            </w:r>
          </w:p>
        </w:tc>
        <w:tc>
          <w:tcPr>
            <w:tcW w:w="2904" w:type="dxa"/>
          </w:tcPr>
          <w:p w14:paraId="0E35B6C8" w14:textId="77777777" w:rsidR="00D83206" w:rsidRPr="00B7760C" w:rsidRDefault="00D83206" w:rsidP="006A3A9D">
            <w:pPr>
              <w:spacing w:before="60" w:after="60"/>
              <w:rPr>
                <w:b/>
                <w:i/>
                <w:sz w:val="20"/>
              </w:rPr>
            </w:pPr>
            <w:r w:rsidRPr="00B7760C">
              <w:rPr>
                <w:b/>
                <w:i/>
                <w:sz w:val="20"/>
              </w:rPr>
              <w:t xml:space="preserve">Sodelovanje: pomoč za sheme kakovosti za kmetijske proizvode in živila </w:t>
            </w:r>
          </w:p>
        </w:tc>
        <w:tc>
          <w:tcPr>
            <w:tcW w:w="1883" w:type="dxa"/>
          </w:tcPr>
          <w:p w14:paraId="3DB1C14A" w14:textId="77777777" w:rsidR="00D83206" w:rsidRPr="00B7760C" w:rsidRDefault="00D83206" w:rsidP="006A3A9D">
            <w:pPr>
              <w:spacing w:before="60" w:after="60"/>
              <w:ind w:right="195"/>
              <w:jc w:val="center"/>
              <w:rPr>
                <w:b/>
                <w:i/>
                <w:sz w:val="20"/>
              </w:rPr>
            </w:pPr>
            <w:r w:rsidRPr="00B7760C">
              <w:rPr>
                <w:b/>
                <w:i/>
                <w:sz w:val="20"/>
              </w:rPr>
              <w:t>3 000</w:t>
            </w:r>
          </w:p>
        </w:tc>
        <w:tc>
          <w:tcPr>
            <w:tcW w:w="3326" w:type="dxa"/>
          </w:tcPr>
          <w:p w14:paraId="67511B48" w14:textId="77777777" w:rsidR="00D83206" w:rsidRPr="00B7760C" w:rsidRDefault="00D83206" w:rsidP="006A3A9D">
            <w:pPr>
              <w:tabs>
                <w:tab w:val="left" w:pos="193"/>
              </w:tabs>
              <w:spacing w:before="60" w:after="60"/>
              <w:rPr>
                <w:b/>
                <w:i/>
                <w:sz w:val="20"/>
              </w:rPr>
            </w:pPr>
            <w:r w:rsidRPr="00B7760C">
              <w:rPr>
                <w:b/>
                <w:i/>
                <w:sz w:val="20"/>
              </w:rPr>
              <w:t>Največ na kmetijsko gospodarstvo na leto</w:t>
            </w:r>
          </w:p>
        </w:tc>
      </w:tr>
      <w:tr w:rsidR="00D83206" w:rsidRPr="00B7760C" w14:paraId="30AC8B45" w14:textId="77777777" w:rsidTr="006A3A9D">
        <w:tc>
          <w:tcPr>
            <w:tcW w:w="1173" w:type="dxa"/>
            <w:vMerge/>
            <w:vAlign w:val="center"/>
          </w:tcPr>
          <w:p w14:paraId="1D69C657" w14:textId="77777777" w:rsidR="00D83206" w:rsidRPr="00B7760C" w:rsidRDefault="00D83206" w:rsidP="006A3A9D">
            <w:pPr>
              <w:rPr>
                <w:b/>
                <w:i/>
                <w:sz w:val="20"/>
                <w:lang w:eastAsia="en-US"/>
              </w:rPr>
            </w:pPr>
          </w:p>
        </w:tc>
        <w:tc>
          <w:tcPr>
            <w:tcW w:w="2904" w:type="dxa"/>
            <w:vAlign w:val="center"/>
          </w:tcPr>
          <w:p w14:paraId="7DEABCE9" w14:textId="77777777" w:rsidR="00D83206" w:rsidRPr="00B7760C" w:rsidRDefault="00D83206" w:rsidP="006A3A9D">
            <w:pPr>
              <w:rPr>
                <w:b/>
                <w:i/>
                <w:sz w:val="20"/>
                <w:lang w:eastAsia="en-US"/>
              </w:rPr>
            </w:pPr>
          </w:p>
        </w:tc>
        <w:tc>
          <w:tcPr>
            <w:tcW w:w="1883" w:type="dxa"/>
          </w:tcPr>
          <w:p w14:paraId="315E3786" w14:textId="77777777" w:rsidR="00D83206" w:rsidRPr="00B7760C" w:rsidRDefault="00D83206" w:rsidP="006A3A9D">
            <w:pPr>
              <w:spacing w:before="60" w:after="60"/>
              <w:ind w:right="195"/>
              <w:jc w:val="center"/>
              <w:rPr>
                <w:b/>
                <w:i/>
                <w:sz w:val="20"/>
              </w:rPr>
            </w:pPr>
            <w:r w:rsidRPr="00B7760C">
              <w:rPr>
                <w:b/>
                <w:i/>
                <w:sz w:val="20"/>
              </w:rPr>
              <w:t>70 %</w:t>
            </w:r>
          </w:p>
        </w:tc>
        <w:tc>
          <w:tcPr>
            <w:tcW w:w="3326" w:type="dxa"/>
          </w:tcPr>
          <w:p w14:paraId="0684D358" w14:textId="77777777" w:rsidR="00D83206" w:rsidRPr="00B7760C" w:rsidRDefault="00D83206" w:rsidP="006A3A9D">
            <w:pPr>
              <w:tabs>
                <w:tab w:val="left" w:pos="193"/>
              </w:tabs>
              <w:spacing w:before="60" w:after="60"/>
              <w:rPr>
                <w:b/>
                <w:i/>
                <w:sz w:val="20"/>
              </w:rPr>
            </w:pPr>
            <w:r w:rsidRPr="00B7760C">
              <w:rPr>
                <w:b/>
                <w:i/>
                <w:sz w:val="20"/>
              </w:rPr>
              <w:t>upravičenih stroškov ukrepov za informiranje in promocijo</w:t>
            </w:r>
          </w:p>
        </w:tc>
      </w:tr>
      <w:tr w:rsidR="00D83206" w:rsidRPr="00B7760C" w14:paraId="4AA4B884" w14:textId="77777777" w:rsidTr="006A3A9D">
        <w:tc>
          <w:tcPr>
            <w:tcW w:w="1173" w:type="dxa"/>
            <w:vMerge/>
            <w:vAlign w:val="center"/>
          </w:tcPr>
          <w:p w14:paraId="6667A7A9" w14:textId="77777777" w:rsidR="00D83206" w:rsidRPr="00B7760C" w:rsidRDefault="00D83206" w:rsidP="006A3A9D">
            <w:pPr>
              <w:rPr>
                <w:b/>
                <w:i/>
                <w:sz w:val="20"/>
                <w:lang w:eastAsia="en-US"/>
              </w:rPr>
            </w:pPr>
          </w:p>
        </w:tc>
        <w:tc>
          <w:tcPr>
            <w:tcW w:w="2904" w:type="dxa"/>
          </w:tcPr>
          <w:p w14:paraId="3197F72E" w14:textId="77777777" w:rsidR="00D83206" w:rsidRPr="00B7760C" w:rsidRDefault="00D83206" w:rsidP="006A3A9D">
            <w:pPr>
              <w:spacing w:before="60" w:after="60"/>
              <w:rPr>
                <w:b/>
                <w:i/>
                <w:sz w:val="20"/>
              </w:rPr>
            </w:pPr>
            <w:r w:rsidRPr="00B7760C">
              <w:rPr>
                <w:b/>
                <w:i/>
                <w:sz w:val="20"/>
              </w:rPr>
              <w:t>Sodelovanje: pomoč za ustanovitev skupin in organizacij proizvajalcev</w:t>
            </w:r>
          </w:p>
        </w:tc>
        <w:tc>
          <w:tcPr>
            <w:tcW w:w="1883" w:type="dxa"/>
          </w:tcPr>
          <w:p w14:paraId="2DF2720F" w14:textId="77777777" w:rsidR="00D83206" w:rsidRPr="00B7760C" w:rsidRDefault="00D83206" w:rsidP="006A3A9D">
            <w:pPr>
              <w:spacing w:before="60" w:after="60"/>
              <w:ind w:right="195"/>
              <w:jc w:val="center"/>
              <w:rPr>
                <w:b/>
                <w:i/>
                <w:sz w:val="20"/>
              </w:rPr>
            </w:pPr>
            <w:r w:rsidRPr="00B7760C">
              <w:rPr>
                <w:b/>
                <w:i/>
                <w:sz w:val="20"/>
              </w:rPr>
              <w:t>10 %</w:t>
            </w:r>
          </w:p>
        </w:tc>
        <w:tc>
          <w:tcPr>
            <w:tcW w:w="3326" w:type="dxa"/>
          </w:tcPr>
          <w:p w14:paraId="490E74D4" w14:textId="77777777" w:rsidR="00D83206" w:rsidRPr="00B7760C" w:rsidRDefault="00D83206" w:rsidP="006A3A9D">
            <w:pPr>
              <w:tabs>
                <w:tab w:val="left" w:pos="193"/>
              </w:tabs>
              <w:spacing w:before="60" w:after="60"/>
              <w:rPr>
                <w:b/>
                <w:i/>
                <w:sz w:val="20"/>
              </w:rPr>
            </w:pPr>
            <w:r w:rsidRPr="00B7760C">
              <w:rPr>
                <w:b/>
                <w:i/>
                <w:sz w:val="20"/>
              </w:rPr>
              <w:t>V odstotkih tržne proizvodnje v prvih petih letih po datumu priznanja. Pomoč se postopno znižuje.</w:t>
            </w:r>
          </w:p>
        </w:tc>
      </w:tr>
      <w:tr w:rsidR="00D83206" w:rsidRPr="00B7760C" w14:paraId="7BB71CA9" w14:textId="77777777" w:rsidTr="006A3A9D">
        <w:tc>
          <w:tcPr>
            <w:tcW w:w="1173" w:type="dxa"/>
            <w:vMerge/>
            <w:vAlign w:val="center"/>
          </w:tcPr>
          <w:p w14:paraId="2C476F14" w14:textId="77777777" w:rsidR="00D83206" w:rsidRPr="00B7760C" w:rsidRDefault="00D83206" w:rsidP="006A3A9D">
            <w:pPr>
              <w:rPr>
                <w:b/>
                <w:i/>
                <w:sz w:val="20"/>
                <w:lang w:eastAsia="en-US"/>
              </w:rPr>
            </w:pPr>
          </w:p>
        </w:tc>
        <w:tc>
          <w:tcPr>
            <w:tcW w:w="2904" w:type="dxa"/>
            <w:vAlign w:val="center"/>
          </w:tcPr>
          <w:p w14:paraId="4B7D24E9" w14:textId="77777777" w:rsidR="00D83206" w:rsidRPr="00B7760C" w:rsidRDefault="00D83206" w:rsidP="006A3A9D">
            <w:pPr>
              <w:rPr>
                <w:b/>
                <w:i/>
                <w:sz w:val="20"/>
                <w:lang w:eastAsia="en-US"/>
              </w:rPr>
            </w:pPr>
          </w:p>
        </w:tc>
        <w:tc>
          <w:tcPr>
            <w:tcW w:w="1883" w:type="dxa"/>
          </w:tcPr>
          <w:p w14:paraId="1AFDE5E6" w14:textId="77777777" w:rsidR="00D83206" w:rsidRPr="00B7760C" w:rsidRDefault="00D83206" w:rsidP="006A3A9D">
            <w:pPr>
              <w:spacing w:before="60" w:after="60"/>
              <w:ind w:right="195"/>
              <w:jc w:val="center"/>
              <w:rPr>
                <w:b/>
                <w:i/>
                <w:sz w:val="20"/>
              </w:rPr>
            </w:pPr>
            <w:r w:rsidRPr="00B7760C">
              <w:rPr>
                <w:b/>
                <w:i/>
                <w:sz w:val="20"/>
              </w:rPr>
              <w:t>100 000</w:t>
            </w:r>
          </w:p>
        </w:tc>
        <w:tc>
          <w:tcPr>
            <w:tcW w:w="3326" w:type="dxa"/>
          </w:tcPr>
          <w:p w14:paraId="19696792" w14:textId="77777777" w:rsidR="00D83206" w:rsidRPr="00B7760C" w:rsidRDefault="00D83206" w:rsidP="006A3A9D">
            <w:pPr>
              <w:tabs>
                <w:tab w:val="left" w:pos="193"/>
              </w:tabs>
              <w:spacing w:before="60" w:after="60"/>
              <w:rPr>
                <w:b/>
                <w:i/>
                <w:sz w:val="20"/>
              </w:rPr>
            </w:pPr>
            <w:r w:rsidRPr="00B7760C">
              <w:rPr>
                <w:b/>
                <w:i/>
                <w:sz w:val="20"/>
              </w:rPr>
              <w:t>Največji znesek na leto v vseh primerih</w:t>
            </w:r>
          </w:p>
        </w:tc>
      </w:tr>
      <w:tr w:rsidR="00D83206" w:rsidRPr="00B7760C" w14:paraId="7FD36D03" w14:textId="77777777" w:rsidTr="006A3A9D">
        <w:tc>
          <w:tcPr>
            <w:tcW w:w="1173" w:type="dxa"/>
            <w:vMerge w:val="restart"/>
          </w:tcPr>
          <w:p w14:paraId="3AD36A51" w14:textId="77777777" w:rsidR="00D83206" w:rsidRPr="00B7760C" w:rsidRDefault="00D83206" w:rsidP="006A3A9D">
            <w:pPr>
              <w:spacing w:before="60" w:after="60"/>
              <w:jc w:val="center"/>
              <w:rPr>
                <w:b/>
                <w:i/>
                <w:sz w:val="20"/>
              </w:rPr>
            </w:pPr>
            <w:r w:rsidRPr="00B7760C">
              <w:rPr>
                <w:b/>
                <w:i/>
                <w:sz w:val="20"/>
              </w:rPr>
              <w:t>Člen 72</w:t>
            </w:r>
          </w:p>
        </w:tc>
        <w:tc>
          <w:tcPr>
            <w:tcW w:w="2904" w:type="dxa"/>
          </w:tcPr>
          <w:p w14:paraId="5BA2870E" w14:textId="77777777" w:rsidR="00D83206" w:rsidRPr="00B7760C" w:rsidRDefault="00D83206" w:rsidP="006A3A9D">
            <w:pPr>
              <w:spacing w:before="60" w:after="60"/>
              <w:rPr>
                <w:b/>
                <w:i/>
                <w:sz w:val="20"/>
              </w:rPr>
            </w:pPr>
            <w:r w:rsidRPr="00B7760C">
              <w:rPr>
                <w:b/>
                <w:i/>
                <w:sz w:val="20"/>
              </w:rPr>
              <w:t>Pomoč za storitve svetovanja</w:t>
            </w:r>
          </w:p>
        </w:tc>
        <w:tc>
          <w:tcPr>
            <w:tcW w:w="1883" w:type="dxa"/>
          </w:tcPr>
          <w:p w14:paraId="052417EE" w14:textId="77777777" w:rsidR="00D83206" w:rsidRPr="00B7760C" w:rsidRDefault="00D83206" w:rsidP="006A3A9D">
            <w:pPr>
              <w:spacing w:before="60" w:after="60"/>
              <w:ind w:right="195"/>
              <w:jc w:val="center"/>
              <w:rPr>
                <w:b/>
                <w:i/>
                <w:sz w:val="20"/>
              </w:rPr>
            </w:pPr>
            <w:r w:rsidRPr="00B7760C">
              <w:rPr>
                <w:b/>
                <w:i/>
                <w:sz w:val="20"/>
              </w:rPr>
              <w:t>1 500</w:t>
            </w:r>
          </w:p>
        </w:tc>
        <w:tc>
          <w:tcPr>
            <w:tcW w:w="3326" w:type="dxa"/>
          </w:tcPr>
          <w:p w14:paraId="54B6B1E4" w14:textId="77777777" w:rsidR="00D83206" w:rsidRPr="00B7760C" w:rsidRDefault="00D83206" w:rsidP="006A3A9D">
            <w:pPr>
              <w:tabs>
                <w:tab w:val="left" w:pos="193"/>
              </w:tabs>
              <w:spacing w:before="60" w:after="60"/>
              <w:rPr>
                <w:b/>
                <w:i/>
                <w:sz w:val="20"/>
              </w:rPr>
            </w:pPr>
            <w:r w:rsidRPr="00B7760C">
              <w:rPr>
                <w:b/>
                <w:i/>
                <w:sz w:val="20"/>
              </w:rPr>
              <w:t>Največji znesek za nasvet</w:t>
            </w:r>
          </w:p>
        </w:tc>
      </w:tr>
      <w:tr w:rsidR="00D83206" w:rsidRPr="00B7760C" w14:paraId="7C924367" w14:textId="77777777" w:rsidTr="006A3A9D">
        <w:tc>
          <w:tcPr>
            <w:tcW w:w="1173" w:type="dxa"/>
            <w:vMerge/>
            <w:vAlign w:val="center"/>
          </w:tcPr>
          <w:p w14:paraId="6D0A0F96" w14:textId="77777777" w:rsidR="00D83206" w:rsidRPr="00B7760C" w:rsidRDefault="00D83206" w:rsidP="006A3A9D">
            <w:pPr>
              <w:rPr>
                <w:b/>
                <w:i/>
                <w:sz w:val="20"/>
                <w:lang w:eastAsia="en-US"/>
              </w:rPr>
            </w:pPr>
          </w:p>
        </w:tc>
        <w:tc>
          <w:tcPr>
            <w:tcW w:w="2904" w:type="dxa"/>
            <w:vAlign w:val="center"/>
          </w:tcPr>
          <w:p w14:paraId="3604E54E" w14:textId="77777777" w:rsidR="00D83206" w:rsidRPr="00B7760C" w:rsidRDefault="00D83206" w:rsidP="006A3A9D">
            <w:pPr>
              <w:rPr>
                <w:b/>
                <w:i/>
                <w:sz w:val="20"/>
                <w:lang w:eastAsia="en-US"/>
              </w:rPr>
            </w:pPr>
          </w:p>
        </w:tc>
        <w:tc>
          <w:tcPr>
            <w:tcW w:w="1883" w:type="dxa"/>
          </w:tcPr>
          <w:p w14:paraId="74DDA5E4" w14:textId="77777777" w:rsidR="00D83206" w:rsidRPr="00B7760C" w:rsidRDefault="00D83206" w:rsidP="006A3A9D">
            <w:pPr>
              <w:spacing w:before="60" w:after="60"/>
              <w:ind w:right="195"/>
              <w:jc w:val="center"/>
              <w:rPr>
                <w:b/>
                <w:i/>
                <w:sz w:val="20"/>
              </w:rPr>
            </w:pPr>
            <w:r w:rsidRPr="00B7760C">
              <w:rPr>
                <w:b/>
                <w:i/>
                <w:sz w:val="20"/>
              </w:rPr>
              <w:t>200 000</w:t>
            </w:r>
          </w:p>
        </w:tc>
        <w:tc>
          <w:tcPr>
            <w:tcW w:w="3326" w:type="dxa"/>
          </w:tcPr>
          <w:p w14:paraId="763223BF" w14:textId="77777777" w:rsidR="00D83206" w:rsidRPr="00B7760C" w:rsidRDefault="00D83206" w:rsidP="006A3A9D">
            <w:pPr>
              <w:tabs>
                <w:tab w:val="left" w:pos="193"/>
              </w:tabs>
              <w:spacing w:before="60" w:after="60"/>
              <w:rPr>
                <w:b/>
                <w:i/>
                <w:sz w:val="20"/>
              </w:rPr>
            </w:pPr>
            <w:r w:rsidRPr="00B7760C">
              <w:rPr>
                <w:b/>
                <w:i/>
                <w:sz w:val="20"/>
              </w:rPr>
              <w:t>Največji znesek za triletno obdobje za usposabljanje svetovalcev</w:t>
            </w:r>
          </w:p>
        </w:tc>
      </w:tr>
      <w:tr w:rsidR="00D83206" w:rsidRPr="00B7760C" w14:paraId="7DBF020F" w14:textId="77777777" w:rsidTr="006A3A9D">
        <w:tc>
          <w:tcPr>
            <w:tcW w:w="1173" w:type="dxa"/>
            <w:vMerge/>
            <w:vAlign w:val="center"/>
          </w:tcPr>
          <w:p w14:paraId="1230D1B6" w14:textId="77777777" w:rsidR="00D83206" w:rsidRPr="00B7760C" w:rsidRDefault="00D83206" w:rsidP="006A3A9D">
            <w:pPr>
              <w:rPr>
                <w:b/>
                <w:i/>
                <w:sz w:val="20"/>
                <w:lang w:eastAsia="en-US"/>
              </w:rPr>
            </w:pPr>
          </w:p>
        </w:tc>
        <w:tc>
          <w:tcPr>
            <w:tcW w:w="2904" w:type="dxa"/>
          </w:tcPr>
          <w:p w14:paraId="75EA005E" w14:textId="77777777" w:rsidR="00D83206" w:rsidRPr="00B7760C" w:rsidRDefault="00D83206" w:rsidP="006A3A9D">
            <w:pPr>
              <w:rPr>
                <w:b/>
                <w:i/>
                <w:sz w:val="20"/>
              </w:rPr>
            </w:pPr>
            <w:r w:rsidRPr="00B7760C">
              <w:rPr>
                <w:b/>
                <w:i/>
                <w:sz w:val="20"/>
              </w:rPr>
              <w:t>Pomoč za druge storitve izmenjave znanja in informiranja</w:t>
            </w:r>
          </w:p>
        </w:tc>
        <w:tc>
          <w:tcPr>
            <w:tcW w:w="1883" w:type="dxa"/>
          </w:tcPr>
          <w:p w14:paraId="2D1CFA67" w14:textId="77777777" w:rsidR="00D83206" w:rsidRPr="00B7760C" w:rsidRDefault="00D83206" w:rsidP="006A3A9D">
            <w:pPr>
              <w:spacing w:before="60" w:after="60"/>
              <w:ind w:right="195"/>
              <w:jc w:val="center"/>
              <w:rPr>
                <w:b/>
                <w:i/>
                <w:sz w:val="20"/>
              </w:rPr>
            </w:pPr>
            <w:r w:rsidRPr="00B7760C">
              <w:rPr>
                <w:b/>
                <w:i/>
                <w:sz w:val="20"/>
              </w:rPr>
              <w:t>100 %</w:t>
            </w:r>
          </w:p>
        </w:tc>
        <w:tc>
          <w:tcPr>
            <w:tcW w:w="3326" w:type="dxa"/>
          </w:tcPr>
          <w:p w14:paraId="4BBF1CC1" w14:textId="77777777" w:rsidR="00D83206" w:rsidRPr="00B7760C" w:rsidRDefault="00D83206" w:rsidP="006A3A9D">
            <w:pPr>
              <w:tabs>
                <w:tab w:val="left" w:pos="193"/>
              </w:tabs>
              <w:spacing w:before="60" w:after="60"/>
              <w:rPr>
                <w:b/>
                <w:i/>
                <w:sz w:val="20"/>
              </w:rPr>
            </w:pPr>
            <w:r w:rsidRPr="00B7760C">
              <w:rPr>
                <w:b/>
                <w:i/>
                <w:sz w:val="20"/>
              </w:rPr>
              <w:t>Največja stopnja zneska upravičenih stroškov</w:t>
            </w:r>
          </w:p>
        </w:tc>
      </w:tr>
    </w:tbl>
    <w:p w14:paraId="23BEF382" w14:textId="77777777" w:rsidR="00D83206" w:rsidRPr="00B7760C" w:rsidRDefault="00D83206" w:rsidP="00D83206">
      <w:pPr>
        <w:rPr>
          <w:b/>
          <w:i/>
          <w:sz w:val="18"/>
          <w:szCs w:val="18"/>
        </w:rPr>
      </w:pPr>
    </w:p>
    <w:p w14:paraId="6F909804" w14:textId="77777777" w:rsidR="00D83206" w:rsidRPr="00B7760C" w:rsidRDefault="00D83206" w:rsidP="00D83206">
      <w:pPr>
        <w:rPr>
          <w:b/>
          <w:i/>
          <w:sz w:val="18"/>
          <w:szCs w:val="18"/>
        </w:rPr>
      </w:pPr>
      <w:r w:rsidRPr="00B7760C">
        <w:rPr>
          <w:b/>
          <w:i/>
          <w:sz w:val="18"/>
          <w:szCs w:val="18"/>
        </w:rPr>
        <w:t xml:space="preserve">(*) Ti zneski se v ustrezno utemeljenih primerih lahko povečajo ob upoštevanju posebnih okoliščin, ki jih je treba utemeljiti v programih razvoja podeželja. </w:t>
      </w:r>
      <w:r w:rsidRPr="00B7760C">
        <w:rPr>
          <w:b/>
          <w:i/>
          <w:sz w:val="18"/>
          <w:szCs w:val="18"/>
        </w:rPr>
        <w:br/>
        <w:t>(**) Ti zneski se v ustrezno utemeljenih primerih lahko zmanjšajo ob upoštevanju posebnih okoliščin, ki jih je treba utemeljiti v programih razvoja podeželja.</w:t>
      </w:r>
    </w:p>
    <w:p w14:paraId="191543FA" w14:textId="77777777" w:rsidR="003663AF" w:rsidRPr="00B7760C" w:rsidRDefault="003663AF" w:rsidP="003663AF"/>
    <w:p w14:paraId="5FDD81E5" w14:textId="434D3A7A" w:rsidR="003663AF" w:rsidRPr="00B7760C" w:rsidRDefault="00877691" w:rsidP="003663AF">
      <w:pPr>
        <w:pStyle w:val="AMNumberTabs"/>
        <w:keepNext/>
      </w:pPr>
      <w:r w:rsidRPr="00B7760C">
        <w:t>Sprememba</w:t>
      </w:r>
      <w:r w:rsidR="003663AF" w:rsidRPr="00B7760C">
        <w:tab/>
      </w:r>
      <w:r w:rsidR="003663AF" w:rsidRPr="00B7760C">
        <w:tab/>
        <w:t>724</w:t>
      </w:r>
    </w:p>
    <w:p w14:paraId="4FCD113F" w14:textId="77777777" w:rsidR="003663AF" w:rsidRPr="00B7760C" w:rsidRDefault="003663AF" w:rsidP="003663AF">
      <w:pPr>
        <w:pStyle w:val="NormalBold12b"/>
        <w:keepNext/>
      </w:pPr>
      <w:r w:rsidRPr="00B7760C">
        <w:t>Predlog uredbe</w:t>
      </w:r>
    </w:p>
    <w:p w14:paraId="091B7CAD" w14:textId="77777777" w:rsidR="003663AF" w:rsidRPr="00B7760C" w:rsidRDefault="003663AF" w:rsidP="003663AF">
      <w:pPr>
        <w:pStyle w:val="NormalBold"/>
        <w:keepNext/>
      </w:pPr>
      <w:r w:rsidRPr="00B7760C">
        <w:t>Priloga X – preglednica</w:t>
      </w:r>
    </w:p>
    <w:p w14:paraId="7E8AA3B4" w14:textId="77777777" w:rsidR="003663AF" w:rsidRPr="00B7760C" w:rsidRDefault="003663AF" w:rsidP="003663AF"/>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3663AF" w:rsidRPr="00B7760C" w14:paraId="393A8FB1" w14:textId="77777777" w:rsidTr="00E804B7">
        <w:tc>
          <w:tcPr>
            <w:tcW w:w="14502" w:type="dxa"/>
            <w:hideMark/>
          </w:tcPr>
          <w:p w14:paraId="27B72CB3" w14:textId="77777777" w:rsidR="003663AF" w:rsidRPr="00B7760C" w:rsidRDefault="003663AF" w:rsidP="00E804B7">
            <w:pPr>
              <w:pStyle w:val="ColumnHeading"/>
            </w:pPr>
            <w:r w:rsidRPr="00B7760C">
              <w:t>Besedilo, ki ga predlaga Komisija</w:t>
            </w:r>
          </w:p>
        </w:tc>
      </w:tr>
      <w:tr w:rsidR="003663AF" w:rsidRPr="00B7760C" w14:paraId="2AC60DEB" w14:textId="77777777" w:rsidTr="00E804B7">
        <w:tc>
          <w:tcPr>
            <w:tcW w:w="14502" w:type="dxa"/>
            <w:vAlign w:val="center"/>
            <w:hideMark/>
          </w:tcPr>
          <w:p w14:paraId="16A749C7" w14:textId="77777777" w:rsidR="003663AF" w:rsidRPr="00B7760C" w:rsidRDefault="003663AF" w:rsidP="00E804B7">
            <w:pPr>
              <w:pStyle w:val="ColumnHeading"/>
              <w:jc w:val="left"/>
            </w:pPr>
            <w:r w:rsidRPr="00B7760C">
              <w:rPr>
                <w:sz w:val="20"/>
              </w:rPr>
              <w:t>NAJNIŽJI REZERVIRANI ZNESKI ZA CILJ „PRIVABLJANJE MLADIH KMETOV IN SPODBUJANJE RAZVOJA PODJETIJ“ IZ ČLENA 86(5)</w:t>
            </w:r>
          </w:p>
        </w:tc>
      </w:tr>
    </w:tbl>
    <w:p w14:paraId="0B10B3CF" w14:textId="77777777" w:rsidR="003663AF" w:rsidRPr="00B7760C" w:rsidRDefault="003663AF" w:rsidP="003663AF">
      <w:pPr>
        <w:pStyle w:val="Normal6"/>
        <w:jc w:val="right"/>
        <w:rPr>
          <w:sz w:val="20"/>
        </w:rPr>
      </w:pPr>
      <w:r w:rsidRPr="00B7760C">
        <w:rPr>
          <w:sz w:val="20"/>
        </w:rPr>
        <w:t>(tekoče cene v EUR)</w:t>
      </w:r>
    </w:p>
    <w:tbl>
      <w:tblPr>
        <w:tblW w:w="45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968"/>
        <w:gridCol w:w="877"/>
        <w:gridCol w:w="986"/>
        <w:gridCol w:w="986"/>
        <w:gridCol w:w="986"/>
        <w:gridCol w:w="859"/>
        <w:gridCol w:w="1127"/>
      </w:tblGrid>
      <w:tr w:rsidR="003663AF" w:rsidRPr="00B7760C" w14:paraId="0A7B4EE6" w14:textId="77777777" w:rsidTr="00E804B7">
        <w:trPr>
          <w:cantSplit/>
          <w:trHeight w:val="255"/>
          <w:tblHeader/>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1ACED1F6" w14:textId="77777777" w:rsidR="003663AF" w:rsidRPr="00B7760C" w:rsidRDefault="003663AF" w:rsidP="00E804B7">
            <w:pPr>
              <w:pStyle w:val="Normal6"/>
              <w:rPr>
                <w:sz w:val="20"/>
              </w:rPr>
            </w:pPr>
            <w:r w:rsidRPr="00B7760C">
              <w:rPr>
                <w:sz w:val="20"/>
              </w:rPr>
              <w:t>Koledarsko leto</w:t>
            </w:r>
          </w:p>
        </w:tc>
        <w:tc>
          <w:tcPr>
            <w:tcW w:w="999" w:type="dxa"/>
            <w:tcBorders>
              <w:top w:val="single" w:sz="4" w:space="0" w:color="auto"/>
              <w:left w:val="single" w:sz="4" w:space="0" w:color="auto"/>
              <w:bottom w:val="single" w:sz="4" w:space="0" w:color="auto"/>
              <w:right w:val="single" w:sz="4" w:space="0" w:color="auto"/>
            </w:tcBorders>
            <w:vAlign w:val="center"/>
            <w:hideMark/>
          </w:tcPr>
          <w:p w14:paraId="0B5981F8" w14:textId="77777777" w:rsidR="003663AF" w:rsidRPr="00B7760C" w:rsidRDefault="003663AF" w:rsidP="00E804B7">
            <w:pPr>
              <w:pStyle w:val="Normal6"/>
              <w:rPr>
                <w:sz w:val="20"/>
              </w:rPr>
            </w:pPr>
            <w:r w:rsidRPr="00B7760C">
              <w:rPr>
                <w:sz w:val="20"/>
              </w:rPr>
              <w:t>2021</w:t>
            </w:r>
          </w:p>
        </w:tc>
        <w:tc>
          <w:tcPr>
            <w:tcW w:w="900" w:type="dxa"/>
            <w:tcBorders>
              <w:top w:val="single" w:sz="4" w:space="0" w:color="auto"/>
              <w:left w:val="single" w:sz="4" w:space="0" w:color="auto"/>
              <w:bottom w:val="single" w:sz="4" w:space="0" w:color="auto"/>
              <w:right w:val="single" w:sz="4" w:space="0" w:color="auto"/>
            </w:tcBorders>
            <w:vAlign w:val="center"/>
            <w:hideMark/>
          </w:tcPr>
          <w:p w14:paraId="03DBB208" w14:textId="77777777" w:rsidR="003663AF" w:rsidRPr="00B7760C" w:rsidRDefault="003663AF" w:rsidP="00E804B7">
            <w:pPr>
              <w:pStyle w:val="Normal6"/>
              <w:rPr>
                <w:sz w:val="20"/>
              </w:rPr>
            </w:pPr>
            <w:r w:rsidRPr="00B7760C">
              <w:rPr>
                <w:sz w:val="20"/>
              </w:rPr>
              <w:t>2022</w:t>
            </w:r>
          </w:p>
        </w:tc>
        <w:tc>
          <w:tcPr>
            <w:tcW w:w="1019" w:type="dxa"/>
            <w:tcBorders>
              <w:top w:val="single" w:sz="4" w:space="0" w:color="auto"/>
              <w:left w:val="single" w:sz="4" w:space="0" w:color="auto"/>
              <w:bottom w:val="single" w:sz="4" w:space="0" w:color="auto"/>
              <w:right w:val="single" w:sz="4" w:space="0" w:color="auto"/>
            </w:tcBorders>
            <w:vAlign w:val="center"/>
            <w:hideMark/>
          </w:tcPr>
          <w:p w14:paraId="1E499375" w14:textId="77777777" w:rsidR="003663AF" w:rsidRPr="00B7760C" w:rsidRDefault="003663AF" w:rsidP="00E804B7">
            <w:pPr>
              <w:pStyle w:val="Normal6"/>
              <w:rPr>
                <w:sz w:val="20"/>
              </w:rPr>
            </w:pPr>
            <w:r w:rsidRPr="00B7760C">
              <w:rPr>
                <w:sz w:val="20"/>
              </w:rPr>
              <w:t>2023</w:t>
            </w:r>
          </w:p>
        </w:tc>
        <w:tc>
          <w:tcPr>
            <w:tcW w:w="1019" w:type="dxa"/>
            <w:tcBorders>
              <w:top w:val="single" w:sz="4" w:space="0" w:color="auto"/>
              <w:left w:val="single" w:sz="4" w:space="0" w:color="auto"/>
              <w:bottom w:val="single" w:sz="4" w:space="0" w:color="auto"/>
              <w:right w:val="single" w:sz="4" w:space="0" w:color="auto"/>
            </w:tcBorders>
            <w:vAlign w:val="center"/>
            <w:hideMark/>
          </w:tcPr>
          <w:p w14:paraId="07AAABFA" w14:textId="77777777" w:rsidR="003663AF" w:rsidRPr="00B7760C" w:rsidRDefault="003663AF" w:rsidP="00E804B7">
            <w:pPr>
              <w:pStyle w:val="Normal6"/>
              <w:rPr>
                <w:sz w:val="20"/>
              </w:rPr>
            </w:pPr>
            <w:r w:rsidRPr="00B7760C">
              <w:rPr>
                <w:sz w:val="20"/>
              </w:rPr>
              <w:t>2024</w:t>
            </w:r>
          </w:p>
        </w:tc>
        <w:tc>
          <w:tcPr>
            <w:tcW w:w="1019" w:type="dxa"/>
            <w:tcBorders>
              <w:top w:val="single" w:sz="4" w:space="0" w:color="auto"/>
              <w:left w:val="single" w:sz="4" w:space="0" w:color="auto"/>
              <w:bottom w:val="single" w:sz="4" w:space="0" w:color="auto"/>
              <w:right w:val="single" w:sz="4" w:space="0" w:color="auto"/>
            </w:tcBorders>
            <w:vAlign w:val="center"/>
            <w:hideMark/>
          </w:tcPr>
          <w:p w14:paraId="39943956" w14:textId="77777777" w:rsidR="003663AF" w:rsidRPr="00B7760C" w:rsidRDefault="003663AF" w:rsidP="00E804B7">
            <w:pPr>
              <w:pStyle w:val="Normal6"/>
              <w:rPr>
                <w:sz w:val="20"/>
              </w:rPr>
            </w:pPr>
            <w:r w:rsidRPr="00B7760C">
              <w:rPr>
                <w:sz w:val="20"/>
              </w:rPr>
              <w:t>2025</w:t>
            </w:r>
          </w:p>
        </w:tc>
        <w:tc>
          <w:tcPr>
            <w:tcW w:w="880" w:type="dxa"/>
            <w:tcBorders>
              <w:top w:val="single" w:sz="4" w:space="0" w:color="auto"/>
              <w:left w:val="single" w:sz="4" w:space="0" w:color="auto"/>
              <w:bottom w:val="single" w:sz="4" w:space="0" w:color="auto"/>
              <w:right w:val="single" w:sz="4" w:space="0" w:color="auto"/>
            </w:tcBorders>
            <w:vAlign w:val="center"/>
            <w:hideMark/>
          </w:tcPr>
          <w:p w14:paraId="066875D5" w14:textId="77777777" w:rsidR="003663AF" w:rsidRPr="00B7760C" w:rsidRDefault="003663AF" w:rsidP="00E804B7">
            <w:pPr>
              <w:pStyle w:val="Normal6"/>
              <w:rPr>
                <w:rStyle w:val="DeltaViewInsertion"/>
                <w:color w:val="auto"/>
              </w:rPr>
            </w:pPr>
            <w:r w:rsidRPr="00B7760C">
              <w:rPr>
                <w:sz w:val="20"/>
              </w:rPr>
              <w:t>2026</w:t>
            </w:r>
          </w:p>
        </w:tc>
        <w:tc>
          <w:tcPr>
            <w:tcW w:w="1141" w:type="dxa"/>
            <w:tcBorders>
              <w:top w:val="single" w:sz="4" w:space="0" w:color="auto"/>
              <w:left w:val="single" w:sz="4" w:space="0" w:color="auto"/>
              <w:bottom w:val="single" w:sz="4" w:space="0" w:color="auto"/>
              <w:right w:val="single" w:sz="4" w:space="0" w:color="auto"/>
            </w:tcBorders>
            <w:hideMark/>
          </w:tcPr>
          <w:p w14:paraId="707D1AD5" w14:textId="77777777" w:rsidR="003663AF" w:rsidRPr="00B7760C" w:rsidRDefault="003663AF" w:rsidP="00E804B7">
            <w:pPr>
              <w:pStyle w:val="Normal6"/>
              <w:rPr>
                <w:rStyle w:val="DeltaViewInsertion"/>
                <w:color w:val="auto"/>
                <w:sz w:val="20"/>
              </w:rPr>
            </w:pPr>
            <w:r w:rsidRPr="00B7760C">
              <w:rPr>
                <w:sz w:val="20"/>
              </w:rPr>
              <w:t>2027 in naslednja leta</w:t>
            </w:r>
          </w:p>
        </w:tc>
      </w:tr>
      <w:tr w:rsidR="003663AF" w:rsidRPr="00B7760C" w14:paraId="612DF152"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378E8839" w14:textId="77777777" w:rsidR="003663AF" w:rsidRPr="00B7760C" w:rsidRDefault="003663AF" w:rsidP="00E804B7">
            <w:pPr>
              <w:pStyle w:val="Normal6"/>
              <w:rPr>
                <w:rStyle w:val="DeltaViewInsertion"/>
                <w:color w:val="auto"/>
                <w:sz w:val="20"/>
              </w:rPr>
            </w:pPr>
            <w:r w:rsidRPr="00B7760C">
              <w:rPr>
                <w:sz w:val="20"/>
              </w:rPr>
              <w:t>Belgija</w:t>
            </w:r>
          </w:p>
        </w:tc>
        <w:tc>
          <w:tcPr>
            <w:tcW w:w="999" w:type="dxa"/>
            <w:tcBorders>
              <w:top w:val="single" w:sz="4" w:space="0" w:color="auto"/>
              <w:left w:val="single" w:sz="4" w:space="0" w:color="auto"/>
              <w:bottom w:val="single" w:sz="4" w:space="0" w:color="auto"/>
              <w:right w:val="single" w:sz="4" w:space="0" w:color="auto"/>
            </w:tcBorders>
            <w:vAlign w:val="center"/>
            <w:hideMark/>
          </w:tcPr>
          <w:p w14:paraId="720CD529" w14:textId="77777777" w:rsidR="003663AF" w:rsidRPr="00B7760C" w:rsidRDefault="003663AF" w:rsidP="00E804B7">
            <w:pPr>
              <w:pStyle w:val="Normal6"/>
              <w:jc w:val="right"/>
            </w:pPr>
            <w:r w:rsidRPr="00B7760C">
              <w:rPr>
                <w:b/>
                <w:bCs/>
                <w:i/>
                <w:iCs/>
                <w:sz w:val="20"/>
              </w:rPr>
              <w:t>9 712 079</w:t>
            </w:r>
          </w:p>
        </w:tc>
        <w:tc>
          <w:tcPr>
            <w:tcW w:w="900" w:type="dxa"/>
            <w:tcBorders>
              <w:top w:val="single" w:sz="4" w:space="0" w:color="auto"/>
              <w:left w:val="single" w:sz="4" w:space="0" w:color="auto"/>
              <w:bottom w:val="single" w:sz="4" w:space="0" w:color="auto"/>
              <w:right w:val="single" w:sz="4" w:space="0" w:color="auto"/>
            </w:tcBorders>
            <w:vAlign w:val="center"/>
            <w:hideMark/>
          </w:tcPr>
          <w:p w14:paraId="715A79A8" w14:textId="77777777" w:rsidR="003663AF" w:rsidRPr="00B7760C" w:rsidRDefault="003663AF" w:rsidP="00E804B7">
            <w:pPr>
              <w:pStyle w:val="Normal6"/>
              <w:jc w:val="right"/>
              <w:rPr>
                <w:b/>
                <w:bCs/>
                <w:i/>
                <w:iCs/>
                <w:sz w:val="20"/>
              </w:rPr>
            </w:pPr>
            <w:r w:rsidRPr="00B7760C">
              <w:rPr>
                <w:b/>
                <w:bCs/>
                <w:i/>
                <w:iCs/>
                <w:sz w:val="20"/>
              </w:rPr>
              <w:t>9 712 079</w:t>
            </w:r>
          </w:p>
        </w:tc>
        <w:tc>
          <w:tcPr>
            <w:tcW w:w="1019" w:type="dxa"/>
            <w:tcBorders>
              <w:top w:val="single" w:sz="4" w:space="0" w:color="auto"/>
              <w:left w:val="single" w:sz="4" w:space="0" w:color="auto"/>
              <w:bottom w:val="single" w:sz="4" w:space="0" w:color="auto"/>
              <w:right w:val="single" w:sz="4" w:space="0" w:color="auto"/>
            </w:tcBorders>
            <w:vAlign w:val="center"/>
            <w:hideMark/>
          </w:tcPr>
          <w:p w14:paraId="36FA144C" w14:textId="77777777" w:rsidR="003663AF" w:rsidRPr="00B7760C" w:rsidRDefault="003663AF" w:rsidP="00E804B7">
            <w:pPr>
              <w:pStyle w:val="Normal6"/>
              <w:jc w:val="right"/>
              <w:rPr>
                <w:b/>
                <w:bCs/>
                <w:i/>
                <w:iCs/>
                <w:sz w:val="20"/>
              </w:rPr>
            </w:pPr>
            <w:r w:rsidRPr="00B7760C">
              <w:rPr>
                <w:b/>
                <w:bCs/>
                <w:i/>
                <w:iCs/>
                <w:sz w:val="20"/>
              </w:rPr>
              <w:t>9 712 079</w:t>
            </w:r>
          </w:p>
        </w:tc>
        <w:tc>
          <w:tcPr>
            <w:tcW w:w="1019" w:type="dxa"/>
            <w:tcBorders>
              <w:top w:val="single" w:sz="4" w:space="0" w:color="auto"/>
              <w:left w:val="single" w:sz="4" w:space="0" w:color="auto"/>
              <w:bottom w:val="single" w:sz="4" w:space="0" w:color="auto"/>
              <w:right w:val="single" w:sz="4" w:space="0" w:color="auto"/>
            </w:tcBorders>
            <w:vAlign w:val="center"/>
            <w:hideMark/>
          </w:tcPr>
          <w:p w14:paraId="32E98199" w14:textId="77777777" w:rsidR="003663AF" w:rsidRPr="00B7760C" w:rsidRDefault="003663AF" w:rsidP="00E804B7">
            <w:pPr>
              <w:pStyle w:val="Normal6"/>
              <w:jc w:val="right"/>
              <w:rPr>
                <w:b/>
                <w:bCs/>
                <w:i/>
                <w:iCs/>
                <w:sz w:val="20"/>
              </w:rPr>
            </w:pPr>
            <w:r w:rsidRPr="00B7760C">
              <w:rPr>
                <w:b/>
                <w:bCs/>
                <w:i/>
                <w:iCs/>
                <w:sz w:val="20"/>
              </w:rPr>
              <w:t>9 712 079</w:t>
            </w:r>
          </w:p>
        </w:tc>
        <w:tc>
          <w:tcPr>
            <w:tcW w:w="1019" w:type="dxa"/>
            <w:tcBorders>
              <w:top w:val="single" w:sz="4" w:space="0" w:color="auto"/>
              <w:left w:val="single" w:sz="4" w:space="0" w:color="auto"/>
              <w:bottom w:val="single" w:sz="4" w:space="0" w:color="auto"/>
              <w:right w:val="single" w:sz="4" w:space="0" w:color="auto"/>
            </w:tcBorders>
            <w:vAlign w:val="center"/>
            <w:hideMark/>
          </w:tcPr>
          <w:p w14:paraId="431DAA31" w14:textId="77777777" w:rsidR="003663AF" w:rsidRPr="00B7760C" w:rsidRDefault="003663AF" w:rsidP="00E804B7">
            <w:pPr>
              <w:pStyle w:val="Normal6"/>
              <w:jc w:val="right"/>
              <w:rPr>
                <w:b/>
                <w:bCs/>
                <w:i/>
                <w:iCs/>
                <w:sz w:val="20"/>
              </w:rPr>
            </w:pPr>
            <w:r w:rsidRPr="00B7760C">
              <w:rPr>
                <w:b/>
                <w:bCs/>
                <w:i/>
                <w:iCs/>
                <w:sz w:val="20"/>
              </w:rPr>
              <w:t>9 712 079</w:t>
            </w:r>
          </w:p>
        </w:tc>
        <w:tc>
          <w:tcPr>
            <w:tcW w:w="880" w:type="dxa"/>
            <w:tcBorders>
              <w:top w:val="single" w:sz="4" w:space="0" w:color="auto"/>
              <w:left w:val="single" w:sz="4" w:space="0" w:color="auto"/>
              <w:bottom w:val="single" w:sz="4" w:space="0" w:color="auto"/>
              <w:right w:val="single" w:sz="4" w:space="0" w:color="auto"/>
            </w:tcBorders>
            <w:vAlign w:val="center"/>
            <w:hideMark/>
          </w:tcPr>
          <w:p w14:paraId="6416EAF2" w14:textId="77777777" w:rsidR="003663AF" w:rsidRPr="00B7760C" w:rsidRDefault="003663AF" w:rsidP="00E804B7">
            <w:pPr>
              <w:pStyle w:val="Normal6"/>
              <w:jc w:val="right"/>
              <w:rPr>
                <w:b/>
                <w:bCs/>
                <w:i/>
                <w:iCs/>
                <w:sz w:val="20"/>
              </w:rPr>
            </w:pPr>
            <w:r w:rsidRPr="00B7760C">
              <w:rPr>
                <w:b/>
                <w:bCs/>
                <w:i/>
                <w:iCs/>
                <w:sz w:val="20"/>
              </w:rPr>
              <w:t>9 712 079</w:t>
            </w:r>
          </w:p>
        </w:tc>
        <w:tc>
          <w:tcPr>
            <w:tcW w:w="1141" w:type="dxa"/>
            <w:tcBorders>
              <w:top w:val="single" w:sz="4" w:space="0" w:color="auto"/>
              <w:left w:val="single" w:sz="4" w:space="0" w:color="auto"/>
              <w:bottom w:val="single" w:sz="4" w:space="0" w:color="auto"/>
              <w:right w:val="single" w:sz="4" w:space="0" w:color="auto"/>
            </w:tcBorders>
            <w:vAlign w:val="center"/>
            <w:hideMark/>
          </w:tcPr>
          <w:p w14:paraId="5E403B40" w14:textId="77777777" w:rsidR="003663AF" w:rsidRPr="00B7760C" w:rsidRDefault="003663AF" w:rsidP="00E804B7">
            <w:pPr>
              <w:pStyle w:val="Normal6"/>
              <w:jc w:val="right"/>
              <w:rPr>
                <w:b/>
                <w:bCs/>
                <w:i/>
                <w:iCs/>
                <w:sz w:val="20"/>
              </w:rPr>
            </w:pPr>
            <w:r w:rsidRPr="00B7760C">
              <w:rPr>
                <w:b/>
                <w:bCs/>
                <w:i/>
                <w:iCs/>
                <w:sz w:val="20"/>
              </w:rPr>
              <w:t>9 712 079</w:t>
            </w:r>
          </w:p>
        </w:tc>
      </w:tr>
      <w:tr w:rsidR="003663AF" w:rsidRPr="00B7760C" w14:paraId="67491D40"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3A8FC648" w14:textId="77777777" w:rsidR="003663AF" w:rsidRPr="00B7760C" w:rsidRDefault="003663AF" w:rsidP="00E804B7">
            <w:pPr>
              <w:pStyle w:val="Normal6"/>
              <w:rPr>
                <w:rStyle w:val="DeltaViewInsertion"/>
                <w:color w:val="auto"/>
              </w:rPr>
            </w:pPr>
            <w:r w:rsidRPr="00B7760C">
              <w:rPr>
                <w:sz w:val="20"/>
              </w:rPr>
              <w:t>Bolgarija</w:t>
            </w:r>
          </w:p>
        </w:tc>
        <w:tc>
          <w:tcPr>
            <w:tcW w:w="999" w:type="dxa"/>
            <w:tcBorders>
              <w:top w:val="single" w:sz="4" w:space="0" w:color="auto"/>
              <w:left w:val="single" w:sz="4" w:space="0" w:color="auto"/>
              <w:bottom w:val="single" w:sz="4" w:space="0" w:color="auto"/>
              <w:right w:val="single" w:sz="4" w:space="0" w:color="auto"/>
            </w:tcBorders>
            <w:vAlign w:val="center"/>
            <w:hideMark/>
          </w:tcPr>
          <w:p w14:paraId="38B69CC9" w14:textId="77777777" w:rsidR="003663AF" w:rsidRPr="00B7760C" w:rsidRDefault="003663AF" w:rsidP="00E804B7">
            <w:pPr>
              <w:pStyle w:val="Normal6"/>
              <w:jc w:val="right"/>
            </w:pPr>
            <w:r w:rsidRPr="00B7760C">
              <w:rPr>
                <w:b/>
                <w:bCs/>
                <w:i/>
                <w:iCs/>
                <w:sz w:val="20"/>
              </w:rPr>
              <w:t>15 475 439</w:t>
            </w:r>
          </w:p>
        </w:tc>
        <w:tc>
          <w:tcPr>
            <w:tcW w:w="900" w:type="dxa"/>
            <w:tcBorders>
              <w:top w:val="single" w:sz="4" w:space="0" w:color="auto"/>
              <w:left w:val="single" w:sz="4" w:space="0" w:color="auto"/>
              <w:bottom w:val="single" w:sz="4" w:space="0" w:color="auto"/>
              <w:right w:val="single" w:sz="4" w:space="0" w:color="auto"/>
            </w:tcBorders>
            <w:vAlign w:val="center"/>
            <w:hideMark/>
          </w:tcPr>
          <w:p w14:paraId="50A9A2AF" w14:textId="77777777" w:rsidR="003663AF" w:rsidRPr="00B7760C" w:rsidRDefault="003663AF" w:rsidP="00E804B7">
            <w:pPr>
              <w:pStyle w:val="Normal6"/>
              <w:jc w:val="right"/>
              <w:rPr>
                <w:b/>
                <w:bCs/>
                <w:i/>
                <w:iCs/>
                <w:sz w:val="20"/>
              </w:rPr>
            </w:pPr>
            <w:r w:rsidRPr="00B7760C">
              <w:rPr>
                <w:b/>
                <w:bCs/>
                <w:i/>
                <w:iCs/>
                <w:sz w:val="20"/>
              </w:rPr>
              <w:t>15 644 780</w:t>
            </w:r>
          </w:p>
        </w:tc>
        <w:tc>
          <w:tcPr>
            <w:tcW w:w="1019" w:type="dxa"/>
            <w:tcBorders>
              <w:top w:val="single" w:sz="4" w:space="0" w:color="auto"/>
              <w:left w:val="single" w:sz="4" w:space="0" w:color="auto"/>
              <w:bottom w:val="single" w:sz="4" w:space="0" w:color="auto"/>
              <w:right w:val="single" w:sz="4" w:space="0" w:color="auto"/>
            </w:tcBorders>
            <w:vAlign w:val="center"/>
            <w:hideMark/>
          </w:tcPr>
          <w:p w14:paraId="16D30159" w14:textId="77777777" w:rsidR="003663AF" w:rsidRPr="00B7760C" w:rsidRDefault="003663AF" w:rsidP="00E804B7">
            <w:pPr>
              <w:pStyle w:val="Normal6"/>
              <w:jc w:val="right"/>
              <w:rPr>
                <w:b/>
                <w:bCs/>
                <w:i/>
                <w:iCs/>
                <w:sz w:val="20"/>
              </w:rPr>
            </w:pPr>
            <w:r w:rsidRPr="00B7760C">
              <w:rPr>
                <w:b/>
                <w:bCs/>
                <w:i/>
                <w:iCs/>
                <w:sz w:val="20"/>
              </w:rPr>
              <w:t>15 814 121</w:t>
            </w:r>
          </w:p>
        </w:tc>
        <w:tc>
          <w:tcPr>
            <w:tcW w:w="1019" w:type="dxa"/>
            <w:tcBorders>
              <w:top w:val="single" w:sz="4" w:space="0" w:color="auto"/>
              <w:left w:val="single" w:sz="4" w:space="0" w:color="auto"/>
              <w:bottom w:val="single" w:sz="4" w:space="0" w:color="auto"/>
              <w:right w:val="single" w:sz="4" w:space="0" w:color="auto"/>
            </w:tcBorders>
            <w:vAlign w:val="center"/>
            <w:hideMark/>
          </w:tcPr>
          <w:p w14:paraId="37E76AC8" w14:textId="77777777" w:rsidR="003663AF" w:rsidRPr="00B7760C" w:rsidRDefault="003663AF" w:rsidP="00E804B7">
            <w:pPr>
              <w:pStyle w:val="Normal6"/>
              <w:jc w:val="right"/>
              <w:rPr>
                <w:b/>
                <w:bCs/>
                <w:i/>
                <w:iCs/>
                <w:sz w:val="20"/>
              </w:rPr>
            </w:pPr>
            <w:r w:rsidRPr="00B7760C">
              <w:rPr>
                <w:b/>
                <w:bCs/>
                <w:i/>
                <w:iCs/>
                <w:sz w:val="20"/>
              </w:rPr>
              <w:t>15 983 462</w:t>
            </w:r>
          </w:p>
        </w:tc>
        <w:tc>
          <w:tcPr>
            <w:tcW w:w="1019" w:type="dxa"/>
            <w:tcBorders>
              <w:top w:val="single" w:sz="4" w:space="0" w:color="auto"/>
              <w:left w:val="single" w:sz="4" w:space="0" w:color="auto"/>
              <w:bottom w:val="single" w:sz="4" w:space="0" w:color="auto"/>
              <w:right w:val="single" w:sz="4" w:space="0" w:color="auto"/>
            </w:tcBorders>
            <w:vAlign w:val="center"/>
            <w:hideMark/>
          </w:tcPr>
          <w:p w14:paraId="43F83E04" w14:textId="77777777" w:rsidR="003663AF" w:rsidRPr="00B7760C" w:rsidRDefault="003663AF" w:rsidP="00E804B7">
            <w:pPr>
              <w:pStyle w:val="Normal6"/>
              <w:jc w:val="right"/>
              <w:rPr>
                <w:b/>
                <w:bCs/>
                <w:i/>
                <w:iCs/>
                <w:sz w:val="20"/>
              </w:rPr>
            </w:pPr>
            <w:r w:rsidRPr="00B7760C">
              <w:rPr>
                <w:b/>
                <w:bCs/>
                <w:i/>
                <w:iCs/>
                <w:sz w:val="20"/>
              </w:rPr>
              <w:t>16 152 803</w:t>
            </w:r>
          </w:p>
        </w:tc>
        <w:tc>
          <w:tcPr>
            <w:tcW w:w="880" w:type="dxa"/>
            <w:tcBorders>
              <w:top w:val="single" w:sz="4" w:space="0" w:color="auto"/>
              <w:left w:val="single" w:sz="4" w:space="0" w:color="auto"/>
              <w:bottom w:val="single" w:sz="4" w:space="0" w:color="auto"/>
              <w:right w:val="single" w:sz="4" w:space="0" w:color="auto"/>
            </w:tcBorders>
            <w:vAlign w:val="center"/>
            <w:hideMark/>
          </w:tcPr>
          <w:p w14:paraId="2570049C" w14:textId="77777777" w:rsidR="003663AF" w:rsidRPr="00B7760C" w:rsidRDefault="003663AF" w:rsidP="00E804B7">
            <w:pPr>
              <w:pStyle w:val="Normal6"/>
              <w:jc w:val="right"/>
              <w:rPr>
                <w:b/>
                <w:bCs/>
                <w:i/>
                <w:iCs/>
                <w:sz w:val="20"/>
              </w:rPr>
            </w:pPr>
            <w:r w:rsidRPr="00B7760C">
              <w:rPr>
                <w:b/>
                <w:bCs/>
                <w:i/>
                <w:iCs/>
                <w:sz w:val="20"/>
              </w:rPr>
              <w:t>16 322 144</w:t>
            </w:r>
          </w:p>
        </w:tc>
        <w:tc>
          <w:tcPr>
            <w:tcW w:w="1141" w:type="dxa"/>
            <w:tcBorders>
              <w:top w:val="single" w:sz="4" w:space="0" w:color="auto"/>
              <w:left w:val="single" w:sz="4" w:space="0" w:color="auto"/>
              <w:bottom w:val="single" w:sz="4" w:space="0" w:color="auto"/>
              <w:right w:val="single" w:sz="4" w:space="0" w:color="auto"/>
            </w:tcBorders>
            <w:vAlign w:val="center"/>
            <w:hideMark/>
          </w:tcPr>
          <w:p w14:paraId="556D9064" w14:textId="77777777" w:rsidR="003663AF" w:rsidRPr="00B7760C" w:rsidRDefault="003663AF" w:rsidP="00E804B7">
            <w:pPr>
              <w:pStyle w:val="Normal6"/>
              <w:jc w:val="right"/>
              <w:rPr>
                <w:b/>
                <w:bCs/>
                <w:i/>
                <w:iCs/>
                <w:sz w:val="20"/>
              </w:rPr>
            </w:pPr>
            <w:r w:rsidRPr="00B7760C">
              <w:rPr>
                <w:b/>
                <w:bCs/>
                <w:i/>
                <w:iCs/>
                <w:sz w:val="20"/>
              </w:rPr>
              <w:t>16 322 144</w:t>
            </w:r>
          </w:p>
        </w:tc>
      </w:tr>
      <w:tr w:rsidR="003663AF" w:rsidRPr="00B7760C" w14:paraId="7C9D0DAE" w14:textId="77777777" w:rsidTr="00E804B7">
        <w:trPr>
          <w:cantSplit/>
          <w:trHeight w:val="497"/>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7AF400AE" w14:textId="77777777" w:rsidR="003663AF" w:rsidRPr="00B7760C" w:rsidRDefault="003663AF" w:rsidP="00E804B7">
            <w:pPr>
              <w:pStyle w:val="Normal6"/>
              <w:rPr>
                <w:rStyle w:val="DeltaViewInsertion"/>
                <w:color w:val="auto"/>
              </w:rPr>
            </w:pPr>
            <w:r w:rsidRPr="00B7760C">
              <w:rPr>
                <w:sz w:val="20"/>
              </w:rPr>
              <w:t>Češka</w:t>
            </w:r>
          </w:p>
        </w:tc>
        <w:tc>
          <w:tcPr>
            <w:tcW w:w="999" w:type="dxa"/>
            <w:tcBorders>
              <w:top w:val="single" w:sz="4" w:space="0" w:color="auto"/>
              <w:left w:val="single" w:sz="4" w:space="0" w:color="auto"/>
              <w:bottom w:val="single" w:sz="4" w:space="0" w:color="auto"/>
              <w:right w:val="single" w:sz="4" w:space="0" w:color="auto"/>
            </w:tcBorders>
            <w:vAlign w:val="center"/>
            <w:hideMark/>
          </w:tcPr>
          <w:p w14:paraId="7DCB0AA5" w14:textId="77777777" w:rsidR="003663AF" w:rsidRPr="00B7760C" w:rsidRDefault="003663AF" w:rsidP="00E804B7">
            <w:pPr>
              <w:pStyle w:val="Normal6"/>
              <w:jc w:val="right"/>
            </w:pPr>
            <w:r w:rsidRPr="00B7760C">
              <w:rPr>
                <w:b/>
                <w:bCs/>
                <w:i/>
                <w:iCs/>
                <w:sz w:val="20"/>
              </w:rPr>
              <w:t>16 776 886</w:t>
            </w:r>
          </w:p>
        </w:tc>
        <w:tc>
          <w:tcPr>
            <w:tcW w:w="900" w:type="dxa"/>
            <w:tcBorders>
              <w:top w:val="single" w:sz="4" w:space="0" w:color="auto"/>
              <w:left w:val="single" w:sz="4" w:space="0" w:color="auto"/>
              <w:bottom w:val="single" w:sz="4" w:space="0" w:color="auto"/>
              <w:right w:val="single" w:sz="4" w:space="0" w:color="auto"/>
            </w:tcBorders>
            <w:vAlign w:val="center"/>
            <w:hideMark/>
          </w:tcPr>
          <w:p w14:paraId="71644A75" w14:textId="77777777" w:rsidR="003663AF" w:rsidRPr="00B7760C" w:rsidRDefault="003663AF" w:rsidP="00E804B7">
            <w:pPr>
              <w:pStyle w:val="Normal6"/>
              <w:jc w:val="right"/>
              <w:rPr>
                <w:b/>
                <w:bCs/>
                <w:i/>
                <w:iCs/>
                <w:sz w:val="20"/>
              </w:rPr>
            </w:pPr>
            <w:r w:rsidRPr="00B7760C">
              <w:rPr>
                <w:b/>
                <w:bCs/>
                <w:i/>
                <w:iCs/>
                <w:sz w:val="20"/>
              </w:rPr>
              <w:t>16 776 886</w:t>
            </w:r>
          </w:p>
        </w:tc>
        <w:tc>
          <w:tcPr>
            <w:tcW w:w="1019" w:type="dxa"/>
            <w:tcBorders>
              <w:top w:val="single" w:sz="4" w:space="0" w:color="auto"/>
              <w:left w:val="single" w:sz="4" w:space="0" w:color="auto"/>
              <w:bottom w:val="single" w:sz="4" w:space="0" w:color="auto"/>
              <w:right w:val="single" w:sz="4" w:space="0" w:color="auto"/>
            </w:tcBorders>
            <w:vAlign w:val="center"/>
            <w:hideMark/>
          </w:tcPr>
          <w:p w14:paraId="2F8967B6" w14:textId="77777777" w:rsidR="003663AF" w:rsidRPr="00B7760C" w:rsidRDefault="003663AF" w:rsidP="00E804B7">
            <w:pPr>
              <w:pStyle w:val="Normal6"/>
              <w:jc w:val="right"/>
              <w:rPr>
                <w:b/>
                <w:bCs/>
                <w:i/>
                <w:iCs/>
                <w:sz w:val="20"/>
              </w:rPr>
            </w:pPr>
            <w:r w:rsidRPr="00B7760C">
              <w:rPr>
                <w:b/>
                <w:bCs/>
                <w:i/>
                <w:iCs/>
                <w:sz w:val="20"/>
              </w:rPr>
              <w:t>16 776 886</w:t>
            </w:r>
          </w:p>
        </w:tc>
        <w:tc>
          <w:tcPr>
            <w:tcW w:w="1019" w:type="dxa"/>
            <w:tcBorders>
              <w:top w:val="single" w:sz="4" w:space="0" w:color="auto"/>
              <w:left w:val="single" w:sz="4" w:space="0" w:color="auto"/>
              <w:bottom w:val="single" w:sz="4" w:space="0" w:color="auto"/>
              <w:right w:val="single" w:sz="4" w:space="0" w:color="auto"/>
            </w:tcBorders>
            <w:vAlign w:val="center"/>
            <w:hideMark/>
          </w:tcPr>
          <w:p w14:paraId="455C78AC" w14:textId="77777777" w:rsidR="003663AF" w:rsidRPr="00B7760C" w:rsidRDefault="003663AF" w:rsidP="00E804B7">
            <w:pPr>
              <w:pStyle w:val="Normal6"/>
              <w:jc w:val="right"/>
              <w:rPr>
                <w:b/>
                <w:bCs/>
                <w:i/>
                <w:iCs/>
                <w:sz w:val="20"/>
              </w:rPr>
            </w:pPr>
            <w:r w:rsidRPr="00B7760C">
              <w:rPr>
                <w:b/>
                <w:bCs/>
                <w:i/>
                <w:iCs/>
                <w:sz w:val="20"/>
              </w:rPr>
              <w:t>16 776 886</w:t>
            </w:r>
          </w:p>
        </w:tc>
        <w:tc>
          <w:tcPr>
            <w:tcW w:w="1019" w:type="dxa"/>
            <w:tcBorders>
              <w:top w:val="single" w:sz="4" w:space="0" w:color="auto"/>
              <w:left w:val="single" w:sz="4" w:space="0" w:color="auto"/>
              <w:bottom w:val="single" w:sz="4" w:space="0" w:color="auto"/>
              <w:right w:val="single" w:sz="4" w:space="0" w:color="auto"/>
            </w:tcBorders>
            <w:vAlign w:val="center"/>
            <w:hideMark/>
          </w:tcPr>
          <w:p w14:paraId="078E4A3C" w14:textId="77777777" w:rsidR="003663AF" w:rsidRPr="00B7760C" w:rsidRDefault="003663AF" w:rsidP="00E804B7">
            <w:pPr>
              <w:pStyle w:val="Normal6"/>
              <w:jc w:val="right"/>
              <w:rPr>
                <w:b/>
                <w:bCs/>
                <w:i/>
                <w:iCs/>
                <w:sz w:val="20"/>
              </w:rPr>
            </w:pPr>
            <w:r w:rsidRPr="00B7760C">
              <w:rPr>
                <w:b/>
                <w:bCs/>
                <w:i/>
                <w:iCs/>
                <w:sz w:val="20"/>
              </w:rPr>
              <w:t>16 776 886</w:t>
            </w:r>
          </w:p>
        </w:tc>
        <w:tc>
          <w:tcPr>
            <w:tcW w:w="880" w:type="dxa"/>
            <w:tcBorders>
              <w:top w:val="single" w:sz="4" w:space="0" w:color="auto"/>
              <w:left w:val="single" w:sz="4" w:space="0" w:color="auto"/>
              <w:bottom w:val="single" w:sz="4" w:space="0" w:color="auto"/>
              <w:right w:val="single" w:sz="4" w:space="0" w:color="auto"/>
            </w:tcBorders>
            <w:vAlign w:val="center"/>
            <w:hideMark/>
          </w:tcPr>
          <w:p w14:paraId="78C29AEA" w14:textId="77777777" w:rsidR="003663AF" w:rsidRPr="00B7760C" w:rsidRDefault="003663AF" w:rsidP="00E804B7">
            <w:pPr>
              <w:pStyle w:val="Normal6"/>
              <w:jc w:val="right"/>
              <w:rPr>
                <w:b/>
                <w:bCs/>
                <w:i/>
                <w:iCs/>
                <w:sz w:val="20"/>
              </w:rPr>
            </w:pPr>
            <w:r w:rsidRPr="00B7760C">
              <w:rPr>
                <w:b/>
                <w:bCs/>
                <w:i/>
                <w:iCs/>
                <w:sz w:val="20"/>
              </w:rPr>
              <w:t>16 776 886</w:t>
            </w:r>
          </w:p>
        </w:tc>
        <w:tc>
          <w:tcPr>
            <w:tcW w:w="1141" w:type="dxa"/>
            <w:tcBorders>
              <w:top w:val="single" w:sz="4" w:space="0" w:color="auto"/>
              <w:left w:val="single" w:sz="4" w:space="0" w:color="auto"/>
              <w:bottom w:val="single" w:sz="4" w:space="0" w:color="auto"/>
              <w:right w:val="single" w:sz="4" w:space="0" w:color="auto"/>
            </w:tcBorders>
            <w:vAlign w:val="center"/>
            <w:hideMark/>
          </w:tcPr>
          <w:p w14:paraId="5CBDE8E9" w14:textId="77777777" w:rsidR="003663AF" w:rsidRPr="00B7760C" w:rsidRDefault="003663AF" w:rsidP="00E804B7">
            <w:pPr>
              <w:pStyle w:val="Normal6"/>
              <w:jc w:val="right"/>
              <w:rPr>
                <w:b/>
                <w:bCs/>
                <w:i/>
                <w:iCs/>
                <w:sz w:val="20"/>
              </w:rPr>
            </w:pPr>
            <w:r w:rsidRPr="00B7760C">
              <w:rPr>
                <w:b/>
                <w:bCs/>
                <w:i/>
                <w:iCs/>
                <w:sz w:val="20"/>
              </w:rPr>
              <w:t>16 776 886</w:t>
            </w:r>
          </w:p>
        </w:tc>
      </w:tr>
      <w:tr w:rsidR="003663AF" w:rsidRPr="00B7760C" w14:paraId="1C6CEE6B"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3022C0A7" w14:textId="77777777" w:rsidR="003663AF" w:rsidRPr="00B7760C" w:rsidRDefault="003663AF" w:rsidP="00E804B7">
            <w:pPr>
              <w:pStyle w:val="Normal6"/>
              <w:rPr>
                <w:rStyle w:val="DeltaViewInsertion"/>
                <w:color w:val="auto"/>
              </w:rPr>
            </w:pPr>
            <w:r w:rsidRPr="00B7760C">
              <w:rPr>
                <w:sz w:val="20"/>
              </w:rPr>
              <w:t>Danska</w:t>
            </w:r>
          </w:p>
        </w:tc>
        <w:tc>
          <w:tcPr>
            <w:tcW w:w="999" w:type="dxa"/>
            <w:tcBorders>
              <w:top w:val="single" w:sz="4" w:space="0" w:color="auto"/>
              <w:left w:val="single" w:sz="4" w:space="0" w:color="auto"/>
              <w:bottom w:val="single" w:sz="4" w:space="0" w:color="auto"/>
              <w:right w:val="single" w:sz="4" w:space="0" w:color="auto"/>
            </w:tcBorders>
            <w:vAlign w:val="center"/>
            <w:hideMark/>
          </w:tcPr>
          <w:p w14:paraId="404584A2" w14:textId="77777777" w:rsidR="003663AF" w:rsidRPr="00B7760C" w:rsidRDefault="003663AF" w:rsidP="00E804B7">
            <w:pPr>
              <w:pStyle w:val="Normal6"/>
              <w:jc w:val="right"/>
            </w:pPr>
            <w:r w:rsidRPr="00B7760C">
              <w:rPr>
                <w:b/>
                <w:bCs/>
                <w:i/>
                <w:iCs/>
                <w:sz w:val="20"/>
              </w:rPr>
              <w:t>16 922 490</w:t>
            </w:r>
          </w:p>
        </w:tc>
        <w:tc>
          <w:tcPr>
            <w:tcW w:w="900" w:type="dxa"/>
            <w:tcBorders>
              <w:top w:val="single" w:sz="4" w:space="0" w:color="auto"/>
              <w:left w:val="single" w:sz="4" w:space="0" w:color="auto"/>
              <w:bottom w:val="single" w:sz="4" w:space="0" w:color="auto"/>
              <w:right w:val="single" w:sz="4" w:space="0" w:color="auto"/>
            </w:tcBorders>
            <w:vAlign w:val="center"/>
            <w:hideMark/>
          </w:tcPr>
          <w:p w14:paraId="45FE1D02" w14:textId="77777777" w:rsidR="003663AF" w:rsidRPr="00B7760C" w:rsidRDefault="003663AF" w:rsidP="00E804B7">
            <w:pPr>
              <w:pStyle w:val="Normal6"/>
              <w:jc w:val="right"/>
              <w:rPr>
                <w:b/>
                <w:bCs/>
                <w:i/>
                <w:iCs/>
                <w:sz w:val="20"/>
              </w:rPr>
            </w:pPr>
            <w:r w:rsidRPr="00B7760C">
              <w:rPr>
                <w:b/>
                <w:bCs/>
                <w:i/>
                <w:iCs/>
                <w:sz w:val="20"/>
              </w:rPr>
              <w:t>16 922 490</w:t>
            </w:r>
          </w:p>
        </w:tc>
        <w:tc>
          <w:tcPr>
            <w:tcW w:w="1019" w:type="dxa"/>
            <w:tcBorders>
              <w:top w:val="single" w:sz="4" w:space="0" w:color="auto"/>
              <w:left w:val="single" w:sz="4" w:space="0" w:color="auto"/>
              <w:bottom w:val="single" w:sz="4" w:space="0" w:color="auto"/>
              <w:right w:val="single" w:sz="4" w:space="0" w:color="auto"/>
            </w:tcBorders>
            <w:vAlign w:val="center"/>
            <w:hideMark/>
          </w:tcPr>
          <w:p w14:paraId="40ABAD9E" w14:textId="77777777" w:rsidR="003663AF" w:rsidRPr="00B7760C" w:rsidRDefault="003663AF" w:rsidP="00E804B7">
            <w:pPr>
              <w:pStyle w:val="Normal6"/>
              <w:jc w:val="right"/>
              <w:rPr>
                <w:b/>
                <w:bCs/>
                <w:i/>
                <w:iCs/>
                <w:sz w:val="20"/>
              </w:rPr>
            </w:pPr>
            <w:r w:rsidRPr="00B7760C">
              <w:rPr>
                <w:b/>
                <w:bCs/>
                <w:i/>
                <w:iCs/>
                <w:sz w:val="20"/>
              </w:rPr>
              <w:t>16 922 490</w:t>
            </w:r>
          </w:p>
        </w:tc>
        <w:tc>
          <w:tcPr>
            <w:tcW w:w="1019" w:type="dxa"/>
            <w:tcBorders>
              <w:top w:val="single" w:sz="4" w:space="0" w:color="auto"/>
              <w:left w:val="single" w:sz="4" w:space="0" w:color="auto"/>
              <w:bottom w:val="single" w:sz="4" w:space="0" w:color="auto"/>
              <w:right w:val="single" w:sz="4" w:space="0" w:color="auto"/>
            </w:tcBorders>
            <w:vAlign w:val="center"/>
            <w:hideMark/>
          </w:tcPr>
          <w:p w14:paraId="153062B7" w14:textId="77777777" w:rsidR="003663AF" w:rsidRPr="00B7760C" w:rsidRDefault="003663AF" w:rsidP="00E804B7">
            <w:pPr>
              <w:pStyle w:val="Normal6"/>
              <w:jc w:val="right"/>
              <w:rPr>
                <w:b/>
                <w:bCs/>
                <w:i/>
                <w:iCs/>
                <w:sz w:val="20"/>
              </w:rPr>
            </w:pPr>
            <w:r w:rsidRPr="00B7760C">
              <w:rPr>
                <w:b/>
                <w:bCs/>
                <w:i/>
                <w:iCs/>
                <w:sz w:val="20"/>
              </w:rPr>
              <w:t>16 922 490</w:t>
            </w:r>
          </w:p>
        </w:tc>
        <w:tc>
          <w:tcPr>
            <w:tcW w:w="1019" w:type="dxa"/>
            <w:tcBorders>
              <w:top w:val="single" w:sz="4" w:space="0" w:color="auto"/>
              <w:left w:val="single" w:sz="4" w:space="0" w:color="auto"/>
              <w:bottom w:val="single" w:sz="4" w:space="0" w:color="auto"/>
              <w:right w:val="single" w:sz="4" w:space="0" w:color="auto"/>
            </w:tcBorders>
            <w:vAlign w:val="center"/>
            <w:hideMark/>
          </w:tcPr>
          <w:p w14:paraId="7C47B190" w14:textId="77777777" w:rsidR="003663AF" w:rsidRPr="00B7760C" w:rsidRDefault="003663AF" w:rsidP="00E804B7">
            <w:pPr>
              <w:pStyle w:val="Normal6"/>
              <w:jc w:val="right"/>
              <w:rPr>
                <w:b/>
                <w:bCs/>
                <w:i/>
                <w:iCs/>
                <w:sz w:val="20"/>
              </w:rPr>
            </w:pPr>
            <w:r w:rsidRPr="00B7760C">
              <w:rPr>
                <w:b/>
                <w:bCs/>
                <w:i/>
                <w:iCs/>
                <w:sz w:val="20"/>
              </w:rPr>
              <w:t>16 922 490</w:t>
            </w:r>
          </w:p>
        </w:tc>
        <w:tc>
          <w:tcPr>
            <w:tcW w:w="880" w:type="dxa"/>
            <w:tcBorders>
              <w:top w:val="single" w:sz="4" w:space="0" w:color="auto"/>
              <w:left w:val="single" w:sz="4" w:space="0" w:color="auto"/>
              <w:bottom w:val="single" w:sz="4" w:space="0" w:color="auto"/>
              <w:right w:val="single" w:sz="4" w:space="0" w:color="auto"/>
            </w:tcBorders>
            <w:vAlign w:val="center"/>
            <w:hideMark/>
          </w:tcPr>
          <w:p w14:paraId="6573CC29" w14:textId="77777777" w:rsidR="003663AF" w:rsidRPr="00B7760C" w:rsidRDefault="003663AF" w:rsidP="00E804B7">
            <w:pPr>
              <w:pStyle w:val="Normal6"/>
              <w:jc w:val="right"/>
              <w:rPr>
                <w:b/>
                <w:bCs/>
                <w:i/>
                <w:iCs/>
                <w:sz w:val="20"/>
              </w:rPr>
            </w:pPr>
            <w:r w:rsidRPr="00B7760C">
              <w:rPr>
                <w:b/>
                <w:bCs/>
                <w:i/>
                <w:iCs/>
                <w:sz w:val="20"/>
              </w:rPr>
              <w:t>16 922 490</w:t>
            </w:r>
          </w:p>
        </w:tc>
        <w:tc>
          <w:tcPr>
            <w:tcW w:w="1141" w:type="dxa"/>
            <w:tcBorders>
              <w:top w:val="single" w:sz="4" w:space="0" w:color="auto"/>
              <w:left w:val="single" w:sz="4" w:space="0" w:color="auto"/>
              <w:bottom w:val="single" w:sz="4" w:space="0" w:color="auto"/>
              <w:right w:val="single" w:sz="4" w:space="0" w:color="auto"/>
            </w:tcBorders>
            <w:vAlign w:val="center"/>
            <w:hideMark/>
          </w:tcPr>
          <w:p w14:paraId="266C1BA2" w14:textId="77777777" w:rsidR="003663AF" w:rsidRPr="00B7760C" w:rsidRDefault="003663AF" w:rsidP="00E804B7">
            <w:pPr>
              <w:pStyle w:val="Normal6"/>
              <w:jc w:val="right"/>
              <w:rPr>
                <w:b/>
                <w:bCs/>
                <w:i/>
                <w:iCs/>
                <w:sz w:val="20"/>
              </w:rPr>
            </w:pPr>
            <w:r w:rsidRPr="00B7760C">
              <w:rPr>
                <w:b/>
                <w:bCs/>
                <w:i/>
                <w:iCs/>
                <w:sz w:val="20"/>
              </w:rPr>
              <w:t>16 922 490</w:t>
            </w:r>
          </w:p>
        </w:tc>
      </w:tr>
      <w:tr w:rsidR="003663AF" w:rsidRPr="00B7760C" w14:paraId="5662E205"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1A034D2C" w14:textId="77777777" w:rsidR="003663AF" w:rsidRPr="00B7760C" w:rsidRDefault="003663AF" w:rsidP="00E804B7">
            <w:pPr>
              <w:pStyle w:val="Normal6"/>
              <w:rPr>
                <w:rStyle w:val="DeltaViewInsertion"/>
                <w:color w:val="auto"/>
              </w:rPr>
            </w:pPr>
            <w:r w:rsidRPr="00B7760C">
              <w:rPr>
                <w:sz w:val="20"/>
              </w:rPr>
              <w:t>Nemčija</w:t>
            </w:r>
          </w:p>
        </w:tc>
        <w:tc>
          <w:tcPr>
            <w:tcW w:w="999" w:type="dxa"/>
            <w:tcBorders>
              <w:top w:val="single" w:sz="4" w:space="0" w:color="auto"/>
              <w:left w:val="single" w:sz="4" w:space="0" w:color="auto"/>
              <w:bottom w:val="single" w:sz="4" w:space="0" w:color="auto"/>
              <w:right w:val="single" w:sz="4" w:space="0" w:color="auto"/>
            </w:tcBorders>
            <w:vAlign w:val="center"/>
            <w:hideMark/>
          </w:tcPr>
          <w:p w14:paraId="0BB463B5" w14:textId="77777777" w:rsidR="003663AF" w:rsidRPr="00B7760C" w:rsidRDefault="003663AF" w:rsidP="00E804B7">
            <w:pPr>
              <w:pStyle w:val="Normal6"/>
              <w:jc w:val="right"/>
            </w:pPr>
            <w:r w:rsidRPr="00B7760C">
              <w:rPr>
                <w:b/>
                <w:bCs/>
                <w:i/>
                <w:iCs/>
                <w:sz w:val="20"/>
              </w:rPr>
              <w:t>96 462 159</w:t>
            </w:r>
          </w:p>
        </w:tc>
        <w:tc>
          <w:tcPr>
            <w:tcW w:w="900" w:type="dxa"/>
            <w:tcBorders>
              <w:top w:val="single" w:sz="4" w:space="0" w:color="auto"/>
              <w:left w:val="single" w:sz="4" w:space="0" w:color="auto"/>
              <w:bottom w:val="single" w:sz="4" w:space="0" w:color="auto"/>
              <w:right w:val="single" w:sz="4" w:space="0" w:color="auto"/>
            </w:tcBorders>
            <w:vAlign w:val="center"/>
            <w:hideMark/>
          </w:tcPr>
          <w:p w14:paraId="2261DE9D" w14:textId="77777777" w:rsidR="003663AF" w:rsidRPr="00B7760C" w:rsidRDefault="003663AF" w:rsidP="00E804B7">
            <w:pPr>
              <w:pStyle w:val="Normal6"/>
              <w:jc w:val="right"/>
              <w:rPr>
                <w:b/>
                <w:bCs/>
                <w:i/>
                <w:iCs/>
                <w:sz w:val="20"/>
              </w:rPr>
            </w:pPr>
            <w:r w:rsidRPr="00B7760C">
              <w:rPr>
                <w:b/>
                <w:bCs/>
                <w:i/>
                <w:iCs/>
                <w:sz w:val="20"/>
              </w:rPr>
              <w:t>96 462 159</w:t>
            </w:r>
          </w:p>
        </w:tc>
        <w:tc>
          <w:tcPr>
            <w:tcW w:w="1019" w:type="dxa"/>
            <w:tcBorders>
              <w:top w:val="single" w:sz="4" w:space="0" w:color="auto"/>
              <w:left w:val="single" w:sz="4" w:space="0" w:color="auto"/>
              <w:bottom w:val="single" w:sz="4" w:space="0" w:color="auto"/>
              <w:right w:val="single" w:sz="4" w:space="0" w:color="auto"/>
            </w:tcBorders>
            <w:vAlign w:val="center"/>
            <w:hideMark/>
          </w:tcPr>
          <w:p w14:paraId="1FA5E7EE" w14:textId="77777777" w:rsidR="003663AF" w:rsidRPr="00B7760C" w:rsidRDefault="003663AF" w:rsidP="00E804B7">
            <w:pPr>
              <w:pStyle w:val="Normal6"/>
              <w:jc w:val="right"/>
              <w:rPr>
                <w:b/>
                <w:bCs/>
                <w:i/>
                <w:iCs/>
                <w:sz w:val="20"/>
              </w:rPr>
            </w:pPr>
            <w:r w:rsidRPr="00B7760C">
              <w:rPr>
                <w:b/>
                <w:bCs/>
                <w:i/>
                <w:iCs/>
                <w:sz w:val="20"/>
              </w:rPr>
              <w:t>96 462 159</w:t>
            </w:r>
          </w:p>
        </w:tc>
        <w:tc>
          <w:tcPr>
            <w:tcW w:w="1019" w:type="dxa"/>
            <w:tcBorders>
              <w:top w:val="single" w:sz="4" w:space="0" w:color="auto"/>
              <w:left w:val="single" w:sz="4" w:space="0" w:color="auto"/>
              <w:bottom w:val="single" w:sz="4" w:space="0" w:color="auto"/>
              <w:right w:val="single" w:sz="4" w:space="0" w:color="auto"/>
            </w:tcBorders>
            <w:vAlign w:val="center"/>
            <w:hideMark/>
          </w:tcPr>
          <w:p w14:paraId="3ABF6676" w14:textId="77777777" w:rsidR="003663AF" w:rsidRPr="00B7760C" w:rsidRDefault="003663AF" w:rsidP="00E804B7">
            <w:pPr>
              <w:pStyle w:val="Normal6"/>
              <w:jc w:val="right"/>
              <w:rPr>
                <w:b/>
                <w:bCs/>
                <w:i/>
                <w:iCs/>
                <w:sz w:val="20"/>
              </w:rPr>
            </w:pPr>
            <w:r w:rsidRPr="00B7760C">
              <w:rPr>
                <w:b/>
                <w:bCs/>
                <w:i/>
                <w:iCs/>
                <w:sz w:val="20"/>
              </w:rPr>
              <w:t>96 462 159</w:t>
            </w:r>
          </w:p>
        </w:tc>
        <w:tc>
          <w:tcPr>
            <w:tcW w:w="1019" w:type="dxa"/>
            <w:tcBorders>
              <w:top w:val="single" w:sz="4" w:space="0" w:color="auto"/>
              <w:left w:val="single" w:sz="4" w:space="0" w:color="auto"/>
              <w:bottom w:val="single" w:sz="4" w:space="0" w:color="auto"/>
              <w:right w:val="single" w:sz="4" w:space="0" w:color="auto"/>
            </w:tcBorders>
            <w:vAlign w:val="center"/>
            <w:hideMark/>
          </w:tcPr>
          <w:p w14:paraId="5BCA7DE7" w14:textId="77777777" w:rsidR="003663AF" w:rsidRPr="00B7760C" w:rsidRDefault="003663AF" w:rsidP="00E804B7">
            <w:pPr>
              <w:pStyle w:val="Normal6"/>
              <w:jc w:val="right"/>
              <w:rPr>
                <w:b/>
                <w:bCs/>
                <w:i/>
                <w:iCs/>
                <w:sz w:val="20"/>
              </w:rPr>
            </w:pPr>
            <w:r w:rsidRPr="00B7760C">
              <w:rPr>
                <w:b/>
                <w:bCs/>
                <w:i/>
                <w:iCs/>
                <w:sz w:val="20"/>
              </w:rPr>
              <w:t>96 462 159</w:t>
            </w:r>
          </w:p>
        </w:tc>
        <w:tc>
          <w:tcPr>
            <w:tcW w:w="880" w:type="dxa"/>
            <w:tcBorders>
              <w:top w:val="single" w:sz="4" w:space="0" w:color="auto"/>
              <w:left w:val="single" w:sz="4" w:space="0" w:color="auto"/>
              <w:bottom w:val="single" w:sz="4" w:space="0" w:color="auto"/>
              <w:right w:val="single" w:sz="4" w:space="0" w:color="auto"/>
            </w:tcBorders>
            <w:vAlign w:val="center"/>
            <w:hideMark/>
          </w:tcPr>
          <w:p w14:paraId="024CFA3D" w14:textId="77777777" w:rsidR="003663AF" w:rsidRPr="00B7760C" w:rsidRDefault="003663AF" w:rsidP="00E804B7">
            <w:pPr>
              <w:pStyle w:val="Normal6"/>
              <w:jc w:val="right"/>
              <w:rPr>
                <w:b/>
                <w:bCs/>
                <w:i/>
                <w:iCs/>
                <w:sz w:val="20"/>
              </w:rPr>
            </w:pPr>
            <w:r w:rsidRPr="00B7760C">
              <w:rPr>
                <w:b/>
                <w:bCs/>
                <w:i/>
                <w:iCs/>
                <w:sz w:val="20"/>
              </w:rPr>
              <w:t>96 462 159</w:t>
            </w:r>
          </w:p>
        </w:tc>
        <w:tc>
          <w:tcPr>
            <w:tcW w:w="1141" w:type="dxa"/>
            <w:tcBorders>
              <w:top w:val="single" w:sz="4" w:space="0" w:color="auto"/>
              <w:left w:val="single" w:sz="4" w:space="0" w:color="auto"/>
              <w:bottom w:val="single" w:sz="4" w:space="0" w:color="auto"/>
              <w:right w:val="single" w:sz="4" w:space="0" w:color="auto"/>
            </w:tcBorders>
            <w:vAlign w:val="center"/>
            <w:hideMark/>
          </w:tcPr>
          <w:p w14:paraId="5E28982D" w14:textId="77777777" w:rsidR="003663AF" w:rsidRPr="00B7760C" w:rsidRDefault="003663AF" w:rsidP="00E804B7">
            <w:pPr>
              <w:pStyle w:val="Normal6"/>
              <w:jc w:val="right"/>
              <w:rPr>
                <w:b/>
                <w:bCs/>
                <w:i/>
                <w:iCs/>
                <w:sz w:val="20"/>
              </w:rPr>
            </w:pPr>
            <w:r w:rsidRPr="00B7760C">
              <w:rPr>
                <w:b/>
                <w:bCs/>
                <w:i/>
                <w:iCs/>
                <w:sz w:val="20"/>
              </w:rPr>
              <w:t>96 462 159</w:t>
            </w:r>
          </w:p>
        </w:tc>
      </w:tr>
      <w:tr w:rsidR="003663AF" w:rsidRPr="00B7760C" w14:paraId="5BCA2931"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2A85CB56" w14:textId="77777777" w:rsidR="003663AF" w:rsidRPr="00B7760C" w:rsidRDefault="003663AF" w:rsidP="00E804B7">
            <w:pPr>
              <w:pStyle w:val="Normal6"/>
              <w:rPr>
                <w:rStyle w:val="DeltaViewInsertion"/>
                <w:color w:val="auto"/>
              </w:rPr>
            </w:pPr>
            <w:r w:rsidRPr="00B7760C">
              <w:rPr>
                <w:sz w:val="20"/>
              </w:rPr>
              <w:t>Estonija</w:t>
            </w:r>
          </w:p>
        </w:tc>
        <w:tc>
          <w:tcPr>
            <w:tcW w:w="999" w:type="dxa"/>
            <w:tcBorders>
              <w:top w:val="single" w:sz="4" w:space="0" w:color="auto"/>
              <w:left w:val="single" w:sz="4" w:space="0" w:color="auto"/>
              <w:bottom w:val="single" w:sz="4" w:space="0" w:color="auto"/>
              <w:right w:val="single" w:sz="4" w:space="0" w:color="auto"/>
            </w:tcBorders>
            <w:vAlign w:val="center"/>
            <w:hideMark/>
          </w:tcPr>
          <w:p w14:paraId="69D65CD5" w14:textId="77777777" w:rsidR="003663AF" w:rsidRPr="00B7760C" w:rsidRDefault="003663AF" w:rsidP="00E804B7">
            <w:pPr>
              <w:pStyle w:val="Normal6"/>
              <w:jc w:val="right"/>
            </w:pPr>
            <w:r w:rsidRPr="00B7760C">
              <w:rPr>
                <w:b/>
                <w:bCs/>
                <w:i/>
                <w:iCs/>
                <w:sz w:val="20"/>
              </w:rPr>
              <w:t>3 354 430</w:t>
            </w:r>
          </w:p>
        </w:tc>
        <w:tc>
          <w:tcPr>
            <w:tcW w:w="900" w:type="dxa"/>
            <w:tcBorders>
              <w:top w:val="single" w:sz="4" w:space="0" w:color="auto"/>
              <w:left w:val="single" w:sz="4" w:space="0" w:color="auto"/>
              <w:bottom w:val="single" w:sz="4" w:space="0" w:color="auto"/>
              <w:right w:val="single" w:sz="4" w:space="0" w:color="auto"/>
            </w:tcBorders>
            <w:vAlign w:val="center"/>
            <w:hideMark/>
          </w:tcPr>
          <w:p w14:paraId="5FB4593A" w14:textId="77777777" w:rsidR="003663AF" w:rsidRPr="00B7760C" w:rsidRDefault="003663AF" w:rsidP="00E804B7">
            <w:pPr>
              <w:pStyle w:val="Normal6"/>
              <w:jc w:val="right"/>
              <w:rPr>
                <w:b/>
                <w:bCs/>
                <w:i/>
                <w:iCs/>
                <w:sz w:val="20"/>
              </w:rPr>
            </w:pPr>
            <w:r w:rsidRPr="00B7760C">
              <w:rPr>
                <w:b/>
                <w:bCs/>
                <w:i/>
                <w:iCs/>
                <w:sz w:val="20"/>
              </w:rPr>
              <w:t>3 453 356</w:t>
            </w:r>
          </w:p>
        </w:tc>
        <w:tc>
          <w:tcPr>
            <w:tcW w:w="1019" w:type="dxa"/>
            <w:tcBorders>
              <w:top w:val="single" w:sz="4" w:space="0" w:color="auto"/>
              <w:left w:val="single" w:sz="4" w:space="0" w:color="auto"/>
              <w:bottom w:val="single" w:sz="4" w:space="0" w:color="auto"/>
              <w:right w:val="single" w:sz="4" w:space="0" w:color="auto"/>
            </w:tcBorders>
            <w:vAlign w:val="center"/>
            <w:hideMark/>
          </w:tcPr>
          <w:p w14:paraId="24CFFDF5" w14:textId="77777777" w:rsidR="003663AF" w:rsidRPr="00B7760C" w:rsidRDefault="003663AF" w:rsidP="00E804B7">
            <w:pPr>
              <w:pStyle w:val="Normal6"/>
              <w:jc w:val="right"/>
              <w:rPr>
                <w:b/>
                <w:bCs/>
                <w:i/>
                <w:iCs/>
                <w:sz w:val="20"/>
              </w:rPr>
            </w:pPr>
            <w:r w:rsidRPr="00B7760C">
              <w:rPr>
                <w:b/>
                <w:bCs/>
                <w:i/>
                <w:iCs/>
                <w:sz w:val="20"/>
              </w:rPr>
              <w:t>3 552 281</w:t>
            </w:r>
          </w:p>
        </w:tc>
        <w:tc>
          <w:tcPr>
            <w:tcW w:w="1019" w:type="dxa"/>
            <w:tcBorders>
              <w:top w:val="single" w:sz="4" w:space="0" w:color="auto"/>
              <w:left w:val="single" w:sz="4" w:space="0" w:color="auto"/>
              <w:bottom w:val="single" w:sz="4" w:space="0" w:color="auto"/>
              <w:right w:val="single" w:sz="4" w:space="0" w:color="auto"/>
            </w:tcBorders>
            <w:vAlign w:val="center"/>
            <w:hideMark/>
          </w:tcPr>
          <w:p w14:paraId="5A4E6B75" w14:textId="77777777" w:rsidR="003663AF" w:rsidRPr="00B7760C" w:rsidRDefault="003663AF" w:rsidP="00E804B7">
            <w:pPr>
              <w:pStyle w:val="Normal6"/>
              <w:jc w:val="right"/>
              <w:rPr>
                <w:b/>
                <w:bCs/>
                <w:i/>
                <w:iCs/>
                <w:sz w:val="20"/>
              </w:rPr>
            </w:pPr>
            <w:r w:rsidRPr="00B7760C">
              <w:rPr>
                <w:b/>
                <w:bCs/>
                <w:i/>
                <w:iCs/>
                <w:sz w:val="20"/>
              </w:rPr>
              <w:t>3 651 206</w:t>
            </w:r>
          </w:p>
        </w:tc>
        <w:tc>
          <w:tcPr>
            <w:tcW w:w="1019" w:type="dxa"/>
            <w:tcBorders>
              <w:top w:val="single" w:sz="4" w:space="0" w:color="auto"/>
              <w:left w:val="single" w:sz="4" w:space="0" w:color="auto"/>
              <w:bottom w:val="single" w:sz="4" w:space="0" w:color="auto"/>
              <w:right w:val="single" w:sz="4" w:space="0" w:color="auto"/>
            </w:tcBorders>
            <w:vAlign w:val="center"/>
            <w:hideMark/>
          </w:tcPr>
          <w:p w14:paraId="0D7D3DF9" w14:textId="77777777" w:rsidR="003663AF" w:rsidRPr="00B7760C" w:rsidRDefault="003663AF" w:rsidP="00E804B7">
            <w:pPr>
              <w:pStyle w:val="Normal6"/>
              <w:jc w:val="right"/>
              <w:rPr>
                <w:b/>
                <w:bCs/>
                <w:i/>
                <w:iCs/>
                <w:sz w:val="20"/>
              </w:rPr>
            </w:pPr>
            <w:r w:rsidRPr="00B7760C">
              <w:rPr>
                <w:b/>
                <w:bCs/>
                <w:i/>
                <w:iCs/>
                <w:sz w:val="20"/>
              </w:rPr>
              <w:t>3 750 131</w:t>
            </w:r>
          </w:p>
        </w:tc>
        <w:tc>
          <w:tcPr>
            <w:tcW w:w="880" w:type="dxa"/>
            <w:tcBorders>
              <w:top w:val="single" w:sz="4" w:space="0" w:color="auto"/>
              <w:left w:val="single" w:sz="4" w:space="0" w:color="auto"/>
              <w:bottom w:val="single" w:sz="4" w:space="0" w:color="auto"/>
              <w:right w:val="single" w:sz="4" w:space="0" w:color="auto"/>
            </w:tcBorders>
            <w:vAlign w:val="center"/>
            <w:hideMark/>
          </w:tcPr>
          <w:p w14:paraId="18BF4477" w14:textId="77777777" w:rsidR="003663AF" w:rsidRPr="00B7760C" w:rsidRDefault="003663AF" w:rsidP="00E804B7">
            <w:pPr>
              <w:pStyle w:val="Normal6"/>
              <w:jc w:val="right"/>
              <w:rPr>
                <w:b/>
                <w:bCs/>
                <w:i/>
                <w:iCs/>
                <w:sz w:val="20"/>
              </w:rPr>
            </w:pPr>
            <w:r w:rsidRPr="00B7760C">
              <w:rPr>
                <w:b/>
                <w:bCs/>
                <w:i/>
                <w:iCs/>
                <w:sz w:val="20"/>
              </w:rPr>
              <w:t>3 849 057</w:t>
            </w:r>
          </w:p>
        </w:tc>
        <w:tc>
          <w:tcPr>
            <w:tcW w:w="1141" w:type="dxa"/>
            <w:tcBorders>
              <w:top w:val="single" w:sz="4" w:space="0" w:color="auto"/>
              <w:left w:val="single" w:sz="4" w:space="0" w:color="auto"/>
              <w:bottom w:val="single" w:sz="4" w:space="0" w:color="auto"/>
              <w:right w:val="single" w:sz="4" w:space="0" w:color="auto"/>
            </w:tcBorders>
            <w:vAlign w:val="center"/>
            <w:hideMark/>
          </w:tcPr>
          <w:p w14:paraId="7CB235E2" w14:textId="77777777" w:rsidR="003663AF" w:rsidRPr="00B7760C" w:rsidRDefault="003663AF" w:rsidP="00E804B7">
            <w:pPr>
              <w:pStyle w:val="Normal6"/>
              <w:jc w:val="right"/>
              <w:rPr>
                <w:b/>
                <w:bCs/>
                <w:i/>
                <w:iCs/>
                <w:sz w:val="20"/>
              </w:rPr>
            </w:pPr>
            <w:r w:rsidRPr="00B7760C">
              <w:rPr>
                <w:b/>
                <w:bCs/>
                <w:i/>
                <w:iCs/>
                <w:sz w:val="20"/>
              </w:rPr>
              <w:t>3 849 057</w:t>
            </w:r>
          </w:p>
        </w:tc>
      </w:tr>
      <w:tr w:rsidR="003663AF" w:rsidRPr="00B7760C" w14:paraId="3F1BC2A0"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759B3402" w14:textId="77777777" w:rsidR="003663AF" w:rsidRPr="00B7760C" w:rsidRDefault="003663AF" w:rsidP="00E804B7">
            <w:pPr>
              <w:pStyle w:val="Normal6"/>
              <w:rPr>
                <w:rStyle w:val="DeltaViewInsertion"/>
                <w:color w:val="auto"/>
              </w:rPr>
            </w:pPr>
            <w:r w:rsidRPr="00B7760C">
              <w:rPr>
                <w:sz w:val="20"/>
              </w:rPr>
              <w:t>Irska</w:t>
            </w:r>
          </w:p>
        </w:tc>
        <w:tc>
          <w:tcPr>
            <w:tcW w:w="999" w:type="dxa"/>
            <w:tcBorders>
              <w:top w:val="single" w:sz="4" w:space="0" w:color="auto"/>
              <w:left w:val="single" w:sz="4" w:space="0" w:color="auto"/>
              <w:bottom w:val="single" w:sz="4" w:space="0" w:color="auto"/>
              <w:right w:val="single" w:sz="4" w:space="0" w:color="auto"/>
            </w:tcBorders>
            <w:vAlign w:val="center"/>
            <w:hideMark/>
          </w:tcPr>
          <w:p w14:paraId="5E27308D" w14:textId="77777777" w:rsidR="003663AF" w:rsidRPr="00B7760C" w:rsidRDefault="003663AF" w:rsidP="00E804B7">
            <w:pPr>
              <w:pStyle w:val="Normal6"/>
              <w:jc w:val="right"/>
            </w:pPr>
            <w:r w:rsidRPr="00B7760C">
              <w:rPr>
                <w:b/>
                <w:bCs/>
                <w:i/>
                <w:iCs/>
                <w:sz w:val="20"/>
              </w:rPr>
              <w:t>23 278 766</w:t>
            </w:r>
          </w:p>
        </w:tc>
        <w:tc>
          <w:tcPr>
            <w:tcW w:w="900" w:type="dxa"/>
            <w:tcBorders>
              <w:top w:val="single" w:sz="4" w:space="0" w:color="auto"/>
              <w:left w:val="single" w:sz="4" w:space="0" w:color="auto"/>
              <w:bottom w:val="single" w:sz="4" w:space="0" w:color="auto"/>
              <w:right w:val="single" w:sz="4" w:space="0" w:color="auto"/>
            </w:tcBorders>
            <w:vAlign w:val="center"/>
            <w:hideMark/>
          </w:tcPr>
          <w:p w14:paraId="207E8CEE" w14:textId="77777777" w:rsidR="003663AF" w:rsidRPr="00B7760C" w:rsidRDefault="003663AF" w:rsidP="00E804B7">
            <w:pPr>
              <w:pStyle w:val="Normal6"/>
              <w:jc w:val="right"/>
              <w:rPr>
                <w:b/>
                <w:bCs/>
                <w:i/>
                <w:iCs/>
                <w:sz w:val="20"/>
              </w:rPr>
            </w:pPr>
            <w:r w:rsidRPr="00B7760C">
              <w:rPr>
                <w:b/>
                <w:bCs/>
                <w:i/>
                <w:iCs/>
                <w:sz w:val="20"/>
              </w:rPr>
              <w:t>23 278 766</w:t>
            </w:r>
          </w:p>
        </w:tc>
        <w:tc>
          <w:tcPr>
            <w:tcW w:w="1019" w:type="dxa"/>
            <w:tcBorders>
              <w:top w:val="single" w:sz="4" w:space="0" w:color="auto"/>
              <w:left w:val="single" w:sz="4" w:space="0" w:color="auto"/>
              <w:bottom w:val="single" w:sz="4" w:space="0" w:color="auto"/>
              <w:right w:val="single" w:sz="4" w:space="0" w:color="auto"/>
            </w:tcBorders>
            <w:vAlign w:val="center"/>
            <w:hideMark/>
          </w:tcPr>
          <w:p w14:paraId="31F15C08" w14:textId="77777777" w:rsidR="003663AF" w:rsidRPr="00B7760C" w:rsidRDefault="003663AF" w:rsidP="00E804B7">
            <w:pPr>
              <w:pStyle w:val="Normal6"/>
              <w:jc w:val="right"/>
              <w:rPr>
                <w:b/>
                <w:bCs/>
                <w:i/>
                <w:iCs/>
                <w:sz w:val="20"/>
              </w:rPr>
            </w:pPr>
            <w:r w:rsidRPr="00B7760C">
              <w:rPr>
                <w:b/>
                <w:bCs/>
                <w:i/>
                <w:iCs/>
                <w:sz w:val="20"/>
              </w:rPr>
              <w:t>23 278 766</w:t>
            </w:r>
          </w:p>
        </w:tc>
        <w:tc>
          <w:tcPr>
            <w:tcW w:w="1019" w:type="dxa"/>
            <w:tcBorders>
              <w:top w:val="single" w:sz="4" w:space="0" w:color="auto"/>
              <w:left w:val="single" w:sz="4" w:space="0" w:color="auto"/>
              <w:bottom w:val="single" w:sz="4" w:space="0" w:color="auto"/>
              <w:right w:val="single" w:sz="4" w:space="0" w:color="auto"/>
            </w:tcBorders>
            <w:vAlign w:val="center"/>
            <w:hideMark/>
          </w:tcPr>
          <w:p w14:paraId="13646305" w14:textId="77777777" w:rsidR="003663AF" w:rsidRPr="00B7760C" w:rsidRDefault="003663AF" w:rsidP="00E804B7">
            <w:pPr>
              <w:pStyle w:val="Normal6"/>
              <w:jc w:val="right"/>
              <w:rPr>
                <w:b/>
                <w:bCs/>
                <w:i/>
                <w:iCs/>
                <w:sz w:val="20"/>
              </w:rPr>
            </w:pPr>
            <w:r w:rsidRPr="00B7760C">
              <w:rPr>
                <w:b/>
                <w:bCs/>
                <w:i/>
                <w:iCs/>
                <w:sz w:val="20"/>
              </w:rPr>
              <w:t>23 278 766</w:t>
            </w:r>
          </w:p>
        </w:tc>
        <w:tc>
          <w:tcPr>
            <w:tcW w:w="1019" w:type="dxa"/>
            <w:tcBorders>
              <w:top w:val="single" w:sz="4" w:space="0" w:color="auto"/>
              <w:left w:val="single" w:sz="4" w:space="0" w:color="auto"/>
              <w:bottom w:val="single" w:sz="4" w:space="0" w:color="auto"/>
              <w:right w:val="single" w:sz="4" w:space="0" w:color="auto"/>
            </w:tcBorders>
            <w:vAlign w:val="center"/>
            <w:hideMark/>
          </w:tcPr>
          <w:p w14:paraId="0D376E91" w14:textId="77777777" w:rsidR="003663AF" w:rsidRPr="00B7760C" w:rsidRDefault="003663AF" w:rsidP="00E804B7">
            <w:pPr>
              <w:pStyle w:val="Normal6"/>
              <w:jc w:val="right"/>
              <w:rPr>
                <w:b/>
                <w:bCs/>
                <w:i/>
                <w:iCs/>
                <w:sz w:val="20"/>
              </w:rPr>
            </w:pPr>
            <w:r w:rsidRPr="00B7760C">
              <w:rPr>
                <w:b/>
                <w:bCs/>
                <w:i/>
                <w:iCs/>
                <w:sz w:val="20"/>
              </w:rPr>
              <w:t>23 278 766</w:t>
            </w:r>
          </w:p>
        </w:tc>
        <w:tc>
          <w:tcPr>
            <w:tcW w:w="880" w:type="dxa"/>
            <w:tcBorders>
              <w:top w:val="single" w:sz="4" w:space="0" w:color="auto"/>
              <w:left w:val="single" w:sz="4" w:space="0" w:color="auto"/>
              <w:bottom w:val="single" w:sz="4" w:space="0" w:color="auto"/>
              <w:right w:val="single" w:sz="4" w:space="0" w:color="auto"/>
            </w:tcBorders>
            <w:vAlign w:val="center"/>
            <w:hideMark/>
          </w:tcPr>
          <w:p w14:paraId="2299698C" w14:textId="77777777" w:rsidR="003663AF" w:rsidRPr="00B7760C" w:rsidRDefault="003663AF" w:rsidP="00E804B7">
            <w:pPr>
              <w:pStyle w:val="Normal6"/>
              <w:jc w:val="right"/>
              <w:rPr>
                <w:b/>
                <w:bCs/>
                <w:i/>
                <w:iCs/>
                <w:sz w:val="20"/>
              </w:rPr>
            </w:pPr>
            <w:r w:rsidRPr="00B7760C">
              <w:rPr>
                <w:b/>
                <w:bCs/>
                <w:i/>
                <w:iCs/>
                <w:sz w:val="20"/>
              </w:rPr>
              <w:t>23 278 766</w:t>
            </w:r>
          </w:p>
        </w:tc>
        <w:tc>
          <w:tcPr>
            <w:tcW w:w="1141" w:type="dxa"/>
            <w:tcBorders>
              <w:top w:val="single" w:sz="4" w:space="0" w:color="auto"/>
              <w:left w:val="single" w:sz="4" w:space="0" w:color="auto"/>
              <w:bottom w:val="single" w:sz="4" w:space="0" w:color="auto"/>
              <w:right w:val="single" w:sz="4" w:space="0" w:color="auto"/>
            </w:tcBorders>
            <w:vAlign w:val="center"/>
            <w:hideMark/>
          </w:tcPr>
          <w:p w14:paraId="7272F487" w14:textId="77777777" w:rsidR="003663AF" w:rsidRPr="00B7760C" w:rsidRDefault="003663AF" w:rsidP="00E804B7">
            <w:pPr>
              <w:pStyle w:val="Normal6"/>
              <w:jc w:val="right"/>
              <w:rPr>
                <w:b/>
                <w:bCs/>
                <w:i/>
                <w:iCs/>
                <w:sz w:val="20"/>
              </w:rPr>
            </w:pPr>
            <w:r w:rsidRPr="00B7760C">
              <w:rPr>
                <w:b/>
                <w:bCs/>
                <w:i/>
                <w:iCs/>
                <w:sz w:val="20"/>
              </w:rPr>
              <w:t>23 278 766</w:t>
            </w:r>
          </w:p>
        </w:tc>
      </w:tr>
      <w:tr w:rsidR="003663AF" w:rsidRPr="00B7760C" w14:paraId="213140B9"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2706370A" w14:textId="77777777" w:rsidR="003663AF" w:rsidRPr="00B7760C" w:rsidRDefault="003663AF" w:rsidP="00E804B7">
            <w:pPr>
              <w:pStyle w:val="Normal6"/>
              <w:rPr>
                <w:rStyle w:val="DeltaViewInsertion"/>
                <w:color w:val="auto"/>
              </w:rPr>
            </w:pPr>
            <w:r w:rsidRPr="00B7760C">
              <w:rPr>
                <w:sz w:val="20"/>
              </w:rPr>
              <w:t>Grčija</w:t>
            </w:r>
          </w:p>
        </w:tc>
        <w:tc>
          <w:tcPr>
            <w:tcW w:w="999" w:type="dxa"/>
            <w:tcBorders>
              <w:top w:val="single" w:sz="4" w:space="0" w:color="auto"/>
              <w:left w:val="single" w:sz="4" w:space="0" w:color="auto"/>
              <w:bottom w:val="single" w:sz="4" w:space="0" w:color="auto"/>
              <w:right w:val="single" w:sz="4" w:space="0" w:color="auto"/>
            </w:tcBorders>
            <w:vAlign w:val="center"/>
            <w:hideMark/>
          </w:tcPr>
          <w:p w14:paraId="347A35FA" w14:textId="77777777" w:rsidR="003663AF" w:rsidRPr="00B7760C" w:rsidRDefault="003663AF" w:rsidP="00E804B7">
            <w:pPr>
              <w:pStyle w:val="Normal6"/>
              <w:jc w:val="right"/>
            </w:pPr>
            <w:r w:rsidRPr="00B7760C">
              <w:rPr>
                <w:b/>
                <w:bCs/>
                <w:i/>
                <w:iCs/>
                <w:sz w:val="20"/>
              </w:rPr>
              <w:t>37 120 578</w:t>
            </w:r>
          </w:p>
        </w:tc>
        <w:tc>
          <w:tcPr>
            <w:tcW w:w="900" w:type="dxa"/>
            <w:tcBorders>
              <w:top w:val="single" w:sz="4" w:space="0" w:color="auto"/>
              <w:left w:val="single" w:sz="4" w:space="0" w:color="auto"/>
              <w:bottom w:val="single" w:sz="4" w:space="0" w:color="auto"/>
              <w:right w:val="single" w:sz="4" w:space="0" w:color="auto"/>
            </w:tcBorders>
            <w:vAlign w:val="center"/>
            <w:hideMark/>
          </w:tcPr>
          <w:p w14:paraId="4F758C44" w14:textId="77777777" w:rsidR="003663AF" w:rsidRPr="00B7760C" w:rsidRDefault="003663AF" w:rsidP="00E804B7">
            <w:pPr>
              <w:pStyle w:val="Normal6"/>
              <w:jc w:val="right"/>
              <w:rPr>
                <w:b/>
                <w:bCs/>
                <w:i/>
                <w:iCs/>
                <w:sz w:val="20"/>
              </w:rPr>
            </w:pPr>
            <w:r w:rsidRPr="00B7760C">
              <w:rPr>
                <w:b/>
                <w:bCs/>
                <w:i/>
                <w:iCs/>
                <w:sz w:val="20"/>
              </w:rPr>
              <w:t>37 120 578</w:t>
            </w:r>
          </w:p>
        </w:tc>
        <w:tc>
          <w:tcPr>
            <w:tcW w:w="1019" w:type="dxa"/>
            <w:tcBorders>
              <w:top w:val="single" w:sz="4" w:space="0" w:color="auto"/>
              <w:left w:val="single" w:sz="4" w:space="0" w:color="auto"/>
              <w:bottom w:val="single" w:sz="4" w:space="0" w:color="auto"/>
              <w:right w:val="single" w:sz="4" w:space="0" w:color="auto"/>
            </w:tcBorders>
            <w:vAlign w:val="center"/>
            <w:hideMark/>
          </w:tcPr>
          <w:p w14:paraId="6B92DB60" w14:textId="77777777" w:rsidR="003663AF" w:rsidRPr="00B7760C" w:rsidRDefault="003663AF" w:rsidP="00E804B7">
            <w:pPr>
              <w:pStyle w:val="Normal6"/>
              <w:jc w:val="right"/>
              <w:rPr>
                <w:b/>
                <w:bCs/>
                <w:i/>
                <w:iCs/>
                <w:sz w:val="20"/>
              </w:rPr>
            </w:pPr>
            <w:r w:rsidRPr="00B7760C">
              <w:rPr>
                <w:b/>
                <w:bCs/>
                <w:i/>
                <w:iCs/>
                <w:sz w:val="20"/>
              </w:rPr>
              <w:t>37 120 578</w:t>
            </w:r>
          </w:p>
        </w:tc>
        <w:tc>
          <w:tcPr>
            <w:tcW w:w="1019" w:type="dxa"/>
            <w:tcBorders>
              <w:top w:val="single" w:sz="4" w:space="0" w:color="auto"/>
              <w:left w:val="single" w:sz="4" w:space="0" w:color="auto"/>
              <w:bottom w:val="single" w:sz="4" w:space="0" w:color="auto"/>
              <w:right w:val="single" w:sz="4" w:space="0" w:color="auto"/>
            </w:tcBorders>
            <w:vAlign w:val="center"/>
            <w:hideMark/>
          </w:tcPr>
          <w:p w14:paraId="7BF6E76F" w14:textId="77777777" w:rsidR="003663AF" w:rsidRPr="00B7760C" w:rsidRDefault="003663AF" w:rsidP="00E804B7">
            <w:pPr>
              <w:pStyle w:val="Normal6"/>
              <w:jc w:val="right"/>
              <w:rPr>
                <w:b/>
                <w:bCs/>
                <w:i/>
                <w:iCs/>
                <w:sz w:val="20"/>
              </w:rPr>
            </w:pPr>
            <w:r w:rsidRPr="00B7760C">
              <w:rPr>
                <w:b/>
                <w:bCs/>
                <w:i/>
                <w:iCs/>
                <w:sz w:val="20"/>
              </w:rPr>
              <w:t>37 120 578</w:t>
            </w:r>
          </w:p>
        </w:tc>
        <w:tc>
          <w:tcPr>
            <w:tcW w:w="1019" w:type="dxa"/>
            <w:tcBorders>
              <w:top w:val="single" w:sz="4" w:space="0" w:color="auto"/>
              <w:left w:val="single" w:sz="4" w:space="0" w:color="auto"/>
              <w:bottom w:val="single" w:sz="4" w:space="0" w:color="auto"/>
              <w:right w:val="single" w:sz="4" w:space="0" w:color="auto"/>
            </w:tcBorders>
            <w:vAlign w:val="center"/>
            <w:hideMark/>
          </w:tcPr>
          <w:p w14:paraId="4A198D60" w14:textId="77777777" w:rsidR="003663AF" w:rsidRPr="00B7760C" w:rsidRDefault="003663AF" w:rsidP="00E804B7">
            <w:pPr>
              <w:pStyle w:val="Normal6"/>
              <w:jc w:val="right"/>
              <w:rPr>
                <w:b/>
                <w:bCs/>
                <w:i/>
                <w:iCs/>
                <w:sz w:val="20"/>
              </w:rPr>
            </w:pPr>
            <w:r w:rsidRPr="00B7760C">
              <w:rPr>
                <w:b/>
                <w:bCs/>
                <w:i/>
                <w:iCs/>
                <w:sz w:val="20"/>
              </w:rPr>
              <w:t>37 120 578</w:t>
            </w:r>
          </w:p>
        </w:tc>
        <w:tc>
          <w:tcPr>
            <w:tcW w:w="880" w:type="dxa"/>
            <w:tcBorders>
              <w:top w:val="single" w:sz="4" w:space="0" w:color="auto"/>
              <w:left w:val="single" w:sz="4" w:space="0" w:color="auto"/>
              <w:bottom w:val="single" w:sz="4" w:space="0" w:color="auto"/>
              <w:right w:val="single" w:sz="4" w:space="0" w:color="auto"/>
            </w:tcBorders>
            <w:vAlign w:val="center"/>
            <w:hideMark/>
          </w:tcPr>
          <w:p w14:paraId="5151860C" w14:textId="77777777" w:rsidR="003663AF" w:rsidRPr="00B7760C" w:rsidRDefault="003663AF" w:rsidP="00E804B7">
            <w:pPr>
              <w:pStyle w:val="Normal6"/>
              <w:jc w:val="right"/>
              <w:rPr>
                <w:b/>
                <w:bCs/>
                <w:i/>
                <w:iCs/>
                <w:sz w:val="20"/>
              </w:rPr>
            </w:pPr>
            <w:r w:rsidRPr="00B7760C">
              <w:rPr>
                <w:b/>
                <w:bCs/>
                <w:i/>
                <w:iCs/>
                <w:sz w:val="20"/>
              </w:rPr>
              <w:t>37 120 578</w:t>
            </w:r>
          </w:p>
        </w:tc>
        <w:tc>
          <w:tcPr>
            <w:tcW w:w="1141" w:type="dxa"/>
            <w:tcBorders>
              <w:top w:val="single" w:sz="4" w:space="0" w:color="auto"/>
              <w:left w:val="single" w:sz="4" w:space="0" w:color="auto"/>
              <w:bottom w:val="single" w:sz="4" w:space="0" w:color="auto"/>
              <w:right w:val="single" w:sz="4" w:space="0" w:color="auto"/>
            </w:tcBorders>
            <w:vAlign w:val="center"/>
            <w:hideMark/>
          </w:tcPr>
          <w:p w14:paraId="3F9062F6" w14:textId="77777777" w:rsidR="003663AF" w:rsidRPr="00B7760C" w:rsidRDefault="003663AF" w:rsidP="00E804B7">
            <w:pPr>
              <w:pStyle w:val="Normal6"/>
              <w:jc w:val="right"/>
              <w:rPr>
                <w:b/>
                <w:bCs/>
                <w:i/>
                <w:iCs/>
                <w:sz w:val="20"/>
              </w:rPr>
            </w:pPr>
            <w:r w:rsidRPr="00B7760C">
              <w:rPr>
                <w:b/>
                <w:bCs/>
                <w:i/>
                <w:iCs/>
                <w:sz w:val="20"/>
              </w:rPr>
              <w:t>37 120 578</w:t>
            </w:r>
          </w:p>
        </w:tc>
      </w:tr>
      <w:tr w:rsidR="003663AF" w:rsidRPr="00B7760C" w14:paraId="07A27B1F"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798CCC60" w14:textId="77777777" w:rsidR="003663AF" w:rsidRPr="00B7760C" w:rsidRDefault="003663AF" w:rsidP="00E804B7">
            <w:pPr>
              <w:pStyle w:val="Normal6"/>
              <w:rPr>
                <w:rStyle w:val="DeltaViewInsertion"/>
                <w:color w:val="auto"/>
              </w:rPr>
            </w:pPr>
            <w:r w:rsidRPr="00B7760C">
              <w:rPr>
                <w:sz w:val="20"/>
              </w:rPr>
              <w:t>Španija</w:t>
            </w:r>
          </w:p>
        </w:tc>
        <w:tc>
          <w:tcPr>
            <w:tcW w:w="999" w:type="dxa"/>
            <w:tcBorders>
              <w:top w:val="single" w:sz="4" w:space="0" w:color="auto"/>
              <w:left w:val="single" w:sz="4" w:space="0" w:color="auto"/>
              <w:bottom w:val="single" w:sz="4" w:space="0" w:color="auto"/>
              <w:right w:val="single" w:sz="4" w:space="0" w:color="auto"/>
            </w:tcBorders>
            <w:vAlign w:val="center"/>
            <w:hideMark/>
          </w:tcPr>
          <w:p w14:paraId="2989708B" w14:textId="77777777" w:rsidR="003663AF" w:rsidRPr="00B7760C" w:rsidRDefault="003663AF" w:rsidP="00E804B7">
            <w:pPr>
              <w:pStyle w:val="Normal6"/>
              <w:jc w:val="right"/>
            </w:pPr>
            <w:r w:rsidRPr="00B7760C">
              <w:rPr>
                <w:b/>
                <w:bCs/>
                <w:i/>
                <w:iCs/>
                <w:sz w:val="20"/>
              </w:rPr>
              <w:t>94 203 434</w:t>
            </w:r>
          </w:p>
        </w:tc>
        <w:tc>
          <w:tcPr>
            <w:tcW w:w="900" w:type="dxa"/>
            <w:tcBorders>
              <w:top w:val="single" w:sz="4" w:space="0" w:color="auto"/>
              <w:left w:val="single" w:sz="4" w:space="0" w:color="auto"/>
              <w:bottom w:val="single" w:sz="4" w:space="0" w:color="auto"/>
              <w:right w:val="single" w:sz="4" w:space="0" w:color="auto"/>
            </w:tcBorders>
            <w:vAlign w:val="center"/>
            <w:hideMark/>
          </w:tcPr>
          <w:p w14:paraId="18AF4D1B" w14:textId="77777777" w:rsidR="003663AF" w:rsidRPr="00B7760C" w:rsidRDefault="003663AF" w:rsidP="00E804B7">
            <w:pPr>
              <w:pStyle w:val="Normal6"/>
              <w:jc w:val="right"/>
              <w:rPr>
                <w:b/>
                <w:bCs/>
                <w:i/>
                <w:iCs/>
                <w:sz w:val="20"/>
              </w:rPr>
            </w:pPr>
            <w:r w:rsidRPr="00B7760C">
              <w:rPr>
                <w:b/>
                <w:bCs/>
                <w:i/>
                <w:iCs/>
                <w:sz w:val="20"/>
              </w:rPr>
              <w:t>94 346 677</w:t>
            </w:r>
          </w:p>
        </w:tc>
        <w:tc>
          <w:tcPr>
            <w:tcW w:w="1019" w:type="dxa"/>
            <w:tcBorders>
              <w:top w:val="single" w:sz="4" w:space="0" w:color="auto"/>
              <w:left w:val="single" w:sz="4" w:space="0" w:color="auto"/>
              <w:bottom w:val="single" w:sz="4" w:space="0" w:color="auto"/>
              <w:right w:val="single" w:sz="4" w:space="0" w:color="auto"/>
            </w:tcBorders>
            <w:vAlign w:val="center"/>
            <w:hideMark/>
          </w:tcPr>
          <w:p w14:paraId="182DB8A9" w14:textId="77777777" w:rsidR="003663AF" w:rsidRPr="00B7760C" w:rsidRDefault="003663AF" w:rsidP="00E804B7">
            <w:pPr>
              <w:pStyle w:val="Normal6"/>
              <w:jc w:val="right"/>
              <w:rPr>
                <w:b/>
                <w:bCs/>
                <w:i/>
                <w:iCs/>
                <w:sz w:val="20"/>
              </w:rPr>
            </w:pPr>
            <w:r w:rsidRPr="00B7760C">
              <w:rPr>
                <w:b/>
                <w:bCs/>
                <w:i/>
                <w:iCs/>
                <w:sz w:val="20"/>
              </w:rPr>
              <w:t>94 489 919</w:t>
            </w:r>
          </w:p>
        </w:tc>
        <w:tc>
          <w:tcPr>
            <w:tcW w:w="1019" w:type="dxa"/>
            <w:tcBorders>
              <w:top w:val="single" w:sz="4" w:space="0" w:color="auto"/>
              <w:left w:val="single" w:sz="4" w:space="0" w:color="auto"/>
              <w:bottom w:val="single" w:sz="4" w:space="0" w:color="auto"/>
              <w:right w:val="single" w:sz="4" w:space="0" w:color="auto"/>
            </w:tcBorders>
            <w:vAlign w:val="center"/>
            <w:hideMark/>
          </w:tcPr>
          <w:p w14:paraId="2D11F98C" w14:textId="77777777" w:rsidR="003663AF" w:rsidRPr="00B7760C" w:rsidRDefault="003663AF" w:rsidP="00E804B7">
            <w:pPr>
              <w:pStyle w:val="Normal6"/>
              <w:jc w:val="right"/>
              <w:rPr>
                <w:b/>
                <w:bCs/>
                <w:i/>
                <w:iCs/>
                <w:sz w:val="20"/>
              </w:rPr>
            </w:pPr>
            <w:r w:rsidRPr="00B7760C">
              <w:rPr>
                <w:b/>
                <w:bCs/>
                <w:i/>
                <w:iCs/>
                <w:sz w:val="20"/>
              </w:rPr>
              <w:t>94 633 162</w:t>
            </w:r>
          </w:p>
        </w:tc>
        <w:tc>
          <w:tcPr>
            <w:tcW w:w="1019" w:type="dxa"/>
            <w:tcBorders>
              <w:top w:val="single" w:sz="4" w:space="0" w:color="auto"/>
              <w:left w:val="single" w:sz="4" w:space="0" w:color="auto"/>
              <w:bottom w:val="single" w:sz="4" w:space="0" w:color="auto"/>
              <w:right w:val="single" w:sz="4" w:space="0" w:color="auto"/>
            </w:tcBorders>
            <w:vAlign w:val="center"/>
            <w:hideMark/>
          </w:tcPr>
          <w:p w14:paraId="259F34A5" w14:textId="77777777" w:rsidR="003663AF" w:rsidRPr="00B7760C" w:rsidRDefault="003663AF" w:rsidP="00E804B7">
            <w:pPr>
              <w:pStyle w:val="Normal6"/>
              <w:jc w:val="right"/>
              <w:rPr>
                <w:b/>
                <w:bCs/>
                <w:i/>
                <w:iCs/>
                <w:sz w:val="20"/>
              </w:rPr>
            </w:pPr>
            <w:r w:rsidRPr="00B7760C">
              <w:rPr>
                <w:b/>
                <w:bCs/>
                <w:i/>
                <w:iCs/>
                <w:sz w:val="20"/>
              </w:rPr>
              <w:t>94 776 404</w:t>
            </w:r>
          </w:p>
        </w:tc>
        <w:tc>
          <w:tcPr>
            <w:tcW w:w="880" w:type="dxa"/>
            <w:tcBorders>
              <w:top w:val="single" w:sz="4" w:space="0" w:color="auto"/>
              <w:left w:val="single" w:sz="4" w:space="0" w:color="auto"/>
              <w:bottom w:val="single" w:sz="4" w:space="0" w:color="auto"/>
              <w:right w:val="single" w:sz="4" w:space="0" w:color="auto"/>
            </w:tcBorders>
            <w:vAlign w:val="center"/>
            <w:hideMark/>
          </w:tcPr>
          <w:p w14:paraId="67B36E0A" w14:textId="77777777" w:rsidR="003663AF" w:rsidRPr="00B7760C" w:rsidRDefault="003663AF" w:rsidP="00E804B7">
            <w:pPr>
              <w:pStyle w:val="Normal6"/>
              <w:jc w:val="right"/>
              <w:rPr>
                <w:b/>
                <w:bCs/>
                <w:i/>
                <w:iCs/>
                <w:sz w:val="20"/>
              </w:rPr>
            </w:pPr>
            <w:r w:rsidRPr="00B7760C">
              <w:rPr>
                <w:b/>
                <w:bCs/>
                <w:i/>
                <w:iCs/>
                <w:sz w:val="20"/>
              </w:rPr>
              <w:t>94 919 647</w:t>
            </w:r>
          </w:p>
        </w:tc>
        <w:tc>
          <w:tcPr>
            <w:tcW w:w="1141" w:type="dxa"/>
            <w:tcBorders>
              <w:top w:val="single" w:sz="4" w:space="0" w:color="auto"/>
              <w:left w:val="single" w:sz="4" w:space="0" w:color="auto"/>
              <w:bottom w:val="single" w:sz="4" w:space="0" w:color="auto"/>
              <w:right w:val="single" w:sz="4" w:space="0" w:color="auto"/>
            </w:tcBorders>
            <w:vAlign w:val="center"/>
            <w:hideMark/>
          </w:tcPr>
          <w:p w14:paraId="69915623" w14:textId="77777777" w:rsidR="003663AF" w:rsidRPr="00B7760C" w:rsidRDefault="003663AF" w:rsidP="00E804B7">
            <w:pPr>
              <w:pStyle w:val="Normal6"/>
              <w:jc w:val="right"/>
              <w:rPr>
                <w:b/>
                <w:bCs/>
                <w:i/>
                <w:iCs/>
                <w:sz w:val="20"/>
              </w:rPr>
            </w:pPr>
            <w:r w:rsidRPr="00B7760C">
              <w:rPr>
                <w:b/>
                <w:bCs/>
                <w:i/>
                <w:iCs/>
                <w:sz w:val="20"/>
              </w:rPr>
              <w:t>94 919 647</w:t>
            </w:r>
          </w:p>
        </w:tc>
      </w:tr>
      <w:tr w:rsidR="003663AF" w:rsidRPr="00B7760C" w14:paraId="3F0043F3"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7F5A1825" w14:textId="77777777" w:rsidR="003663AF" w:rsidRPr="00B7760C" w:rsidRDefault="003663AF" w:rsidP="00E804B7">
            <w:pPr>
              <w:pStyle w:val="Normal6"/>
              <w:rPr>
                <w:rStyle w:val="DeltaViewInsertion"/>
                <w:color w:val="auto"/>
              </w:rPr>
            </w:pPr>
            <w:r w:rsidRPr="00B7760C">
              <w:rPr>
                <w:sz w:val="20"/>
              </w:rPr>
              <w:t>Francija</w:t>
            </w:r>
          </w:p>
        </w:tc>
        <w:tc>
          <w:tcPr>
            <w:tcW w:w="999" w:type="dxa"/>
            <w:tcBorders>
              <w:top w:val="single" w:sz="4" w:space="0" w:color="auto"/>
              <w:left w:val="single" w:sz="4" w:space="0" w:color="auto"/>
              <w:bottom w:val="single" w:sz="4" w:space="0" w:color="auto"/>
              <w:right w:val="single" w:sz="4" w:space="0" w:color="auto"/>
            </w:tcBorders>
            <w:vAlign w:val="center"/>
            <w:hideMark/>
          </w:tcPr>
          <w:p w14:paraId="3E5D3303" w14:textId="77777777" w:rsidR="003663AF" w:rsidRPr="00B7760C" w:rsidRDefault="003663AF" w:rsidP="00E804B7">
            <w:pPr>
              <w:pStyle w:val="Normal6"/>
              <w:jc w:val="right"/>
            </w:pPr>
            <w:r w:rsidRPr="00B7760C">
              <w:rPr>
                <w:b/>
                <w:bCs/>
                <w:i/>
                <w:iCs/>
                <w:sz w:val="20"/>
              </w:rPr>
              <w:t>142 955 739</w:t>
            </w:r>
          </w:p>
        </w:tc>
        <w:tc>
          <w:tcPr>
            <w:tcW w:w="900" w:type="dxa"/>
            <w:tcBorders>
              <w:top w:val="single" w:sz="4" w:space="0" w:color="auto"/>
              <w:left w:val="single" w:sz="4" w:space="0" w:color="auto"/>
              <w:bottom w:val="single" w:sz="4" w:space="0" w:color="auto"/>
              <w:right w:val="single" w:sz="4" w:space="0" w:color="auto"/>
            </w:tcBorders>
            <w:vAlign w:val="center"/>
            <w:hideMark/>
          </w:tcPr>
          <w:p w14:paraId="187ABF67" w14:textId="77777777" w:rsidR="003663AF" w:rsidRPr="00B7760C" w:rsidRDefault="003663AF" w:rsidP="00E804B7">
            <w:pPr>
              <w:pStyle w:val="Normal6"/>
              <w:jc w:val="right"/>
              <w:rPr>
                <w:b/>
                <w:bCs/>
                <w:i/>
                <w:iCs/>
                <w:sz w:val="20"/>
              </w:rPr>
            </w:pPr>
            <w:r w:rsidRPr="00B7760C">
              <w:rPr>
                <w:b/>
                <w:bCs/>
                <w:i/>
                <w:iCs/>
                <w:sz w:val="20"/>
              </w:rPr>
              <w:t>142 955 739</w:t>
            </w:r>
          </w:p>
        </w:tc>
        <w:tc>
          <w:tcPr>
            <w:tcW w:w="1019" w:type="dxa"/>
            <w:tcBorders>
              <w:top w:val="single" w:sz="4" w:space="0" w:color="auto"/>
              <w:left w:val="single" w:sz="4" w:space="0" w:color="auto"/>
              <w:bottom w:val="single" w:sz="4" w:space="0" w:color="auto"/>
              <w:right w:val="single" w:sz="4" w:space="0" w:color="auto"/>
            </w:tcBorders>
            <w:vAlign w:val="center"/>
            <w:hideMark/>
          </w:tcPr>
          <w:p w14:paraId="380D8692" w14:textId="77777777" w:rsidR="003663AF" w:rsidRPr="00B7760C" w:rsidRDefault="003663AF" w:rsidP="00E804B7">
            <w:pPr>
              <w:pStyle w:val="Normal6"/>
              <w:jc w:val="right"/>
              <w:rPr>
                <w:b/>
                <w:bCs/>
                <w:i/>
                <w:iCs/>
                <w:sz w:val="20"/>
              </w:rPr>
            </w:pPr>
            <w:r w:rsidRPr="00B7760C">
              <w:rPr>
                <w:b/>
                <w:bCs/>
                <w:i/>
                <w:iCs/>
                <w:sz w:val="20"/>
              </w:rPr>
              <w:t>142 955 739</w:t>
            </w:r>
          </w:p>
        </w:tc>
        <w:tc>
          <w:tcPr>
            <w:tcW w:w="1019" w:type="dxa"/>
            <w:tcBorders>
              <w:top w:val="single" w:sz="4" w:space="0" w:color="auto"/>
              <w:left w:val="single" w:sz="4" w:space="0" w:color="auto"/>
              <w:bottom w:val="single" w:sz="4" w:space="0" w:color="auto"/>
              <w:right w:val="single" w:sz="4" w:space="0" w:color="auto"/>
            </w:tcBorders>
            <w:vAlign w:val="center"/>
            <w:hideMark/>
          </w:tcPr>
          <w:p w14:paraId="79F052B2" w14:textId="77777777" w:rsidR="003663AF" w:rsidRPr="00B7760C" w:rsidRDefault="003663AF" w:rsidP="00E804B7">
            <w:pPr>
              <w:pStyle w:val="Normal6"/>
              <w:jc w:val="right"/>
              <w:rPr>
                <w:b/>
                <w:bCs/>
                <w:i/>
                <w:iCs/>
                <w:sz w:val="20"/>
              </w:rPr>
            </w:pPr>
            <w:r w:rsidRPr="00B7760C">
              <w:rPr>
                <w:b/>
                <w:bCs/>
                <w:i/>
                <w:iCs/>
                <w:sz w:val="20"/>
              </w:rPr>
              <w:t>142 955 739</w:t>
            </w:r>
          </w:p>
        </w:tc>
        <w:tc>
          <w:tcPr>
            <w:tcW w:w="1019" w:type="dxa"/>
            <w:tcBorders>
              <w:top w:val="single" w:sz="4" w:space="0" w:color="auto"/>
              <w:left w:val="single" w:sz="4" w:space="0" w:color="auto"/>
              <w:bottom w:val="single" w:sz="4" w:space="0" w:color="auto"/>
              <w:right w:val="single" w:sz="4" w:space="0" w:color="auto"/>
            </w:tcBorders>
            <w:vAlign w:val="center"/>
            <w:hideMark/>
          </w:tcPr>
          <w:p w14:paraId="13A177B2" w14:textId="77777777" w:rsidR="003663AF" w:rsidRPr="00B7760C" w:rsidRDefault="003663AF" w:rsidP="00E804B7">
            <w:pPr>
              <w:pStyle w:val="Normal6"/>
              <w:jc w:val="right"/>
              <w:rPr>
                <w:b/>
                <w:bCs/>
                <w:i/>
                <w:iCs/>
                <w:sz w:val="20"/>
              </w:rPr>
            </w:pPr>
            <w:r w:rsidRPr="00B7760C">
              <w:rPr>
                <w:b/>
                <w:bCs/>
                <w:i/>
                <w:iCs/>
                <w:sz w:val="20"/>
              </w:rPr>
              <w:t>142 955 739</w:t>
            </w:r>
          </w:p>
        </w:tc>
        <w:tc>
          <w:tcPr>
            <w:tcW w:w="880" w:type="dxa"/>
            <w:tcBorders>
              <w:top w:val="single" w:sz="4" w:space="0" w:color="auto"/>
              <w:left w:val="single" w:sz="4" w:space="0" w:color="auto"/>
              <w:bottom w:val="single" w:sz="4" w:space="0" w:color="auto"/>
              <w:right w:val="single" w:sz="4" w:space="0" w:color="auto"/>
            </w:tcBorders>
            <w:vAlign w:val="center"/>
            <w:hideMark/>
          </w:tcPr>
          <w:p w14:paraId="3479930C" w14:textId="77777777" w:rsidR="003663AF" w:rsidRPr="00B7760C" w:rsidRDefault="003663AF" w:rsidP="00E804B7">
            <w:pPr>
              <w:pStyle w:val="Normal6"/>
              <w:jc w:val="right"/>
              <w:rPr>
                <w:b/>
                <w:bCs/>
                <w:i/>
                <w:iCs/>
                <w:sz w:val="20"/>
              </w:rPr>
            </w:pPr>
            <w:r w:rsidRPr="00B7760C">
              <w:rPr>
                <w:b/>
                <w:bCs/>
                <w:i/>
                <w:iCs/>
                <w:sz w:val="20"/>
              </w:rPr>
              <w:t>142 955 739</w:t>
            </w:r>
          </w:p>
        </w:tc>
        <w:tc>
          <w:tcPr>
            <w:tcW w:w="1141" w:type="dxa"/>
            <w:tcBorders>
              <w:top w:val="single" w:sz="4" w:space="0" w:color="auto"/>
              <w:left w:val="single" w:sz="4" w:space="0" w:color="auto"/>
              <w:bottom w:val="single" w:sz="4" w:space="0" w:color="auto"/>
              <w:right w:val="single" w:sz="4" w:space="0" w:color="auto"/>
            </w:tcBorders>
            <w:vAlign w:val="center"/>
            <w:hideMark/>
          </w:tcPr>
          <w:p w14:paraId="370B13B8" w14:textId="77777777" w:rsidR="003663AF" w:rsidRPr="00B7760C" w:rsidRDefault="003663AF" w:rsidP="00E804B7">
            <w:pPr>
              <w:pStyle w:val="Normal6"/>
              <w:jc w:val="right"/>
              <w:rPr>
                <w:b/>
                <w:bCs/>
                <w:i/>
                <w:iCs/>
                <w:sz w:val="20"/>
              </w:rPr>
            </w:pPr>
            <w:r w:rsidRPr="00B7760C">
              <w:rPr>
                <w:b/>
                <w:bCs/>
                <w:i/>
                <w:iCs/>
                <w:sz w:val="20"/>
              </w:rPr>
              <w:t>142 955 739</w:t>
            </w:r>
          </w:p>
        </w:tc>
      </w:tr>
      <w:tr w:rsidR="003663AF" w:rsidRPr="00B7760C" w14:paraId="22D38396"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083B8D69" w14:textId="77777777" w:rsidR="003663AF" w:rsidRPr="00B7760C" w:rsidRDefault="003663AF" w:rsidP="00E804B7">
            <w:pPr>
              <w:pStyle w:val="Normal6"/>
              <w:rPr>
                <w:rStyle w:val="DeltaViewInsertion"/>
                <w:color w:val="auto"/>
              </w:rPr>
            </w:pPr>
            <w:r w:rsidRPr="00B7760C">
              <w:rPr>
                <w:sz w:val="20"/>
              </w:rPr>
              <w:t>Hrvaška</w:t>
            </w:r>
          </w:p>
        </w:tc>
        <w:tc>
          <w:tcPr>
            <w:tcW w:w="999" w:type="dxa"/>
            <w:tcBorders>
              <w:top w:val="single" w:sz="4" w:space="0" w:color="auto"/>
              <w:left w:val="single" w:sz="4" w:space="0" w:color="auto"/>
              <w:bottom w:val="single" w:sz="4" w:space="0" w:color="auto"/>
              <w:right w:val="single" w:sz="4" w:space="0" w:color="auto"/>
            </w:tcBorders>
            <w:vAlign w:val="center"/>
            <w:hideMark/>
          </w:tcPr>
          <w:p w14:paraId="6FAC973C" w14:textId="77777777" w:rsidR="003663AF" w:rsidRPr="00B7760C" w:rsidRDefault="003663AF" w:rsidP="00E804B7">
            <w:pPr>
              <w:pStyle w:val="Normal6"/>
              <w:jc w:val="right"/>
            </w:pPr>
            <w:r w:rsidRPr="00B7760C">
              <w:rPr>
                <w:b/>
                <w:bCs/>
                <w:i/>
                <w:iCs/>
                <w:sz w:val="20"/>
              </w:rPr>
              <w:t>6 886 800</w:t>
            </w:r>
          </w:p>
        </w:tc>
        <w:tc>
          <w:tcPr>
            <w:tcW w:w="900" w:type="dxa"/>
            <w:tcBorders>
              <w:top w:val="single" w:sz="4" w:space="0" w:color="auto"/>
              <w:left w:val="single" w:sz="4" w:space="0" w:color="auto"/>
              <w:bottom w:val="single" w:sz="4" w:space="0" w:color="auto"/>
              <w:right w:val="single" w:sz="4" w:space="0" w:color="auto"/>
            </w:tcBorders>
            <w:vAlign w:val="center"/>
            <w:hideMark/>
          </w:tcPr>
          <w:p w14:paraId="4B32CB70" w14:textId="77777777" w:rsidR="003663AF" w:rsidRPr="00B7760C" w:rsidRDefault="003663AF" w:rsidP="00E804B7">
            <w:pPr>
              <w:pStyle w:val="Normal6"/>
              <w:jc w:val="right"/>
              <w:rPr>
                <w:b/>
                <w:bCs/>
                <w:i/>
                <w:iCs/>
                <w:sz w:val="20"/>
              </w:rPr>
            </w:pPr>
            <w:r w:rsidRPr="00B7760C">
              <w:rPr>
                <w:b/>
                <w:bCs/>
                <w:i/>
                <w:iCs/>
                <w:sz w:val="20"/>
              </w:rPr>
              <w:t>7 354 228</w:t>
            </w:r>
          </w:p>
        </w:tc>
        <w:tc>
          <w:tcPr>
            <w:tcW w:w="1019" w:type="dxa"/>
            <w:tcBorders>
              <w:top w:val="single" w:sz="4" w:space="0" w:color="auto"/>
              <w:left w:val="single" w:sz="4" w:space="0" w:color="auto"/>
              <w:bottom w:val="single" w:sz="4" w:space="0" w:color="auto"/>
              <w:right w:val="single" w:sz="4" w:space="0" w:color="auto"/>
            </w:tcBorders>
            <w:vAlign w:val="center"/>
            <w:hideMark/>
          </w:tcPr>
          <w:p w14:paraId="76B35E3A" w14:textId="77777777" w:rsidR="003663AF" w:rsidRPr="00B7760C" w:rsidRDefault="003663AF" w:rsidP="00E804B7">
            <w:pPr>
              <w:pStyle w:val="Normal6"/>
              <w:jc w:val="right"/>
              <w:rPr>
                <w:b/>
                <w:bCs/>
                <w:i/>
                <w:iCs/>
                <w:sz w:val="20"/>
              </w:rPr>
            </w:pPr>
            <w:r w:rsidRPr="00B7760C">
              <w:rPr>
                <w:b/>
                <w:bCs/>
                <w:i/>
                <w:iCs/>
                <w:sz w:val="20"/>
              </w:rPr>
              <w:t>7 354 228</w:t>
            </w:r>
          </w:p>
        </w:tc>
        <w:tc>
          <w:tcPr>
            <w:tcW w:w="1019" w:type="dxa"/>
            <w:tcBorders>
              <w:top w:val="single" w:sz="4" w:space="0" w:color="auto"/>
              <w:left w:val="single" w:sz="4" w:space="0" w:color="auto"/>
              <w:bottom w:val="single" w:sz="4" w:space="0" w:color="auto"/>
              <w:right w:val="single" w:sz="4" w:space="0" w:color="auto"/>
            </w:tcBorders>
            <w:vAlign w:val="center"/>
            <w:hideMark/>
          </w:tcPr>
          <w:p w14:paraId="5A32CF67" w14:textId="77777777" w:rsidR="003663AF" w:rsidRPr="00B7760C" w:rsidRDefault="003663AF" w:rsidP="00E804B7">
            <w:pPr>
              <w:pStyle w:val="Normal6"/>
              <w:jc w:val="right"/>
              <w:rPr>
                <w:b/>
                <w:bCs/>
                <w:i/>
                <w:iCs/>
                <w:sz w:val="20"/>
              </w:rPr>
            </w:pPr>
            <w:r w:rsidRPr="00B7760C">
              <w:rPr>
                <w:b/>
                <w:bCs/>
                <w:i/>
                <w:iCs/>
                <w:sz w:val="20"/>
              </w:rPr>
              <w:t>7 354 228</w:t>
            </w:r>
          </w:p>
        </w:tc>
        <w:tc>
          <w:tcPr>
            <w:tcW w:w="1019" w:type="dxa"/>
            <w:tcBorders>
              <w:top w:val="single" w:sz="4" w:space="0" w:color="auto"/>
              <w:left w:val="single" w:sz="4" w:space="0" w:color="auto"/>
              <w:bottom w:val="single" w:sz="4" w:space="0" w:color="auto"/>
              <w:right w:val="single" w:sz="4" w:space="0" w:color="auto"/>
            </w:tcBorders>
            <w:vAlign w:val="center"/>
            <w:hideMark/>
          </w:tcPr>
          <w:p w14:paraId="6A4B97D4" w14:textId="77777777" w:rsidR="003663AF" w:rsidRPr="00B7760C" w:rsidRDefault="003663AF" w:rsidP="00E804B7">
            <w:pPr>
              <w:pStyle w:val="Normal6"/>
              <w:jc w:val="right"/>
              <w:rPr>
                <w:b/>
                <w:bCs/>
                <w:i/>
                <w:iCs/>
                <w:sz w:val="20"/>
              </w:rPr>
            </w:pPr>
            <w:r w:rsidRPr="00B7760C">
              <w:rPr>
                <w:b/>
                <w:bCs/>
                <w:i/>
                <w:iCs/>
                <w:sz w:val="20"/>
              </w:rPr>
              <w:t>7 354 228</w:t>
            </w:r>
          </w:p>
        </w:tc>
        <w:tc>
          <w:tcPr>
            <w:tcW w:w="880" w:type="dxa"/>
            <w:tcBorders>
              <w:top w:val="single" w:sz="4" w:space="0" w:color="auto"/>
              <w:left w:val="single" w:sz="4" w:space="0" w:color="auto"/>
              <w:bottom w:val="single" w:sz="4" w:space="0" w:color="auto"/>
              <w:right w:val="single" w:sz="4" w:space="0" w:color="auto"/>
            </w:tcBorders>
            <w:vAlign w:val="center"/>
            <w:hideMark/>
          </w:tcPr>
          <w:p w14:paraId="710C920E" w14:textId="77777777" w:rsidR="003663AF" w:rsidRPr="00B7760C" w:rsidRDefault="003663AF" w:rsidP="00E804B7">
            <w:pPr>
              <w:pStyle w:val="Normal6"/>
              <w:jc w:val="right"/>
              <w:rPr>
                <w:b/>
                <w:bCs/>
                <w:i/>
                <w:iCs/>
                <w:sz w:val="20"/>
              </w:rPr>
            </w:pPr>
            <w:r w:rsidRPr="00B7760C">
              <w:rPr>
                <w:b/>
                <w:bCs/>
                <w:i/>
                <w:iCs/>
                <w:sz w:val="20"/>
              </w:rPr>
              <w:t>7 354 228</w:t>
            </w:r>
          </w:p>
        </w:tc>
        <w:tc>
          <w:tcPr>
            <w:tcW w:w="1141" w:type="dxa"/>
            <w:tcBorders>
              <w:top w:val="single" w:sz="4" w:space="0" w:color="auto"/>
              <w:left w:val="single" w:sz="4" w:space="0" w:color="auto"/>
              <w:bottom w:val="single" w:sz="4" w:space="0" w:color="auto"/>
              <w:right w:val="single" w:sz="4" w:space="0" w:color="auto"/>
            </w:tcBorders>
            <w:vAlign w:val="center"/>
            <w:hideMark/>
          </w:tcPr>
          <w:p w14:paraId="0A4C0E76" w14:textId="77777777" w:rsidR="003663AF" w:rsidRPr="00B7760C" w:rsidRDefault="003663AF" w:rsidP="00E804B7">
            <w:pPr>
              <w:pStyle w:val="Normal6"/>
              <w:jc w:val="right"/>
              <w:rPr>
                <w:b/>
                <w:bCs/>
                <w:i/>
                <w:iCs/>
                <w:sz w:val="20"/>
              </w:rPr>
            </w:pPr>
            <w:r w:rsidRPr="00B7760C">
              <w:rPr>
                <w:b/>
                <w:bCs/>
                <w:i/>
                <w:iCs/>
                <w:sz w:val="20"/>
              </w:rPr>
              <w:t>7 354 228</w:t>
            </w:r>
          </w:p>
        </w:tc>
      </w:tr>
      <w:tr w:rsidR="003663AF" w:rsidRPr="00B7760C" w14:paraId="50663E3B"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276BC63E" w14:textId="77777777" w:rsidR="003663AF" w:rsidRPr="00B7760C" w:rsidRDefault="003663AF" w:rsidP="00E804B7">
            <w:pPr>
              <w:pStyle w:val="Normal6"/>
              <w:rPr>
                <w:rStyle w:val="DeltaViewInsertion"/>
                <w:color w:val="auto"/>
              </w:rPr>
            </w:pPr>
            <w:r w:rsidRPr="00B7760C">
              <w:rPr>
                <w:sz w:val="20"/>
              </w:rPr>
              <w:t>Italija</w:t>
            </w:r>
          </w:p>
        </w:tc>
        <w:tc>
          <w:tcPr>
            <w:tcW w:w="999" w:type="dxa"/>
            <w:tcBorders>
              <w:top w:val="single" w:sz="4" w:space="0" w:color="auto"/>
              <w:left w:val="single" w:sz="4" w:space="0" w:color="auto"/>
              <w:bottom w:val="single" w:sz="4" w:space="0" w:color="auto"/>
              <w:right w:val="single" w:sz="4" w:space="0" w:color="auto"/>
            </w:tcBorders>
            <w:vAlign w:val="center"/>
            <w:hideMark/>
          </w:tcPr>
          <w:p w14:paraId="6CA10D91" w14:textId="77777777" w:rsidR="003663AF" w:rsidRPr="00B7760C" w:rsidRDefault="003663AF" w:rsidP="00E804B7">
            <w:pPr>
              <w:pStyle w:val="Normal6"/>
              <w:jc w:val="right"/>
            </w:pPr>
            <w:r w:rsidRPr="00B7760C">
              <w:rPr>
                <w:b/>
                <w:bCs/>
                <w:i/>
                <w:iCs/>
                <w:sz w:val="20"/>
              </w:rPr>
              <w:t>71 203 710</w:t>
            </w:r>
          </w:p>
        </w:tc>
        <w:tc>
          <w:tcPr>
            <w:tcW w:w="900" w:type="dxa"/>
            <w:tcBorders>
              <w:top w:val="single" w:sz="4" w:space="0" w:color="auto"/>
              <w:left w:val="single" w:sz="4" w:space="0" w:color="auto"/>
              <w:bottom w:val="single" w:sz="4" w:space="0" w:color="auto"/>
              <w:right w:val="single" w:sz="4" w:space="0" w:color="auto"/>
            </w:tcBorders>
            <w:vAlign w:val="center"/>
            <w:hideMark/>
          </w:tcPr>
          <w:p w14:paraId="799253BB" w14:textId="77777777" w:rsidR="003663AF" w:rsidRPr="00B7760C" w:rsidRDefault="003663AF" w:rsidP="00E804B7">
            <w:pPr>
              <w:pStyle w:val="Normal6"/>
              <w:jc w:val="right"/>
              <w:rPr>
                <w:b/>
                <w:bCs/>
                <w:i/>
                <w:iCs/>
                <w:sz w:val="20"/>
              </w:rPr>
            </w:pPr>
            <w:r w:rsidRPr="00B7760C">
              <w:rPr>
                <w:b/>
                <w:bCs/>
                <w:i/>
                <w:iCs/>
                <w:sz w:val="20"/>
              </w:rPr>
              <w:t>71 203 710</w:t>
            </w:r>
          </w:p>
        </w:tc>
        <w:tc>
          <w:tcPr>
            <w:tcW w:w="1019" w:type="dxa"/>
            <w:tcBorders>
              <w:top w:val="single" w:sz="4" w:space="0" w:color="auto"/>
              <w:left w:val="single" w:sz="4" w:space="0" w:color="auto"/>
              <w:bottom w:val="single" w:sz="4" w:space="0" w:color="auto"/>
              <w:right w:val="single" w:sz="4" w:space="0" w:color="auto"/>
            </w:tcBorders>
            <w:vAlign w:val="center"/>
            <w:hideMark/>
          </w:tcPr>
          <w:p w14:paraId="7DA3280A" w14:textId="77777777" w:rsidR="003663AF" w:rsidRPr="00B7760C" w:rsidRDefault="003663AF" w:rsidP="00E804B7">
            <w:pPr>
              <w:pStyle w:val="Normal6"/>
              <w:jc w:val="right"/>
              <w:rPr>
                <w:b/>
                <w:bCs/>
                <w:i/>
                <w:iCs/>
                <w:sz w:val="20"/>
              </w:rPr>
            </w:pPr>
            <w:r w:rsidRPr="00B7760C">
              <w:rPr>
                <w:b/>
                <w:bCs/>
                <w:i/>
                <w:iCs/>
                <w:sz w:val="20"/>
              </w:rPr>
              <w:t>71 203 710</w:t>
            </w:r>
          </w:p>
        </w:tc>
        <w:tc>
          <w:tcPr>
            <w:tcW w:w="1019" w:type="dxa"/>
            <w:tcBorders>
              <w:top w:val="single" w:sz="4" w:space="0" w:color="auto"/>
              <w:left w:val="single" w:sz="4" w:space="0" w:color="auto"/>
              <w:bottom w:val="single" w:sz="4" w:space="0" w:color="auto"/>
              <w:right w:val="single" w:sz="4" w:space="0" w:color="auto"/>
            </w:tcBorders>
            <w:vAlign w:val="center"/>
            <w:hideMark/>
          </w:tcPr>
          <w:p w14:paraId="7743F241" w14:textId="77777777" w:rsidR="003663AF" w:rsidRPr="00B7760C" w:rsidRDefault="003663AF" w:rsidP="00E804B7">
            <w:pPr>
              <w:pStyle w:val="Normal6"/>
              <w:jc w:val="right"/>
              <w:rPr>
                <w:b/>
                <w:bCs/>
                <w:i/>
                <w:iCs/>
                <w:sz w:val="20"/>
              </w:rPr>
            </w:pPr>
            <w:r w:rsidRPr="00B7760C">
              <w:rPr>
                <w:b/>
                <w:bCs/>
                <w:i/>
                <w:iCs/>
                <w:sz w:val="20"/>
              </w:rPr>
              <w:t>71 203 710</w:t>
            </w:r>
          </w:p>
        </w:tc>
        <w:tc>
          <w:tcPr>
            <w:tcW w:w="1019" w:type="dxa"/>
            <w:tcBorders>
              <w:top w:val="single" w:sz="4" w:space="0" w:color="auto"/>
              <w:left w:val="single" w:sz="4" w:space="0" w:color="auto"/>
              <w:bottom w:val="single" w:sz="4" w:space="0" w:color="auto"/>
              <w:right w:val="single" w:sz="4" w:space="0" w:color="auto"/>
            </w:tcBorders>
            <w:vAlign w:val="center"/>
            <w:hideMark/>
          </w:tcPr>
          <w:p w14:paraId="04B193BD" w14:textId="77777777" w:rsidR="003663AF" w:rsidRPr="00B7760C" w:rsidRDefault="003663AF" w:rsidP="00E804B7">
            <w:pPr>
              <w:pStyle w:val="Normal6"/>
              <w:jc w:val="right"/>
              <w:rPr>
                <w:b/>
                <w:bCs/>
                <w:i/>
                <w:iCs/>
                <w:sz w:val="20"/>
              </w:rPr>
            </w:pPr>
            <w:r w:rsidRPr="00B7760C">
              <w:rPr>
                <w:b/>
                <w:bCs/>
                <w:i/>
                <w:iCs/>
                <w:sz w:val="20"/>
              </w:rPr>
              <w:t>71 203 710</w:t>
            </w:r>
          </w:p>
        </w:tc>
        <w:tc>
          <w:tcPr>
            <w:tcW w:w="880" w:type="dxa"/>
            <w:tcBorders>
              <w:top w:val="single" w:sz="4" w:space="0" w:color="auto"/>
              <w:left w:val="single" w:sz="4" w:space="0" w:color="auto"/>
              <w:bottom w:val="single" w:sz="4" w:space="0" w:color="auto"/>
              <w:right w:val="single" w:sz="4" w:space="0" w:color="auto"/>
            </w:tcBorders>
            <w:vAlign w:val="center"/>
            <w:hideMark/>
          </w:tcPr>
          <w:p w14:paraId="2B7D7155" w14:textId="77777777" w:rsidR="003663AF" w:rsidRPr="00B7760C" w:rsidRDefault="003663AF" w:rsidP="00E804B7">
            <w:pPr>
              <w:pStyle w:val="Normal6"/>
              <w:jc w:val="right"/>
              <w:rPr>
                <w:b/>
                <w:bCs/>
                <w:i/>
                <w:iCs/>
                <w:sz w:val="20"/>
              </w:rPr>
            </w:pPr>
            <w:r w:rsidRPr="00B7760C">
              <w:rPr>
                <w:b/>
                <w:bCs/>
                <w:i/>
                <w:iCs/>
                <w:sz w:val="20"/>
              </w:rPr>
              <w:t>71 203 710</w:t>
            </w:r>
          </w:p>
        </w:tc>
        <w:tc>
          <w:tcPr>
            <w:tcW w:w="1141" w:type="dxa"/>
            <w:tcBorders>
              <w:top w:val="single" w:sz="4" w:space="0" w:color="auto"/>
              <w:left w:val="single" w:sz="4" w:space="0" w:color="auto"/>
              <w:bottom w:val="single" w:sz="4" w:space="0" w:color="auto"/>
              <w:right w:val="single" w:sz="4" w:space="0" w:color="auto"/>
            </w:tcBorders>
            <w:vAlign w:val="center"/>
            <w:hideMark/>
          </w:tcPr>
          <w:p w14:paraId="0671A226" w14:textId="77777777" w:rsidR="003663AF" w:rsidRPr="00B7760C" w:rsidRDefault="003663AF" w:rsidP="00E804B7">
            <w:pPr>
              <w:pStyle w:val="Normal6"/>
              <w:jc w:val="right"/>
              <w:rPr>
                <w:b/>
                <w:bCs/>
                <w:i/>
                <w:iCs/>
                <w:sz w:val="20"/>
              </w:rPr>
            </w:pPr>
            <w:r w:rsidRPr="00B7760C">
              <w:rPr>
                <w:b/>
                <w:bCs/>
                <w:i/>
                <w:iCs/>
                <w:sz w:val="20"/>
              </w:rPr>
              <w:t>71 203 710</w:t>
            </w:r>
          </w:p>
        </w:tc>
      </w:tr>
      <w:tr w:rsidR="003663AF" w:rsidRPr="00B7760C" w14:paraId="60C58C54"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7D6E40A3" w14:textId="77777777" w:rsidR="003663AF" w:rsidRPr="00B7760C" w:rsidRDefault="003663AF" w:rsidP="00E804B7">
            <w:pPr>
              <w:pStyle w:val="Normal6"/>
              <w:rPr>
                <w:rStyle w:val="DeltaViewInsertion"/>
                <w:color w:val="auto"/>
              </w:rPr>
            </w:pPr>
            <w:r w:rsidRPr="00B7760C">
              <w:rPr>
                <w:sz w:val="20"/>
              </w:rPr>
              <w:t>Ciper</w:t>
            </w:r>
          </w:p>
        </w:tc>
        <w:tc>
          <w:tcPr>
            <w:tcW w:w="999" w:type="dxa"/>
            <w:tcBorders>
              <w:top w:val="single" w:sz="4" w:space="0" w:color="auto"/>
              <w:left w:val="single" w:sz="4" w:space="0" w:color="auto"/>
              <w:bottom w:val="single" w:sz="4" w:space="0" w:color="auto"/>
              <w:right w:val="single" w:sz="4" w:space="0" w:color="auto"/>
            </w:tcBorders>
            <w:vAlign w:val="center"/>
            <w:hideMark/>
          </w:tcPr>
          <w:p w14:paraId="09B299F0" w14:textId="77777777" w:rsidR="003663AF" w:rsidRPr="00B7760C" w:rsidRDefault="003663AF" w:rsidP="00E804B7">
            <w:pPr>
              <w:pStyle w:val="Normal6"/>
              <w:jc w:val="right"/>
            </w:pPr>
            <w:r w:rsidRPr="00B7760C">
              <w:rPr>
                <w:b/>
                <w:bCs/>
                <w:i/>
                <w:iCs/>
                <w:sz w:val="20"/>
              </w:rPr>
              <w:t>935 002</w:t>
            </w:r>
          </w:p>
        </w:tc>
        <w:tc>
          <w:tcPr>
            <w:tcW w:w="900" w:type="dxa"/>
            <w:tcBorders>
              <w:top w:val="single" w:sz="4" w:space="0" w:color="auto"/>
              <w:left w:val="single" w:sz="4" w:space="0" w:color="auto"/>
              <w:bottom w:val="single" w:sz="4" w:space="0" w:color="auto"/>
              <w:right w:val="single" w:sz="4" w:space="0" w:color="auto"/>
            </w:tcBorders>
            <w:vAlign w:val="center"/>
            <w:hideMark/>
          </w:tcPr>
          <w:p w14:paraId="23C8553F" w14:textId="77777777" w:rsidR="003663AF" w:rsidRPr="00B7760C" w:rsidRDefault="003663AF" w:rsidP="00E804B7">
            <w:pPr>
              <w:pStyle w:val="Normal6"/>
              <w:jc w:val="right"/>
              <w:rPr>
                <w:b/>
                <w:bCs/>
                <w:i/>
                <w:iCs/>
                <w:sz w:val="20"/>
              </w:rPr>
            </w:pPr>
            <w:r w:rsidRPr="00B7760C">
              <w:rPr>
                <w:b/>
                <w:bCs/>
                <w:i/>
                <w:iCs/>
                <w:sz w:val="20"/>
              </w:rPr>
              <w:t>935 002</w:t>
            </w:r>
          </w:p>
        </w:tc>
        <w:tc>
          <w:tcPr>
            <w:tcW w:w="1019" w:type="dxa"/>
            <w:tcBorders>
              <w:top w:val="single" w:sz="4" w:space="0" w:color="auto"/>
              <w:left w:val="single" w:sz="4" w:space="0" w:color="auto"/>
              <w:bottom w:val="single" w:sz="4" w:space="0" w:color="auto"/>
              <w:right w:val="single" w:sz="4" w:space="0" w:color="auto"/>
            </w:tcBorders>
            <w:vAlign w:val="center"/>
            <w:hideMark/>
          </w:tcPr>
          <w:p w14:paraId="577B092F" w14:textId="77777777" w:rsidR="003663AF" w:rsidRPr="00B7760C" w:rsidRDefault="003663AF" w:rsidP="00E804B7">
            <w:pPr>
              <w:pStyle w:val="Normal6"/>
              <w:jc w:val="right"/>
              <w:rPr>
                <w:b/>
                <w:bCs/>
                <w:i/>
                <w:iCs/>
                <w:sz w:val="20"/>
              </w:rPr>
            </w:pPr>
            <w:r w:rsidRPr="00B7760C">
              <w:rPr>
                <w:b/>
                <w:bCs/>
                <w:i/>
                <w:iCs/>
                <w:sz w:val="20"/>
              </w:rPr>
              <w:t>935 002</w:t>
            </w:r>
          </w:p>
        </w:tc>
        <w:tc>
          <w:tcPr>
            <w:tcW w:w="1019" w:type="dxa"/>
            <w:tcBorders>
              <w:top w:val="single" w:sz="4" w:space="0" w:color="auto"/>
              <w:left w:val="single" w:sz="4" w:space="0" w:color="auto"/>
              <w:bottom w:val="single" w:sz="4" w:space="0" w:color="auto"/>
              <w:right w:val="single" w:sz="4" w:space="0" w:color="auto"/>
            </w:tcBorders>
            <w:vAlign w:val="center"/>
            <w:hideMark/>
          </w:tcPr>
          <w:p w14:paraId="261C2BDD" w14:textId="77777777" w:rsidR="003663AF" w:rsidRPr="00B7760C" w:rsidRDefault="003663AF" w:rsidP="00E804B7">
            <w:pPr>
              <w:pStyle w:val="Normal6"/>
              <w:jc w:val="right"/>
              <w:rPr>
                <w:b/>
                <w:bCs/>
                <w:i/>
                <w:iCs/>
                <w:sz w:val="20"/>
              </w:rPr>
            </w:pPr>
            <w:r w:rsidRPr="00B7760C">
              <w:rPr>
                <w:b/>
                <w:bCs/>
                <w:i/>
                <w:iCs/>
                <w:sz w:val="20"/>
              </w:rPr>
              <w:t>935 002</w:t>
            </w:r>
          </w:p>
        </w:tc>
        <w:tc>
          <w:tcPr>
            <w:tcW w:w="1019" w:type="dxa"/>
            <w:tcBorders>
              <w:top w:val="single" w:sz="4" w:space="0" w:color="auto"/>
              <w:left w:val="single" w:sz="4" w:space="0" w:color="auto"/>
              <w:bottom w:val="single" w:sz="4" w:space="0" w:color="auto"/>
              <w:right w:val="single" w:sz="4" w:space="0" w:color="auto"/>
            </w:tcBorders>
            <w:vAlign w:val="center"/>
            <w:hideMark/>
          </w:tcPr>
          <w:p w14:paraId="21CB8452" w14:textId="77777777" w:rsidR="003663AF" w:rsidRPr="00B7760C" w:rsidRDefault="003663AF" w:rsidP="00E804B7">
            <w:pPr>
              <w:pStyle w:val="Normal6"/>
              <w:jc w:val="right"/>
              <w:rPr>
                <w:b/>
                <w:bCs/>
                <w:i/>
                <w:iCs/>
                <w:sz w:val="20"/>
              </w:rPr>
            </w:pPr>
            <w:r w:rsidRPr="00B7760C">
              <w:rPr>
                <w:b/>
                <w:bCs/>
                <w:i/>
                <w:iCs/>
                <w:sz w:val="20"/>
              </w:rPr>
              <w:t>935 002</w:t>
            </w:r>
          </w:p>
        </w:tc>
        <w:tc>
          <w:tcPr>
            <w:tcW w:w="880" w:type="dxa"/>
            <w:tcBorders>
              <w:top w:val="single" w:sz="4" w:space="0" w:color="auto"/>
              <w:left w:val="single" w:sz="4" w:space="0" w:color="auto"/>
              <w:bottom w:val="single" w:sz="4" w:space="0" w:color="auto"/>
              <w:right w:val="single" w:sz="4" w:space="0" w:color="auto"/>
            </w:tcBorders>
            <w:vAlign w:val="center"/>
            <w:hideMark/>
          </w:tcPr>
          <w:p w14:paraId="179FF8C3" w14:textId="77777777" w:rsidR="003663AF" w:rsidRPr="00B7760C" w:rsidRDefault="003663AF" w:rsidP="00E804B7">
            <w:pPr>
              <w:pStyle w:val="Normal6"/>
              <w:jc w:val="right"/>
              <w:rPr>
                <w:b/>
                <w:bCs/>
                <w:i/>
                <w:iCs/>
                <w:sz w:val="20"/>
              </w:rPr>
            </w:pPr>
            <w:r w:rsidRPr="00B7760C">
              <w:rPr>
                <w:b/>
                <w:bCs/>
                <w:i/>
                <w:iCs/>
                <w:sz w:val="20"/>
              </w:rPr>
              <w:t>935 002</w:t>
            </w:r>
          </w:p>
        </w:tc>
        <w:tc>
          <w:tcPr>
            <w:tcW w:w="1141" w:type="dxa"/>
            <w:tcBorders>
              <w:top w:val="single" w:sz="4" w:space="0" w:color="auto"/>
              <w:left w:val="single" w:sz="4" w:space="0" w:color="auto"/>
              <w:bottom w:val="single" w:sz="4" w:space="0" w:color="auto"/>
              <w:right w:val="single" w:sz="4" w:space="0" w:color="auto"/>
            </w:tcBorders>
            <w:vAlign w:val="center"/>
            <w:hideMark/>
          </w:tcPr>
          <w:p w14:paraId="6F170271" w14:textId="77777777" w:rsidR="003663AF" w:rsidRPr="00B7760C" w:rsidRDefault="003663AF" w:rsidP="00E804B7">
            <w:pPr>
              <w:pStyle w:val="Normal6"/>
              <w:jc w:val="right"/>
              <w:rPr>
                <w:b/>
                <w:bCs/>
                <w:i/>
                <w:iCs/>
                <w:sz w:val="20"/>
              </w:rPr>
            </w:pPr>
            <w:r w:rsidRPr="00B7760C">
              <w:rPr>
                <w:b/>
                <w:bCs/>
                <w:i/>
                <w:iCs/>
                <w:sz w:val="20"/>
              </w:rPr>
              <w:t>935 002</w:t>
            </w:r>
          </w:p>
        </w:tc>
      </w:tr>
      <w:tr w:rsidR="003663AF" w:rsidRPr="00B7760C" w14:paraId="019E27B5"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15A56648" w14:textId="77777777" w:rsidR="003663AF" w:rsidRPr="00B7760C" w:rsidRDefault="003663AF" w:rsidP="00E804B7">
            <w:pPr>
              <w:pStyle w:val="Normal6"/>
              <w:rPr>
                <w:rStyle w:val="DeltaViewInsertion"/>
                <w:color w:val="auto"/>
              </w:rPr>
            </w:pPr>
            <w:r w:rsidRPr="00B7760C">
              <w:rPr>
                <w:sz w:val="20"/>
              </w:rPr>
              <w:t>Latvija</w:t>
            </w:r>
          </w:p>
        </w:tc>
        <w:tc>
          <w:tcPr>
            <w:tcW w:w="999" w:type="dxa"/>
            <w:tcBorders>
              <w:top w:val="single" w:sz="4" w:space="0" w:color="auto"/>
              <w:left w:val="single" w:sz="4" w:space="0" w:color="auto"/>
              <w:bottom w:val="single" w:sz="4" w:space="0" w:color="auto"/>
              <w:right w:val="single" w:sz="4" w:space="0" w:color="auto"/>
            </w:tcBorders>
            <w:vAlign w:val="center"/>
            <w:hideMark/>
          </w:tcPr>
          <w:p w14:paraId="0551A3FD" w14:textId="77777777" w:rsidR="003663AF" w:rsidRPr="00B7760C" w:rsidRDefault="003663AF" w:rsidP="00E804B7">
            <w:pPr>
              <w:pStyle w:val="Normal6"/>
              <w:jc w:val="right"/>
            </w:pPr>
            <w:r w:rsidRPr="00B7760C">
              <w:rPr>
                <w:b/>
                <w:bCs/>
                <w:i/>
                <w:iCs/>
                <w:sz w:val="20"/>
              </w:rPr>
              <w:t>5 992 672</w:t>
            </w:r>
          </w:p>
        </w:tc>
        <w:tc>
          <w:tcPr>
            <w:tcW w:w="900" w:type="dxa"/>
            <w:tcBorders>
              <w:top w:val="single" w:sz="4" w:space="0" w:color="auto"/>
              <w:left w:val="single" w:sz="4" w:space="0" w:color="auto"/>
              <w:bottom w:val="single" w:sz="4" w:space="0" w:color="auto"/>
              <w:right w:val="single" w:sz="4" w:space="0" w:color="auto"/>
            </w:tcBorders>
            <w:vAlign w:val="center"/>
            <w:hideMark/>
          </w:tcPr>
          <w:p w14:paraId="280CCD7F" w14:textId="77777777" w:rsidR="003663AF" w:rsidRPr="00B7760C" w:rsidRDefault="003663AF" w:rsidP="00E804B7">
            <w:pPr>
              <w:pStyle w:val="Normal6"/>
              <w:jc w:val="right"/>
              <w:rPr>
                <w:b/>
                <w:bCs/>
                <w:i/>
                <w:iCs/>
                <w:sz w:val="20"/>
              </w:rPr>
            </w:pPr>
            <w:r w:rsidRPr="00B7760C">
              <w:rPr>
                <w:b/>
                <w:bCs/>
                <w:i/>
                <w:iCs/>
                <w:sz w:val="20"/>
              </w:rPr>
              <w:t>6 165 893</w:t>
            </w:r>
          </w:p>
        </w:tc>
        <w:tc>
          <w:tcPr>
            <w:tcW w:w="1019" w:type="dxa"/>
            <w:tcBorders>
              <w:top w:val="single" w:sz="4" w:space="0" w:color="auto"/>
              <w:left w:val="single" w:sz="4" w:space="0" w:color="auto"/>
              <w:bottom w:val="single" w:sz="4" w:space="0" w:color="auto"/>
              <w:right w:val="single" w:sz="4" w:space="0" w:color="auto"/>
            </w:tcBorders>
            <w:vAlign w:val="center"/>
            <w:hideMark/>
          </w:tcPr>
          <w:p w14:paraId="0E34378A" w14:textId="77777777" w:rsidR="003663AF" w:rsidRPr="00B7760C" w:rsidRDefault="003663AF" w:rsidP="00E804B7">
            <w:pPr>
              <w:pStyle w:val="Normal6"/>
              <w:jc w:val="right"/>
              <w:rPr>
                <w:b/>
                <w:bCs/>
                <w:i/>
                <w:iCs/>
                <w:sz w:val="20"/>
              </w:rPr>
            </w:pPr>
            <w:r w:rsidRPr="00B7760C">
              <w:rPr>
                <w:b/>
                <w:bCs/>
                <w:i/>
                <w:iCs/>
                <w:sz w:val="20"/>
              </w:rPr>
              <w:t>6 339 113</w:t>
            </w:r>
          </w:p>
        </w:tc>
        <w:tc>
          <w:tcPr>
            <w:tcW w:w="1019" w:type="dxa"/>
            <w:tcBorders>
              <w:top w:val="single" w:sz="4" w:space="0" w:color="auto"/>
              <w:left w:val="single" w:sz="4" w:space="0" w:color="auto"/>
              <w:bottom w:val="single" w:sz="4" w:space="0" w:color="auto"/>
              <w:right w:val="single" w:sz="4" w:space="0" w:color="auto"/>
            </w:tcBorders>
            <w:vAlign w:val="center"/>
            <w:hideMark/>
          </w:tcPr>
          <w:p w14:paraId="044357AB" w14:textId="77777777" w:rsidR="003663AF" w:rsidRPr="00B7760C" w:rsidRDefault="003663AF" w:rsidP="00E804B7">
            <w:pPr>
              <w:pStyle w:val="Normal6"/>
              <w:jc w:val="right"/>
              <w:rPr>
                <w:b/>
                <w:bCs/>
                <w:i/>
                <w:iCs/>
                <w:sz w:val="20"/>
              </w:rPr>
            </w:pPr>
            <w:r w:rsidRPr="00B7760C">
              <w:rPr>
                <w:b/>
                <w:bCs/>
                <w:i/>
                <w:iCs/>
                <w:sz w:val="20"/>
              </w:rPr>
              <w:t>6 512 334</w:t>
            </w:r>
          </w:p>
        </w:tc>
        <w:tc>
          <w:tcPr>
            <w:tcW w:w="1019" w:type="dxa"/>
            <w:tcBorders>
              <w:top w:val="single" w:sz="4" w:space="0" w:color="auto"/>
              <w:left w:val="single" w:sz="4" w:space="0" w:color="auto"/>
              <w:bottom w:val="single" w:sz="4" w:space="0" w:color="auto"/>
              <w:right w:val="single" w:sz="4" w:space="0" w:color="auto"/>
            </w:tcBorders>
            <w:vAlign w:val="center"/>
            <w:hideMark/>
          </w:tcPr>
          <w:p w14:paraId="2686E6E2" w14:textId="77777777" w:rsidR="003663AF" w:rsidRPr="00B7760C" w:rsidRDefault="003663AF" w:rsidP="00E804B7">
            <w:pPr>
              <w:pStyle w:val="Normal6"/>
              <w:jc w:val="right"/>
              <w:rPr>
                <w:b/>
                <w:bCs/>
                <w:i/>
                <w:iCs/>
                <w:sz w:val="20"/>
              </w:rPr>
            </w:pPr>
            <w:r w:rsidRPr="00B7760C">
              <w:rPr>
                <w:b/>
                <w:bCs/>
                <w:i/>
                <w:iCs/>
                <w:sz w:val="20"/>
              </w:rPr>
              <w:t>6 685 555</w:t>
            </w:r>
          </w:p>
        </w:tc>
        <w:tc>
          <w:tcPr>
            <w:tcW w:w="880" w:type="dxa"/>
            <w:tcBorders>
              <w:top w:val="single" w:sz="4" w:space="0" w:color="auto"/>
              <w:left w:val="single" w:sz="4" w:space="0" w:color="auto"/>
              <w:bottom w:val="single" w:sz="4" w:space="0" w:color="auto"/>
              <w:right w:val="single" w:sz="4" w:space="0" w:color="auto"/>
            </w:tcBorders>
            <w:vAlign w:val="center"/>
            <w:hideMark/>
          </w:tcPr>
          <w:p w14:paraId="20542294" w14:textId="77777777" w:rsidR="003663AF" w:rsidRPr="00B7760C" w:rsidRDefault="003663AF" w:rsidP="00E804B7">
            <w:pPr>
              <w:pStyle w:val="Normal6"/>
              <w:jc w:val="right"/>
              <w:rPr>
                <w:b/>
                <w:bCs/>
                <w:i/>
                <w:iCs/>
                <w:sz w:val="20"/>
              </w:rPr>
            </w:pPr>
            <w:r w:rsidRPr="00B7760C">
              <w:rPr>
                <w:b/>
                <w:bCs/>
                <w:i/>
                <w:iCs/>
                <w:sz w:val="20"/>
              </w:rPr>
              <w:t>6 858 775</w:t>
            </w:r>
          </w:p>
        </w:tc>
        <w:tc>
          <w:tcPr>
            <w:tcW w:w="1141" w:type="dxa"/>
            <w:tcBorders>
              <w:top w:val="single" w:sz="4" w:space="0" w:color="auto"/>
              <w:left w:val="single" w:sz="4" w:space="0" w:color="auto"/>
              <w:bottom w:val="single" w:sz="4" w:space="0" w:color="auto"/>
              <w:right w:val="single" w:sz="4" w:space="0" w:color="auto"/>
            </w:tcBorders>
            <w:vAlign w:val="center"/>
            <w:hideMark/>
          </w:tcPr>
          <w:p w14:paraId="56BF3D43" w14:textId="77777777" w:rsidR="003663AF" w:rsidRPr="00B7760C" w:rsidRDefault="003663AF" w:rsidP="00E804B7">
            <w:pPr>
              <w:pStyle w:val="Normal6"/>
              <w:jc w:val="right"/>
              <w:rPr>
                <w:b/>
                <w:bCs/>
                <w:i/>
                <w:iCs/>
                <w:sz w:val="20"/>
              </w:rPr>
            </w:pPr>
            <w:r w:rsidRPr="00B7760C">
              <w:rPr>
                <w:b/>
                <w:bCs/>
                <w:i/>
                <w:iCs/>
                <w:sz w:val="20"/>
              </w:rPr>
              <w:t>6 858 775</w:t>
            </w:r>
          </w:p>
        </w:tc>
      </w:tr>
      <w:tr w:rsidR="003663AF" w:rsidRPr="00B7760C" w14:paraId="6E6B4F31"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2B66019A" w14:textId="77777777" w:rsidR="003663AF" w:rsidRPr="00B7760C" w:rsidRDefault="003663AF" w:rsidP="00E804B7">
            <w:pPr>
              <w:pStyle w:val="Normal6"/>
              <w:rPr>
                <w:rStyle w:val="DeltaViewInsertion"/>
                <w:color w:val="auto"/>
              </w:rPr>
            </w:pPr>
            <w:r w:rsidRPr="00B7760C">
              <w:rPr>
                <w:sz w:val="20"/>
              </w:rPr>
              <w:t>Litva</w:t>
            </w:r>
          </w:p>
        </w:tc>
        <w:tc>
          <w:tcPr>
            <w:tcW w:w="999" w:type="dxa"/>
            <w:tcBorders>
              <w:top w:val="single" w:sz="4" w:space="0" w:color="auto"/>
              <w:left w:val="single" w:sz="4" w:space="0" w:color="auto"/>
              <w:bottom w:val="single" w:sz="4" w:space="0" w:color="auto"/>
              <w:right w:val="single" w:sz="4" w:space="0" w:color="auto"/>
            </w:tcBorders>
            <w:vAlign w:val="center"/>
            <w:hideMark/>
          </w:tcPr>
          <w:p w14:paraId="0358494A" w14:textId="77777777" w:rsidR="003663AF" w:rsidRPr="00B7760C" w:rsidRDefault="003663AF" w:rsidP="00E804B7">
            <w:pPr>
              <w:pStyle w:val="Normal6"/>
              <w:jc w:val="right"/>
            </w:pPr>
            <w:r w:rsidRPr="00B7760C">
              <w:rPr>
                <w:b/>
                <w:bCs/>
                <w:i/>
                <w:iCs/>
                <w:sz w:val="20"/>
              </w:rPr>
              <w:t>10 216 405</w:t>
            </w:r>
          </w:p>
        </w:tc>
        <w:tc>
          <w:tcPr>
            <w:tcW w:w="900" w:type="dxa"/>
            <w:tcBorders>
              <w:top w:val="single" w:sz="4" w:space="0" w:color="auto"/>
              <w:left w:val="single" w:sz="4" w:space="0" w:color="auto"/>
              <w:bottom w:val="single" w:sz="4" w:space="0" w:color="auto"/>
              <w:right w:val="single" w:sz="4" w:space="0" w:color="auto"/>
            </w:tcBorders>
            <w:vAlign w:val="center"/>
            <w:hideMark/>
          </w:tcPr>
          <w:p w14:paraId="6D0060C7" w14:textId="77777777" w:rsidR="003663AF" w:rsidRPr="00B7760C" w:rsidRDefault="003663AF" w:rsidP="00E804B7">
            <w:pPr>
              <w:pStyle w:val="Normal6"/>
              <w:jc w:val="right"/>
              <w:rPr>
                <w:b/>
                <w:bCs/>
                <w:i/>
                <w:iCs/>
                <w:sz w:val="20"/>
              </w:rPr>
            </w:pPr>
            <w:r w:rsidRPr="00B7760C">
              <w:rPr>
                <w:b/>
                <w:bCs/>
                <w:i/>
                <w:iCs/>
                <w:sz w:val="20"/>
              </w:rPr>
              <w:t>10 494 645</w:t>
            </w:r>
          </w:p>
        </w:tc>
        <w:tc>
          <w:tcPr>
            <w:tcW w:w="1019" w:type="dxa"/>
            <w:tcBorders>
              <w:top w:val="single" w:sz="4" w:space="0" w:color="auto"/>
              <w:left w:val="single" w:sz="4" w:space="0" w:color="auto"/>
              <w:bottom w:val="single" w:sz="4" w:space="0" w:color="auto"/>
              <w:right w:val="single" w:sz="4" w:space="0" w:color="auto"/>
            </w:tcBorders>
            <w:vAlign w:val="center"/>
            <w:hideMark/>
          </w:tcPr>
          <w:p w14:paraId="428DA007" w14:textId="77777777" w:rsidR="003663AF" w:rsidRPr="00B7760C" w:rsidRDefault="003663AF" w:rsidP="00E804B7">
            <w:pPr>
              <w:pStyle w:val="Normal6"/>
              <w:jc w:val="right"/>
              <w:rPr>
                <w:b/>
                <w:bCs/>
                <w:i/>
                <w:iCs/>
                <w:sz w:val="20"/>
              </w:rPr>
            </w:pPr>
            <w:r w:rsidRPr="00B7760C">
              <w:rPr>
                <w:b/>
                <w:bCs/>
                <w:i/>
                <w:iCs/>
                <w:sz w:val="20"/>
              </w:rPr>
              <w:t>10 772 885</w:t>
            </w:r>
          </w:p>
        </w:tc>
        <w:tc>
          <w:tcPr>
            <w:tcW w:w="1019" w:type="dxa"/>
            <w:tcBorders>
              <w:top w:val="single" w:sz="4" w:space="0" w:color="auto"/>
              <w:left w:val="single" w:sz="4" w:space="0" w:color="auto"/>
              <w:bottom w:val="single" w:sz="4" w:space="0" w:color="auto"/>
              <w:right w:val="single" w:sz="4" w:space="0" w:color="auto"/>
            </w:tcBorders>
            <w:vAlign w:val="center"/>
            <w:hideMark/>
          </w:tcPr>
          <w:p w14:paraId="4E40F3CD" w14:textId="77777777" w:rsidR="003663AF" w:rsidRPr="00B7760C" w:rsidRDefault="003663AF" w:rsidP="00E804B7">
            <w:pPr>
              <w:pStyle w:val="Normal6"/>
              <w:jc w:val="right"/>
              <w:rPr>
                <w:b/>
                <w:bCs/>
                <w:i/>
                <w:iCs/>
                <w:sz w:val="20"/>
              </w:rPr>
            </w:pPr>
            <w:r w:rsidRPr="00B7760C">
              <w:rPr>
                <w:b/>
                <w:bCs/>
                <w:i/>
                <w:iCs/>
                <w:sz w:val="20"/>
              </w:rPr>
              <w:t>11 051 125</w:t>
            </w:r>
          </w:p>
        </w:tc>
        <w:tc>
          <w:tcPr>
            <w:tcW w:w="1019" w:type="dxa"/>
            <w:tcBorders>
              <w:top w:val="single" w:sz="4" w:space="0" w:color="auto"/>
              <w:left w:val="single" w:sz="4" w:space="0" w:color="auto"/>
              <w:bottom w:val="single" w:sz="4" w:space="0" w:color="auto"/>
              <w:right w:val="single" w:sz="4" w:space="0" w:color="auto"/>
            </w:tcBorders>
            <w:vAlign w:val="center"/>
            <w:hideMark/>
          </w:tcPr>
          <w:p w14:paraId="2CD5CF59" w14:textId="77777777" w:rsidR="003663AF" w:rsidRPr="00B7760C" w:rsidRDefault="003663AF" w:rsidP="00E804B7">
            <w:pPr>
              <w:pStyle w:val="Normal6"/>
              <w:jc w:val="right"/>
              <w:rPr>
                <w:b/>
                <w:bCs/>
                <w:i/>
                <w:iCs/>
                <w:sz w:val="20"/>
              </w:rPr>
            </w:pPr>
            <w:r w:rsidRPr="00B7760C">
              <w:rPr>
                <w:b/>
                <w:bCs/>
                <w:i/>
                <w:iCs/>
                <w:sz w:val="20"/>
              </w:rPr>
              <w:t>11 329 365</w:t>
            </w:r>
          </w:p>
        </w:tc>
        <w:tc>
          <w:tcPr>
            <w:tcW w:w="880" w:type="dxa"/>
            <w:tcBorders>
              <w:top w:val="single" w:sz="4" w:space="0" w:color="auto"/>
              <w:left w:val="single" w:sz="4" w:space="0" w:color="auto"/>
              <w:bottom w:val="single" w:sz="4" w:space="0" w:color="auto"/>
              <w:right w:val="single" w:sz="4" w:space="0" w:color="auto"/>
            </w:tcBorders>
            <w:vAlign w:val="center"/>
            <w:hideMark/>
          </w:tcPr>
          <w:p w14:paraId="218054F0" w14:textId="77777777" w:rsidR="003663AF" w:rsidRPr="00B7760C" w:rsidRDefault="003663AF" w:rsidP="00E804B7">
            <w:pPr>
              <w:pStyle w:val="Normal6"/>
              <w:jc w:val="right"/>
              <w:rPr>
                <w:b/>
                <w:bCs/>
                <w:i/>
                <w:iCs/>
                <w:sz w:val="20"/>
              </w:rPr>
            </w:pPr>
            <w:r w:rsidRPr="00B7760C">
              <w:rPr>
                <w:b/>
                <w:bCs/>
                <w:i/>
                <w:iCs/>
                <w:sz w:val="20"/>
              </w:rPr>
              <w:t>11 607 604</w:t>
            </w:r>
          </w:p>
        </w:tc>
        <w:tc>
          <w:tcPr>
            <w:tcW w:w="1141" w:type="dxa"/>
            <w:tcBorders>
              <w:top w:val="single" w:sz="4" w:space="0" w:color="auto"/>
              <w:left w:val="single" w:sz="4" w:space="0" w:color="auto"/>
              <w:bottom w:val="single" w:sz="4" w:space="0" w:color="auto"/>
              <w:right w:val="single" w:sz="4" w:space="0" w:color="auto"/>
            </w:tcBorders>
            <w:vAlign w:val="center"/>
            <w:hideMark/>
          </w:tcPr>
          <w:p w14:paraId="5347393A" w14:textId="77777777" w:rsidR="003663AF" w:rsidRPr="00B7760C" w:rsidRDefault="003663AF" w:rsidP="00E804B7">
            <w:pPr>
              <w:pStyle w:val="Normal6"/>
              <w:jc w:val="right"/>
              <w:rPr>
                <w:b/>
                <w:bCs/>
                <w:i/>
                <w:iCs/>
                <w:sz w:val="20"/>
              </w:rPr>
            </w:pPr>
            <w:r w:rsidRPr="00B7760C">
              <w:rPr>
                <w:b/>
                <w:bCs/>
                <w:i/>
                <w:iCs/>
                <w:sz w:val="20"/>
              </w:rPr>
              <w:t>11 607 604</w:t>
            </w:r>
          </w:p>
        </w:tc>
      </w:tr>
      <w:tr w:rsidR="003663AF" w:rsidRPr="00B7760C" w14:paraId="72FC5A86"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25CA04F0" w14:textId="77777777" w:rsidR="003663AF" w:rsidRPr="00B7760C" w:rsidRDefault="003663AF" w:rsidP="00E804B7">
            <w:pPr>
              <w:pStyle w:val="Normal6"/>
              <w:rPr>
                <w:rStyle w:val="DeltaViewInsertion"/>
                <w:color w:val="auto"/>
              </w:rPr>
            </w:pPr>
            <w:r w:rsidRPr="00B7760C">
              <w:rPr>
                <w:sz w:val="20"/>
              </w:rPr>
              <w:t>Luksemburg</w:t>
            </w:r>
          </w:p>
        </w:tc>
        <w:tc>
          <w:tcPr>
            <w:tcW w:w="999" w:type="dxa"/>
            <w:tcBorders>
              <w:top w:val="single" w:sz="4" w:space="0" w:color="auto"/>
              <w:left w:val="single" w:sz="4" w:space="0" w:color="auto"/>
              <w:bottom w:val="single" w:sz="4" w:space="0" w:color="auto"/>
              <w:right w:val="single" w:sz="4" w:space="0" w:color="auto"/>
            </w:tcBorders>
            <w:vAlign w:val="center"/>
            <w:hideMark/>
          </w:tcPr>
          <w:p w14:paraId="522C21A9" w14:textId="77777777" w:rsidR="003663AF" w:rsidRPr="00B7760C" w:rsidRDefault="003663AF" w:rsidP="00E804B7">
            <w:pPr>
              <w:pStyle w:val="Normal6"/>
              <w:jc w:val="right"/>
            </w:pPr>
            <w:r w:rsidRPr="00B7760C">
              <w:rPr>
                <w:b/>
                <w:bCs/>
                <w:i/>
                <w:iCs/>
                <w:sz w:val="20"/>
              </w:rPr>
              <w:t>642 620</w:t>
            </w:r>
          </w:p>
        </w:tc>
        <w:tc>
          <w:tcPr>
            <w:tcW w:w="900" w:type="dxa"/>
            <w:tcBorders>
              <w:top w:val="single" w:sz="4" w:space="0" w:color="auto"/>
              <w:left w:val="single" w:sz="4" w:space="0" w:color="auto"/>
              <w:bottom w:val="single" w:sz="4" w:space="0" w:color="auto"/>
              <w:right w:val="single" w:sz="4" w:space="0" w:color="auto"/>
            </w:tcBorders>
            <w:vAlign w:val="center"/>
            <w:hideMark/>
          </w:tcPr>
          <w:p w14:paraId="02142C43" w14:textId="77777777" w:rsidR="003663AF" w:rsidRPr="00B7760C" w:rsidRDefault="003663AF" w:rsidP="00E804B7">
            <w:pPr>
              <w:pStyle w:val="Normal6"/>
              <w:jc w:val="right"/>
              <w:rPr>
                <w:b/>
                <w:bCs/>
                <w:i/>
                <w:iCs/>
                <w:sz w:val="20"/>
              </w:rPr>
            </w:pPr>
            <w:r w:rsidRPr="00B7760C">
              <w:rPr>
                <w:b/>
                <w:bCs/>
                <w:i/>
                <w:iCs/>
                <w:sz w:val="20"/>
              </w:rPr>
              <w:t>642 620</w:t>
            </w:r>
          </w:p>
        </w:tc>
        <w:tc>
          <w:tcPr>
            <w:tcW w:w="1019" w:type="dxa"/>
            <w:tcBorders>
              <w:top w:val="single" w:sz="4" w:space="0" w:color="auto"/>
              <w:left w:val="single" w:sz="4" w:space="0" w:color="auto"/>
              <w:bottom w:val="single" w:sz="4" w:space="0" w:color="auto"/>
              <w:right w:val="single" w:sz="4" w:space="0" w:color="auto"/>
            </w:tcBorders>
            <w:vAlign w:val="center"/>
            <w:hideMark/>
          </w:tcPr>
          <w:p w14:paraId="5AF2ADFA" w14:textId="77777777" w:rsidR="003663AF" w:rsidRPr="00B7760C" w:rsidRDefault="003663AF" w:rsidP="00E804B7">
            <w:pPr>
              <w:pStyle w:val="Normal6"/>
              <w:jc w:val="right"/>
              <w:rPr>
                <w:b/>
                <w:bCs/>
                <w:i/>
                <w:iCs/>
                <w:sz w:val="20"/>
              </w:rPr>
            </w:pPr>
            <w:r w:rsidRPr="00B7760C">
              <w:rPr>
                <w:b/>
                <w:bCs/>
                <w:i/>
                <w:iCs/>
                <w:sz w:val="20"/>
              </w:rPr>
              <w:t>642 620</w:t>
            </w:r>
          </w:p>
        </w:tc>
        <w:tc>
          <w:tcPr>
            <w:tcW w:w="1019" w:type="dxa"/>
            <w:tcBorders>
              <w:top w:val="single" w:sz="4" w:space="0" w:color="auto"/>
              <w:left w:val="single" w:sz="4" w:space="0" w:color="auto"/>
              <w:bottom w:val="single" w:sz="4" w:space="0" w:color="auto"/>
              <w:right w:val="single" w:sz="4" w:space="0" w:color="auto"/>
            </w:tcBorders>
            <w:vAlign w:val="center"/>
            <w:hideMark/>
          </w:tcPr>
          <w:p w14:paraId="2B092D09" w14:textId="77777777" w:rsidR="003663AF" w:rsidRPr="00B7760C" w:rsidRDefault="003663AF" w:rsidP="00E804B7">
            <w:pPr>
              <w:pStyle w:val="Normal6"/>
              <w:jc w:val="right"/>
              <w:rPr>
                <w:b/>
                <w:bCs/>
                <w:i/>
                <w:iCs/>
                <w:sz w:val="20"/>
              </w:rPr>
            </w:pPr>
            <w:r w:rsidRPr="00B7760C">
              <w:rPr>
                <w:b/>
                <w:bCs/>
                <w:i/>
                <w:iCs/>
                <w:sz w:val="20"/>
              </w:rPr>
              <w:t>642 620</w:t>
            </w:r>
          </w:p>
        </w:tc>
        <w:tc>
          <w:tcPr>
            <w:tcW w:w="1019" w:type="dxa"/>
            <w:tcBorders>
              <w:top w:val="single" w:sz="4" w:space="0" w:color="auto"/>
              <w:left w:val="single" w:sz="4" w:space="0" w:color="auto"/>
              <w:bottom w:val="single" w:sz="4" w:space="0" w:color="auto"/>
              <w:right w:val="single" w:sz="4" w:space="0" w:color="auto"/>
            </w:tcBorders>
            <w:vAlign w:val="center"/>
            <w:hideMark/>
          </w:tcPr>
          <w:p w14:paraId="1A117B41" w14:textId="77777777" w:rsidR="003663AF" w:rsidRPr="00B7760C" w:rsidRDefault="003663AF" w:rsidP="00E804B7">
            <w:pPr>
              <w:pStyle w:val="Normal6"/>
              <w:jc w:val="right"/>
              <w:rPr>
                <w:b/>
                <w:bCs/>
                <w:i/>
                <w:iCs/>
                <w:sz w:val="20"/>
              </w:rPr>
            </w:pPr>
            <w:r w:rsidRPr="00B7760C">
              <w:rPr>
                <w:b/>
                <w:bCs/>
                <w:i/>
                <w:iCs/>
                <w:sz w:val="20"/>
              </w:rPr>
              <w:t>642 620</w:t>
            </w:r>
          </w:p>
        </w:tc>
        <w:tc>
          <w:tcPr>
            <w:tcW w:w="880" w:type="dxa"/>
            <w:tcBorders>
              <w:top w:val="single" w:sz="4" w:space="0" w:color="auto"/>
              <w:left w:val="single" w:sz="4" w:space="0" w:color="auto"/>
              <w:bottom w:val="single" w:sz="4" w:space="0" w:color="auto"/>
              <w:right w:val="single" w:sz="4" w:space="0" w:color="auto"/>
            </w:tcBorders>
            <w:vAlign w:val="center"/>
            <w:hideMark/>
          </w:tcPr>
          <w:p w14:paraId="2BB21CF2" w14:textId="77777777" w:rsidR="003663AF" w:rsidRPr="00B7760C" w:rsidRDefault="003663AF" w:rsidP="00E804B7">
            <w:pPr>
              <w:pStyle w:val="Normal6"/>
              <w:jc w:val="right"/>
              <w:rPr>
                <w:b/>
                <w:bCs/>
                <w:i/>
                <w:iCs/>
                <w:sz w:val="20"/>
              </w:rPr>
            </w:pPr>
            <w:r w:rsidRPr="00B7760C">
              <w:rPr>
                <w:b/>
                <w:bCs/>
                <w:i/>
                <w:iCs/>
                <w:sz w:val="20"/>
              </w:rPr>
              <w:t>642 620</w:t>
            </w:r>
          </w:p>
        </w:tc>
        <w:tc>
          <w:tcPr>
            <w:tcW w:w="1141" w:type="dxa"/>
            <w:tcBorders>
              <w:top w:val="single" w:sz="4" w:space="0" w:color="auto"/>
              <w:left w:val="single" w:sz="4" w:space="0" w:color="auto"/>
              <w:bottom w:val="single" w:sz="4" w:space="0" w:color="auto"/>
              <w:right w:val="single" w:sz="4" w:space="0" w:color="auto"/>
            </w:tcBorders>
            <w:vAlign w:val="center"/>
            <w:hideMark/>
          </w:tcPr>
          <w:p w14:paraId="6B0D2975" w14:textId="77777777" w:rsidR="003663AF" w:rsidRPr="00B7760C" w:rsidRDefault="003663AF" w:rsidP="00E804B7">
            <w:pPr>
              <w:pStyle w:val="Normal6"/>
              <w:jc w:val="right"/>
              <w:rPr>
                <w:b/>
                <w:bCs/>
                <w:i/>
                <w:iCs/>
                <w:sz w:val="20"/>
              </w:rPr>
            </w:pPr>
            <w:r w:rsidRPr="00B7760C">
              <w:rPr>
                <w:b/>
                <w:bCs/>
                <w:i/>
                <w:iCs/>
                <w:sz w:val="20"/>
              </w:rPr>
              <w:t>642 620</w:t>
            </w:r>
          </w:p>
        </w:tc>
      </w:tr>
      <w:tr w:rsidR="003663AF" w:rsidRPr="00B7760C" w14:paraId="07B036D1"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5629AB9B" w14:textId="77777777" w:rsidR="003663AF" w:rsidRPr="00B7760C" w:rsidRDefault="003663AF" w:rsidP="00E804B7">
            <w:pPr>
              <w:pStyle w:val="Normal6"/>
              <w:rPr>
                <w:rStyle w:val="DeltaViewInsertion"/>
                <w:color w:val="auto"/>
              </w:rPr>
            </w:pPr>
            <w:r w:rsidRPr="00B7760C">
              <w:rPr>
                <w:sz w:val="20"/>
              </w:rPr>
              <w:t>Madžarska</w:t>
            </w:r>
          </w:p>
        </w:tc>
        <w:tc>
          <w:tcPr>
            <w:tcW w:w="999" w:type="dxa"/>
            <w:tcBorders>
              <w:top w:val="single" w:sz="4" w:space="0" w:color="auto"/>
              <w:left w:val="single" w:sz="4" w:space="0" w:color="auto"/>
              <w:bottom w:val="single" w:sz="4" w:space="0" w:color="auto"/>
              <w:right w:val="single" w:sz="4" w:space="0" w:color="auto"/>
            </w:tcBorders>
            <w:vAlign w:val="center"/>
            <w:hideMark/>
          </w:tcPr>
          <w:p w14:paraId="17A94CED" w14:textId="77777777" w:rsidR="003663AF" w:rsidRPr="00B7760C" w:rsidRDefault="003663AF" w:rsidP="00E804B7">
            <w:pPr>
              <w:pStyle w:val="Normal6"/>
              <w:jc w:val="right"/>
            </w:pPr>
            <w:r w:rsidRPr="00B7760C">
              <w:rPr>
                <w:b/>
                <w:bCs/>
                <w:i/>
                <w:iCs/>
                <w:sz w:val="20"/>
              </w:rPr>
              <w:t>24 395 393</w:t>
            </w:r>
          </w:p>
        </w:tc>
        <w:tc>
          <w:tcPr>
            <w:tcW w:w="900" w:type="dxa"/>
            <w:tcBorders>
              <w:top w:val="single" w:sz="4" w:space="0" w:color="auto"/>
              <w:left w:val="single" w:sz="4" w:space="0" w:color="auto"/>
              <w:bottom w:val="single" w:sz="4" w:space="0" w:color="auto"/>
              <w:right w:val="single" w:sz="4" w:space="0" w:color="auto"/>
            </w:tcBorders>
            <w:vAlign w:val="center"/>
            <w:hideMark/>
          </w:tcPr>
          <w:p w14:paraId="54F8DDFD" w14:textId="77777777" w:rsidR="003663AF" w:rsidRPr="00B7760C" w:rsidRDefault="003663AF" w:rsidP="00E804B7">
            <w:pPr>
              <w:pStyle w:val="Normal6"/>
              <w:jc w:val="right"/>
              <w:rPr>
                <w:b/>
                <w:bCs/>
                <w:i/>
                <w:iCs/>
                <w:sz w:val="20"/>
              </w:rPr>
            </w:pPr>
            <w:r w:rsidRPr="00B7760C">
              <w:rPr>
                <w:b/>
                <w:bCs/>
                <w:i/>
                <w:iCs/>
                <w:sz w:val="20"/>
              </w:rPr>
              <w:t>24 395 393</w:t>
            </w:r>
          </w:p>
        </w:tc>
        <w:tc>
          <w:tcPr>
            <w:tcW w:w="1019" w:type="dxa"/>
            <w:tcBorders>
              <w:top w:val="single" w:sz="4" w:space="0" w:color="auto"/>
              <w:left w:val="single" w:sz="4" w:space="0" w:color="auto"/>
              <w:bottom w:val="single" w:sz="4" w:space="0" w:color="auto"/>
              <w:right w:val="single" w:sz="4" w:space="0" w:color="auto"/>
            </w:tcBorders>
            <w:vAlign w:val="center"/>
            <w:hideMark/>
          </w:tcPr>
          <w:p w14:paraId="6A690E18" w14:textId="77777777" w:rsidR="003663AF" w:rsidRPr="00B7760C" w:rsidRDefault="003663AF" w:rsidP="00E804B7">
            <w:pPr>
              <w:pStyle w:val="Normal6"/>
              <w:jc w:val="right"/>
              <w:rPr>
                <w:b/>
                <w:bCs/>
                <w:i/>
                <w:iCs/>
                <w:sz w:val="20"/>
              </w:rPr>
            </w:pPr>
            <w:r w:rsidRPr="00B7760C">
              <w:rPr>
                <w:b/>
                <w:bCs/>
                <w:i/>
                <w:iCs/>
                <w:sz w:val="20"/>
              </w:rPr>
              <w:t>24 395 393</w:t>
            </w:r>
          </w:p>
        </w:tc>
        <w:tc>
          <w:tcPr>
            <w:tcW w:w="1019" w:type="dxa"/>
            <w:tcBorders>
              <w:top w:val="single" w:sz="4" w:space="0" w:color="auto"/>
              <w:left w:val="single" w:sz="4" w:space="0" w:color="auto"/>
              <w:bottom w:val="single" w:sz="4" w:space="0" w:color="auto"/>
              <w:right w:val="single" w:sz="4" w:space="0" w:color="auto"/>
            </w:tcBorders>
            <w:vAlign w:val="center"/>
            <w:hideMark/>
          </w:tcPr>
          <w:p w14:paraId="5B4EB118" w14:textId="77777777" w:rsidR="003663AF" w:rsidRPr="00B7760C" w:rsidRDefault="003663AF" w:rsidP="00E804B7">
            <w:pPr>
              <w:pStyle w:val="Normal6"/>
              <w:jc w:val="right"/>
              <w:rPr>
                <w:b/>
                <w:bCs/>
                <w:i/>
                <w:iCs/>
                <w:sz w:val="20"/>
              </w:rPr>
            </w:pPr>
            <w:r w:rsidRPr="00B7760C">
              <w:rPr>
                <w:b/>
                <w:bCs/>
                <w:i/>
                <w:iCs/>
                <w:sz w:val="20"/>
              </w:rPr>
              <w:t>24 395 393</w:t>
            </w:r>
          </w:p>
        </w:tc>
        <w:tc>
          <w:tcPr>
            <w:tcW w:w="1019" w:type="dxa"/>
            <w:tcBorders>
              <w:top w:val="single" w:sz="4" w:space="0" w:color="auto"/>
              <w:left w:val="single" w:sz="4" w:space="0" w:color="auto"/>
              <w:bottom w:val="single" w:sz="4" w:space="0" w:color="auto"/>
              <w:right w:val="single" w:sz="4" w:space="0" w:color="auto"/>
            </w:tcBorders>
            <w:vAlign w:val="center"/>
            <w:hideMark/>
          </w:tcPr>
          <w:p w14:paraId="74ECC1A7" w14:textId="77777777" w:rsidR="003663AF" w:rsidRPr="00B7760C" w:rsidRDefault="003663AF" w:rsidP="00E804B7">
            <w:pPr>
              <w:pStyle w:val="Normal6"/>
              <w:jc w:val="right"/>
              <w:rPr>
                <w:b/>
                <w:bCs/>
                <w:i/>
                <w:iCs/>
                <w:sz w:val="20"/>
              </w:rPr>
            </w:pPr>
            <w:r w:rsidRPr="00B7760C">
              <w:rPr>
                <w:b/>
                <w:bCs/>
                <w:i/>
                <w:iCs/>
                <w:sz w:val="20"/>
              </w:rPr>
              <w:t>24 395 393</w:t>
            </w:r>
          </w:p>
        </w:tc>
        <w:tc>
          <w:tcPr>
            <w:tcW w:w="880" w:type="dxa"/>
            <w:tcBorders>
              <w:top w:val="single" w:sz="4" w:space="0" w:color="auto"/>
              <w:left w:val="single" w:sz="4" w:space="0" w:color="auto"/>
              <w:bottom w:val="single" w:sz="4" w:space="0" w:color="auto"/>
              <w:right w:val="single" w:sz="4" w:space="0" w:color="auto"/>
            </w:tcBorders>
            <w:vAlign w:val="center"/>
            <w:hideMark/>
          </w:tcPr>
          <w:p w14:paraId="39CE1F00" w14:textId="77777777" w:rsidR="003663AF" w:rsidRPr="00B7760C" w:rsidRDefault="003663AF" w:rsidP="00E804B7">
            <w:pPr>
              <w:pStyle w:val="Normal6"/>
              <w:jc w:val="right"/>
              <w:rPr>
                <w:b/>
                <w:bCs/>
                <w:i/>
                <w:iCs/>
                <w:sz w:val="20"/>
              </w:rPr>
            </w:pPr>
            <w:r w:rsidRPr="00B7760C">
              <w:rPr>
                <w:b/>
                <w:bCs/>
                <w:i/>
                <w:iCs/>
                <w:sz w:val="20"/>
              </w:rPr>
              <w:t>24 395 393</w:t>
            </w:r>
          </w:p>
        </w:tc>
        <w:tc>
          <w:tcPr>
            <w:tcW w:w="1141" w:type="dxa"/>
            <w:tcBorders>
              <w:top w:val="single" w:sz="4" w:space="0" w:color="auto"/>
              <w:left w:val="single" w:sz="4" w:space="0" w:color="auto"/>
              <w:bottom w:val="single" w:sz="4" w:space="0" w:color="auto"/>
              <w:right w:val="single" w:sz="4" w:space="0" w:color="auto"/>
            </w:tcBorders>
            <w:vAlign w:val="center"/>
            <w:hideMark/>
          </w:tcPr>
          <w:p w14:paraId="33881C3E" w14:textId="77777777" w:rsidR="003663AF" w:rsidRPr="00B7760C" w:rsidRDefault="003663AF" w:rsidP="00E804B7">
            <w:pPr>
              <w:pStyle w:val="Normal6"/>
              <w:jc w:val="right"/>
              <w:rPr>
                <w:b/>
                <w:bCs/>
                <w:i/>
                <w:iCs/>
                <w:sz w:val="20"/>
              </w:rPr>
            </w:pPr>
            <w:r w:rsidRPr="00B7760C">
              <w:rPr>
                <w:b/>
                <w:bCs/>
                <w:i/>
                <w:iCs/>
                <w:sz w:val="20"/>
              </w:rPr>
              <w:t>24 395 393</w:t>
            </w:r>
          </w:p>
        </w:tc>
      </w:tr>
      <w:tr w:rsidR="003663AF" w:rsidRPr="00B7760C" w14:paraId="1C37D687"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0E339D8F" w14:textId="77777777" w:rsidR="003663AF" w:rsidRPr="00B7760C" w:rsidRDefault="003663AF" w:rsidP="00E804B7">
            <w:pPr>
              <w:pStyle w:val="Normal6"/>
              <w:rPr>
                <w:rStyle w:val="DeltaViewInsertion"/>
                <w:color w:val="auto"/>
              </w:rPr>
            </w:pPr>
            <w:r w:rsidRPr="00B7760C">
              <w:rPr>
                <w:sz w:val="20"/>
              </w:rPr>
              <w:t>Malta</w:t>
            </w:r>
          </w:p>
        </w:tc>
        <w:tc>
          <w:tcPr>
            <w:tcW w:w="999" w:type="dxa"/>
            <w:tcBorders>
              <w:top w:val="single" w:sz="4" w:space="0" w:color="auto"/>
              <w:left w:val="single" w:sz="4" w:space="0" w:color="auto"/>
              <w:bottom w:val="single" w:sz="4" w:space="0" w:color="auto"/>
              <w:right w:val="single" w:sz="4" w:space="0" w:color="auto"/>
            </w:tcBorders>
            <w:vAlign w:val="center"/>
            <w:hideMark/>
          </w:tcPr>
          <w:p w14:paraId="6D30422D" w14:textId="77777777" w:rsidR="003663AF" w:rsidRPr="00B7760C" w:rsidRDefault="003663AF" w:rsidP="00E804B7">
            <w:pPr>
              <w:pStyle w:val="Normal6"/>
              <w:jc w:val="right"/>
            </w:pPr>
            <w:r w:rsidRPr="00B7760C">
              <w:rPr>
                <w:b/>
                <w:bCs/>
                <w:i/>
                <w:iCs/>
                <w:sz w:val="20"/>
              </w:rPr>
              <w:t>90 150</w:t>
            </w:r>
          </w:p>
        </w:tc>
        <w:tc>
          <w:tcPr>
            <w:tcW w:w="900" w:type="dxa"/>
            <w:tcBorders>
              <w:top w:val="single" w:sz="4" w:space="0" w:color="auto"/>
              <w:left w:val="single" w:sz="4" w:space="0" w:color="auto"/>
              <w:bottom w:val="single" w:sz="4" w:space="0" w:color="auto"/>
              <w:right w:val="single" w:sz="4" w:space="0" w:color="auto"/>
            </w:tcBorders>
            <w:vAlign w:val="center"/>
            <w:hideMark/>
          </w:tcPr>
          <w:p w14:paraId="6F67A045" w14:textId="77777777" w:rsidR="003663AF" w:rsidRPr="00B7760C" w:rsidRDefault="003663AF" w:rsidP="00E804B7">
            <w:pPr>
              <w:pStyle w:val="Normal6"/>
              <w:jc w:val="right"/>
              <w:rPr>
                <w:b/>
                <w:bCs/>
                <w:i/>
                <w:iCs/>
                <w:sz w:val="20"/>
              </w:rPr>
            </w:pPr>
            <w:r w:rsidRPr="00B7760C">
              <w:rPr>
                <w:b/>
                <w:bCs/>
                <w:i/>
                <w:iCs/>
                <w:sz w:val="20"/>
              </w:rPr>
              <w:t>90 150</w:t>
            </w:r>
          </w:p>
        </w:tc>
        <w:tc>
          <w:tcPr>
            <w:tcW w:w="1019" w:type="dxa"/>
            <w:tcBorders>
              <w:top w:val="single" w:sz="4" w:space="0" w:color="auto"/>
              <w:left w:val="single" w:sz="4" w:space="0" w:color="auto"/>
              <w:bottom w:val="single" w:sz="4" w:space="0" w:color="auto"/>
              <w:right w:val="single" w:sz="4" w:space="0" w:color="auto"/>
            </w:tcBorders>
            <w:vAlign w:val="center"/>
            <w:hideMark/>
          </w:tcPr>
          <w:p w14:paraId="757C74DE" w14:textId="77777777" w:rsidR="003663AF" w:rsidRPr="00B7760C" w:rsidRDefault="003663AF" w:rsidP="00E804B7">
            <w:pPr>
              <w:pStyle w:val="Normal6"/>
              <w:jc w:val="right"/>
              <w:rPr>
                <w:b/>
                <w:bCs/>
                <w:i/>
                <w:iCs/>
                <w:sz w:val="20"/>
              </w:rPr>
            </w:pPr>
            <w:r w:rsidRPr="00B7760C">
              <w:rPr>
                <w:b/>
                <w:bCs/>
                <w:i/>
                <w:iCs/>
                <w:sz w:val="20"/>
              </w:rPr>
              <w:t>90 150</w:t>
            </w:r>
          </w:p>
        </w:tc>
        <w:tc>
          <w:tcPr>
            <w:tcW w:w="1019" w:type="dxa"/>
            <w:tcBorders>
              <w:top w:val="single" w:sz="4" w:space="0" w:color="auto"/>
              <w:left w:val="single" w:sz="4" w:space="0" w:color="auto"/>
              <w:bottom w:val="single" w:sz="4" w:space="0" w:color="auto"/>
              <w:right w:val="single" w:sz="4" w:space="0" w:color="auto"/>
            </w:tcBorders>
            <w:vAlign w:val="center"/>
            <w:hideMark/>
          </w:tcPr>
          <w:p w14:paraId="429C67F4" w14:textId="77777777" w:rsidR="003663AF" w:rsidRPr="00B7760C" w:rsidRDefault="003663AF" w:rsidP="00E804B7">
            <w:pPr>
              <w:pStyle w:val="Normal6"/>
              <w:jc w:val="right"/>
              <w:rPr>
                <w:b/>
                <w:bCs/>
                <w:i/>
                <w:iCs/>
                <w:sz w:val="20"/>
              </w:rPr>
            </w:pPr>
            <w:r w:rsidRPr="00B7760C">
              <w:rPr>
                <w:b/>
                <w:bCs/>
                <w:i/>
                <w:iCs/>
                <w:sz w:val="20"/>
              </w:rPr>
              <w:t>90 150</w:t>
            </w:r>
          </w:p>
        </w:tc>
        <w:tc>
          <w:tcPr>
            <w:tcW w:w="1019" w:type="dxa"/>
            <w:tcBorders>
              <w:top w:val="single" w:sz="4" w:space="0" w:color="auto"/>
              <w:left w:val="single" w:sz="4" w:space="0" w:color="auto"/>
              <w:bottom w:val="single" w:sz="4" w:space="0" w:color="auto"/>
              <w:right w:val="single" w:sz="4" w:space="0" w:color="auto"/>
            </w:tcBorders>
            <w:vAlign w:val="center"/>
            <w:hideMark/>
          </w:tcPr>
          <w:p w14:paraId="054CC67F" w14:textId="77777777" w:rsidR="003663AF" w:rsidRPr="00B7760C" w:rsidRDefault="003663AF" w:rsidP="00E804B7">
            <w:pPr>
              <w:pStyle w:val="Normal6"/>
              <w:jc w:val="right"/>
              <w:rPr>
                <w:b/>
                <w:bCs/>
                <w:i/>
                <w:iCs/>
                <w:sz w:val="20"/>
              </w:rPr>
            </w:pPr>
            <w:r w:rsidRPr="00B7760C">
              <w:rPr>
                <w:b/>
                <w:bCs/>
                <w:i/>
                <w:iCs/>
                <w:sz w:val="20"/>
              </w:rPr>
              <w:t>90 150</w:t>
            </w:r>
          </w:p>
        </w:tc>
        <w:tc>
          <w:tcPr>
            <w:tcW w:w="880" w:type="dxa"/>
            <w:tcBorders>
              <w:top w:val="single" w:sz="4" w:space="0" w:color="auto"/>
              <w:left w:val="single" w:sz="4" w:space="0" w:color="auto"/>
              <w:bottom w:val="single" w:sz="4" w:space="0" w:color="auto"/>
              <w:right w:val="single" w:sz="4" w:space="0" w:color="auto"/>
            </w:tcBorders>
            <w:vAlign w:val="center"/>
            <w:hideMark/>
          </w:tcPr>
          <w:p w14:paraId="6D67BB38" w14:textId="77777777" w:rsidR="003663AF" w:rsidRPr="00B7760C" w:rsidRDefault="003663AF" w:rsidP="00E804B7">
            <w:pPr>
              <w:pStyle w:val="Normal6"/>
              <w:jc w:val="right"/>
              <w:rPr>
                <w:b/>
                <w:bCs/>
                <w:i/>
                <w:iCs/>
                <w:sz w:val="20"/>
              </w:rPr>
            </w:pPr>
            <w:r w:rsidRPr="00B7760C">
              <w:rPr>
                <w:b/>
                <w:bCs/>
                <w:i/>
                <w:iCs/>
                <w:sz w:val="20"/>
              </w:rPr>
              <w:t>90 150</w:t>
            </w:r>
          </w:p>
        </w:tc>
        <w:tc>
          <w:tcPr>
            <w:tcW w:w="1141" w:type="dxa"/>
            <w:tcBorders>
              <w:top w:val="single" w:sz="4" w:space="0" w:color="auto"/>
              <w:left w:val="single" w:sz="4" w:space="0" w:color="auto"/>
              <w:bottom w:val="single" w:sz="4" w:space="0" w:color="auto"/>
              <w:right w:val="single" w:sz="4" w:space="0" w:color="auto"/>
            </w:tcBorders>
            <w:vAlign w:val="center"/>
            <w:hideMark/>
          </w:tcPr>
          <w:p w14:paraId="3F863F51" w14:textId="77777777" w:rsidR="003663AF" w:rsidRPr="00B7760C" w:rsidRDefault="003663AF" w:rsidP="00E804B7">
            <w:pPr>
              <w:pStyle w:val="Normal6"/>
              <w:jc w:val="right"/>
              <w:rPr>
                <w:b/>
                <w:bCs/>
                <w:i/>
                <w:iCs/>
                <w:sz w:val="20"/>
              </w:rPr>
            </w:pPr>
            <w:r w:rsidRPr="00B7760C">
              <w:rPr>
                <w:b/>
                <w:bCs/>
                <w:i/>
                <w:iCs/>
                <w:sz w:val="20"/>
              </w:rPr>
              <w:t>90 150</w:t>
            </w:r>
          </w:p>
        </w:tc>
      </w:tr>
      <w:tr w:rsidR="003663AF" w:rsidRPr="00B7760C" w14:paraId="5523C9F7"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252DB330" w14:textId="77777777" w:rsidR="003663AF" w:rsidRPr="00B7760C" w:rsidRDefault="003663AF" w:rsidP="00E804B7">
            <w:pPr>
              <w:pStyle w:val="Normal6"/>
              <w:rPr>
                <w:rStyle w:val="DeltaViewInsertion"/>
                <w:color w:val="auto"/>
              </w:rPr>
            </w:pPr>
            <w:r w:rsidRPr="00B7760C">
              <w:rPr>
                <w:sz w:val="20"/>
              </w:rPr>
              <w:t>Nizozemska</w:t>
            </w:r>
          </w:p>
        </w:tc>
        <w:tc>
          <w:tcPr>
            <w:tcW w:w="999" w:type="dxa"/>
            <w:tcBorders>
              <w:top w:val="single" w:sz="4" w:space="0" w:color="auto"/>
              <w:left w:val="single" w:sz="4" w:space="0" w:color="auto"/>
              <w:bottom w:val="single" w:sz="4" w:space="0" w:color="auto"/>
              <w:right w:val="single" w:sz="4" w:space="0" w:color="auto"/>
            </w:tcBorders>
            <w:vAlign w:val="center"/>
            <w:hideMark/>
          </w:tcPr>
          <w:p w14:paraId="6540107A" w14:textId="77777777" w:rsidR="003663AF" w:rsidRPr="00B7760C" w:rsidRDefault="003663AF" w:rsidP="00E804B7">
            <w:pPr>
              <w:pStyle w:val="Normal6"/>
              <w:jc w:val="right"/>
            </w:pPr>
            <w:r w:rsidRPr="00B7760C">
              <w:rPr>
                <w:b/>
                <w:bCs/>
                <w:i/>
                <w:iCs/>
                <w:sz w:val="20"/>
              </w:rPr>
              <w:t>14 077 407</w:t>
            </w:r>
          </w:p>
        </w:tc>
        <w:tc>
          <w:tcPr>
            <w:tcW w:w="900" w:type="dxa"/>
            <w:tcBorders>
              <w:top w:val="single" w:sz="4" w:space="0" w:color="auto"/>
              <w:left w:val="single" w:sz="4" w:space="0" w:color="auto"/>
              <w:bottom w:val="single" w:sz="4" w:space="0" w:color="auto"/>
              <w:right w:val="single" w:sz="4" w:space="0" w:color="auto"/>
            </w:tcBorders>
            <w:vAlign w:val="center"/>
            <w:hideMark/>
          </w:tcPr>
          <w:p w14:paraId="65C50291" w14:textId="77777777" w:rsidR="003663AF" w:rsidRPr="00B7760C" w:rsidRDefault="003663AF" w:rsidP="00E804B7">
            <w:pPr>
              <w:pStyle w:val="Normal6"/>
              <w:jc w:val="right"/>
              <w:rPr>
                <w:b/>
                <w:bCs/>
                <w:i/>
                <w:iCs/>
                <w:sz w:val="20"/>
              </w:rPr>
            </w:pPr>
            <w:r w:rsidRPr="00B7760C">
              <w:rPr>
                <w:b/>
                <w:bCs/>
                <w:i/>
                <w:iCs/>
                <w:sz w:val="20"/>
              </w:rPr>
              <w:t>14 077 407</w:t>
            </w:r>
          </w:p>
        </w:tc>
        <w:tc>
          <w:tcPr>
            <w:tcW w:w="1019" w:type="dxa"/>
            <w:tcBorders>
              <w:top w:val="single" w:sz="4" w:space="0" w:color="auto"/>
              <w:left w:val="single" w:sz="4" w:space="0" w:color="auto"/>
              <w:bottom w:val="single" w:sz="4" w:space="0" w:color="auto"/>
              <w:right w:val="single" w:sz="4" w:space="0" w:color="auto"/>
            </w:tcBorders>
            <w:vAlign w:val="center"/>
            <w:hideMark/>
          </w:tcPr>
          <w:p w14:paraId="5200643E" w14:textId="77777777" w:rsidR="003663AF" w:rsidRPr="00B7760C" w:rsidRDefault="003663AF" w:rsidP="00E804B7">
            <w:pPr>
              <w:pStyle w:val="Normal6"/>
              <w:jc w:val="right"/>
              <w:rPr>
                <w:b/>
                <w:bCs/>
                <w:i/>
                <w:iCs/>
                <w:sz w:val="20"/>
              </w:rPr>
            </w:pPr>
            <w:r w:rsidRPr="00B7760C">
              <w:rPr>
                <w:b/>
                <w:bCs/>
                <w:i/>
                <w:iCs/>
                <w:sz w:val="20"/>
              </w:rPr>
              <w:t>14 077 407</w:t>
            </w:r>
          </w:p>
        </w:tc>
        <w:tc>
          <w:tcPr>
            <w:tcW w:w="1019" w:type="dxa"/>
            <w:tcBorders>
              <w:top w:val="single" w:sz="4" w:space="0" w:color="auto"/>
              <w:left w:val="single" w:sz="4" w:space="0" w:color="auto"/>
              <w:bottom w:val="single" w:sz="4" w:space="0" w:color="auto"/>
              <w:right w:val="single" w:sz="4" w:space="0" w:color="auto"/>
            </w:tcBorders>
            <w:vAlign w:val="center"/>
            <w:hideMark/>
          </w:tcPr>
          <w:p w14:paraId="74128A1E" w14:textId="77777777" w:rsidR="003663AF" w:rsidRPr="00B7760C" w:rsidRDefault="003663AF" w:rsidP="00E804B7">
            <w:pPr>
              <w:pStyle w:val="Normal6"/>
              <w:jc w:val="right"/>
              <w:rPr>
                <w:b/>
                <w:bCs/>
                <w:i/>
                <w:iCs/>
                <w:sz w:val="20"/>
              </w:rPr>
            </w:pPr>
            <w:r w:rsidRPr="00B7760C">
              <w:rPr>
                <w:b/>
                <w:bCs/>
                <w:i/>
                <w:iCs/>
                <w:sz w:val="20"/>
              </w:rPr>
              <w:t>14 077 407</w:t>
            </w:r>
          </w:p>
        </w:tc>
        <w:tc>
          <w:tcPr>
            <w:tcW w:w="1019" w:type="dxa"/>
            <w:tcBorders>
              <w:top w:val="single" w:sz="4" w:space="0" w:color="auto"/>
              <w:left w:val="single" w:sz="4" w:space="0" w:color="auto"/>
              <w:bottom w:val="single" w:sz="4" w:space="0" w:color="auto"/>
              <w:right w:val="single" w:sz="4" w:space="0" w:color="auto"/>
            </w:tcBorders>
            <w:vAlign w:val="center"/>
            <w:hideMark/>
          </w:tcPr>
          <w:p w14:paraId="06499AD0" w14:textId="77777777" w:rsidR="003663AF" w:rsidRPr="00B7760C" w:rsidRDefault="003663AF" w:rsidP="00E804B7">
            <w:pPr>
              <w:pStyle w:val="Normal6"/>
              <w:jc w:val="right"/>
              <w:rPr>
                <w:b/>
                <w:bCs/>
                <w:i/>
                <w:iCs/>
                <w:sz w:val="20"/>
              </w:rPr>
            </w:pPr>
            <w:r w:rsidRPr="00B7760C">
              <w:rPr>
                <w:b/>
                <w:bCs/>
                <w:i/>
                <w:iCs/>
                <w:sz w:val="20"/>
              </w:rPr>
              <w:t>14 077 407</w:t>
            </w:r>
          </w:p>
        </w:tc>
        <w:tc>
          <w:tcPr>
            <w:tcW w:w="880" w:type="dxa"/>
            <w:tcBorders>
              <w:top w:val="single" w:sz="4" w:space="0" w:color="auto"/>
              <w:left w:val="single" w:sz="4" w:space="0" w:color="auto"/>
              <w:bottom w:val="single" w:sz="4" w:space="0" w:color="auto"/>
              <w:right w:val="single" w:sz="4" w:space="0" w:color="auto"/>
            </w:tcBorders>
            <w:vAlign w:val="center"/>
            <w:hideMark/>
          </w:tcPr>
          <w:p w14:paraId="50C4BF0E" w14:textId="77777777" w:rsidR="003663AF" w:rsidRPr="00B7760C" w:rsidRDefault="003663AF" w:rsidP="00E804B7">
            <w:pPr>
              <w:pStyle w:val="Normal6"/>
              <w:jc w:val="right"/>
              <w:rPr>
                <w:b/>
                <w:bCs/>
                <w:i/>
                <w:iCs/>
                <w:sz w:val="20"/>
              </w:rPr>
            </w:pPr>
            <w:r w:rsidRPr="00B7760C">
              <w:rPr>
                <w:b/>
                <w:bCs/>
                <w:i/>
                <w:iCs/>
                <w:sz w:val="20"/>
              </w:rPr>
              <w:t>14 077 407</w:t>
            </w:r>
          </w:p>
        </w:tc>
        <w:tc>
          <w:tcPr>
            <w:tcW w:w="1141" w:type="dxa"/>
            <w:tcBorders>
              <w:top w:val="single" w:sz="4" w:space="0" w:color="auto"/>
              <w:left w:val="single" w:sz="4" w:space="0" w:color="auto"/>
              <w:bottom w:val="single" w:sz="4" w:space="0" w:color="auto"/>
              <w:right w:val="single" w:sz="4" w:space="0" w:color="auto"/>
            </w:tcBorders>
            <w:vAlign w:val="center"/>
            <w:hideMark/>
          </w:tcPr>
          <w:p w14:paraId="26E25D58" w14:textId="77777777" w:rsidR="003663AF" w:rsidRPr="00B7760C" w:rsidRDefault="003663AF" w:rsidP="00E804B7">
            <w:pPr>
              <w:pStyle w:val="Normal6"/>
              <w:jc w:val="right"/>
              <w:rPr>
                <w:b/>
                <w:bCs/>
                <w:i/>
                <w:iCs/>
                <w:sz w:val="20"/>
              </w:rPr>
            </w:pPr>
            <w:r w:rsidRPr="00B7760C">
              <w:rPr>
                <w:b/>
                <w:bCs/>
                <w:i/>
                <w:iCs/>
                <w:sz w:val="20"/>
              </w:rPr>
              <w:t>14 077 407</w:t>
            </w:r>
          </w:p>
        </w:tc>
      </w:tr>
      <w:tr w:rsidR="003663AF" w:rsidRPr="00B7760C" w14:paraId="463CC305"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5907F021" w14:textId="77777777" w:rsidR="003663AF" w:rsidRPr="00B7760C" w:rsidRDefault="003663AF" w:rsidP="00E804B7">
            <w:pPr>
              <w:pStyle w:val="Normal6"/>
              <w:rPr>
                <w:rStyle w:val="DeltaViewInsertion"/>
                <w:color w:val="auto"/>
              </w:rPr>
            </w:pPr>
            <w:r w:rsidRPr="00B7760C">
              <w:rPr>
                <w:sz w:val="20"/>
              </w:rPr>
              <w:t>Avstrija</w:t>
            </w:r>
          </w:p>
        </w:tc>
        <w:tc>
          <w:tcPr>
            <w:tcW w:w="999" w:type="dxa"/>
            <w:tcBorders>
              <w:top w:val="single" w:sz="4" w:space="0" w:color="auto"/>
              <w:left w:val="single" w:sz="4" w:space="0" w:color="auto"/>
              <w:bottom w:val="single" w:sz="4" w:space="0" w:color="auto"/>
              <w:right w:val="single" w:sz="4" w:space="0" w:color="auto"/>
            </w:tcBorders>
            <w:vAlign w:val="center"/>
            <w:hideMark/>
          </w:tcPr>
          <w:p w14:paraId="2094154E" w14:textId="77777777" w:rsidR="003663AF" w:rsidRPr="00B7760C" w:rsidRDefault="003663AF" w:rsidP="00E804B7">
            <w:pPr>
              <w:pStyle w:val="Normal6"/>
              <w:jc w:val="right"/>
            </w:pPr>
            <w:r w:rsidRPr="00B7760C">
              <w:rPr>
                <w:b/>
                <w:bCs/>
                <w:i/>
                <w:iCs/>
                <w:sz w:val="20"/>
              </w:rPr>
              <w:t>13 296 391</w:t>
            </w:r>
          </w:p>
        </w:tc>
        <w:tc>
          <w:tcPr>
            <w:tcW w:w="900" w:type="dxa"/>
            <w:tcBorders>
              <w:top w:val="single" w:sz="4" w:space="0" w:color="auto"/>
              <w:left w:val="single" w:sz="4" w:space="0" w:color="auto"/>
              <w:bottom w:val="single" w:sz="4" w:space="0" w:color="auto"/>
              <w:right w:val="single" w:sz="4" w:space="0" w:color="auto"/>
            </w:tcBorders>
            <w:vAlign w:val="center"/>
            <w:hideMark/>
          </w:tcPr>
          <w:p w14:paraId="6C0219B7" w14:textId="77777777" w:rsidR="003663AF" w:rsidRPr="00B7760C" w:rsidRDefault="003663AF" w:rsidP="00E804B7">
            <w:pPr>
              <w:pStyle w:val="Normal6"/>
              <w:jc w:val="right"/>
              <w:rPr>
                <w:b/>
                <w:bCs/>
                <w:i/>
                <w:iCs/>
                <w:sz w:val="20"/>
              </w:rPr>
            </w:pPr>
            <w:r w:rsidRPr="00B7760C">
              <w:rPr>
                <w:b/>
                <w:bCs/>
                <w:i/>
                <w:iCs/>
                <w:sz w:val="20"/>
              </w:rPr>
              <w:t>13 296 391</w:t>
            </w:r>
          </w:p>
        </w:tc>
        <w:tc>
          <w:tcPr>
            <w:tcW w:w="1019" w:type="dxa"/>
            <w:tcBorders>
              <w:top w:val="single" w:sz="4" w:space="0" w:color="auto"/>
              <w:left w:val="single" w:sz="4" w:space="0" w:color="auto"/>
              <w:bottom w:val="single" w:sz="4" w:space="0" w:color="auto"/>
              <w:right w:val="single" w:sz="4" w:space="0" w:color="auto"/>
            </w:tcBorders>
            <w:vAlign w:val="center"/>
            <w:hideMark/>
          </w:tcPr>
          <w:p w14:paraId="27A16D27" w14:textId="77777777" w:rsidR="003663AF" w:rsidRPr="00B7760C" w:rsidRDefault="003663AF" w:rsidP="00E804B7">
            <w:pPr>
              <w:pStyle w:val="Normal6"/>
              <w:jc w:val="right"/>
              <w:rPr>
                <w:b/>
                <w:bCs/>
                <w:i/>
                <w:iCs/>
                <w:sz w:val="20"/>
              </w:rPr>
            </w:pPr>
            <w:r w:rsidRPr="00B7760C">
              <w:rPr>
                <w:b/>
                <w:bCs/>
                <w:i/>
                <w:iCs/>
                <w:sz w:val="20"/>
              </w:rPr>
              <w:t>13 296 391</w:t>
            </w:r>
          </w:p>
        </w:tc>
        <w:tc>
          <w:tcPr>
            <w:tcW w:w="1019" w:type="dxa"/>
            <w:tcBorders>
              <w:top w:val="single" w:sz="4" w:space="0" w:color="auto"/>
              <w:left w:val="single" w:sz="4" w:space="0" w:color="auto"/>
              <w:bottom w:val="single" w:sz="4" w:space="0" w:color="auto"/>
              <w:right w:val="single" w:sz="4" w:space="0" w:color="auto"/>
            </w:tcBorders>
            <w:vAlign w:val="center"/>
            <w:hideMark/>
          </w:tcPr>
          <w:p w14:paraId="76E54BC1" w14:textId="77777777" w:rsidR="003663AF" w:rsidRPr="00B7760C" w:rsidRDefault="003663AF" w:rsidP="00E804B7">
            <w:pPr>
              <w:pStyle w:val="Normal6"/>
              <w:jc w:val="right"/>
              <w:rPr>
                <w:b/>
                <w:bCs/>
                <w:i/>
                <w:iCs/>
                <w:sz w:val="20"/>
              </w:rPr>
            </w:pPr>
            <w:r w:rsidRPr="00B7760C">
              <w:rPr>
                <w:b/>
                <w:bCs/>
                <w:i/>
                <w:iCs/>
                <w:sz w:val="20"/>
              </w:rPr>
              <w:t>13 296 391</w:t>
            </w:r>
          </w:p>
        </w:tc>
        <w:tc>
          <w:tcPr>
            <w:tcW w:w="1019" w:type="dxa"/>
            <w:tcBorders>
              <w:top w:val="single" w:sz="4" w:space="0" w:color="auto"/>
              <w:left w:val="single" w:sz="4" w:space="0" w:color="auto"/>
              <w:bottom w:val="single" w:sz="4" w:space="0" w:color="auto"/>
              <w:right w:val="single" w:sz="4" w:space="0" w:color="auto"/>
            </w:tcBorders>
            <w:vAlign w:val="center"/>
            <w:hideMark/>
          </w:tcPr>
          <w:p w14:paraId="55981C1B" w14:textId="77777777" w:rsidR="003663AF" w:rsidRPr="00B7760C" w:rsidRDefault="003663AF" w:rsidP="00E804B7">
            <w:pPr>
              <w:pStyle w:val="Normal6"/>
              <w:jc w:val="right"/>
              <w:rPr>
                <w:b/>
                <w:bCs/>
                <w:i/>
                <w:iCs/>
                <w:sz w:val="20"/>
              </w:rPr>
            </w:pPr>
            <w:r w:rsidRPr="00B7760C">
              <w:rPr>
                <w:b/>
                <w:bCs/>
                <w:i/>
                <w:iCs/>
                <w:sz w:val="20"/>
              </w:rPr>
              <w:t>13 296 391</w:t>
            </w:r>
          </w:p>
        </w:tc>
        <w:tc>
          <w:tcPr>
            <w:tcW w:w="880" w:type="dxa"/>
            <w:tcBorders>
              <w:top w:val="single" w:sz="4" w:space="0" w:color="auto"/>
              <w:left w:val="single" w:sz="4" w:space="0" w:color="auto"/>
              <w:bottom w:val="single" w:sz="4" w:space="0" w:color="auto"/>
              <w:right w:val="single" w:sz="4" w:space="0" w:color="auto"/>
            </w:tcBorders>
            <w:vAlign w:val="center"/>
            <w:hideMark/>
          </w:tcPr>
          <w:p w14:paraId="477B0E5A" w14:textId="77777777" w:rsidR="003663AF" w:rsidRPr="00B7760C" w:rsidRDefault="003663AF" w:rsidP="00E804B7">
            <w:pPr>
              <w:pStyle w:val="Normal6"/>
              <w:jc w:val="right"/>
              <w:rPr>
                <w:b/>
                <w:bCs/>
                <w:i/>
                <w:iCs/>
                <w:sz w:val="20"/>
              </w:rPr>
            </w:pPr>
            <w:r w:rsidRPr="00B7760C">
              <w:rPr>
                <w:b/>
                <w:bCs/>
                <w:i/>
                <w:iCs/>
                <w:sz w:val="20"/>
              </w:rPr>
              <w:t>13 296 391</w:t>
            </w:r>
          </w:p>
        </w:tc>
        <w:tc>
          <w:tcPr>
            <w:tcW w:w="1141" w:type="dxa"/>
            <w:tcBorders>
              <w:top w:val="single" w:sz="4" w:space="0" w:color="auto"/>
              <w:left w:val="single" w:sz="4" w:space="0" w:color="auto"/>
              <w:bottom w:val="single" w:sz="4" w:space="0" w:color="auto"/>
              <w:right w:val="single" w:sz="4" w:space="0" w:color="auto"/>
            </w:tcBorders>
            <w:vAlign w:val="center"/>
            <w:hideMark/>
          </w:tcPr>
          <w:p w14:paraId="56E264AA" w14:textId="77777777" w:rsidR="003663AF" w:rsidRPr="00B7760C" w:rsidRDefault="003663AF" w:rsidP="00E804B7">
            <w:pPr>
              <w:pStyle w:val="Normal6"/>
              <w:jc w:val="right"/>
              <w:rPr>
                <w:b/>
                <w:bCs/>
                <w:i/>
                <w:iCs/>
                <w:sz w:val="20"/>
              </w:rPr>
            </w:pPr>
            <w:r w:rsidRPr="00B7760C">
              <w:rPr>
                <w:b/>
                <w:bCs/>
                <w:i/>
                <w:iCs/>
                <w:sz w:val="20"/>
              </w:rPr>
              <w:t>13 296 391</w:t>
            </w:r>
          </w:p>
        </w:tc>
      </w:tr>
      <w:tr w:rsidR="003663AF" w:rsidRPr="00B7760C" w14:paraId="50357EAD"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24127AEC" w14:textId="77777777" w:rsidR="003663AF" w:rsidRPr="00B7760C" w:rsidRDefault="003663AF" w:rsidP="00E804B7">
            <w:pPr>
              <w:pStyle w:val="Normal6"/>
              <w:rPr>
                <w:rStyle w:val="DeltaViewInsertion"/>
                <w:color w:val="auto"/>
              </w:rPr>
            </w:pPr>
            <w:r w:rsidRPr="00B7760C">
              <w:rPr>
                <w:sz w:val="20"/>
              </w:rPr>
              <w:t>Poljska</w:t>
            </w:r>
          </w:p>
        </w:tc>
        <w:tc>
          <w:tcPr>
            <w:tcW w:w="999" w:type="dxa"/>
            <w:tcBorders>
              <w:top w:val="single" w:sz="4" w:space="0" w:color="auto"/>
              <w:left w:val="single" w:sz="4" w:space="0" w:color="auto"/>
              <w:bottom w:val="single" w:sz="4" w:space="0" w:color="auto"/>
              <w:right w:val="single" w:sz="4" w:space="0" w:color="auto"/>
            </w:tcBorders>
            <w:vAlign w:val="center"/>
            <w:hideMark/>
          </w:tcPr>
          <w:p w14:paraId="74027CFC" w14:textId="77777777" w:rsidR="003663AF" w:rsidRPr="00B7760C" w:rsidRDefault="003663AF" w:rsidP="00E804B7">
            <w:pPr>
              <w:pStyle w:val="Normal6"/>
              <w:jc w:val="right"/>
            </w:pPr>
            <w:r w:rsidRPr="00B7760C">
              <w:rPr>
                <w:b/>
                <w:bCs/>
                <w:i/>
                <w:iCs/>
                <w:sz w:val="20"/>
              </w:rPr>
              <w:t>59 459 556</w:t>
            </w:r>
          </w:p>
        </w:tc>
        <w:tc>
          <w:tcPr>
            <w:tcW w:w="900" w:type="dxa"/>
            <w:tcBorders>
              <w:top w:val="single" w:sz="4" w:space="0" w:color="auto"/>
              <w:left w:val="single" w:sz="4" w:space="0" w:color="auto"/>
              <w:bottom w:val="single" w:sz="4" w:space="0" w:color="auto"/>
              <w:right w:val="single" w:sz="4" w:space="0" w:color="auto"/>
            </w:tcBorders>
            <w:vAlign w:val="center"/>
            <w:hideMark/>
          </w:tcPr>
          <w:p w14:paraId="1E81B3CE" w14:textId="77777777" w:rsidR="003663AF" w:rsidRPr="00B7760C" w:rsidRDefault="003663AF" w:rsidP="00E804B7">
            <w:pPr>
              <w:pStyle w:val="Normal6"/>
              <w:jc w:val="right"/>
              <w:rPr>
                <w:b/>
                <w:bCs/>
                <w:i/>
                <w:iCs/>
                <w:sz w:val="20"/>
              </w:rPr>
            </w:pPr>
            <w:r w:rsidRPr="00B7760C">
              <w:rPr>
                <w:b/>
                <w:bCs/>
                <w:i/>
                <w:iCs/>
                <w:sz w:val="20"/>
              </w:rPr>
              <w:t>60 071 486</w:t>
            </w:r>
          </w:p>
        </w:tc>
        <w:tc>
          <w:tcPr>
            <w:tcW w:w="1019" w:type="dxa"/>
            <w:tcBorders>
              <w:top w:val="single" w:sz="4" w:space="0" w:color="auto"/>
              <w:left w:val="single" w:sz="4" w:space="0" w:color="auto"/>
              <w:bottom w:val="single" w:sz="4" w:space="0" w:color="auto"/>
              <w:right w:val="single" w:sz="4" w:space="0" w:color="auto"/>
            </w:tcBorders>
            <w:vAlign w:val="center"/>
            <w:hideMark/>
          </w:tcPr>
          <w:p w14:paraId="70DB9ACF" w14:textId="77777777" w:rsidR="003663AF" w:rsidRPr="00B7760C" w:rsidRDefault="003663AF" w:rsidP="00E804B7">
            <w:pPr>
              <w:pStyle w:val="Normal6"/>
              <w:jc w:val="right"/>
              <w:rPr>
                <w:b/>
                <w:bCs/>
                <w:i/>
                <w:iCs/>
                <w:sz w:val="20"/>
              </w:rPr>
            </w:pPr>
            <w:r w:rsidRPr="00B7760C">
              <w:rPr>
                <w:b/>
                <w:bCs/>
                <w:i/>
                <w:iCs/>
                <w:sz w:val="20"/>
              </w:rPr>
              <w:t>60 683 415</w:t>
            </w:r>
          </w:p>
        </w:tc>
        <w:tc>
          <w:tcPr>
            <w:tcW w:w="1019" w:type="dxa"/>
            <w:tcBorders>
              <w:top w:val="single" w:sz="4" w:space="0" w:color="auto"/>
              <w:left w:val="single" w:sz="4" w:space="0" w:color="auto"/>
              <w:bottom w:val="single" w:sz="4" w:space="0" w:color="auto"/>
              <w:right w:val="single" w:sz="4" w:space="0" w:color="auto"/>
            </w:tcBorders>
            <w:vAlign w:val="center"/>
            <w:hideMark/>
          </w:tcPr>
          <w:p w14:paraId="33CEE126" w14:textId="77777777" w:rsidR="003663AF" w:rsidRPr="00B7760C" w:rsidRDefault="003663AF" w:rsidP="00E804B7">
            <w:pPr>
              <w:pStyle w:val="Normal6"/>
              <w:jc w:val="right"/>
              <w:rPr>
                <w:b/>
                <w:bCs/>
                <w:i/>
                <w:iCs/>
                <w:sz w:val="20"/>
              </w:rPr>
            </w:pPr>
            <w:r w:rsidRPr="00B7760C">
              <w:rPr>
                <w:b/>
                <w:bCs/>
                <w:i/>
                <w:iCs/>
                <w:sz w:val="20"/>
              </w:rPr>
              <w:t>61 295 345</w:t>
            </w:r>
          </w:p>
        </w:tc>
        <w:tc>
          <w:tcPr>
            <w:tcW w:w="1019" w:type="dxa"/>
            <w:tcBorders>
              <w:top w:val="single" w:sz="4" w:space="0" w:color="auto"/>
              <w:left w:val="single" w:sz="4" w:space="0" w:color="auto"/>
              <w:bottom w:val="single" w:sz="4" w:space="0" w:color="auto"/>
              <w:right w:val="single" w:sz="4" w:space="0" w:color="auto"/>
            </w:tcBorders>
            <w:vAlign w:val="center"/>
            <w:hideMark/>
          </w:tcPr>
          <w:p w14:paraId="22A042A7" w14:textId="77777777" w:rsidR="003663AF" w:rsidRPr="00B7760C" w:rsidRDefault="003663AF" w:rsidP="00E804B7">
            <w:pPr>
              <w:pStyle w:val="Normal6"/>
              <w:jc w:val="right"/>
              <w:rPr>
                <w:b/>
                <w:bCs/>
                <w:i/>
                <w:iCs/>
                <w:sz w:val="20"/>
              </w:rPr>
            </w:pPr>
            <w:r w:rsidRPr="00B7760C">
              <w:rPr>
                <w:b/>
                <w:bCs/>
                <w:i/>
                <w:iCs/>
                <w:sz w:val="20"/>
              </w:rPr>
              <w:t>61 907 274</w:t>
            </w:r>
          </w:p>
        </w:tc>
        <w:tc>
          <w:tcPr>
            <w:tcW w:w="880" w:type="dxa"/>
            <w:tcBorders>
              <w:top w:val="single" w:sz="4" w:space="0" w:color="auto"/>
              <w:left w:val="single" w:sz="4" w:space="0" w:color="auto"/>
              <w:bottom w:val="single" w:sz="4" w:space="0" w:color="auto"/>
              <w:right w:val="single" w:sz="4" w:space="0" w:color="auto"/>
            </w:tcBorders>
            <w:vAlign w:val="center"/>
            <w:hideMark/>
          </w:tcPr>
          <w:p w14:paraId="7929BDF5" w14:textId="77777777" w:rsidR="003663AF" w:rsidRPr="00B7760C" w:rsidRDefault="003663AF" w:rsidP="00E804B7">
            <w:pPr>
              <w:pStyle w:val="Normal6"/>
              <w:jc w:val="right"/>
              <w:rPr>
                <w:b/>
                <w:bCs/>
                <w:i/>
                <w:iCs/>
                <w:sz w:val="20"/>
              </w:rPr>
            </w:pPr>
            <w:r w:rsidRPr="00B7760C">
              <w:rPr>
                <w:b/>
                <w:bCs/>
                <w:i/>
                <w:iCs/>
                <w:sz w:val="20"/>
              </w:rPr>
              <w:t>62 519 203</w:t>
            </w:r>
          </w:p>
        </w:tc>
        <w:tc>
          <w:tcPr>
            <w:tcW w:w="1141" w:type="dxa"/>
            <w:tcBorders>
              <w:top w:val="single" w:sz="4" w:space="0" w:color="auto"/>
              <w:left w:val="single" w:sz="4" w:space="0" w:color="auto"/>
              <w:bottom w:val="single" w:sz="4" w:space="0" w:color="auto"/>
              <w:right w:val="single" w:sz="4" w:space="0" w:color="auto"/>
            </w:tcBorders>
            <w:vAlign w:val="center"/>
            <w:hideMark/>
          </w:tcPr>
          <w:p w14:paraId="5169502C" w14:textId="77777777" w:rsidR="003663AF" w:rsidRPr="00B7760C" w:rsidRDefault="003663AF" w:rsidP="00E804B7">
            <w:pPr>
              <w:pStyle w:val="Normal6"/>
              <w:jc w:val="right"/>
              <w:rPr>
                <w:b/>
                <w:bCs/>
                <w:i/>
                <w:iCs/>
                <w:sz w:val="20"/>
              </w:rPr>
            </w:pPr>
            <w:r w:rsidRPr="00B7760C">
              <w:rPr>
                <w:b/>
                <w:bCs/>
                <w:i/>
                <w:iCs/>
                <w:sz w:val="20"/>
              </w:rPr>
              <w:t>62 519 203</w:t>
            </w:r>
          </w:p>
        </w:tc>
      </w:tr>
      <w:tr w:rsidR="003663AF" w:rsidRPr="00B7760C" w14:paraId="289574BD"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2F4992C2" w14:textId="77777777" w:rsidR="003663AF" w:rsidRPr="00B7760C" w:rsidRDefault="003663AF" w:rsidP="00E804B7">
            <w:pPr>
              <w:pStyle w:val="Normal6"/>
              <w:rPr>
                <w:rStyle w:val="DeltaViewInsertion"/>
                <w:color w:val="auto"/>
              </w:rPr>
            </w:pPr>
            <w:r w:rsidRPr="00B7760C">
              <w:rPr>
                <w:sz w:val="20"/>
              </w:rPr>
              <w:t>Portugalska</w:t>
            </w:r>
          </w:p>
        </w:tc>
        <w:tc>
          <w:tcPr>
            <w:tcW w:w="999" w:type="dxa"/>
            <w:tcBorders>
              <w:top w:val="single" w:sz="4" w:space="0" w:color="auto"/>
              <w:left w:val="single" w:sz="4" w:space="0" w:color="auto"/>
              <w:bottom w:val="single" w:sz="4" w:space="0" w:color="auto"/>
              <w:right w:val="single" w:sz="4" w:space="0" w:color="auto"/>
            </w:tcBorders>
            <w:vAlign w:val="center"/>
            <w:hideMark/>
          </w:tcPr>
          <w:p w14:paraId="348FE323" w14:textId="77777777" w:rsidR="003663AF" w:rsidRPr="00B7760C" w:rsidRDefault="003663AF" w:rsidP="00E804B7">
            <w:pPr>
              <w:pStyle w:val="Normal6"/>
              <w:jc w:val="right"/>
            </w:pPr>
            <w:r w:rsidRPr="00B7760C">
              <w:rPr>
                <w:b/>
                <w:bCs/>
                <w:i/>
                <w:iCs/>
                <w:sz w:val="20"/>
              </w:rPr>
              <w:t>11 693 003</w:t>
            </w:r>
          </w:p>
        </w:tc>
        <w:tc>
          <w:tcPr>
            <w:tcW w:w="900" w:type="dxa"/>
            <w:tcBorders>
              <w:top w:val="single" w:sz="4" w:space="0" w:color="auto"/>
              <w:left w:val="single" w:sz="4" w:space="0" w:color="auto"/>
              <w:bottom w:val="single" w:sz="4" w:space="0" w:color="auto"/>
              <w:right w:val="single" w:sz="4" w:space="0" w:color="auto"/>
            </w:tcBorders>
            <w:vAlign w:val="center"/>
            <w:hideMark/>
          </w:tcPr>
          <w:p w14:paraId="0F097435" w14:textId="77777777" w:rsidR="003663AF" w:rsidRPr="00B7760C" w:rsidRDefault="003663AF" w:rsidP="00E804B7">
            <w:pPr>
              <w:pStyle w:val="Normal6"/>
              <w:jc w:val="right"/>
              <w:rPr>
                <w:b/>
                <w:bCs/>
                <w:i/>
                <w:iCs/>
                <w:sz w:val="20"/>
              </w:rPr>
            </w:pPr>
            <w:r w:rsidRPr="00B7760C">
              <w:rPr>
                <w:b/>
                <w:bCs/>
                <w:i/>
                <w:iCs/>
                <w:sz w:val="20"/>
              </w:rPr>
              <w:t>11 865 375</w:t>
            </w:r>
          </w:p>
        </w:tc>
        <w:tc>
          <w:tcPr>
            <w:tcW w:w="1019" w:type="dxa"/>
            <w:tcBorders>
              <w:top w:val="single" w:sz="4" w:space="0" w:color="auto"/>
              <w:left w:val="single" w:sz="4" w:space="0" w:color="auto"/>
              <w:bottom w:val="single" w:sz="4" w:space="0" w:color="auto"/>
              <w:right w:val="single" w:sz="4" w:space="0" w:color="auto"/>
            </w:tcBorders>
            <w:vAlign w:val="center"/>
            <w:hideMark/>
          </w:tcPr>
          <w:p w14:paraId="78BBDB75" w14:textId="77777777" w:rsidR="003663AF" w:rsidRPr="00B7760C" w:rsidRDefault="003663AF" w:rsidP="00E804B7">
            <w:pPr>
              <w:pStyle w:val="Normal6"/>
              <w:jc w:val="right"/>
              <w:rPr>
                <w:b/>
                <w:bCs/>
                <w:i/>
                <w:iCs/>
                <w:sz w:val="20"/>
              </w:rPr>
            </w:pPr>
            <w:r w:rsidRPr="00B7760C">
              <w:rPr>
                <w:b/>
                <w:bCs/>
                <w:i/>
                <w:iCs/>
                <w:sz w:val="20"/>
              </w:rPr>
              <w:t>12 037 746</w:t>
            </w:r>
          </w:p>
        </w:tc>
        <w:tc>
          <w:tcPr>
            <w:tcW w:w="1019" w:type="dxa"/>
            <w:tcBorders>
              <w:top w:val="single" w:sz="4" w:space="0" w:color="auto"/>
              <w:left w:val="single" w:sz="4" w:space="0" w:color="auto"/>
              <w:bottom w:val="single" w:sz="4" w:space="0" w:color="auto"/>
              <w:right w:val="single" w:sz="4" w:space="0" w:color="auto"/>
            </w:tcBorders>
            <w:vAlign w:val="center"/>
            <w:hideMark/>
          </w:tcPr>
          <w:p w14:paraId="59DF1F46" w14:textId="77777777" w:rsidR="003663AF" w:rsidRPr="00B7760C" w:rsidRDefault="003663AF" w:rsidP="00E804B7">
            <w:pPr>
              <w:pStyle w:val="Normal6"/>
              <w:jc w:val="right"/>
              <w:rPr>
                <w:b/>
                <w:bCs/>
                <w:i/>
                <w:iCs/>
                <w:sz w:val="20"/>
              </w:rPr>
            </w:pPr>
            <w:r w:rsidRPr="00B7760C">
              <w:rPr>
                <w:b/>
                <w:bCs/>
                <w:i/>
                <w:iCs/>
                <w:sz w:val="20"/>
              </w:rPr>
              <w:t>12 210 118</w:t>
            </w:r>
          </w:p>
        </w:tc>
        <w:tc>
          <w:tcPr>
            <w:tcW w:w="1019" w:type="dxa"/>
            <w:tcBorders>
              <w:top w:val="single" w:sz="4" w:space="0" w:color="auto"/>
              <w:left w:val="single" w:sz="4" w:space="0" w:color="auto"/>
              <w:bottom w:val="single" w:sz="4" w:space="0" w:color="auto"/>
              <w:right w:val="single" w:sz="4" w:space="0" w:color="auto"/>
            </w:tcBorders>
            <w:vAlign w:val="center"/>
            <w:hideMark/>
          </w:tcPr>
          <w:p w14:paraId="5FBF9F5D" w14:textId="77777777" w:rsidR="003663AF" w:rsidRPr="00B7760C" w:rsidRDefault="003663AF" w:rsidP="00E804B7">
            <w:pPr>
              <w:pStyle w:val="Normal6"/>
              <w:jc w:val="right"/>
              <w:rPr>
                <w:b/>
                <w:bCs/>
                <w:i/>
                <w:iCs/>
                <w:sz w:val="20"/>
              </w:rPr>
            </w:pPr>
            <w:r w:rsidRPr="00B7760C">
              <w:rPr>
                <w:b/>
                <w:bCs/>
                <w:i/>
                <w:iCs/>
                <w:sz w:val="20"/>
              </w:rPr>
              <w:t>12 382 490</w:t>
            </w:r>
          </w:p>
        </w:tc>
        <w:tc>
          <w:tcPr>
            <w:tcW w:w="880" w:type="dxa"/>
            <w:tcBorders>
              <w:top w:val="single" w:sz="4" w:space="0" w:color="auto"/>
              <w:left w:val="single" w:sz="4" w:space="0" w:color="auto"/>
              <w:bottom w:val="single" w:sz="4" w:space="0" w:color="auto"/>
              <w:right w:val="single" w:sz="4" w:space="0" w:color="auto"/>
            </w:tcBorders>
            <w:vAlign w:val="center"/>
            <w:hideMark/>
          </w:tcPr>
          <w:p w14:paraId="555191F1" w14:textId="77777777" w:rsidR="003663AF" w:rsidRPr="00B7760C" w:rsidRDefault="003663AF" w:rsidP="00E804B7">
            <w:pPr>
              <w:pStyle w:val="Normal6"/>
              <w:jc w:val="right"/>
              <w:rPr>
                <w:b/>
                <w:bCs/>
                <w:i/>
                <w:iCs/>
                <w:sz w:val="20"/>
              </w:rPr>
            </w:pPr>
            <w:r w:rsidRPr="00B7760C">
              <w:rPr>
                <w:b/>
                <w:bCs/>
                <w:i/>
                <w:iCs/>
                <w:sz w:val="20"/>
              </w:rPr>
              <w:t>12 554 862</w:t>
            </w:r>
          </w:p>
        </w:tc>
        <w:tc>
          <w:tcPr>
            <w:tcW w:w="1141" w:type="dxa"/>
            <w:tcBorders>
              <w:top w:val="single" w:sz="4" w:space="0" w:color="auto"/>
              <w:left w:val="single" w:sz="4" w:space="0" w:color="auto"/>
              <w:bottom w:val="single" w:sz="4" w:space="0" w:color="auto"/>
              <w:right w:val="single" w:sz="4" w:space="0" w:color="auto"/>
            </w:tcBorders>
            <w:vAlign w:val="center"/>
            <w:hideMark/>
          </w:tcPr>
          <w:p w14:paraId="3558BE9E" w14:textId="77777777" w:rsidR="003663AF" w:rsidRPr="00B7760C" w:rsidRDefault="003663AF" w:rsidP="00E804B7">
            <w:pPr>
              <w:pStyle w:val="Normal6"/>
              <w:jc w:val="right"/>
              <w:rPr>
                <w:b/>
                <w:bCs/>
                <w:i/>
                <w:iCs/>
                <w:sz w:val="20"/>
              </w:rPr>
            </w:pPr>
            <w:r w:rsidRPr="00B7760C">
              <w:rPr>
                <w:b/>
                <w:bCs/>
                <w:i/>
                <w:iCs/>
                <w:sz w:val="20"/>
              </w:rPr>
              <w:t>12 554 862</w:t>
            </w:r>
          </w:p>
        </w:tc>
      </w:tr>
      <w:tr w:rsidR="003663AF" w:rsidRPr="00B7760C" w14:paraId="14E9A435"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08AC3920" w14:textId="77777777" w:rsidR="003663AF" w:rsidRPr="00B7760C" w:rsidRDefault="003663AF" w:rsidP="00E804B7">
            <w:pPr>
              <w:pStyle w:val="Normal6"/>
              <w:rPr>
                <w:rStyle w:val="DeltaViewInsertion"/>
                <w:color w:val="auto"/>
              </w:rPr>
            </w:pPr>
            <w:r w:rsidRPr="00B7760C">
              <w:rPr>
                <w:sz w:val="20"/>
              </w:rPr>
              <w:t>Romunija</w:t>
            </w:r>
          </w:p>
        </w:tc>
        <w:tc>
          <w:tcPr>
            <w:tcW w:w="999" w:type="dxa"/>
            <w:tcBorders>
              <w:top w:val="single" w:sz="4" w:space="0" w:color="auto"/>
              <w:left w:val="single" w:sz="4" w:space="0" w:color="auto"/>
              <w:bottom w:val="single" w:sz="4" w:space="0" w:color="auto"/>
              <w:right w:val="single" w:sz="4" w:space="0" w:color="auto"/>
            </w:tcBorders>
            <w:vAlign w:val="center"/>
            <w:hideMark/>
          </w:tcPr>
          <w:p w14:paraId="52183885" w14:textId="77777777" w:rsidR="003663AF" w:rsidRPr="00B7760C" w:rsidRDefault="003663AF" w:rsidP="00E804B7">
            <w:pPr>
              <w:pStyle w:val="Normal6"/>
              <w:jc w:val="right"/>
            </w:pPr>
            <w:r w:rsidRPr="00B7760C">
              <w:rPr>
                <w:b/>
                <w:bCs/>
                <w:i/>
                <w:iCs/>
                <w:sz w:val="20"/>
              </w:rPr>
              <w:t>37 123 452</w:t>
            </w:r>
          </w:p>
        </w:tc>
        <w:tc>
          <w:tcPr>
            <w:tcW w:w="900" w:type="dxa"/>
            <w:tcBorders>
              <w:top w:val="single" w:sz="4" w:space="0" w:color="auto"/>
              <w:left w:val="single" w:sz="4" w:space="0" w:color="auto"/>
              <w:bottom w:val="single" w:sz="4" w:space="0" w:color="auto"/>
              <w:right w:val="single" w:sz="4" w:space="0" w:color="auto"/>
            </w:tcBorders>
            <w:vAlign w:val="center"/>
            <w:hideMark/>
          </w:tcPr>
          <w:p w14:paraId="063D337E" w14:textId="77777777" w:rsidR="003663AF" w:rsidRPr="00B7760C" w:rsidRDefault="003663AF" w:rsidP="00E804B7">
            <w:pPr>
              <w:pStyle w:val="Normal6"/>
              <w:jc w:val="right"/>
              <w:rPr>
                <w:b/>
                <w:bCs/>
                <w:i/>
                <w:iCs/>
                <w:sz w:val="20"/>
              </w:rPr>
            </w:pPr>
            <w:r w:rsidRPr="00B7760C">
              <w:rPr>
                <w:b/>
                <w:bCs/>
                <w:i/>
                <w:iCs/>
                <w:sz w:val="20"/>
              </w:rPr>
              <w:t>37 664 232</w:t>
            </w:r>
          </w:p>
        </w:tc>
        <w:tc>
          <w:tcPr>
            <w:tcW w:w="1019" w:type="dxa"/>
            <w:tcBorders>
              <w:top w:val="single" w:sz="4" w:space="0" w:color="auto"/>
              <w:left w:val="single" w:sz="4" w:space="0" w:color="auto"/>
              <w:bottom w:val="single" w:sz="4" w:space="0" w:color="auto"/>
              <w:right w:val="single" w:sz="4" w:space="0" w:color="auto"/>
            </w:tcBorders>
            <w:vAlign w:val="center"/>
            <w:hideMark/>
          </w:tcPr>
          <w:p w14:paraId="74ED0ED6" w14:textId="77777777" w:rsidR="003663AF" w:rsidRPr="00B7760C" w:rsidRDefault="003663AF" w:rsidP="00E804B7">
            <w:pPr>
              <w:pStyle w:val="Normal6"/>
              <w:jc w:val="right"/>
              <w:rPr>
                <w:b/>
                <w:bCs/>
                <w:i/>
                <w:iCs/>
                <w:sz w:val="20"/>
              </w:rPr>
            </w:pPr>
            <w:r w:rsidRPr="00B7760C">
              <w:rPr>
                <w:b/>
                <w:bCs/>
                <w:i/>
                <w:iCs/>
                <w:sz w:val="20"/>
              </w:rPr>
              <w:t>38 205 012</w:t>
            </w:r>
          </w:p>
        </w:tc>
        <w:tc>
          <w:tcPr>
            <w:tcW w:w="1019" w:type="dxa"/>
            <w:tcBorders>
              <w:top w:val="single" w:sz="4" w:space="0" w:color="auto"/>
              <w:left w:val="single" w:sz="4" w:space="0" w:color="auto"/>
              <w:bottom w:val="single" w:sz="4" w:space="0" w:color="auto"/>
              <w:right w:val="single" w:sz="4" w:space="0" w:color="auto"/>
            </w:tcBorders>
            <w:vAlign w:val="center"/>
            <w:hideMark/>
          </w:tcPr>
          <w:p w14:paraId="455F0C12" w14:textId="77777777" w:rsidR="003663AF" w:rsidRPr="00B7760C" w:rsidRDefault="003663AF" w:rsidP="00E804B7">
            <w:pPr>
              <w:pStyle w:val="Normal6"/>
              <w:jc w:val="right"/>
              <w:rPr>
                <w:b/>
                <w:bCs/>
                <w:i/>
                <w:iCs/>
                <w:sz w:val="20"/>
              </w:rPr>
            </w:pPr>
            <w:r w:rsidRPr="00B7760C">
              <w:rPr>
                <w:b/>
                <w:bCs/>
                <w:i/>
                <w:iCs/>
                <w:sz w:val="20"/>
              </w:rPr>
              <w:t>38 745 792</w:t>
            </w:r>
          </w:p>
        </w:tc>
        <w:tc>
          <w:tcPr>
            <w:tcW w:w="1019" w:type="dxa"/>
            <w:tcBorders>
              <w:top w:val="single" w:sz="4" w:space="0" w:color="auto"/>
              <w:left w:val="single" w:sz="4" w:space="0" w:color="auto"/>
              <w:bottom w:val="single" w:sz="4" w:space="0" w:color="auto"/>
              <w:right w:val="single" w:sz="4" w:space="0" w:color="auto"/>
            </w:tcBorders>
            <w:vAlign w:val="center"/>
            <w:hideMark/>
          </w:tcPr>
          <w:p w14:paraId="6A5EF0C5" w14:textId="77777777" w:rsidR="003663AF" w:rsidRPr="00B7760C" w:rsidRDefault="003663AF" w:rsidP="00E804B7">
            <w:pPr>
              <w:pStyle w:val="Normal6"/>
              <w:jc w:val="right"/>
              <w:rPr>
                <w:b/>
                <w:bCs/>
                <w:i/>
                <w:iCs/>
                <w:sz w:val="20"/>
              </w:rPr>
            </w:pPr>
            <w:r w:rsidRPr="00B7760C">
              <w:rPr>
                <w:b/>
                <w:bCs/>
                <w:i/>
                <w:iCs/>
                <w:sz w:val="20"/>
              </w:rPr>
              <w:t>39 286 572</w:t>
            </w:r>
          </w:p>
        </w:tc>
        <w:tc>
          <w:tcPr>
            <w:tcW w:w="880" w:type="dxa"/>
            <w:tcBorders>
              <w:top w:val="single" w:sz="4" w:space="0" w:color="auto"/>
              <w:left w:val="single" w:sz="4" w:space="0" w:color="auto"/>
              <w:bottom w:val="single" w:sz="4" w:space="0" w:color="auto"/>
              <w:right w:val="single" w:sz="4" w:space="0" w:color="auto"/>
            </w:tcBorders>
            <w:vAlign w:val="center"/>
            <w:hideMark/>
          </w:tcPr>
          <w:p w14:paraId="5747946D" w14:textId="77777777" w:rsidR="003663AF" w:rsidRPr="00B7760C" w:rsidRDefault="003663AF" w:rsidP="00E804B7">
            <w:pPr>
              <w:pStyle w:val="Normal6"/>
              <w:jc w:val="right"/>
              <w:rPr>
                <w:b/>
                <w:bCs/>
                <w:i/>
                <w:iCs/>
                <w:sz w:val="20"/>
              </w:rPr>
            </w:pPr>
            <w:r w:rsidRPr="00B7760C">
              <w:rPr>
                <w:b/>
                <w:bCs/>
                <w:i/>
                <w:iCs/>
                <w:sz w:val="20"/>
              </w:rPr>
              <w:t>39 827 352</w:t>
            </w:r>
          </w:p>
        </w:tc>
        <w:tc>
          <w:tcPr>
            <w:tcW w:w="1141" w:type="dxa"/>
            <w:tcBorders>
              <w:top w:val="single" w:sz="4" w:space="0" w:color="auto"/>
              <w:left w:val="single" w:sz="4" w:space="0" w:color="auto"/>
              <w:bottom w:val="single" w:sz="4" w:space="0" w:color="auto"/>
              <w:right w:val="single" w:sz="4" w:space="0" w:color="auto"/>
            </w:tcBorders>
            <w:vAlign w:val="center"/>
            <w:hideMark/>
          </w:tcPr>
          <w:p w14:paraId="7015F1C9" w14:textId="77777777" w:rsidR="003663AF" w:rsidRPr="00B7760C" w:rsidRDefault="003663AF" w:rsidP="00E804B7">
            <w:pPr>
              <w:pStyle w:val="Normal6"/>
              <w:jc w:val="right"/>
              <w:rPr>
                <w:b/>
                <w:bCs/>
                <w:i/>
                <w:iCs/>
                <w:sz w:val="20"/>
              </w:rPr>
            </w:pPr>
            <w:r w:rsidRPr="00B7760C">
              <w:rPr>
                <w:b/>
                <w:bCs/>
                <w:i/>
                <w:iCs/>
                <w:sz w:val="20"/>
              </w:rPr>
              <w:t>39 827 352</w:t>
            </w:r>
          </w:p>
        </w:tc>
      </w:tr>
      <w:tr w:rsidR="003663AF" w:rsidRPr="00B7760C" w14:paraId="6B1A1DD7"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624D4637" w14:textId="77777777" w:rsidR="003663AF" w:rsidRPr="00B7760C" w:rsidRDefault="003663AF" w:rsidP="00E804B7">
            <w:pPr>
              <w:pStyle w:val="Normal6"/>
              <w:rPr>
                <w:rStyle w:val="DeltaViewInsertion"/>
                <w:color w:val="auto"/>
              </w:rPr>
            </w:pPr>
            <w:r w:rsidRPr="00B7760C">
              <w:rPr>
                <w:sz w:val="20"/>
              </w:rPr>
              <w:t>Slovenija</w:t>
            </w:r>
          </w:p>
        </w:tc>
        <w:tc>
          <w:tcPr>
            <w:tcW w:w="999" w:type="dxa"/>
            <w:tcBorders>
              <w:top w:val="single" w:sz="4" w:space="0" w:color="auto"/>
              <w:left w:val="single" w:sz="4" w:space="0" w:color="auto"/>
              <w:bottom w:val="single" w:sz="4" w:space="0" w:color="auto"/>
              <w:right w:val="single" w:sz="4" w:space="0" w:color="auto"/>
            </w:tcBorders>
            <w:vAlign w:val="center"/>
            <w:hideMark/>
          </w:tcPr>
          <w:p w14:paraId="498B9854" w14:textId="77777777" w:rsidR="003663AF" w:rsidRPr="00B7760C" w:rsidRDefault="003663AF" w:rsidP="00E804B7">
            <w:pPr>
              <w:pStyle w:val="Normal6"/>
              <w:jc w:val="right"/>
            </w:pPr>
            <w:r w:rsidRPr="00B7760C">
              <w:rPr>
                <w:b/>
                <w:bCs/>
                <w:i/>
                <w:iCs/>
                <w:sz w:val="20"/>
              </w:rPr>
              <w:t>2 581 053</w:t>
            </w:r>
          </w:p>
        </w:tc>
        <w:tc>
          <w:tcPr>
            <w:tcW w:w="900" w:type="dxa"/>
            <w:tcBorders>
              <w:top w:val="single" w:sz="4" w:space="0" w:color="auto"/>
              <w:left w:val="single" w:sz="4" w:space="0" w:color="auto"/>
              <w:bottom w:val="single" w:sz="4" w:space="0" w:color="auto"/>
              <w:right w:val="single" w:sz="4" w:space="0" w:color="auto"/>
            </w:tcBorders>
            <w:vAlign w:val="center"/>
            <w:hideMark/>
          </w:tcPr>
          <w:p w14:paraId="0B5F9B05" w14:textId="77777777" w:rsidR="003663AF" w:rsidRPr="00B7760C" w:rsidRDefault="003663AF" w:rsidP="00E804B7">
            <w:pPr>
              <w:pStyle w:val="Normal6"/>
              <w:jc w:val="right"/>
              <w:rPr>
                <w:b/>
                <w:bCs/>
                <w:i/>
                <w:iCs/>
                <w:sz w:val="20"/>
              </w:rPr>
            </w:pPr>
            <w:r w:rsidRPr="00B7760C">
              <w:rPr>
                <w:b/>
                <w:bCs/>
                <w:i/>
                <w:iCs/>
                <w:sz w:val="20"/>
              </w:rPr>
              <w:t>2 581 053</w:t>
            </w:r>
          </w:p>
        </w:tc>
        <w:tc>
          <w:tcPr>
            <w:tcW w:w="1019" w:type="dxa"/>
            <w:tcBorders>
              <w:top w:val="single" w:sz="4" w:space="0" w:color="auto"/>
              <w:left w:val="single" w:sz="4" w:space="0" w:color="auto"/>
              <w:bottom w:val="single" w:sz="4" w:space="0" w:color="auto"/>
              <w:right w:val="single" w:sz="4" w:space="0" w:color="auto"/>
            </w:tcBorders>
            <w:vAlign w:val="center"/>
            <w:hideMark/>
          </w:tcPr>
          <w:p w14:paraId="6DCAD3BF" w14:textId="77777777" w:rsidR="003663AF" w:rsidRPr="00B7760C" w:rsidRDefault="003663AF" w:rsidP="00E804B7">
            <w:pPr>
              <w:pStyle w:val="Normal6"/>
              <w:jc w:val="right"/>
              <w:rPr>
                <w:b/>
                <w:bCs/>
                <w:i/>
                <w:iCs/>
                <w:sz w:val="20"/>
              </w:rPr>
            </w:pPr>
            <w:r w:rsidRPr="00B7760C">
              <w:rPr>
                <w:b/>
                <w:bCs/>
                <w:i/>
                <w:iCs/>
                <w:sz w:val="20"/>
              </w:rPr>
              <w:t>2 581 053</w:t>
            </w:r>
          </w:p>
        </w:tc>
        <w:tc>
          <w:tcPr>
            <w:tcW w:w="1019" w:type="dxa"/>
            <w:tcBorders>
              <w:top w:val="single" w:sz="4" w:space="0" w:color="auto"/>
              <w:left w:val="single" w:sz="4" w:space="0" w:color="auto"/>
              <w:bottom w:val="single" w:sz="4" w:space="0" w:color="auto"/>
              <w:right w:val="single" w:sz="4" w:space="0" w:color="auto"/>
            </w:tcBorders>
            <w:vAlign w:val="center"/>
            <w:hideMark/>
          </w:tcPr>
          <w:p w14:paraId="192A4ACA" w14:textId="77777777" w:rsidR="003663AF" w:rsidRPr="00B7760C" w:rsidRDefault="003663AF" w:rsidP="00E804B7">
            <w:pPr>
              <w:pStyle w:val="Normal6"/>
              <w:jc w:val="right"/>
              <w:rPr>
                <w:b/>
                <w:bCs/>
                <w:i/>
                <w:iCs/>
                <w:sz w:val="20"/>
              </w:rPr>
            </w:pPr>
            <w:r w:rsidRPr="00B7760C">
              <w:rPr>
                <w:b/>
                <w:bCs/>
                <w:i/>
                <w:iCs/>
                <w:sz w:val="20"/>
              </w:rPr>
              <w:t>2 581 053</w:t>
            </w:r>
          </w:p>
        </w:tc>
        <w:tc>
          <w:tcPr>
            <w:tcW w:w="1019" w:type="dxa"/>
            <w:tcBorders>
              <w:top w:val="single" w:sz="4" w:space="0" w:color="auto"/>
              <w:left w:val="single" w:sz="4" w:space="0" w:color="auto"/>
              <w:bottom w:val="single" w:sz="4" w:space="0" w:color="auto"/>
              <w:right w:val="single" w:sz="4" w:space="0" w:color="auto"/>
            </w:tcBorders>
            <w:vAlign w:val="center"/>
            <w:hideMark/>
          </w:tcPr>
          <w:p w14:paraId="0683D95D" w14:textId="77777777" w:rsidR="003663AF" w:rsidRPr="00B7760C" w:rsidRDefault="003663AF" w:rsidP="00E804B7">
            <w:pPr>
              <w:pStyle w:val="Normal6"/>
              <w:jc w:val="right"/>
              <w:rPr>
                <w:b/>
                <w:bCs/>
                <w:i/>
                <w:iCs/>
                <w:sz w:val="20"/>
              </w:rPr>
            </w:pPr>
            <w:r w:rsidRPr="00B7760C">
              <w:rPr>
                <w:b/>
                <w:bCs/>
                <w:i/>
                <w:iCs/>
                <w:sz w:val="20"/>
              </w:rPr>
              <w:t>2 581 053</w:t>
            </w:r>
          </w:p>
        </w:tc>
        <w:tc>
          <w:tcPr>
            <w:tcW w:w="880" w:type="dxa"/>
            <w:tcBorders>
              <w:top w:val="single" w:sz="4" w:space="0" w:color="auto"/>
              <w:left w:val="single" w:sz="4" w:space="0" w:color="auto"/>
              <w:bottom w:val="single" w:sz="4" w:space="0" w:color="auto"/>
              <w:right w:val="single" w:sz="4" w:space="0" w:color="auto"/>
            </w:tcBorders>
            <w:vAlign w:val="center"/>
            <w:hideMark/>
          </w:tcPr>
          <w:p w14:paraId="0B367E2F" w14:textId="77777777" w:rsidR="003663AF" w:rsidRPr="00B7760C" w:rsidRDefault="003663AF" w:rsidP="00E804B7">
            <w:pPr>
              <w:pStyle w:val="Normal6"/>
              <w:jc w:val="right"/>
              <w:rPr>
                <w:b/>
                <w:bCs/>
                <w:i/>
                <w:iCs/>
                <w:sz w:val="20"/>
              </w:rPr>
            </w:pPr>
            <w:r w:rsidRPr="00B7760C">
              <w:rPr>
                <w:b/>
                <w:bCs/>
                <w:i/>
                <w:iCs/>
                <w:sz w:val="20"/>
              </w:rPr>
              <w:t>2 581 053</w:t>
            </w:r>
          </w:p>
        </w:tc>
        <w:tc>
          <w:tcPr>
            <w:tcW w:w="1141" w:type="dxa"/>
            <w:tcBorders>
              <w:top w:val="single" w:sz="4" w:space="0" w:color="auto"/>
              <w:left w:val="single" w:sz="4" w:space="0" w:color="auto"/>
              <w:bottom w:val="single" w:sz="4" w:space="0" w:color="auto"/>
              <w:right w:val="single" w:sz="4" w:space="0" w:color="auto"/>
            </w:tcBorders>
            <w:vAlign w:val="center"/>
            <w:hideMark/>
          </w:tcPr>
          <w:p w14:paraId="449389CC" w14:textId="77777777" w:rsidR="003663AF" w:rsidRPr="00B7760C" w:rsidRDefault="003663AF" w:rsidP="00E804B7">
            <w:pPr>
              <w:pStyle w:val="Normal6"/>
              <w:jc w:val="right"/>
              <w:rPr>
                <w:b/>
                <w:bCs/>
                <w:i/>
                <w:iCs/>
                <w:sz w:val="20"/>
              </w:rPr>
            </w:pPr>
            <w:r w:rsidRPr="00B7760C">
              <w:rPr>
                <w:b/>
                <w:bCs/>
                <w:i/>
                <w:iCs/>
                <w:sz w:val="20"/>
              </w:rPr>
              <w:t>2 581 053</w:t>
            </w:r>
          </w:p>
        </w:tc>
      </w:tr>
      <w:tr w:rsidR="003663AF" w:rsidRPr="00B7760C" w14:paraId="05C88307"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63F7ACED" w14:textId="77777777" w:rsidR="003663AF" w:rsidRPr="00B7760C" w:rsidRDefault="003663AF" w:rsidP="00E804B7">
            <w:pPr>
              <w:pStyle w:val="Normal6"/>
              <w:rPr>
                <w:rStyle w:val="DeltaViewInsertion"/>
                <w:color w:val="auto"/>
              </w:rPr>
            </w:pPr>
            <w:r w:rsidRPr="00B7760C">
              <w:rPr>
                <w:sz w:val="20"/>
              </w:rPr>
              <w:t>Slovaška</w:t>
            </w:r>
          </w:p>
        </w:tc>
        <w:tc>
          <w:tcPr>
            <w:tcW w:w="999" w:type="dxa"/>
            <w:tcBorders>
              <w:top w:val="single" w:sz="4" w:space="0" w:color="auto"/>
              <w:left w:val="single" w:sz="4" w:space="0" w:color="auto"/>
              <w:bottom w:val="single" w:sz="4" w:space="0" w:color="auto"/>
              <w:right w:val="single" w:sz="4" w:space="0" w:color="auto"/>
            </w:tcBorders>
            <w:vAlign w:val="center"/>
            <w:hideMark/>
          </w:tcPr>
          <w:p w14:paraId="2FB1E8A0" w14:textId="77777777" w:rsidR="003663AF" w:rsidRPr="00B7760C" w:rsidRDefault="003663AF" w:rsidP="00E804B7">
            <w:pPr>
              <w:pStyle w:val="Normal6"/>
              <w:jc w:val="right"/>
            </w:pPr>
            <w:r w:rsidRPr="00B7760C">
              <w:rPr>
                <w:b/>
                <w:bCs/>
                <w:i/>
                <w:iCs/>
                <w:sz w:val="20"/>
              </w:rPr>
              <w:t>7 676 128</w:t>
            </w:r>
          </w:p>
        </w:tc>
        <w:tc>
          <w:tcPr>
            <w:tcW w:w="900" w:type="dxa"/>
            <w:tcBorders>
              <w:top w:val="single" w:sz="4" w:space="0" w:color="auto"/>
              <w:left w:val="single" w:sz="4" w:space="0" w:color="auto"/>
              <w:bottom w:val="single" w:sz="4" w:space="0" w:color="auto"/>
              <w:right w:val="single" w:sz="4" w:space="0" w:color="auto"/>
            </w:tcBorders>
            <w:vAlign w:val="center"/>
            <w:hideMark/>
          </w:tcPr>
          <w:p w14:paraId="57360483" w14:textId="77777777" w:rsidR="003663AF" w:rsidRPr="00B7760C" w:rsidRDefault="003663AF" w:rsidP="00E804B7">
            <w:pPr>
              <w:pStyle w:val="Normal6"/>
              <w:jc w:val="right"/>
              <w:rPr>
                <w:b/>
                <w:bCs/>
                <w:i/>
                <w:iCs/>
                <w:sz w:val="20"/>
              </w:rPr>
            </w:pPr>
            <w:r w:rsidRPr="00B7760C">
              <w:rPr>
                <w:b/>
                <w:bCs/>
                <w:i/>
                <w:iCs/>
                <w:sz w:val="20"/>
              </w:rPr>
              <w:t>7 771 499</w:t>
            </w:r>
          </w:p>
        </w:tc>
        <w:tc>
          <w:tcPr>
            <w:tcW w:w="1019" w:type="dxa"/>
            <w:tcBorders>
              <w:top w:val="single" w:sz="4" w:space="0" w:color="auto"/>
              <w:left w:val="single" w:sz="4" w:space="0" w:color="auto"/>
              <w:bottom w:val="single" w:sz="4" w:space="0" w:color="auto"/>
              <w:right w:val="single" w:sz="4" w:space="0" w:color="auto"/>
            </w:tcBorders>
            <w:vAlign w:val="center"/>
            <w:hideMark/>
          </w:tcPr>
          <w:p w14:paraId="4E57ECE1" w14:textId="77777777" w:rsidR="003663AF" w:rsidRPr="00B7760C" w:rsidRDefault="003663AF" w:rsidP="00E804B7">
            <w:pPr>
              <w:pStyle w:val="Normal6"/>
              <w:jc w:val="right"/>
              <w:rPr>
                <w:b/>
                <w:bCs/>
                <w:i/>
                <w:iCs/>
                <w:sz w:val="20"/>
              </w:rPr>
            </w:pPr>
            <w:r w:rsidRPr="00B7760C">
              <w:rPr>
                <w:b/>
                <w:bCs/>
                <w:i/>
                <w:iCs/>
                <w:sz w:val="20"/>
              </w:rPr>
              <w:t>7 866 870</w:t>
            </w:r>
          </w:p>
        </w:tc>
        <w:tc>
          <w:tcPr>
            <w:tcW w:w="1019" w:type="dxa"/>
            <w:tcBorders>
              <w:top w:val="single" w:sz="4" w:space="0" w:color="auto"/>
              <w:left w:val="single" w:sz="4" w:space="0" w:color="auto"/>
              <w:bottom w:val="single" w:sz="4" w:space="0" w:color="auto"/>
              <w:right w:val="single" w:sz="4" w:space="0" w:color="auto"/>
            </w:tcBorders>
            <w:vAlign w:val="center"/>
            <w:hideMark/>
          </w:tcPr>
          <w:p w14:paraId="1E276508" w14:textId="77777777" w:rsidR="003663AF" w:rsidRPr="00B7760C" w:rsidRDefault="003663AF" w:rsidP="00E804B7">
            <w:pPr>
              <w:pStyle w:val="Normal6"/>
              <w:jc w:val="right"/>
              <w:rPr>
                <w:b/>
                <w:bCs/>
                <w:i/>
                <w:iCs/>
                <w:sz w:val="20"/>
              </w:rPr>
            </w:pPr>
            <w:r w:rsidRPr="00B7760C">
              <w:rPr>
                <w:b/>
                <w:bCs/>
                <w:i/>
                <w:iCs/>
                <w:sz w:val="20"/>
              </w:rPr>
              <w:t>7 962 242</w:t>
            </w:r>
          </w:p>
        </w:tc>
        <w:tc>
          <w:tcPr>
            <w:tcW w:w="1019" w:type="dxa"/>
            <w:tcBorders>
              <w:top w:val="single" w:sz="4" w:space="0" w:color="auto"/>
              <w:left w:val="single" w:sz="4" w:space="0" w:color="auto"/>
              <w:bottom w:val="single" w:sz="4" w:space="0" w:color="auto"/>
              <w:right w:val="single" w:sz="4" w:space="0" w:color="auto"/>
            </w:tcBorders>
            <w:vAlign w:val="center"/>
            <w:hideMark/>
          </w:tcPr>
          <w:p w14:paraId="685BAFF5" w14:textId="77777777" w:rsidR="003663AF" w:rsidRPr="00B7760C" w:rsidRDefault="003663AF" w:rsidP="00E804B7">
            <w:pPr>
              <w:pStyle w:val="Normal6"/>
              <w:jc w:val="right"/>
              <w:rPr>
                <w:b/>
                <w:bCs/>
                <w:i/>
                <w:iCs/>
                <w:sz w:val="20"/>
              </w:rPr>
            </w:pPr>
            <w:r w:rsidRPr="00B7760C">
              <w:rPr>
                <w:b/>
                <w:bCs/>
                <w:i/>
                <w:iCs/>
                <w:sz w:val="20"/>
              </w:rPr>
              <w:t>8 057 613</w:t>
            </w:r>
          </w:p>
        </w:tc>
        <w:tc>
          <w:tcPr>
            <w:tcW w:w="880" w:type="dxa"/>
            <w:tcBorders>
              <w:top w:val="single" w:sz="4" w:space="0" w:color="auto"/>
              <w:left w:val="single" w:sz="4" w:space="0" w:color="auto"/>
              <w:bottom w:val="single" w:sz="4" w:space="0" w:color="auto"/>
              <w:right w:val="single" w:sz="4" w:space="0" w:color="auto"/>
            </w:tcBorders>
            <w:vAlign w:val="center"/>
            <w:hideMark/>
          </w:tcPr>
          <w:p w14:paraId="207A31DB" w14:textId="77777777" w:rsidR="003663AF" w:rsidRPr="00B7760C" w:rsidRDefault="003663AF" w:rsidP="00E804B7">
            <w:pPr>
              <w:pStyle w:val="Normal6"/>
              <w:jc w:val="right"/>
              <w:rPr>
                <w:b/>
                <w:bCs/>
                <w:i/>
                <w:iCs/>
                <w:sz w:val="20"/>
              </w:rPr>
            </w:pPr>
            <w:r w:rsidRPr="00B7760C">
              <w:rPr>
                <w:b/>
                <w:bCs/>
                <w:i/>
                <w:iCs/>
                <w:sz w:val="20"/>
              </w:rPr>
              <w:t>8 152 985</w:t>
            </w:r>
          </w:p>
        </w:tc>
        <w:tc>
          <w:tcPr>
            <w:tcW w:w="1141" w:type="dxa"/>
            <w:tcBorders>
              <w:top w:val="single" w:sz="4" w:space="0" w:color="auto"/>
              <w:left w:val="single" w:sz="4" w:space="0" w:color="auto"/>
              <w:bottom w:val="single" w:sz="4" w:space="0" w:color="auto"/>
              <w:right w:val="single" w:sz="4" w:space="0" w:color="auto"/>
            </w:tcBorders>
            <w:vAlign w:val="center"/>
            <w:hideMark/>
          </w:tcPr>
          <w:p w14:paraId="0AD76EF6" w14:textId="77777777" w:rsidR="003663AF" w:rsidRPr="00B7760C" w:rsidRDefault="003663AF" w:rsidP="00E804B7">
            <w:pPr>
              <w:pStyle w:val="Normal6"/>
              <w:jc w:val="right"/>
              <w:rPr>
                <w:b/>
                <w:bCs/>
                <w:i/>
                <w:iCs/>
                <w:sz w:val="20"/>
              </w:rPr>
            </w:pPr>
            <w:r w:rsidRPr="00B7760C">
              <w:rPr>
                <w:b/>
                <w:bCs/>
                <w:i/>
                <w:iCs/>
                <w:sz w:val="20"/>
              </w:rPr>
              <w:t>8 152 985</w:t>
            </w:r>
          </w:p>
        </w:tc>
      </w:tr>
      <w:tr w:rsidR="003663AF" w:rsidRPr="00B7760C" w14:paraId="67C03035"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785744BC" w14:textId="77777777" w:rsidR="003663AF" w:rsidRPr="00B7760C" w:rsidRDefault="003663AF" w:rsidP="00E804B7">
            <w:pPr>
              <w:pStyle w:val="Normal6"/>
              <w:rPr>
                <w:rStyle w:val="DeltaViewInsertion"/>
                <w:color w:val="auto"/>
              </w:rPr>
            </w:pPr>
            <w:r w:rsidRPr="00B7760C">
              <w:rPr>
                <w:sz w:val="20"/>
              </w:rPr>
              <w:t>Finska</w:t>
            </w:r>
          </w:p>
        </w:tc>
        <w:tc>
          <w:tcPr>
            <w:tcW w:w="999" w:type="dxa"/>
            <w:tcBorders>
              <w:top w:val="single" w:sz="4" w:space="0" w:color="auto"/>
              <w:left w:val="single" w:sz="4" w:space="0" w:color="auto"/>
              <w:bottom w:val="single" w:sz="4" w:space="0" w:color="auto"/>
              <w:right w:val="single" w:sz="4" w:space="0" w:color="auto"/>
            </w:tcBorders>
            <w:vAlign w:val="center"/>
            <w:hideMark/>
          </w:tcPr>
          <w:p w14:paraId="46F4CC0B" w14:textId="77777777" w:rsidR="003663AF" w:rsidRPr="00B7760C" w:rsidRDefault="003663AF" w:rsidP="00E804B7">
            <w:pPr>
              <w:pStyle w:val="Normal6"/>
              <w:jc w:val="right"/>
            </w:pPr>
            <w:r w:rsidRPr="00B7760C">
              <w:rPr>
                <w:b/>
                <w:bCs/>
                <w:i/>
                <w:iCs/>
                <w:sz w:val="20"/>
              </w:rPr>
              <w:t>10 119 993</w:t>
            </w:r>
          </w:p>
        </w:tc>
        <w:tc>
          <w:tcPr>
            <w:tcW w:w="900" w:type="dxa"/>
            <w:tcBorders>
              <w:top w:val="single" w:sz="4" w:space="0" w:color="auto"/>
              <w:left w:val="single" w:sz="4" w:space="0" w:color="auto"/>
              <w:bottom w:val="single" w:sz="4" w:space="0" w:color="auto"/>
              <w:right w:val="single" w:sz="4" w:space="0" w:color="auto"/>
            </w:tcBorders>
            <w:vAlign w:val="center"/>
            <w:hideMark/>
          </w:tcPr>
          <w:p w14:paraId="3844A3A1" w14:textId="77777777" w:rsidR="003663AF" w:rsidRPr="00B7760C" w:rsidRDefault="003663AF" w:rsidP="00E804B7">
            <w:pPr>
              <w:pStyle w:val="Normal6"/>
              <w:jc w:val="right"/>
              <w:rPr>
                <w:b/>
                <w:bCs/>
                <w:i/>
                <w:iCs/>
                <w:sz w:val="20"/>
              </w:rPr>
            </w:pPr>
            <w:r w:rsidRPr="00B7760C">
              <w:rPr>
                <w:b/>
                <w:bCs/>
                <w:i/>
                <w:iCs/>
                <w:sz w:val="20"/>
              </w:rPr>
              <w:t>10 155 679</w:t>
            </w:r>
          </w:p>
        </w:tc>
        <w:tc>
          <w:tcPr>
            <w:tcW w:w="1019" w:type="dxa"/>
            <w:tcBorders>
              <w:top w:val="single" w:sz="4" w:space="0" w:color="auto"/>
              <w:left w:val="single" w:sz="4" w:space="0" w:color="auto"/>
              <w:bottom w:val="single" w:sz="4" w:space="0" w:color="auto"/>
              <w:right w:val="single" w:sz="4" w:space="0" w:color="auto"/>
            </w:tcBorders>
            <w:vAlign w:val="center"/>
            <w:hideMark/>
          </w:tcPr>
          <w:p w14:paraId="3C4624F7" w14:textId="77777777" w:rsidR="003663AF" w:rsidRPr="00B7760C" w:rsidRDefault="003663AF" w:rsidP="00E804B7">
            <w:pPr>
              <w:pStyle w:val="Normal6"/>
              <w:jc w:val="right"/>
              <w:rPr>
                <w:b/>
                <w:bCs/>
                <w:i/>
                <w:iCs/>
                <w:sz w:val="20"/>
              </w:rPr>
            </w:pPr>
            <w:r w:rsidRPr="00B7760C">
              <w:rPr>
                <w:b/>
                <w:bCs/>
                <w:i/>
                <w:iCs/>
                <w:sz w:val="20"/>
              </w:rPr>
              <w:t>10 191 365</w:t>
            </w:r>
          </w:p>
        </w:tc>
        <w:tc>
          <w:tcPr>
            <w:tcW w:w="1019" w:type="dxa"/>
            <w:tcBorders>
              <w:top w:val="single" w:sz="4" w:space="0" w:color="auto"/>
              <w:left w:val="single" w:sz="4" w:space="0" w:color="auto"/>
              <w:bottom w:val="single" w:sz="4" w:space="0" w:color="auto"/>
              <w:right w:val="single" w:sz="4" w:space="0" w:color="auto"/>
            </w:tcBorders>
            <w:vAlign w:val="center"/>
            <w:hideMark/>
          </w:tcPr>
          <w:p w14:paraId="6A04EA86" w14:textId="77777777" w:rsidR="003663AF" w:rsidRPr="00B7760C" w:rsidRDefault="003663AF" w:rsidP="00E804B7">
            <w:pPr>
              <w:pStyle w:val="Normal6"/>
              <w:jc w:val="right"/>
              <w:rPr>
                <w:b/>
                <w:bCs/>
                <w:i/>
                <w:iCs/>
                <w:sz w:val="20"/>
              </w:rPr>
            </w:pPr>
            <w:r w:rsidRPr="00B7760C">
              <w:rPr>
                <w:b/>
                <w:bCs/>
                <w:i/>
                <w:iCs/>
                <w:sz w:val="20"/>
              </w:rPr>
              <w:t>10 227 051</w:t>
            </w:r>
          </w:p>
        </w:tc>
        <w:tc>
          <w:tcPr>
            <w:tcW w:w="1019" w:type="dxa"/>
            <w:tcBorders>
              <w:top w:val="single" w:sz="4" w:space="0" w:color="auto"/>
              <w:left w:val="single" w:sz="4" w:space="0" w:color="auto"/>
              <w:bottom w:val="single" w:sz="4" w:space="0" w:color="auto"/>
              <w:right w:val="single" w:sz="4" w:space="0" w:color="auto"/>
            </w:tcBorders>
            <w:vAlign w:val="center"/>
            <w:hideMark/>
          </w:tcPr>
          <w:p w14:paraId="59A60BDE" w14:textId="77777777" w:rsidR="003663AF" w:rsidRPr="00B7760C" w:rsidRDefault="003663AF" w:rsidP="00E804B7">
            <w:pPr>
              <w:pStyle w:val="Normal6"/>
              <w:jc w:val="right"/>
              <w:rPr>
                <w:b/>
                <w:bCs/>
                <w:i/>
                <w:iCs/>
                <w:sz w:val="20"/>
              </w:rPr>
            </w:pPr>
            <w:r w:rsidRPr="00B7760C">
              <w:rPr>
                <w:b/>
                <w:bCs/>
                <w:i/>
                <w:iCs/>
                <w:sz w:val="20"/>
              </w:rPr>
              <w:t>10 262 736</w:t>
            </w:r>
          </w:p>
        </w:tc>
        <w:tc>
          <w:tcPr>
            <w:tcW w:w="880" w:type="dxa"/>
            <w:tcBorders>
              <w:top w:val="single" w:sz="4" w:space="0" w:color="auto"/>
              <w:left w:val="single" w:sz="4" w:space="0" w:color="auto"/>
              <w:bottom w:val="single" w:sz="4" w:space="0" w:color="auto"/>
              <w:right w:val="single" w:sz="4" w:space="0" w:color="auto"/>
            </w:tcBorders>
            <w:vAlign w:val="center"/>
            <w:hideMark/>
          </w:tcPr>
          <w:p w14:paraId="522220C9" w14:textId="77777777" w:rsidR="003663AF" w:rsidRPr="00B7760C" w:rsidRDefault="003663AF" w:rsidP="00E804B7">
            <w:pPr>
              <w:pStyle w:val="Normal6"/>
              <w:jc w:val="right"/>
              <w:rPr>
                <w:b/>
                <w:bCs/>
                <w:i/>
                <w:iCs/>
                <w:sz w:val="20"/>
              </w:rPr>
            </w:pPr>
            <w:r w:rsidRPr="00B7760C">
              <w:rPr>
                <w:b/>
                <w:bCs/>
                <w:i/>
                <w:iCs/>
                <w:sz w:val="20"/>
              </w:rPr>
              <w:t>10 298 422</w:t>
            </w:r>
          </w:p>
        </w:tc>
        <w:tc>
          <w:tcPr>
            <w:tcW w:w="1141" w:type="dxa"/>
            <w:tcBorders>
              <w:top w:val="single" w:sz="4" w:space="0" w:color="auto"/>
              <w:left w:val="single" w:sz="4" w:space="0" w:color="auto"/>
              <w:bottom w:val="single" w:sz="4" w:space="0" w:color="auto"/>
              <w:right w:val="single" w:sz="4" w:space="0" w:color="auto"/>
            </w:tcBorders>
            <w:vAlign w:val="center"/>
            <w:hideMark/>
          </w:tcPr>
          <w:p w14:paraId="02509065" w14:textId="77777777" w:rsidR="003663AF" w:rsidRPr="00B7760C" w:rsidRDefault="003663AF" w:rsidP="00E804B7">
            <w:pPr>
              <w:pStyle w:val="Normal6"/>
              <w:jc w:val="right"/>
              <w:rPr>
                <w:b/>
                <w:bCs/>
                <w:i/>
                <w:iCs/>
                <w:sz w:val="20"/>
              </w:rPr>
            </w:pPr>
            <w:r w:rsidRPr="00B7760C">
              <w:rPr>
                <w:b/>
                <w:bCs/>
                <w:i/>
                <w:iCs/>
                <w:sz w:val="20"/>
              </w:rPr>
              <w:t>10 298 422</w:t>
            </w:r>
          </w:p>
        </w:tc>
      </w:tr>
      <w:tr w:rsidR="003663AF" w:rsidRPr="00B7760C" w14:paraId="0D8CE6C6" w14:textId="77777777" w:rsidTr="00E804B7">
        <w:trPr>
          <w:cantSplit/>
          <w:trHeight w:val="255"/>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53063FF7" w14:textId="77777777" w:rsidR="003663AF" w:rsidRPr="00B7760C" w:rsidRDefault="003663AF" w:rsidP="00E804B7">
            <w:pPr>
              <w:pStyle w:val="Normal6"/>
              <w:rPr>
                <w:rStyle w:val="DeltaViewInsertion"/>
                <w:color w:val="auto"/>
              </w:rPr>
            </w:pPr>
            <w:r w:rsidRPr="00B7760C">
              <w:rPr>
                <w:sz w:val="20"/>
              </w:rPr>
              <w:t>Švedska</w:t>
            </w:r>
          </w:p>
        </w:tc>
        <w:tc>
          <w:tcPr>
            <w:tcW w:w="999" w:type="dxa"/>
            <w:tcBorders>
              <w:top w:val="single" w:sz="4" w:space="0" w:color="auto"/>
              <w:left w:val="single" w:sz="4" w:space="0" w:color="auto"/>
              <w:bottom w:val="single" w:sz="4" w:space="0" w:color="auto"/>
              <w:right w:val="single" w:sz="4" w:space="0" w:color="auto"/>
            </w:tcBorders>
            <w:vAlign w:val="center"/>
            <w:hideMark/>
          </w:tcPr>
          <w:p w14:paraId="31D0C7FD" w14:textId="77777777" w:rsidR="003663AF" w:rsidRPr="00B7760C" w:rsidRDefault="003663AF" w:rsidP="00E804B7">
            <w:pPr>
              <w:pStyle w:val="Normal6"/>
              <w:jc w:val="right"/>
            </w:pPr>
            <w:r w:rsidRPr="00B7760C">
              <w:rPr>
                <w:b/>
                <w:bCs/>
                <w:i/>
                <w:iCs/>
                <w:sz w:val="20"/>
              </w:rPr>
              <w:t>13 455 218</w:t>
            </w:r>
          </w:p>
        </w:tc>
        <w:tc>
          <w:tcPr>
            <w:tcW w:w="900" w:type="dxa"/>
            <w:tcBorders>
              <w:top w:val="single" w:sz="4" w:space="0" w:color="auto"/>
              <w:left w:val="single" w:sz="4" w:space="0" w:color="auto"/>
              <w:bottom w:val="single" w:sz="4" w:space="0" w:color="auto"/>
              <w:right w:val="single" w:sz="4" w:space="0" w:color="auto"/>
            </w:tcBorders>
            <w:vAlign w:val="center"/>
            <w:hideMark/>
          </w:tcPr>
          <w:p w14:paraId="319505E9" w14:textId="77777777" w:rsidR="003663AF" w:rsidRPr="00B7760C" w:rsidRDefault="003663AF" w:rsidP="00E804B7">
            <w:pPr>
              <w:pStyle w:val="Normal6"/>
              <w:jc w:val="right"/>
              <w:rPr>
                <w:b/>
                <w:bCs/>
                <w:i/>
                <w:iCs/>
                <w:sz w:val="20"/>
              </w:rPr>
            </w:pPr>
            <w:r w:rsidRPr="00B7760C">
              <w:rPr>
                <w:b/>
                <w:bCs/>
                <w:i/>
                <w:iCs/>
                <w:sz w:val="20"/>
              </w:rPr>
              <w:t>13 459 695</w:t>
            </w:r>
          </w:p>
        </w:tc>
        <w:tc>
          <w:tcPr>
            <w:tcW w:w="1019" w:type="dxa"/>
            <w:tcBorders>
              <w:top w:val="single" w:sz="4" w:space="0" w:color="auto"/>
              <w:left w:val="single" w:sz="4" w:space="0" w:color="auto"/>
              <w:bottom w:val="single" w:sz="4" w:space="0" w:color="auto"/>
              <w:right w:val="single" w:sz="4" w:space="0" w:color="auto"/>
            </w:tcBorders>
            <w:vAlign w:val="center"/>
            <w:hideMark/>
          </w:tcPr>
          <w:p w14:paraId="3D107CAF" w14:textId="77777777" w:rsidR="003663AF" w:rsidRPr="00B7760C" w:rsidRDefault="003663AF" w:rsidP="00E804B7">
            <w:pPr>
              <w:pStyle w:val="Normal6"/>
              <w:jc w:val="right"/>
              <w:rPr>
                <w:b/>
                <w:bCs/>
                <w:i/>
                <w:iCs/>
                <w:sz w:val="20"/>
              </w:rPr>
            </w:pPr>
            <w:r w:rsidRPr="00B7760C">
              <w:rPr>
                <w:b/>
                <w:bCs/>
                <w:i/>
                <w:iCs/>
                <w:sz w:val="20"/>
              </w:rPr>
              <w:t>13 464 172</w:t>
            </w:r>
          </w:p>
        </w:tc>
        <w:tc>
          <w:tcPr>
            <w:tcW w:w="1019" w:type="dxa"/>
            <w:tcBorders>
              <w:top w:val="single" w:sz="4" w:space="0" w:color="auto"/>
              <w:left w:val="single" w:sz="4" w:space="0" w:color="auto"/>
              <w:bottom w:val="single" w:sz="4" w:space="0" w:color="auto"/>
              <w:right w:val="single" w:sz="4" w:space="0" w:color="auto"/>
            </w:tcBorders>
            <w:vAlign w:val="center"/>
            <w:hideMark/>
          </w:tcPr>
          <w:p w14:paraId="3C8C1287" w14:textId="77777777" w:rsidR="003663AF" w:rsidRPr="00B7760C" w:rsidRDefault="003663AF" w:rsidP="00E804B7">
            <w:pPr>
              <w:pStyle w:val="Normal6"/>
              <w:jc w:val="right"/>
              <w:rPr>
                <w:b/>
                <w:bCs/>
                <w:i/>
                <w:iCs/>
                <w:sz w:val="20"/>
              </w:rPr>
            </w:pPr>
            <w:r w:rsidRPr="00B7760C">
              <w:rPr>
                <w:b/>
                <w:bCs/>
                <w:i/>
                <w:iCs/>
                <w:sz w:val="20"/>
              </w:rPr>
              <w:t>13 468 649</w:t>
            </w:r>
          </w:p>
        </w:tc>
        <w:tc>
          <w:tcPr>
            <w:tcW w:w="1019" w:type="dxa"/>
            <w:tcBorders>
              <w:top w:val="single" w:sz="4" w:space="0" w:color="auto"/>
              <w:left w:val="single" w:sz="4" w:space="0" w:color="auto"/>
              <w:bottom w:val="single" w:sz="4" w:space="0" w:color="auto"/>
              <w:right w:val="single" w:sz="4" w:space="0" w:color="auto"/>
            </w:tcBorders>
            <w:vAlign w:val="center"/>
            <w:hideMark/>
          </w:tcPr>
          <w:p w14:paraId="64AF8D6C" w14:textId="77777777" w:rsidR="003663AF" w:rsidRPr="00B7760C" w:rsidRDefault="003663AF" w:rsidP="00E804B7">
            <w:pPr>
              <w:pStyle w:val="Normal6"/>
              <w:jc w:val="right"/>
              <w:rPr>
                <w:b/>
                <w:bCs/>
                <w:i/>
                <w:iCs/>
                <w:sz w:val="20"/>
              </w:rPr>
            </w:pPr>
            <w:r w:rsidRPr="00B7760C">
              <w:rPr>
                <w:b/>
                <w:bCs/>
                <w:i/>
                <w:iCs/>
                <w:sz w:val="20"/>
              </w:rPr>
              <w:t>13 473 126</w:t>
            </w:r>
          </w:p>
        </w:tc>
        <w:tc>
          <w:tcPr>
            <w:tcW w:w="880" w:type="dxa"/>
            <w:tcBorders>
              <w:top w:val="single" w:sz="4" w:space="0" w:color="auto"/>
              <w:left w:val="single" w:sz="4" w:space="0" w:color="auto"/>
              <w:bottom w:val="single" w:sz="4" w:space="0" w:color="auto"/>
              <w:right w:val="single" w:sz="4" w:space="0" w:color="auto"/>
            </w:tcBorders>
            <w:vAlign w:val="center"/>
            <w:hideMark/>
          </w:tcPr>
          <w:p w14:paraId="3DD153E8" w14:textId="77777777" w:rsidR="003663AF" w:rsidRPr="00B7760C" w:rsidRDefault="003663AF" w:rsidP="00E804B7">
            <w:pPr>
              <w:pStyle w:val="Normal6"/>
              <w:jc w:val="right"/>
              <w:rPr>
                <w:b/>
                <w:bCs/>
                <w:i/>
                <w:iCs/>
                <w:sz w:val="20"/>
              </w:rPr>
            </w:pPr>
            <w:r w:rsidRPr="00B7760C">
              <w:rPr>
                <w:b/>
                <w:bCs/>
                <w:i/>
                <w:iCs/>
                <w:sz w:val="20"/>
              </w:rPr>
              <w:t>13 477 604</w:t>
            </w:r>
          </w:p>
        </w:tc>
        <w:tc>
          <w:tcPr>
            <w:tcW w:w="1141" w:type="dxa"/>
            <w:tcBorders>
              <w:top w:val="single" w:sz="4" w:space="0" w:color="auto"/>
              <w:left w:val="single" w:sz="4" w:space="0" w:color="auto"/>
              <w:bottom w:val="single" w:sz="4" w:space="0" w:color="auto"/>
              <w:right w:val="single" w:sz="4" w:space="0" w:color="auto"/>
            </w:tcBorders>
            <w:vAlign w:val="center"/>
            <w:hideMark/>
          </w:tcPr>
          <w:p w14:paraId="228CC5CC" w14:textId="77777777" w:rsidR="003663AF" w:rsidRPr="00B7760C" w:rsidRDefault="003663AF" w:rsidP="00E804B7">
            <w:pPr>
              <w:pStyle w:val="Normal6"/>
              <w:jc w:val="right"/>
              <w:rPr>
                <w:b/>
                <w:bCs/>
                <w:i/>
                <w:iCs/>
                <w:sz w:val="20"/>
              </w:rPr>
            </w:pPr>
            <w:r w:rsidRPr="00B7760C">
              <w:rPr>
                <w:b/>
                <w:bCs/>
                <w:i/>
                <w:iCs/>
                <w:sz w:val="20"/>
              </w:rPr>
              <w:t>13 477 604</w:t>
            </w:r>
          </w:p>
        </w:tc>
      </w:tr>
    </w:tbl>
    <w:p w14:paraId="717DEE3A" w14:textId="77777777" w:rsidR="003663AF" w:rsidRPr="00B7760C" w:rsidRDefault="003663AF" w:rsidP="003663AF"/>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3663AF" w:rsidRPr="00B7760C" w14:paraId="4F984867" w14:textId="77777777" w:rsidTr="00E804B7">
        <w:tc>
          <w:tcPr>
            <w:tcW w:w="14502" w:type="dxa"/>
            <w:vAlign w:val="center"/>
            <w:hideMark/>
          </w:tcPr>
          <w:p w14:paraId="07291F09" w14:textId="04C938E3" w:rsidR="003663AF" w:rsidRPr="00B7760C" w:rsidRDefault="00877691" w:rsidP="00E804B7">
            <w:pPr>
              <w:pStyle w:val="ColumnHeading"/>
            </w:pPr>
            <w:r w:rsidRPr="00B7760C">
              <w:t>Sprememba</w:t>
            </w:r>
          </w:p>
        </w:tc>
      </w:tr>
      <w:tr w:rsidR="003663AF" w:rsidRPr="00B7760C" w14:paraId="4AD7A38E" w14:textId="77777777" w:rsidTr="00E804B7">
        <w:tc>
          <w:tcPr>
            <w:tcW w:w="14502" w:type="dxa"/>
            <w:vAlign w:val="center"/>
            <w:hideMark/>
          </w:tcPr>
          <w:p w14:paraId="201E70BC" w14:textId="77777777" w:rsidR="003663AF" w:rsidRPr="00B7760C" w:rsidRDefault="003663AF" w:rsidP="00E804B7">
            <w:pPr>
              <w:pStyle w:val="ColumnHeading"/>
              <w:jc w:val="left"/>
            </w:pPr>
            <w:r w:rsidRPr="00B7760C">
              <w:rPr>
                <w:sz w:val="20"/>
              </w:rPr>
              <w:t>NAJNIŽJI REZERVIRANI ZNESKI ZA MLADE KMETE IZ ČLENA 86(4)</w:t>
            </w:r>
          </w:p>
        </w:tc>
      </w:tr>
    </w:tbl>
    <w:p w14:paraId="4DAA4E76" w14:textId="77777777" w:rsidR="003663AF" w:rsidRPr="00B7760C" w:rsidRDefault="003663AF" w:rsidP="003663AF">
      <w:pPr>
        <w:pStyle w:val="Normal6"/>
        <w:jc w:val="right"/>
        <w:rPr>
          <w:sz w:val="20"/>
        </w:rPr>
      </w:pPr>
      <w:r w:rsidRPr="00B7760C">
        <w:rPr>
          <w:sz w:val="20"/>
        </w:rPr>
        <w:t>(tekoče cene v EUR)</w:t>
      </w:r>
    </w:p>
    <w:tbl>
      <w:tblPr>
        <w:tblW w:w="45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921"/>
        <w:gridCol w:w="871"/>
        <w:gridCol w:w="931"/>
        <w:gridCol w:w="931"/>
        <w:gridCol w:w="931"/>
        <w:gridCol w:w="861"/>
        <w:gridCol w:w="1233"/>
      </w:tblGrid>
      <w:tr w:rsidR="003663AF" w:rsidRPr="00B7760C" w14:paraId="0109FED3" w14:textId="77777777" w:rsidTr="00E804B7">
        <w:trPr>
          <w:cantSplit/>
          <w:trHeight w:val="255"/>
          <w:tblHeader/>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1990D079" w14:textId="77777777" w:rsidR="003663AF" w:rsidRPr="00B7760C" w:rsidRDefault="003663AF" w:rsidP="00E804B7">
            <w:pPr>
              <w:pStyle w:val="Normal6"/>
              <w:rPr>
                <w:sz w:val="20"/>
              </w:rPr>
            </w:pPr>
            <w:r w:rsidRPr="00B7760C">
              <w:rPr>
                <w:sz w:val="20"/>
              </w:rPr>
              <w:t>Koledarsko leto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39A6FFF" w14:textId="77777777" w:rsidR="003663AF" w:rsidRPr="00B7760C" w:rsidRDefault="003663AF" w:rsidP="00E804B7">
            <w:pPr>
              <w:pStyle w:val="Normal6"/>
              <w:rPr>
                <w:sz w:val="20"/>
              </w:rPr>
            </w:pPr>
            <w:r w:rsidRPr="00B7760C">
              <w:rPr>
                <w:sz w:val="20"/>
              </w:rPr>
              <w:t>2021</w:t>
            </w:r>
          </w:p>
        </w:tc>
        <w:tc>
          <w:tcPr>
            <w:tcW w:w="1405" w:type="dxa"/>
            <w:tcBorders>
              <w:top w:val="single" w:sz="4" w:space="0" w:color="auto"/>
              <w:left w:val="single" w:sz="4" w:space="0" w:color="auto"/>
              <w:bottom w:val="single" w:sz="4" w:space="0" w:color="auto"/>
              <w:right w:val="single" w:sz="4" w:space="0" w:color="auto"/>
            </w:tcBorders>
            <w:vAlign w:val="center"/>
            <w:hideMark/>
          </w:tcPr>
          <w:p w14:paraId="36C772C3" w14:textId="77777777" w:rsidR="003663AF" w:rsidRPr="00B7760C" w:rsidRDefault="003663AF" w:rsidP="00E804B7">
            <w:pPr>
              <w:pStyle w:val="Normal6"/>
              <w:rPr>
                <w:sz w:val="20"/>
              </w:rPr>
            </w:pPr>
            <w:r w:rsidRPr="00B7760C">
              <w:rPr>
                <w:sz w:val="20"/>
              </w:rPr>
              <w:t>2022</w:t>
            </w:r>
          </w:p>
        </w:tc>
        <w:tc>
          <w:tcPr>
            <w:tcW w:w="1591" w:type="dxa"/>
            <w:tcBorders>
              <w:top w:val="single" w:sz="4" w:space="0" w:color="auto"/>
              <w:left w:val="single" w:sz="4" w:space="0" w:color="auto"/>
              <w:bottom w:val="single" w:sz="4" w:space="0" w:color="auto"/>
              <w:right w:val="single" w:sz="4" w:space="0" w:color="auto"/>
            </w:tcBorders>
            <w:vAlign w:val="center"/>
            <w:hideMark/>
          </w:tcPr>
          <w:p w14:paraId="1C8A769D" w14:textId="77777777" w:rsidR="003663AF" w:rsidRPr="00B7760C" w:rsidRDefault="003663AF" w:rsidP="00E804B7">
            <w:pPr>
              <w:pStyle w:val="Normal6"/>
              <w:rPr>
                <w:sz w:val="20"/>
              </w:rPr>
            </w:pPr>
            <w:r w:rsidRPr="00B7760C">
              <w:rPr>
                <w:sz w:val="20"/>
              </w:rPr>
              <w:t>2023</w:t>
            </w:r>
          </w:p>
        </w:tc>
        <w:tc>
          <w:tcPr>
            <w:tcW w:w="1591" w:type="dxa"/>
            <w:tcBorders>
              <w:top w:val="single" w:sz="4" w:space="0" w:color="auto"/>
              <w:left w:val="single" w:sz="4" w:space="0" w:color="auto"/>
              <w:bottom w:val="single" w:sz="4" w:space="0" w:color="auto"/>
              <w:right w:val="single" w:sz="4" w:space="0" w:color="auto"/>
            </w:tcBorders>
            <w:vAlign w:val="center"/>
            <w:hideMark/>
          </w:tcPr>
          <w:p w14:paraId="06F51B5D" w14:textId="77777777" w:rsidR="003663AF" w:rsidRPr="00B7760C" w:rsidRDefault="003663AF" w:rsidP="00E804B7">
            <w:pPr>
              <w:pStyle w:val="Normal6"/>
              <w:rPr>
                <w:sz w:val="20"/>
              </w:rPr>
            </w:pPr>
            <w:r w:rsidRPr="00B7760C">
              <w:rPr>
                <w:sz w:val="20"/>
              </w:rPr>
              <w:t>2024</w:t>
            </w:r>
          </w:p>
        </w:tc>
        <w:tc>
          <w:tcPr>
            <w:tcW w:w="1591" w:type="dxa"/>
            <w:tcBorders>
              <w:top w:val="single" w:sz="4" w:space="0" w:color="auto"/>
              <w:left w:val="single" w:sz="4" w:space="0" w:color="auto"/>
              <w:bottom w:val="single" w:sz="4" w:space="0" w:color="auto"/>
              <w:right w:val="single" w:sz="4" w:space="0" w:color="auto"/>
            </w:tcBorders>
            <w:vAlign w:val="center"/>
            <w:hideMark/>
          </w:tcPr>
          <w:p w14:paraId="0427665A" w14:textId="77777777" w:rsidR="003663AF" w:rsidRPr="00B7760C" w:rsidRDefault="003663AF" w:rsidP="00E804B7">
            <w:pPr>
              <w:pStyle w:val="Normal6"/>
              <w:rPr>
                <w:sz w:val="20"/>
              </w:rPr>
            </w:pPr>
            <w:r w:rsidRPr="00B7760C">
              <w:rPr>
                <w:sz w:val="20"/>
              </w:rPr>
              <w:t>2025</w:t>
            </w:r>
          </w:p>
        </w:tc>
        <w:tc>
          <w:tcPr>
            <w:tcW w:w="1374" w:type="dxa"/>
            <w:tcBorders>
              <w:top w:val="single" w:sz="4" w:space="0" w:color="auto"/>
              <w:left w:val="single" w:sz="4" w:space="0" w:color="auto"/>
              <w:bottom w:val="single" w:sz="4" w:space="0" w:color="auto"/>
              <w:right w:val="single" w:sz="4" w:space="0" w:color="auto"/>
            </w:tcBorders>
            <w:vAlign w:val="center"/>
            <w:hideMark/>
          </w:tcPr>
          <w:p w14:paraId="768E3A92" w14:textId="77777777" w:rsidR="003663AF" w:rsidRPr="00B7760C" w:rsidRDefault="003663AF" w:rsidP="00E804B7">
            <w:pPr>
              <w:pStyle w:val="Normal6"/>
              <w:rPr>
                <w:rStyle w:val="DeltaViewInsertion"/>
                <w:color w:val="auto"/>
              </w:rPr>
            </w:pPr>
            <w:r w:rsidRPr="00B7760C">
              <w:rPr>
                <w:sz w:val="20"/>
              </w:rPr>
              <w:t>2026</w:t>
            </w:r>
          </w:p>
        </w:tc>
        <w:tc>
          <w:tcPr>
            <w:tcW w:w="1781" w:type="dxa"/>
            <w:tcBorders>
              <w:top w:val="single" w:sz="4" w:space="0" w:color="auto"/>
              <w:left w:val="single" w:sz="4" w:space="0" w:color="auto"/>
              <w:bottom w:val="single" w:sz="4" w:space="0" w:color="auto"/>
              <w:right w:val="single" w:sz="4" w:space="0" w:color="auto"/>
            </w:tcBorders>
            <w:hideMark/>
          </w:tcPr>
          <w:p w14:paraId="4969F5DD" w14:textId="77777777" w:rsidR="003663AF" w:rsidRPr="00B7760C" w:rsidRDefault="003663AF" w:rsidP="00E804B7">
            <w:pPr>
              <w:pStyle w:val="Normal6"/>
              <w:rPr>
                <w:rStyle w:val="DeltaViewInsertion"/>
                <w:color w:val="auto"/>
                <w:sz w:val="20"/>
              </w:rPr>
            </w:pPr>
            <w:r w:rsidRPr="00B7760C">
              <w:rPr>
                <w:sz w:val="20"/>
              </w:rPr>
              <w:t>2027 in naslednja leta</w:t>
            </w:r>
          </w:p>
        </w:tc>
      </w:tr>
      <w:tr w:rsidR="003663AF" w:rsidRPr="00B7760C" w14:paraId="005AB41D"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77818877" w14:textId="77777777" w:rsidR="003663AF" w:rsidRPr="00B7760C" w:rsidRDefault="003663AF" w:rsidP="00E804B7">
            <w:pPr>
              <w:pStyle w:val="Normal6"/>
              <w:rPr>
                <w:rStyle w:val="DeltaViewInsertion"/>
                <w:color w:val="auto"/>
                <w:sz w:val="20"/>
              </w:rPr>
            </w:pPr>
            <w:r w:rsidRPr="00B7760C">
              <w:rPr>
                <w:sz w:val="20"/>
              </w:rPr>
              <w:t>Belgija</w:t>
            </w:r>
          </w:p>
        </w:tc>
        <w:tc>
          <w:tcPr>
            <w:tcW w:w="1560" w:type="dxa"/>
            <w:tcBorders>
              <w:top w:val="single" w:sz="4" w:space="0" w:color="auto"/>
              <w:left w:val="single" w:sz="4" w:space="0" w:color="auto"/>
              <w:bottom w:val="single" w:sz="4" w:space="0" w:color="auto"/>
              <w:right w:val="single" w:sz="4" w:space="0" w:color="auto"/>
            </w:tcBorders>
            <w:hideMark/>
          </w:tcPr>
          <w:p w14:paraId="3F5D36B1" w14:textId="77777777" w:rsidR="003663AF" w:rsidRPr="00B7760C" w:rsidRDefault="003663AF" w:rsidP="00E804B7">
            <w:pPr>
              <w:pStyle w:val="Normal6"/>
              <w:jc w:val="right"/>
            </w:pPr>
            <w:r w:rsidRPr="00B7760C">
              <w:rPr>
                <w:b/>
                <w:bCs/>
                <w:i/>
                <w:iCs/>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7607F43F"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2A320DD3"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5D4911B8"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5739B747" w14:textId="77777777" w:rsidR="003663AF" w:rsidRPr="00B7760C" w:rsidRDefault="003663AF" w:rsidP="00E804B7">
            <w:pPr>
              <w:pStyle w:val="Normal6"/>
              <w:jc w:val="right"/>
              <w:rPr>
                <w:b/>
                <w:bCs/>
                <w:i/>
                <w:iCs/>
                <w:sz w:val="20"/>
              </w:rPr>
            </w:pPr>
            <w:r w:rsidRPr="00B7760C">
              <w:rPr>
                <w:b/>
                <w:bCs/>
                <w:i/>
                <w:iCs/>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5C390D29" w14:textId="77777777" w:rsidR="003663AF" w:rsidRPr="00B7760C" w:rsidRDefault="003663AF" w:rsidP="00E804B7">
            <w:pPr>
              <w:pStyle w:val="Normal6"/>
              <w:jc w:val="right"/>
              <w:rPr>
                <w:b/>
                <w:bCs/>
                <w:i/>
                <w:iCs/>
                <w:sz w:val="20"/>
              </w:rPr>
            </w:pPr>
            <w:r w:rsidRPr="00B7760C">
              <w:rPr>
                <w:b/>
                <w:bCs/>
                <w:i/>
                <w:iCs/>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13BACD17"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2692EFC2"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32BC7E53" w14:textId="77777777" w:rsidR="003663AF" w:rsidRPr="00B7760C" w:rsidRDefault="003663AF" w:rsidP="00E804B7">
            <w:pPr>
              <w:pStyle w:val="Normal6"/>
              <w:rPr>
                <w:rStyle w:val="DeltaViewInsertion"/>
                <w:color w:val="auto"/>
              </w:rPr>
            </w:pPr>
            <w:r w:rsidRPr="00B7760C">
              <w:rPr>
                <w:sz w:val="20"/>
              </w:rPr>
              <w:t>Bolgarija</w:t>
            </w:r>
          </w:p>
        </w:tc>
        <w:tc>
          <w:tcPr>
            <w:tcW w:w="1560" w:type="dxa"/>
            <w:tcBorders>
              <w:top w:val="single" w:sz="4" w:space="0" w:color="auto"/>
              <w:left w:val="single" w:sz="4" w:space="0" w:color="auto"/>
              <w:bottom w:val="single" w:sz="4" w:space="0" w:color="auto"/>
              <w:right w:val="single" w:sz="4" w:space="0" w:color="auto"/>
            </w:tcBorders>
            <w:hideMark/>
          </w:tcPr>
          <w:p w14:paraId="0446FC11" w14:textId="77777777" w:rsidR="003663AF" w:rsidRPr="00B7760C" w:rsidRDefault="003663AF" w:rsidP="00E804B7">
            <w:pPr>
              <w:pStyle w:val="Normal6"/>
              <w:jc w:val="right"/>
            </w:pPr>
            <w:r w:rsidRPr="00B7760C">
              <w:rPr>
                <w:b/>
                <w:bCs/>
                <w:i/>
                <w:iCs/>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3240C5BC"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79EE818E"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4DED10A2"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1AA3EDFF" w14:textId="77777777" w:rsidR="003663AF" w:rsidRPr="00B7760C" w:rsidRDefault="003663AF" w:rsidP="00E804B7">
            <w:pPr>
              <w:pStyle w:val="Normal6"/>
              <w:jc w:val="right"/>
              <w:rPr>
                <w:b/>
                <w:bCs/>
                <w:i/>
                <w:iCs/>
                <w:sz w:val="20"/>
              </w:rPr>
            </w:pPr>
            <w:r w:rsidRPr="00B7760C">
              <w:rPr>
                <w:b/>
                <w:bCs/>
                <w:i/>
                <w:iCs/>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1DEE0CA1" w14:textId="77777777" w:rsidR="003663AF" w:rsidRPr="00B7760C" w:rsidRDefault="003663AF" w:rsidP="00E804B7">
            <w:pPr>
              <w:pStyle w:val="Normal6"/>
              <w:jc w:val="right"/>
              <w:rPr>
                <w:b/>
                <w:bCs/>
                <w:i/>
                <w:iCs/>
                <w:sz w:val="20"/>
              </w:rPr>
            </w:pPr>
            <w:r w:rsidRPr="00B7760C">
              <w:rPr>
                <w:b/>
                <w:bCs/>
                <w:i/>
                <w:iCs/>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506750C8"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5D293525" w14:textId="77777777" w:rsidTr="00E804B7">
        <w:trPr>
          <w:cantSplit/>
          <w:trHeight w:val="497"/>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6E04BCEA" w14:textId="77777777" w:rsidR="003663AF" w:rsidRPr="00B7760C" w:rsidRDefault="003663AF" w:rsidP="00E804B7">
            <w:pPr>
              <w:pStyle w:val="Normal6"/>
              <w:rPr>
                <w:rStyle w:val="DeltaViewInsertion"/>
                <w:color w:val="auto"/>
              </w:rPr>
            </w:pPr>
            <w:r w:rsidRPr="00B7760C">
              <w:rPr>
                <w:sz w:val="20"/>
              </w:rPr>
              <w:t>Češka</w:t>
            </w:r>
          </w:p>
        </w:tc>
        <w:tc>
          <w:tcPr>
            <w:tcW w:w="1560" w:type="dxa"/>
            <w:tcBorders>
              <w:top w:val="single" w:sz="4" w:space="0" w:color="auto"/>
              <w:left w:val="single" w:sz="4" w:space="0" w:color="auto"/>
              <w:bottom w:val="single" w:sz="4" w:space="0" w:color="auto"/>
              <w:right w:val="single" w:sz="4" w:space="0" w:color="auto"/>
            </w:tcBorders>
            <w:hideMark/>
          </w:tcPr>
          <w:p w14:paraId="46D05C3C" w14:textId="77777777" w:rsidR="003663AF" w:rsidRPr="00B7760C" w:rsidRDefault="003663AF" w:rsidP="00E804B7">
            <w:pPr>
              <w:pStyle w:val="Normal6"/>
              <w:jc w:val="right"/>
            </w:pPr>
            <w:r w:rsidRPr="00B7760C">
              <w:rPr>
                <w:b/>
                <w:bCs/>
                <w:i/>
                <w:iCs/>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426F541F"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43FAF96F"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0E3FFECE"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481ED264" w14:textId="77777777" w:rsidR="003663AF" w:rsidRPr="00B7760C" w:rsidRDefault="003663AF" w:rsidP="00E804B7">
            <w:pPr>
              <w:pStyle w:val="Normal6"/>
              <w:jc w:val="right"/>
              <w:rPr>
                <w:b/>
                <w:bCs/>
                <w:i/>
                <w:iCs/>
                <w:sz w:val="20"/>
              </w:rPr>
            </w:pPr>
            <w:r w:rsidRPr="00B7760C">
              <w:rPr>
                <w:b/>
                <w:bCs/>
                <w:i/>
                <w:iCs/>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617A30F3" w14:textId="77777777" w:rsidR="003663AF" w:rsidRPr="00B7760C" w:rsidRDefault="003663AF" w:rsidP="00E804B7">
            <w:pPr>
              <w:pStyle w:val="Normal6"/>
              <w:jc w:val="right"/>
              <w:rPr>
                <w:b/>
                <w:bCs/>
                <w:i/>
                <w:iCs/>
                <w:sz w:val="20"/>
              </w:rPr>
            </w:pPr>
            <w:r w:rsidRPr="00B7760C">
              <w:rPr>
                <w:b/>
                <w:bCs/>
                <w:i/>
                <w:iCs/>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27B4C653"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4CEAD8DF"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10E8A1DD" w14:textId="77777777" w:rsidR="003663AF" w:rsidRPr="00B7760C" w:rsidRDefault="003663AF" w:rsidP="00E804B7">
            <w:pPr>
              <w:pStyle w:val="Normal6"/>
              <w:rPr>
                <w:rStyle w:val="DeltaViewInsertion"/>
                <w:color w:val="auto"/>
              </w:rPr>
            </w:pPr>
            <w:r w:rsidRPr="00B7760C">
              <w:rPr>
                <w:sz w:val="20"/>
              </w:rPr>
              <w:t>Danska</w:t>
            </w:r>
          </w:p>
        </w:tc>
        <w:tc>
          <w:tcPr>
            <w:tcW w:w="1560" w:type="dxa"/>
            <w:tcBorders>
              <w:top w:val="single" w:sz="4" w:space="0" w:color="auto"/>
              <w:left w:val="single" w:sz="4" w:space="0" w:color="auto"/>
              <w:bottom w:val="single" w:sz="4" w:space="0" w:color="auto"/>
              <w:right w:val="single" w:sz="4" w:space="0" w:color="auto"/>
            </w:tcBorders>
            <w:hideMark/>
          </w:tcPr>
          <w:p w14:paraId="47965175" w14:textId="77777777" w:rsidR="003663AF" w:rsidRPr="00B7760C" w:rsidRDefault="003663AF" w:rsidP="00E804B7">
            <w:pPr>
              <w:pStyle w:val="Normal6"/>
              <w:jc w:val="right"/>
            </w:pPr>
            <w:r w:rsidRPr="00B7760C">
              <w:rPr>
                <w:b/>
                <w:bCs/>
                <w:i/>
                <w:iCs/>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6CBFDBDB"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17623F0C"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2F1964C9"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7C3C3A0C" w14:textId="77777777" w:rsidR="003663AF" w:rsidRPr="00B7760C" w:rsidRDefault="003663AF" w:rsidP="00E804B7">
            <w:pPr>
              <w:pStyle w:val="Normal6"/>
              <w:jc w:val="right"/>
              <w:rPr>
                <w:b/>
                <w:bCs/>
                <w:i/>
                <w:iCs/>
                <w:sz w:val="20"/>
              </w:rPr>
            </w:pPr>
            <w:r w:rsidRPr="00B7760C">
              <w:rPr>
                <w:b/>
                <w:bCs/>
                <w:i/>
                <w:iCs/>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2D8BE60E" w14:textId="77777777" w:rsidR="003663AF" w:rsidRPr="00B7760C" w:rsidRDefault="003663AF" w:rsidP="00E804B7">
            <w:pPr>
              <w:pStyle w:val="Normal6"/>
              <w:jc w:val="right"/>
              <w:rPr>
                <w:b/>
                <w:bCs/>
                <w:i/>
                <w:iCs/>
                <w:sz w:val="20"/>
              </w:rPr>
            </w:pPr>
            <w:r w:rsidRPr="00B7760C">
              <w:rPr>
                <w:b/>
                <w:bCs/>
                <w:i/>
                <w:iCs/>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6B057F20"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53746A46"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688ED2BA" w14:textId="77777777" w:rsidR="003663AF" w:rsidRPr="00B7760C" w:rsidRDefault="003663AF" w:rsidP="00E804B7">
            <w:pPr>
              <w:pStyle w:val="Normal6"/>
              <w:rPr>
                <w:rStyle w:val="DeltaViewInsertion"/>
                <w:color w:val="auto"/>
              </w:rPr>
            </w:pPr>
            <w:r w:rsidRPr="00B7760C">
              <w:rPr>
                <w:sz w:val="20"/>
              </w:rPr>
              <w:t>Nemčija</w:t>
            </w:r>
          </w:p>
        </w:tc>
        <w:tc>
          <w:tcPr>
            <w:tcW w:w="1560" w:type="dxa"/>
            <w:tcBorders>
              <w:top w:val="single" w:sz="4" w:space="0" w:color="auto"/>
              <w:left w:val="single" w:sz="4" w:space="0" w:color="auto"/>
              <w:bottom w:val="single" w:sz="4" w:space="0" w:color="auto"/>
              <w:right w:val="single" w:sz="4" w:space="0" w:color="auto"/>
            </w:tcBorders>
            <w:hideMark/>
          </w:tcPr>
          <w:p w14:paraId="4A37231B" w14:textId="77777777" w:rsidR="003663AF" w:rsidRPr="00B7760C" w:rsidRDefault="003663AF" w:rsidP="00E804B7">
            <w:pPr>
              <w:pStyle w:val="Normal6"/>
              <w:jc w:val="right"/>
            </w:pPr>
            <w:r w:rsidRPr="00B7760C">
              <w:rPr>
                <w:b/>
                <w:bCs/>
                <w:i/>
                <w:iCs/>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404A8E1D"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073AB712"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728DDA6B"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47013381" w14:textId="77777777" w:rsidR="003663AF" w:rsidRPr="00B7760C" w:rsidRDefault="003663AF" w:rsidP="00E804B7">
            <w:pPr>
              <w:pStyle w:val="Normal6"/>
              <w:jc w:val="right"/>
              <w:rPr>
                <w:b/>
                <w:bCs/>
                <w:i/>
                <w:iCs/>
                <w:sz w:val="20"/>
              </w:rPr>
            </w:pPr>
            <w:r w:rsidRPr="00B7760C">
              <w:rPr>
                <w:b/>
                <w:bCs/>
                <w:i/>
                <w:iCs/>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1421C6CA" w14:textId="77777777" w:rsidR="003663AF" w:rsidRPr="00B7760C" w:rsidRDefault="003663AF" w:rsidP="00E804B7">
            <w:pPr>
              <w:pStyle w:val="Normal6"/>
              <w:jc w:val="right"/>
              <w:rPr>
                <w:b/>
                <w:bCs/>
                <w:i/>
                <w:iCs/>
                <w:sz w:val="20"/>
              </w:rPr>
            </w:pPr>
            <w:r w:rsidRPr="00B7760C">
              <w:rPr>
                <w:b/>
                <w:bCs/>
                <w:i/>
                <w:iCs/>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6ED3EE93"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679AD1B4"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341DD66C" w14:textId="77777777" w:rsidR="003663AF" w:rsidRPr="00B7760C" w:rsidRDefault="003663AF" w:rsidP="00E804B7">
            <w:pPr>
              <w:pStyle w:val="Normal6"/>
              <w:rPr>
                <w:rStyle w:val="DeltaViewInsertion"/>
                <w:color w:val="auto"/>
              </w:rPr>
            </w:pPr>
            <w:r w:rsidRPr="00B7760C">
              <w:rPr>
                <w:sz w:val="20"/>
              </w:rPr>
              <w:t>Estonija</w:t>
            </w:r>
          </w:p>
        </w:tc>
        <w:tc>
          <w:tcPr>
            <w:tcW w:w="1560" w:type="dxa"/>
            <w:tcBorders>
              <w:top w:val="single" w:sz="4" w:space="0" w:color="auto"/>
              <w:left w:val="single" w:sz="4" w:space="0" w:color="auto"/>
              <w:bottom w:val="single" w:sz="4" w:space="0" w:color="auto"/>
              <w:right w:val="single" w:sz="4" w:space="0" w:color="auto"/>
            </w:tcBorders>
            <w:hideMark/>
          </w:tcPr>
          <w:p w14:paraId="77B7C2A6" w14:textId="77777777" w:rsidR="003663AF" w:rsidRPr="00B7760C" w:rsidRDefault="003663AF" w:rsidP="00E804B7">
            <w:pPr>
              <w:pStyle w:val="Normal6"/>
              <w:jc w:val="right"/>
            </w:pPr>
            <w:r w:rsidRPr="00B7760C">
              <w:rPr>
                <w:b/>
                <w:bCs/>
                <w:i/>
                <w:iCs/>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5FB35D34"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7F0B7A50"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76605AE0"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698B417A" w14:textId="77777777" w:rsidR="003663AF" w:rsidRPr="00B7760C" w:rsidRDefault="003663AF" w:rsidP="00E804B7">
            <w:pPr>
              <w:pStyle w:val="Normal6"/>
              <w:jc w:val="right"/>
              <w:rPr>
                <w:b/>
                <w:bCs/>
                <w:i/>
                <w:iCs/>
                <w:sz w:val="20"/>
              </w:rPr>
            </w:pPr>
            <w:r w:rsidRPr="00B7760C">
              <w:rPr>
                <w:b/>
                <w:bCs/>
                <w:i/>
                <w:iCs/>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1E5BDA23" w14:textId="77777777" w:rsidR="003663AF" w:rsidRPr="00B7760C" w:rsidRDefault="003663AF" w:rsidP="00E804B7">
            <w:pPr>
              <w:pStyle w:val="Normal6"/>
              <w:jc w:val="right"/>
              <w:rPr>
                <w:b/>
                <w:bCs/>
                <w:i/>
                <w:iCs/>
                <w:sz w:val="20"/>
              </w:rPr>
            </w:pPr>
            <w:r w:rsidRPr="00B7760C">
              <w:rPr>
                <w:b/>
                <w:bCs/>
                <w:i/>
                <w:iCs/>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44CC2B02"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6581868B"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396BC866" w14:textId="77777777" w:rsidR="003663AF" w:rsidRPr="00B7760C" w:rsidRDefault="003663AF" w:rsidP="00E804B7">
            <w:pPr>
              <w:pStyle w:val="Normal6"/>
              <w:rPr>
                <w:rStyle w:val="DeltaViewInsertion"/>
                <w:color w:val="auto"/>
              </w:rPr>
            </w:pPr>
            <w:r w:rsidRPr="00B7760C">
              <w:rPr>
                <w:sz w:val="20"/>
              </w:rPr>
              <w:t>Irska</w:t>
            </w:r>
          </w:p>
        </w:tc>
        <w:tc>
          <w:tcPr>
            <w:tcW w:w="1560" w:type="dxa"/>
            <w:tcBorders>
              <w:top w:val="single" w:sz="4" w:space="0" w:color="auto"/>
              <w:left w:val="single" w:sz="4" w:space="0" w:color="auto"/>
              <w:bottom w:val="single" w:sz="4" w:space="0" w:color="auto"/>
              <w:right w:val="single" w:sz="4" w:space="0" w:color="auto"/>
            </w:tcBorders>
            <w:hideMark/>
          </w:tcPr>
          <w:p w14:paraId="76F3BB02" w14:textId="77777777" w:rsidR="003663AF" w:rsidRPr="00B7760C" w:rsidRDefault="003663AF" w:rsidP="00E804B7">
            <w:pPr>
              <w:pStyle w:val="Normal6"/>
              <w:jc w:val="right"/>
            </w:pPr>
            <w:r w:rsidRPr="00B7760C">
              <w:rPr>
                <w:b/>
                <w:bCs/>
                <w:i/>
                <w:iCs/>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7F5A2047"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3F953B01"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5B056EE7"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7A7C7014" w14:textId="77777777" w:rsidR="003663AF" w:rsidRPr="00B7760C" w:rsidRDefault="003663AF" w:rsidP="00E804B7">
            <w:pPr>
              <w:pStyle w:val="Normal6"/>
              <w:jc w:val="right"/>
              <w:rPr>
                <w:b/>
                <w:bCs/>
                <w:i/>
                <w:iCs/>
                <w:sz w:val="20"/>
              </w:rPr>
            </w:pPr>
            <w:r w:rsidRPr="00B7760C">
              <w:rPr>
                <w:b/>
                <w:bCs/>
                <w:i/>
                <w:iCs/>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12E49924" w14:textId="77777777" w:rsidR="003663AF" w:rsidRPr="00B7760C" w:rsidRDefault="003663AF" w:rsidP="00E804B7">
            <w:pPr>
              <w:pStyle w:val="Normal6"/>
              <w:jc w:val="right"/>
              <w:rPr>
                <w:b/>
                <w:bCs/>
                <w:i/>
                <w:iCs/>
                <w:sz w:val="20"/>
              </w:rPr>
            </w:pPr>
            <w:r w:rsidRPr="00B7760C">
              <w:rPr>
                <w:b/>
                <w:bCs/>
                <w:i/>
                <w:iCs/>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66D3C6E1"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474EC828"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35137669" w14:textId="77777777" w:rsidR="003663AF" w:rsidRPr="00B7760C" w:rsidRDefault="003663AF" w:rsidP="00E804B7">
            <w:pPr>
              <w:pStyle w:val="Normal6"/>
              <w:rPr>
                <w:rStyle w:val="DeltaViewInsertion"/>
                <w:color w:val="auto"/>
              </w:rPr>
            </w:pPr>
            <w:r w:rsidRPr="00B7760C">
              <w:rPr>
                <w:sz w:val="20"/>
              </w:rPr>
              <w:t>Grčija</w:t>
            </w:r>
          </w:p>
        </w:tc>
        <w:tc>
          <w:tcPr>
            <w:tcW w:w="1560" w:type="dxa"/>
            <w:tcBorders>
              <w:top w:val="single" w:sz="4" w:space="0" w:color="auto"/>
              <w:left w:val="single" w:sz="4" w:space="0" w:color="auto"/>
              <w:bottom w:val="single" w:sz="4" w:space="0" w:color="auto"/>
              <w:right w:val="single" w:sz="4" w:space="0" w:color="auto"/>
            </w:tcBorders>
            <w:hideMark/>
          </w:tcPr>
          <w:p w14:paraId="46B273E9" w14:textId="77777777" w:rsidR="003663AF" w:rsidRPr="00B7760C" w:rsidRDefault="003663AF" w:rsidP="00E804B7">
            <w:pPr>
              <w:pStyle w:val="Normal6"/>
              <w:jc w:val="right"/>
            </w:pPr>
            <w:r w:rsidRPr="00B7760C">
              <w:rPr>
                <w:b/>
                <w:bCs/>
                <w:i/>
                <w:iCs/>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47157C59"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1E503FD8"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07AE0F53"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3B8E8C10" w14:textId="77777777" w:rsidR="003663AF" w:rsidRPr="00B7760C" w:rsidRDefault="003663AF" w:rsidP="00E804B7">
            <w:pPr>
              <w:pStyle w:val="Normal6"/>
              <w:jc w:val="right"/>
              <w:rPr>
                <w:b/>
                <w:bCs/>
                <w:i/>
                <w:iCs/>
                <w:sz w:val="20"/>
              </w:rPr>
            </w:pPr>
            <w:r w:rsidRPr="00B7760C">
              <w:rPr>
                <w:b/>
                <w:bCs/>
                <w:i/>
                <w:iCs/>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66A02265" w14:textId="77777777" w:rsidR="003663AF" w:rsidRPr="00B7760C" w:rsidRDefault="003663AF" w:rsidP="00E804B7">
            <w:pPr>
              <w:pStyle w:val="Normal6"/>
              <w:jc w:val="right"/>
              <w:rPr>
                <w:b/>
                <w:bCs/>
                <w:i/>
                <w:iCs/>
                <w:sz w:val="20"/>
              </w:rPr>
            </w:pPr>
            <w:r w:rsidRPr="00B7760C">
              <w:rPr>
                <w:b/>
                <w:bCs/>
                <w:i/>
                <w:iCs/>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28545BB4"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25933E31"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3461701D" w14:textId="77777777" w:rsidR="003663AF" w:rsidRPr="00B7760C" w:rsidRDefault="003663AF" w:rsidP="00E804B7">
            <w:pPr>
              <w:pStyle w:val="Normal6"/>
              <w:rPr>
                <w:rStyle w:val="DeltaViewInsertion"/>
                <w:color w:val="auto"/>
              </w:rPr>
            </w:pPr>
            <w:r w:rsidRPr="00B7760C">
              <w:rPr>
                <w:sz w:val="20"/>
              </w:rPr>
              <w:t>Španija</w:t>
            </w:r>
          </w:p>
        </w:tc>
        <w:tc>
          <w:tcPr>
            <w:tcW w:w="1560" w:type="dxa"/>
            <w:tcBorders>
              <w:top w:val="single" w:sz="4" w:space="0" w:color="auto"/>
              <w:left w:val="single" w:sz="4" w:space="0" w:color="auto"/>
              <w:bottom w:val="single" w:sz="4" w:space="0" w:color="auto"/>
              <w:right w:val="single" w:sz="4" w:space="0" w:color="auto"/>
            </w:tcBorders>
            <w:hideMark/>
          </w:tcPr>
          <w:p w14:paraId="1916CA40" w14:textId="77777777" w:rsidR="003663AF" w:rsidRPr="00B7760C" w:rsidRDefault="003663AF" w:rsidP="00E804B7">
            <w:pPr>
              <w:pStyle w:val="Normal6"/>
              <w:jc w:val="right"/>
            </w:pPr>
            <w:r w:rsidRPr="00B7760C">
              <w:rPr>
                <w:b/>
                <w:bCs/>
                <w:i/>
                <w:iCs/>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1A59B831"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7EFBF974"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239DC630"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76C8DA67" w14:textId="77777777" w:rsidR="003663AF" w:rsidRPr="00B7760C" w:rsidRDefault="003663AF" w:rsidP="00E804B7">
            <w:pPr>
              <w:pStyle w:val="Normal6"/>
              <w:jc w:val="right"/>
              <w:rPr>
                <w:b/>
                <w:bCs/>
                <w:i/>
                <w:iCs/>
                <w:sz w:val="20"/>
              </w:rPr>
            </w:pPr>
            <w:r w:rsidRPr="00B7760C">
              <w:rPr>
                <w:b/>
                <w:bCs/>
                <w:i/>
                <w:iCs/>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126F9FC0" w14:textId="77777777" w:rsidR="003663AF" w:rsidRPr="00B7760C" w:rsidRDefault="003663AF" w:rsidP="00E804B7">
            <w:pPr>
              <w:pStyle w:val="Normal6"/>
              <w:jc w:val="right"/>
              <w:rPr>
                <w:b/>
                <w:bCs/>
                <w:i/>
                <w:iCs/>
                <w:sz w:val="20"/>
              </w:rPr>
            </w:pPr>
            <w:r w:rsidRPr="00B7760C">
              <w:rPr>
                <w:b/>
                <w:bCs/>
                <w:i/>
                <w:iCs/>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5F5045D1"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6FD38D69"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1CC59A6C" w14:textId="77777777" w:rsidR="003663AF" w:rsidRPr="00B7760C" w:rsidRDefault="003663AF" w:rsidP="00E804B7">
            <w:pPr>
              <w:pStyle w:val="Normal6"/>
              <w:rPr>
                <w:rStyle w:val="DeltaViewInsertion"/>
                <w:color w:val="auto"/>
              </w:rPr>
            </w:pPr>
            <w:r w:rsidRPr="00B7760C">
              <w:rPr>
                <w:sz w:val="20"/>
              </w:rPr>
              <w:t>Francija</w:t>
            </w:r>
          </w:p>
        </w:tc>
        <w:tc>
          <w:tcPr>
            <w:tcW w:w="1560" w:type="dxa"/>
            <w:tcBorders>
              <w:top w:val="single" w:sz="4" w:space="0" w:color="auto"/>
              <w:left w:val="single" w:sz="4" w:space="0" w:color="auto"/>
              <w:bottom w:val="single" w:sz="4" w:space="0" w:color="auto"/>
              <w:right w:val="single" w:sz="4" w:space="0" w:color="auto"/>
            </w:tcBorders>
            <w:hideMark/>
          </w:tcPr>
          <w:p w14:paraId="63C1D2AF" w14:textId="77777777" w:rsidR="003663AF" w:rsidRPr="00B7760C" w:rsidRDefault="003663AF" w:rsidP="00E804B7">
            <w:pPr>
              <w:pStyle w:val="Normal6"/>
              <w:jc w:val="right"/>
            </w:pPr>
            <w:r w:rsidRPr="00B7760C">
              <w:rPr>
                <w:b/>
                <w:bCs/>
                <w:i/>
                <w:iCs/>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1DBC7F49"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636BC2B9"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381A1DAE"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5CF17A52" w14:textId="77777777" w:rsidR="003663AF" w:rsidRPr="00B7760C" w:rsidRDefault="003663AF" w:rsidP="00E804B7">
            <w:pPr>
              <w:pStyle w:val="Normal6"/>
              <w:jc w:val="right"/>
              <w:rPr>
                <w:b/>
                <w:bCs/>
                <w:i/>
                <w:iCs/>
                <w:sz w:val="20"/>
              </w:rPr>
            </w:pPr>
            <w:r w:rsidRPr="00B7760C">
              <w:rPr>
                <w:b/>
                <w:bCs/>
                <w:i/>
                <w:iCs/>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36EE7B06" w14:textId="77777777" w:rsidR="003663AF" w:rsidRPr="00B7760C" w:rsidRDefault="003663AF" w:rsidP="00E804B7">
            <w:pPr>
              <w:pStyle w:val="Normal6"/>
              <w:jc w:val="right"/>
              <w:rPr>
                <w:b/>
                <w:bCs/>
                <w:i/>
                <w:iCs/>
                <w:sz w:val="20"/>
              </w:rPr>
            </w:pPr>
            <w:r w:rsidRPr="00B7760C">
              <w:rPr>
                <w:b/>
                <w:bCs/>
                <w:i/>
                <w:iCs/>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75F269D8"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33A2FF8E"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21E4DE6C" w14:textId="77777777" w:rsidR="003663AF" w:rsidRPr="00B7760C" w:rsidRDefault="003663AF" w:rsidP="00E804B7">
            <w:pPr>
              <w:pStyle w:val="Normal6"/>
              <w:rPr>
                <w:rStyle w:val="DeltaViewInsertion"/>
                <w:color w:val="auto"/>
              </w:rPr>
            </w:pPr>
            <w:r w:rsidRPr="00B7760C">
              <w:rPr>
                <w:sz w:val="20"/>
              </w:rPr>
              <w:t>Hrvaška</w:t>
            </w:r>
          </w:p>
        </w:tc>
        <w:tc>
          <w:tcPr>
            <w:tcW w:w="1560" w:type="dxa"/>
            <w:tcBorders>
              <w:top w:val="single" w:sz="4" w:space="0" w:color="auto"/>
              <w:left w:val="single" w:sz="4" w:space="0" w:color="auto"/>
              <w:bottom w:val="single" w:sz="4" w:space="0" w:color="auto"/>
              <w:right w:val="single" w:sz="4" w:space="0" w:color="auto"/>
            </w:tcBorders>
            <w:hideMark/>
          </w:tcPr>
          <w:p w14:paraId="643590A7" w14:textId="77777777" w:rsidR="003663AF" w:rsidRPr="00B7760C" w:rsidRDefault="003663AF" w:rsidP="00E804B7">
            <w:pPr>
              <w:pStyle w:val="Normal6"/>
              <w:jc w:val="right"/>
            </w:pPr>
            <w:r w:rsidRPr="00B7760C">
              <w:rPr>
                <w:b/>
                <w:bCs/>
                <w:i/>
                <w:iCs/>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75FB3214"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40BD1A2F"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31A24CB9"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3A663245" w14:textId="77777777" w:rsidR="003663AF" w:rsidRPr="00B7760C" w:rsidRDefault="003663AF" w:rsidP="00E804B7">
            <w:pPr>
              <w:pStyle w:val="Normal6"/>
              <w:jc w:val="right"/>
              <w:rPr>
                <w:b/>
                <w:bCs/>
                <w:i/>
                <w:iCs/>
                <w:sz w:val="20"/>
              </w:rPr>
            </w:pPr>
            <w:r w:rsidRPr="00B7760C">
              <w:rPr>
                <w:b/>
                <w:bCs/>
                <w:i/>
                <w:iCs/>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7DA34B77" w14:textId="77777777" w:rsidR="003663AF" w:rsidRPr="00B7760C" w:rsidRDefault="003663AF" w:rsidP="00E804B7">
            <w:pPr>
              <w:pStyle w:val="Normal6"/>
              <w:jc w:val="right"/>
              <w:rPr>
                <w:b/>
                <w:bCs/>
                <w:i/>
                <w:iCs/>
                <w:sz w:val="20"/>
              </w:rPr>
            </w:pPr>
            <w:r w:rsidRPr="00B7760C">
              <w:rPr>
                <w:b/>
                <w:bCs/>
                <w:i/>
                <w:iCs/>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7C932297"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0A0DD393"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0F32B871" w14:textId="77777777" w:rsidR="003663AF" w:rsidRPr="00B7760C" w:rsidRDefault="003663AF" w:rsidP="00E804B7">
            <w:pPr>
              <w:pStyle w:val="Normal6"/>
              <w:rPr>
                <w:rStyle w:val="DeltaViewInsertion"/>
                <w:color w:val="auto"/>
              </w:rPr>
            </w:pPr>
            <w:r w:rsidRPr="00B7760C">
              <w:rPr>
                <w:sz w:val="20"/>
              </w:rPr>
              <w:t>Italija</w:t>
            </w:r>
          </w:p>
        </w:tc>
        <w:tc>
          <w:tcPr>
            <w:tcW w:w="1560" w:type="dxa"/>
            <w:tcBorders>
              <w:top w:val="single" w:sz="4" w:space="0" w:color="auto"/>
              <w:left w:val="single" w:sz="4" w:space="0" w:color="auto"/>
              <w:bottom w:val="single" w:sz="4" w:space="0" w:color="auto"/>
              <w:right w:val="single" w:sz="4" w:space="0" w:color="auto"/>
            </w:tcBorders>
            <w:hideMark/>
          </w:tcPr>
          <w:p w14:paraId="27DA6FF7" w14:textId="77777777" w:rsidR="003663AF" w:rsidRPr="00B7760C" w:rsidRDefault="003663AF" w:rsidP="00E804B7">
            <w:pPr>
              <w:pStyle w:val="Normal6"/>
              <w:jc w:val="right"/>
            </w:pPr>
            <w:r w:rsidRPr="00B7760C">
              <w:rPr>
                <w:b/>
                <w:bCs/>
                <w:i/>
                <w:iCs/>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020610F4"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3DC51949"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4D67EBA6"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26C81FE4" w14:textId="77777777" w:rsidR="003663AF" w:rsidRPr="00B7760C" w:rsidRDefault="003663AF" w:rsidP="00E804B7">
            <w:pPr>
              <w:pStyle w:val="Normal6"/>
              <w:jc w:val="right"/>
              <w:rPr>
                <w:b/>
                <w:bCs/>
                <w:i/>
                <w:iCs/>
                <w:sz w:val="20"/>
              </w:rPr>
            </w:pPr>
            <w:r w:rsidRPr="00B7760C">
              <w:rPr>
                <w:b/>
                <w:bCs/>
                <w:i/>
                <w:iCs/>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667C2679" w14:textId="77777777" w:rsidR="003663AF" w:rsidRPr="00B7760C" w:rsidRDefault="003663AF" w:rsidP="00E804B7">
            <w:pPr>
              <w:pStyle w:val="Normal6"/>
              <w:jc w:val="right"/>
              <w:rPr>
                <w:b/>
                <w:bCs/>
                <w:i/>
                <w:iCs/>
                <w:sz w:val="20"/>
              </w:rPr>
            </w:pPr>
            <w:r w:rsidRPr="00B7760C">
              <w:rPr>
                <w:b/>
                <w:bCs/>
                <w:i/>
                <w:iCs/>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43DCD616"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07C3B885"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4F7A701D" w14:textId="77777777" w:rsidR="003663AF" w:rsidRPr="00B7760C" w:rsidRDefault="003663AF" w:rsidP="00E804B7">
            <w:pPr>
              <w:pStyle w:val="Normal6"/>
              <w:rPr>
                <w:rStyle w:val="DeltaViewInsertion"/>
                <w:color w:val="auto"/>
              </w:rPr>
            </w:pPr>
            <w:r w:rsidRPr="00B7760C">
              <w:rPr>
                <w:sz w:val="20"/>
              </w:rPr>
              <w:t>Ciper</w:t>
            </w:r>
          </w:p>
        </w:tc>
        <w:tc>
          <w:tcPr>
            <w:tcW w:w="1560" w:type="dxa"/>
            <w:tcBorders>
              <w:top w:val="single" w:sz="4" w:space="0" w:color="auto"/>
              <w:left w:val="single" w:sz="4" w:space="0" w:color="auto"/>
              <w:bottom w:val="single" w:sz="4" w:space="0" w:color="auto"/>
              <w:right w:val="single" w:sz="4" w:space="0" w:color="auto"/>
            </w:tcBorders>
            <w:hideMark/>
          </w:tcPr>
          <w:p w14:paraId="272BEDD7" w14:textId="77777777" w:rsidR="003663AF" w:rsidRPr="00B7760C" w:rsidRDefault="003663AF" w:rsidP="00E804B7">
            <w:pPr>
              <w:pStyle w:val="Normal6"/>
              <w:jc w:val="right"/>
            </w:pPr>
            <w:r w:rsidRPr="00B7760C">
              <w:rPr>
                <w:b/>
                <w:bCs/>
                <w:i/>
                <w:iCs/>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5B501AC2"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2B1F7386"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709F967F"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355D7688" w14:textId="77777777" w:rsidR="003663AF" w:rsidRPr="00B7760C" w:rsidRDefault="003663AF" w:rsidP="00E804B7">
            <w:pPr>
              <w:pStyle w:val="Normal6"/>
              <w:jc w:val="right"/>
              <w:rPr>
                <w:b/>
                <w:bCs/>
                <w:i/>
                <w:iCs/>
                <w:sz w:val="20"/>
              </w:rPr>
            </w:pPr>
            <w:r w:rsidRPr="00B7760C">
              <w:rPr>
                <w:b/>
                <w:bCs/>
                <w:i/>
                <w:iCs/>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5D990490" w14:textId="77777777" w:rsidR="003663AF" w:rsidRPr="00B7760C" w:rsidRDefault="003663AF" w:rsidP="00E804B7">
            <w:pPr>
              <w:pStyle w:val="Normal6"/>
              <w:jc w:val="right"/>
              <w:rPr>
                <w:b/>
                <w:bCs/>
                <w:i/>
                <w:iCs/>
                <w:sz w:val="20"/>
              </w:rPr>
            </w:pPr>
            <w:r w:rsidRPr="00B7760C">
              <w:rPr>
                <w:b/>
                <w:bCs/>
                <w:i/>
                <w:iCs/>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5250FB40"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55E94B0B"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7A8A79DD" w14:textId="77777777" w:rsidR="003663AF" w:rsidRPr="00B7760C" w:rsidRDefault="003663AF" w:rsidP="00E804B7">
            <w:pPr>
              <w:pStyle w:val="Normal6"/>
              <w:rPr>
                <w:rStyle w:val="DeltaViewInsertion"/>
                <w:color w:val="auto"/>
              </w:rPr>
            </w:pPr>
            <w:r w:rsidRPr="00B7760C">
              <w:rPr>
                <w:sz w:val="20"/>
              </w:rPr>
              <w:t>Latvija</w:t>
            </w:r>
          </w:p>
        </w:tc>
        <w:tc>
          <w:tcPr>
            <w:tcW w:w="1560" w:type="dxa"/>
            <w:tcBorders>
              <w:top w:val="single" w:sz="4" w:space="0" w:color="auto"/>
              <w:left w:val="single" w:sz="4" w:space="0" w:color="auto"/>
              <w:bottom w:val="single" w:sz="4" w:space="0" w:color="auto"/>
              <w:right w:val="single" w:sz="4" w:space="0" w:color="auto"/>
            </w:tcBorders>
            <w:hideMark/>
          </w:tcPr>
          <w:p w14:paraId="2D72124A" w14:textId="77777777" w:rsidR="003663AF" w:rsidRPr="00B7760C" w:rsidRDefault="003663AF" w:rsidP="00E804B7">
            <w:pPr>
              <w:pStyle w:val="Normal6"/>
              <w:jc w:val="right"/>
            </w:pPr>
            <w:r w:rsidRPr="00B7760C">
              <w:rPr>
                <w:b/>
                <w:bCs/>
                <w:i/>
                <w:iCs/>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0C34763B"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53A864A3"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7E29ABAF"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1FAC5D0D" w14:textId="77777777" w:rsidR="003663AF" w:rsidRPr="00B7760C" w:rsidRDefault="003663AF" w:rsidP="00E804B7">
            <w:pPr>
              <w:pStyle w:val="Normal6"/>
              <w:jc w:val="right"/>
              <w:rPr>
                <w:b/>
                <w:bCs/>
                <w:i/>
                <w:iCs/>
                <w:sz w:val="20"/>
              </w:rPr>
            </w:pPr>
            <w:r w:rsidRPr="00B7760C">
              <w:rPr>
                <w:b/>
                <w:bCs/>
                <w:i/>
                <w:iCs/>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327A7498" w14:textId="77777777" w:rsidR="003663AF" w:rsidRPr="00B7760C" w:rsidRDefault="003663AF" w:rsidP="00E804B7">
            <w:pPr>
              <w:pStyle w:val="Normal6"/>
              <w:jc w:val="right"/>
              <w:rPr>
                <w:b/>
                <w:bCs/>
                <w:i/>
                <w:iCs/>
                <w:sz w:val="20"/>
              </w:rPr>
            </w:pPr>
            <w:r w:rsidRPr="00B7760C">
              <w:rPr>
                <w:b/>
                <w:bCs/>
                <w:i/>
                <w:iCs/>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1ED7BFE4"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77561DB7"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71F0CE31" w14:textId="77777777" w:rsidR="003663AF" w:rsidRPr="00B7760C" w:rsidRDefault="003663AF" w:rsidP="00E804B7">
            <w:pPr>
              <w:pStyle w:val="Normal6"/>
              <w:rPr>
                <w:rStyle w:val="DeltaViewInsertion"/>
                <w:color w:val="auto"/>
              </w:rPr>
            </w:pPr>
            <w:r w:rsidRPr="00B7760C">
              <w:rPr>
                <w:sz w:val="20"/>
              </w:rPr>
              <w:t>Litva</w:t>
            </w:r>
          </w:p>
        </w:tc>
        <w:tc>
          <w:tcPr>
            <w:tcW w:w="1560" w:type="dxa"/>
            <w:tcBorders>
              <w:top w:val="single" w:sz="4" w:space="0" w:color="auto"/>
              <w:left w:val="single" w:sz="4" w:space="0" w:color="auto"/>
              <w:bottom w:val="single" w:sz="4" w:space="0" w:color="auto"/>
              <w:right w:val="single" w:sz="4" w:space="0" w:color="auto"/>
            </w:tcBorders>
            <w:hideMark/>
          </w:tcPr>
          <w:p w14:paraId="3E232EE7" w14:textId="77777777" w:rsidR="003663AF" w:rsidRPr="00B7760C" w:rsidRDefault="003663AF" w:rsidP="00E804B7">
            <w:pPr>
              <w:pStyle w:val="Normal6"/>
              <w:jc w:val="right"/>
            </w:pPr>
            <w:r w:rsidRPr="00B7760C">
              <w:rPr>
                <w:b/>
                <w:bCs/>
                <w:i/>
                <w:iCs/>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66CB2C8E"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1B793F38"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157B15F2"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2E05AD25" w14:textId="77777777" w:rsidR="003663AF" w:rsidRPr="00B7760C" w:rsidRDefault="003663AF" w:rsidP="00E804B7">
            <w:pPr>
              <w:pStyle w:val="Normal6"/>
              <w:jc w:val="right"/>
              <w:rPr>
                <w:b/>
                <w:bCs/>
                <w:i/>
                <w:iCs/>
                <w:sz w:val="20"/>
              </w:rPr>
            </w:pPr>
            <w:r w:rsidRPr="00B7760C">
              <w:rPr>
                <w:b/>
                <w:bCs/>
                <w:i/>
                <w:iCs/>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2AD0422E" w14:textId="77777777" w:rsidR="003663AF" w:rsidRPr="00B7760C" w:rsidRDefault="003663AF" w:rsidP="00E804B7">
            <w:pPr>
              <w:pStyle w:val="Normal6"/>
              <w:jc w:val="right"/>
              <w:rPr>
                <w:b/>
                <w:bCs/>
                <w:i/>
                <w:iCs/>
                <w:sz w:val="20"/>
              </w:rPr>
            </w:pPr>
            <w:r w:rsidRPr="00B7760C">
              <w:rPr>
                <w:b/>
                <w:bCs/>
                <w:i/>
                <w:iCs/>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12879B1B"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7B603054"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3DBEFD8D" w14:textId="77777777" w:rsidR="003663AF" w:rsidRPr="00B7760C" w:rsidRDefault="003663AF" w:rsidP="00E804B7">
            <w:pPr>
              <w:pStyle w:val="Normal6"/>
              <w:rPr>
                <w:rStyle w:val="DeltaViewInsertion"/>
                <w:color w:val="auto"/>
              </w:rPr>
            </w:pPr>
            <w:r w:rsidRPr="00B7760C">
              <w:rPr>
                <w:sz w:val="20"/>
              </w:rPr>
              <w:t>Luksemburg</w:t>
            </w:r>
          </w:p>
        </w:tc>
        <w:tc>
          <w:tcPr>
            <w:tcW w:w="1560" w:type="dxa"/>
            <w:tcBorders>
              <w:top w:val="single" w:sz="4" w:space="0" w:color="auto"/>
              <w:left w:val="single" w:sz="4" w:space="0" w:color="auto"/>
              <w:bottom w:val="single" w:sz="4" w:space="0" w:color="auto"/>
              <w:right w:val="single" w:sz="4" w:space="0" w:color="auto"/>
            </w:tcBorders>
            <w:hideMark/>
          </w:tcPr>
          <w:p w14:paraId="6311DEAA" w14:textId="77777777" w:rsidR="003663AF" w:rsidRPr="00B7760C" w:rsidRDefault="003663AF" w:rsidP="00E804B7">
            <w:pPr>
              <w:pStyle w:val="Normal6"/>
              <w:jc w:val="right"/>
            </w:pPr>
            <w:r w:rsidRPr="00B7760C">
              <w:rPr>
                <w:b/>
                <w:bCs/>
                <w:i/>
                <w:iCs/>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3F9814CC"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4862A54F"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0B6CA151"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61755D31" w14:textId="77777777" w:rsidR="003663AF" w:rsidRPr="00B7760C" w:rsidRDefault="003663AF" w:rsidP="00E804B7">
            <w:pPr>
              <w:pStyle w:val="Normal6"/>
              <w:jc w:val="right"/>
              <w:rPr>
                <w:b/>
                <w:bCs/>
                <w:i/>
                <w:iCs/>
                <w:sz w:val="20"/>
              </w:rPr>
            </w:pPr>
            <w:r w:rsidRPr="00B7760C">
              <w:rPr>
                <w:b/>
                <w:bCs/>
                <w:i/>
                <w:iCs/>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6E85068D" w14:textId="77777777" w:rsidR="003663AF" w:rsidRPr="00B7760C" w:rsidRDefault="003663AF" w:rsidP="00E804B7">
            <w:pPr>
              <w:pStyle w:val="Normal6"/>
              <w:jc w:val="right"/>
              <w:rPr>
                <w:b/>
                <w:bCs/>
                <w:i/>
                <w:iCs/>
                <w:sz w:val="20"/>
              </w:rPr>
            </w:pPr>
            <w:r w:rsidRPr="00B7760C">
              <w:rPr>
                <w:b/>
                <w:bCs/>
                <w:i/>
                <w:iCs/>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005942B1"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53B23E06"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342AF0EB" w14:textId="77777777" w:rsidR="003663AF" w:rsidRPr="00B7760C" w:rsidRDefault="003663AF" w:rsidP="00E804B7">
            <w:pPr>
              <w:pStyle w:val="Normal6"/>
              <w:rPr>
                <w:rStyle w:val="DeltaViewInsertion"/>
                <w:color w:val="auto"/>
              </w:rPr>
            </w:pPr>
            <w:r w:rsidRPr="00B7760C">
              <w:rPr>
                <w:sz w:val="20"/>
              </w:rPr>
              <w:t>Madžarska</w:t>
            </w:r>
          </w:p>
        </w:tc>
        <w:tc>
          <w:tcPr>
            <w:tcW w:w="1560" w:type="dxa"/>
            <w:tcBorders>
              <w:top w:val="single" w:sz="4" w:space="0" w:color="auto"/>
              <w:left w:val="single" w:sz="4" w:space="0" w:color="auto"/>
              <w:bottom w:val="single" w:sz="4" w:space="0" w:color="auto"/>
              <w:right w:val="single" w:sz="4" w:space="0" w:color="auto"/>
            </w:tcBorders>
            <w:hideMark/>
          </w:tcPr>
          <w:p w14:paraId="6E692688" w14:textId="77777777" w:rsidR="003663AF" w:rsidRPr="00B7760C" w:rsidRDefault="003663AF" w:rsidP="00E804B7">
            <w:pPr>
              <w:pStyle w:val="Normal6"/>
              <w:jc w:val="right"/>
            </w:pPr>
            <w:r w:rsidRPr="00B7760C">
              <w:rPr>
                <w:b/>
                <w:bCs/>
                <w:i/>
                <w:iCs/>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52F83454"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16FC5D59"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6A95E936"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14209A35" w14:textId="77777777" w:rsidR="003663AF" w:rsidRPr="00B7760C" w:rsidRDefault="003663AF" w:rsidP="00E804B7">
            <w:pPr>
              <w:pStyle w:val="Normal6"/>
              <w:jc w:val="right"/>
              <w:rPr>
                <w:b/>
                <w:bCs/>
                <w:i/>
                <w:iCs/>
                <w:sz w:val="20"/>
              </w:rPr>
            </w:pPr>
            <w:r w:rsidRPr="00B7760C">
              <w:rPr>
                <w:b/>
                <w:bCs/>
                <w:i/>
                <w:iCs/>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41C891B6" w14:textId="77777777" w:rsidR="003663AF" w:rsidRPr="00B7760C" w:rsidRDefault="003663AF" w:rsidP="00E804B7">
            <w:pPr>
              <w:pStyle w:val="Normal6"/>
              <w:jc w:val="right"/>
              <w:rPr>
                <w:b/>
                <w:bCs/>
                <w:i/>
                <w:iCs/>
                <w:sz w:val="20"/>
              </w:rPr>
            </w:pPr>
            <w:r w:rsidRPr="00B7760C">
              <w:rPr>
                <w:b/>
                <w:bCs/>
                <w:i/>
                <w:iCs/>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468ABE45"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5D45C51F"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780247AA" w14:textId="77777777" w:rsidR="003663AF" w:rsidRPr="00B7760C" w:rsidRDefault="003663AF" w:rsidP="00E804B7">
            <w:pPr>
              <w:pStyle w:val="Normal6"/>
              <w:rPr>
                <w:rStyle w:val="DeltaViewInsertion"/>
                <w:color w:val="auto"/>
              </w:rPr>
            </w:pPr>
            <w:r w:rsidRPr="00B7760C">
              <w:rPr>
                <w:sz w:val="20"/>
              </w:rPr>
              <w:t>Malta</w:t>
            </w:r>
          </w:p>
        </w:tc>
        <w:tc>
          <w:tcPr>
            <w:tcW w:w="1560" w:type="dxa"/>
            <w:tcBorders>
              <w:top w:val="single" w:sz="4" w:space="0" w:color="auto"/>
              <w:left w:val="single" w:sz="4" w:space="0" w:color="auto"/>
              <w:bottom w:val="single" w:sz="4" w:space="0" w:color="auto"/>
              <w:right w:val="single" w:sz="4" w:space="0" w:color="auto"/>
            </w:tcBorders>
            <w:hideMark/>
          </w:tcPr>
          <w:p w14:paraId="0A843CA6" w14:textId="77777777" w:rsidR="003663AF" w:rsidRPr="00B7760C" w:rsidRDefault="003663AF" w:rsidP="00E804B7">
            <w:pPr>
              <w:pStyle w:val="Normal6"/>
              <w:jc w:val="right"/>
            </w:pPr>
            <w:r w:rsidRPr="00B7760C">
              <w:rPr>
                <w:b/>
                <w:bCs/>
                <w:i/>
                <w:iCs/>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0E175166"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2F9A6629"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514DFDE6"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38123393" w14:textId="77777777" w:rsidR="003663AF" w:rsidRPr="00B7760C" w:rsidRDefault="003663AF" w:rsidP="00E804B7">
            <w:pPr>
              <w:pStyle w:val="Normal6"/>
              <w:jc w:val="right"/>
              <w:rPr>
                <w:b/>
                <w:bCs/>
                <w:i/>
                <w:iCs/>
                <w:sz w:val="20"/>
              </w:rPr>
            </w:pPr>
            <w:r w:rsidRPr="00B7760C">
              <w:rPr>
                <w:b/>
                <w:bCs/>
                <w:i/>
                <w:iCs/>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2D517222" w14:textId="77777777" w:rsidR="003663AF" w:rsidRPr="00B7760C" w:rsidRDefault="003663AF" w:rsidP="00E804B7">
            <w:pPr>
              <w:pStyle w:val="Normal6"/>
              <w:jc w:val="right"/>
              <w:rPr>
                <w:b/>
                <w:bCs/>
                <w:i/>
                <w:iCs/>
                <w:sz w:val="20"/>
              </w:rPr>
            </w:pPr>
            <w:r w:rsidRPr="00B7760C">
              <w:rPr>
                <w:b/>
                <w:bCs/>
                <w:i/>
                <w:iCs/>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28945320"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001BD5F5"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58A80F93" w14:textId="77777777" w:rsidR="003663AF" w:rsidRPr="00B7760C" w:rsidRDefault="003663AF" w:rsidP="00E804B7">
            <w:pPr>
              <w:pStyle w:val="Normal6"/>
              <w:rPr>
                <w:rStyle w:val="DeltaViewInsertion"/>
                <w:color w:val="auto"/>
              </w:rPr>
            </w:pPr>
            <w:r w:rsidRPr="00B7760C">
              <w:rPr>
                <w:sz w:val="20"/>
              </w:rPr>
              <w:t>Nizozemska</w:t>
            </w:r>
          </w:p>
        </w:tc>
        <w:tc>
          <w:tcPr>
            <w:tcW w:w="1560" w:type="dxa"/>
            <w:tcBorders>
              <w:top w:val="single" w:sz="4" w:space="0" w:color="auto"/>
              <w:left w:val="single" w:sz="4" w:space="0" w:color="auto"/>
              <w:bottom w:val="single" w:sz="4" w:space="0" w:color="auto"/>
              <w:right w:val="single" w:sz="4" w:space="0" w:color="auto"/>
            </w:tcBorders>
            <w:hideMark/>
          </w:tcPr>
          <w:p w14:paraId="426A6806" w14:textId="77777777" w:rsidR="003663AF" w:rsidRPr="00B7760C" w:rsidRDefault="003663AF" w:rsidP="00E804B7">
            <w:pPr>
              <w:pStyle w:val="Normal6"/>
              <w:jc w:val="right"/>
            </w:pPr>
            <w:r w:rsidRPr="00B7760C">
              <w:rPr>
                <w:b/>
                <w:bCs/>
                <w:i/>
                <w:iCs/>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07257E0F"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4461AAB0"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71DE0657"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6DA620BA" w14:textId="77777777" w:rsidR="003663AF" w:rsidRPr="00B7760C" w:rsidRDefault="003663AF" w:rsidP="00E804B7">
            <w:pPr>
              <w:pStyle w:val="Normal6"/>
              <w:jc w:val="right"/>
              <w:rPr>
                <w:b/>
                <w:bCs/>
                <w:i/>
                <w:iCs/>
                <w:sz w:val="20"/>
              </w:rPr>
            </w:pPr>
            <w:r w:rsidRPr="00B7760C">
              <w:rPr>
                <w:b/>
                <w:bCs/>
                <w:i/>
                <w:iCs/>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194279C8" w14:textId="77777777" w:rsidR="003663AF" w:rsidRPr="00B7760C" w:rsidRDefault="003663AF" w:rsidP="00E804B7">
            <w:pPr>
              <w:pStyle w:val="Normal6"/>
              <w:jc w:val="right"/>
              <w:rPr>
                <w:b/>
                <w:bCs/>
                <w:i/>
                <w:iCs/>
                <w:sz w:val="20"/>
              </w:rPr>
            </w:pPr>
            <w:r w:rsidRPr="00B7760C">
              <w:rPr>
                <w:b/>
                <w:bCs/>
                <w:i/>
                <w:iCs/>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2646AB06"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1ACB8A1F"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46EBC423" w14:textId="77777777" w:rsidR="003663AF" w:rsidRPr="00B7760C" w:rsidRDefault="003663AF" w:rsidP="00E804B7">
            <w:pPr>
              <w:pStyle w:val="Normal6"/>
              <w:rPr>
                <w:rStyle w:val="DeltaViewInsertion"/>
                <w:color w:val="auto"/>
              </w:rPr>
            </w:pPr>
            <w:r w:rsidRPr="00B7760C">
              <w:rPr>
                <w:sz w:val="20"/>
              </w:rPr>
              <w:t>Avstrija</w:t>
            </w:r>
          </w:p>
        </w:tc>
        <w:tc>
          <w:tcPr>
            <w:tcW w:w="1560" w:type="dxa"/>
            <w:tcBorders>
              <w:top w:val="single" w:sz="4" w:space="0" w:color="auto"/>
              <w:left w:val="single" w:sz="4" w:space="0" w:color="auto"/>
              <w:bottom w:val="single" w:sz="4" w:space="0" w:color="auto"/>
              <w:right w:val="single" w:sz="4" w:space="0" w:color="auto"/>
            </w:tcBorders>
            <w:hideMark/>
          </w:tcPr>
          <w:p w14:paraId="5DD04C08" w14:textId="77777777" w:rsidR="003663AF" w:rsidRPr="00B7760C" w:rsidRDefault="003663AF" w:rsidP="00E804B7">
            <w:pPr>
              <w:pStyle w:val="Normal6"/>
              <w:jc w:val="right"/>
            </w:pPr>
            <w:r w:rsidRPr="00B7760C">
              <w:rPr>
                <w:b/>
                <w:bCs/>
                <w:i/>
                <w:iCs/>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1B01A48D"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2912804D"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45D0E3F6"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79C633F9" w14:textId="77777777" w:rsidR="003663AF" w:rsidRPr="00B7760C" w:rsidRDefault="003663AF" w:rsidP="00E804B7">
            <w:pPr>
              <w:pStyle w:val="Normal6"/>
              <w:jc w:val="right"/>
              <w:rPr>
                <w:b/>
                <w:bCs/>
                <w:i/>
                <w:iCs/>
                <w:sz w:val="20"/>
              </w:rPr>
            </w:pPr>
            <w:r w:rsidRPr="00B7760C">
              <w:rPr>
                <w:b/>
                <w:bCs/>
                <w:i/>
                <w:iCs/>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43C4CEF8" w14:textId="77777777" w:rsidR="003663AF" w:rsidRPr="00B7760C" w:rsidRDefault="003663AF" w:rsidP="00E804B7">
            <w:pPr>
              <w:pStyle w:val="Normal6"/>
              <w:jc w:val="right"/>
              <w:rPr>
                <w:b/>
                <w:bCs/>
                <w:i/>
                <w:iCs/>
                <w:sz w:val="20"/>
              </w:rPr>
            </w:pPr>
            <w:r w:rsidRPr="00B7760C">
              <w:rPr>
                <w:b/>
                <w:bCs/>
                <w:i/>
                <w:iCs/>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7044CF24"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29CA95C8"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0D7E8C6D" w14:textId="77777777" w:rsidR="003663AF" w:rsidRPr="00B7760C" w:rsidRDefault="003663AF" w:rsidP="00E804B7">
            <w:pPr>
              <w:pStyle w:val="Normal6"/>
              <w:rPr>
                <w:rStyle w:val="DeltaViewInsertion"/>
                <w:color w:val="auto"/>
              </w:rPr>
            </w:pPr>
            <w:r w:rsidRPr="00B7760C">
              <w:rPr>
                <w:sz w:val="20"/>
              </w:rPr>
              <w:t>Poljska</w:t>
            </w:r>
          </w:p>
        </w:tc>
        <w:tc>
          <w:tcPr>
            <w:tcW w:w="1560" w:type="dxa"/>
            <w:tcBorders>
              <w:top w:val="single" w:sz="4" w:space="0" w:color="auto"/>
              <w:left w:val="single" w:sz="4" w:space="0" w:color="auto"/>
              <w:bottom w:val="single" w:sz="4" w:space="0" w:color="auto"/>
              <w:right w:val="single" w:sz="4" w:space="0" w:color="auto"/>
            </w:tcBorders>
            <w:hideMark/>
          </w:tcPr>
          <w:p w14:paraId="4ADDD7D0" w14:textId="77777777" w:rsidR="003663AF" w:rsidRPr="00B7760C" w:rsidRDefault="003663AF" w:rsidP="00E804B7">
            <w:pPr>
              <w:pStyle w:val="Normal6"/>
              <w:jc w:val="right"/>
            </w:pPr>
            <w:r w:rsidRPr="00B7760C">
              <w:rPr>
                <w:b/>
                <w:bCs/>
                <w:i/>
                <w:iCs/>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3BAD1277"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79AA3924"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125F1916"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65520FF8" w14:textId="77777777" w:rsidR="003663AF" w:rsidRPr="00B7760C" w:rsidRDefault="003663AF" w:rsidP="00E804B7">
            <w:pPr>
              <w:pStyle w:val="Normal6"/>
              <w:jc w:val="right"/>
              <w:rPr>
                <w:b/>
                <w:bCs/>
                <w:i/>
                <w:iCs/>
                <w:sz w:val="20"/>
              </w:rPr>
            </w:pPr>
            <w:r w:rsidRPr="00B7760C">
              <w:rPr>
                <w:b/>
                <w:bCs/>
                <w:i/>
                <w:iCs/>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183B9907" w14:textId="77777777" w:rsidR="003663AF" w:rsidRPr="00B7760C" w:rsidRDefault="003663AF" w:rsidP="00E804B7">
            <w:pPr>
              <w:pStyle w:val="Normal6"/>
              <w:jc w:val="right"/>
              <w:rPr>
                <w:b/>
                <w:bCs/>
                <w:i/>
                <w:iCs/>
                <w:sz w:val="20"/>
              </w:rPr>
            </w:pPr>
            <w:r w:rsidRPr="00B7760C">
              <w:rPr>
                <w:b/>
                <w:bCs/>
                <w:i/>
                <w:iCs/>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416A65A7"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2C75F81F"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5BE0D287" w14:textId="77777777" w:rsidR="003663AF" w:rsidRPr="00B7760C" w:rsidRDefault="003663AF" w:rsidP="00E804B7">
            <w:pPr>
              <w:pStyle w:val="Normal6"/>
              <w:rPr>
                <w:rStyle w:val="DeltaViewInsertion"/>
                <w:color w:val="auto"/>
              </w:rPr>
            </w:pPr>
            <w:r w:rsidRPr="00B7760C">
              <w:rPr>
                <w:sz w:val="20"/>
              </w:rPr>
              <w:t>Portugalska</w:t>
            </w:r>
          </w:p>
        </w:tc>
        <w:tc>
          <w:tcPr>
            <w:tcW w:w="1560" w:type="dxa"/>
            <w:tcBorders>
              <w:top w:val="single" w:sz="4" w:space="0" w:color="auto"/>
              <w:left w:val="single" w:sz="4" w:space="0" w:color="auto"/>
              <w:bottom w:val="single" w:sz="4" w:space="0" w:color="auto"/>
              <w:right w:val="single" w:sz="4" w:space="0" w:color="auto"/>
            </w:tcBorders>
            <w:hideMark/>
          </w:tcPr>
          <w:p w14:paraId="5AF959B6" w14:textId="77777777" w:rsidR="003663AF" w:rsidRPr="00B7760C" w:rsidRDefault="003663AF" w:rsidP="00E804B7">
            <w:pPr>
              <w:pStyle w:val="Normal6"/>
              <w:jc w:val="right"/>
            </w:pPr>
            <w:r w:rsidRPr="00B7760C">
              <w:rPr>
                <w:b/>
                <w:bCs/>
                <w:i/>
                <w:iCs/>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2AF37EB3"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5A505BDD"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57E10806"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6EFDA6BE" w14:textId="77777777" w:rsidR="003663AF" w:rsidRPr="00B7760C" w:rsidRDefault="003663AF" w:rsidP="00E804B7">
            <w:pPr>
              <w:pStyle w:val="Normal6"/>
              <w:jc w:val="right"/>
              <w:rPr>
                <w:b/>
                <w:bCs/>
                <w:i/>
                <w:iCs/>
                <w:sz w:val="20"/>
              </w:rPr>
            </w:pPr>
            <w:r w:rsidRPr="00B7760C">
              <w:rPr>
                <w:b/>
                <w:bCs/>
                <w:i/>
                <w:iCs/>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13F2BBB1" w14:textId="77777777" w:rsidR="003663AF" w:rsidRPr="00B7760C" w:rsidRDefault="003663AF" w:rsidP="00E804B7">
            <w:pPr>
              <w:pStyle w:val="Normal6"/>
              <w:jc w:val="right"/>
              <w:rPr>
                <w:b/>
                <w:bCs/>
                <w:i/>
                <w:iCs/>
                <w:sz w:val="20"/>
              </w:rPr>
            </w:pPr>
            <w:r w:rsidRPr="00B7760C">
              <w:rPr>
                <w:b/>
                <w:bCs/>
                <w:i/>
                <w:iCs/>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621721BB"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26253AE2"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44BC9A66" w14:textId="77777777" w:rsidR="003663AF" w:rsidRPr="00B7760C" w:rsidRDefault="003663AF" w:rsidP="00E804B7">
            <w:pPr>
              <w:pStyle w:val="Normal6"/>
              <w:rPr>
                <w:rStyle w:val="DeltaViewInsertion"/>
                <w:color w:val="auto"/>
              </w:rPr>
            </w:pPr>
            <w:r w:rsidRPr="00B7760C">
              <w:rPr>
                <w:sz w:val="20"/>
              </w:rPr>
              <w:t>Romunija</w:t>
            </w:r>
          </w:p>
        </w:tc>
        <w:tc>
          <w:tcPr>
            <w:tcW w:w="1560" w:type="dxa"/>
            <w:tcBorders>
              <w:top w:val="single" w:sz="4" w:space="0" w:color="auto"/>
              <w:left w:val="single" w:sz="4" w:space="0" w:color="auto"/>
              <w:bottom w:val="single" w:sz="4" w:space="0" w:color="auto"/>
              <w:right w:val="single" w:sz="4" w:space="0" w:color="auto"/>
            </w:tcBorders>
            <w:hideMark/>
          </w:tcPr>
          <w:p w14:paraId="127C0C6E" w14:textId="77777777" w:rsidR="003663AF" w:rsidRPr="00B7760C" w:rsidRDefault="003663AF" w:rsidP="00E804B7">
            <w:pPr>
              <w:pStyle w:val="Normal6"/>
              <w:jc w:val="right"/>
            </w:pPr>
            <w:r w:rsidRPr="00B7760C">
              <w:rPr>
                <w:b/>
                <w:bCs/>
                <w:i/>
                <w:iCs/>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3BF5957A"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57744807"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22FC252A"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3E2A6FF5" w14:textId="77777777" w:rsidR="003663AF" w:rsidRPr="00B7760C" w:rsidRDefault="003663AF" w:rsidP="00E804B7">
            <w:pPr>
              <w:pStyle w:val="Normal6"/>
              <w:jc w:val="right"/>
              <w:rPr>
                <w:b/>
                <w:bCs/>
                <w:i/>
                <w:iCs/>
                <w:sz w:val="20"/>
              </w:rPr>
            </w:pPr>
            <w:r w:rsidRPr="00B7760C">
              <w:rPr>
                <w:b/>
                <w:bCs/>
                <w:i/>
                <w:iCs/>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7D15F094" w14:textId="77777777" w:rsidR="003663AF" w:rsidRPr="00B7760C" w:rsidRDefault="003663AF" w:rsidP="00E804B7">
            <w:pPr>
              <w:pStyle w:val="Normal6"/>
              <w:jc w:val="right"/>
              <w:rPr>
                <w:b/>
                <w:bCs/>
                <w:i/>
                <w:iCs/>
                <w:sz w:val="20"/>
              </w:rPr>
            </w:pPr>
            <w:r w:rsidRPr="00B7760C">
              <w:rPr>
                <w:b/>
                <w:bCs/>
                <w:i/>
                <w:iCs/>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4DBB5128"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77B789A8"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7D50B149" w14:textId="77777777" w:rsidR="003663AF" w:rsidRPr="00B7760C" w:rsidRDefault="003663AF" w:rsidP="00E804B7">
            <w:pPr>
              <w:pStyle w:val="Normal6"/>
              <w:rPr>
                <w:rStyle w:val="DeltaViewInsertion"/>
                <w:color w:val="auto"/>
              </w:rPr>
            </w:pPr>
            <w:r w:rsidRPr="00B7760C">
              <w:rPr>
                <w:sz w:val="20"/>
              </w:rPr>
              <w:t>Slovenija</w:t>
            </w:r>
          </w:p>
        </w:tc>
        <w:tc>
          <w:tcPr>
            <w:tcW w:w="1560" w:type="dxa"/>
            <w:tcBorders>
              <w:top w:val="single" w:sz="4" w:space="0" w:color="auto"/>
              <w:left w:val="single" w:sz="4" w:space="0" w:color="auto"/>
              <w:bottom w:val="single" w:sz="4" w:space="0" w:color="auto"/>
              <w:right w:val="single" w:sz="4" w:space="0" w:color="auto"/>
            </w:tcBorders>
            <w:hideMark/>
          </w:tcPr>
          <w:p w14:paraId="1BAE3EC6" w14:textId="77777777" w:rsidR="003663AF" w:rsidRPr="00B7760C" w:rsidRDefault="003663AF" w:rsidP="00E804B7">
            <w:pPr>
              <w:pStyle w:val="Normal6"/>
              <w:jc w:val="right"/>
            </w:pPr>
            <w:r w:rsidRPr="00B7760C">
              <w:rPr>
                <w:b/>
                <w:bCs/>
                <w:i/>
                <w:iCs/>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06AAF226"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67184277"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28BAC4F2"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2022391B" w14:textId="77777777" w:rsidR="003663AF" w:rsidRPr="00B7760C" w:rsidRDefault="003663AF" w:rsidP="00E804B7">
            <w:pPr>
              <w:pStyle w:val="Normal6"/>
              <w:jc w:val="right"/>
              <w:rPr>
                <w:b/>
                <w:bCs/>
                <w:i/>
                <w:iCs/>
                <w:sz w:val="20"/>
              </w:rPr>
            </w:pPr>
            <w:r w:rsidRPr="00B7760C">
              <w:rPr>
                <w:b/>
                <w:bCs/>
                <w:i/>
                <w:iCs/>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5BF57555" w14:textId="77777777" w:rsidR="003663AF" w:rsidRPr="00B7760C" w:rsidRDefault="003663AF" w:rsidP="00E804B7">
            <w:pPr>
              <w:pStyle w:val="Normal6"/>
              <w:jc w:val="right"/>
              <w:rPr>
                <w:b/>
                <w:bCs/>
                <w:i/>
                <w:iCs/>
                <w:sz w:val="20"/>
              </w:rPr>
            </w:pPr>
            <w:r w:rsidRPr="00B7760C">
              <w:rPr>
                <w:b/>
                <w:bCs/>
                <w:i/>
                <w:iCs/>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72A32461"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129E0212"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5728EBF0" w14:textId="77777777" w:rsidR="003663AF" w:rsidRPr="00B7760C" w:rsidRDefault="003663AF" w:rsidP="00E804B7">
            <w:pPr>
              <w:pStyle w:val="Normal6"/>
              <w:rPr>
                <w:rStyle w:val="DeltaViewInsertion"/>
                <w:color w:val="auto"/>
              </w:rPr>
            </w:pPr>
            <w:r w:rsidRPr="00B7760C">
              <w:rPr>
                <w:sz w:val="20"/>
              </w:rPr>
              <w:t>Slovaška</w:t>
            </w:r>
          </w:p>
        </w:tc>
        <w:tc>
          <w:tcPr>
            <w:tcW w:w="1560" w:type="dxa"/>
            <w:tcBorders>
              <w:top w:val="single" w:sz="4" w:space="0" w:color="auto"/>
              <w:left w:val="single" w:sz="4" w:space="0" w:color="auto"/>
              <w:bottom w:val="single" w:sz="4" w:space="0" w:color="auto"/>
              <w:right w:val="single" w:sz="4" w:space="0" w:color="auto"/>
            </w:tcBorders>
            <w:hideMark/>
          </w:tcPr>
          <w:p w14:paraId="57F04468" w14:textId="77777777" w:rsidR="003663AF" w:rsidRPr="00B7760C" w:rsidRDefault="003663AF" w:rsidP="00E804B7">
            <w:pPr>
              <w:pStyle w:val="Normal6"/>
              <w:jc w:val="right"/>
            </w:pPr>
            <w:r w:rsidRPr="00B7760C">
              <w:rPr>
                <w:b/>
                <w:bCs/>
                <w:i/>
                <w:iCs/>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377D2B0A"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57E8EFA1"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1E3DDAE4"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460329C8" w14:textId="77777777" w:rsidR="003663AF" w:rsidRPr="00B7760C" w:rsidRDefault="003663AF" w:rsidP="00E804B7">
            <w:pPr>
              <w:pStyle w:val="Normal6"/>
              <w:jc w:val="right"/>
              <w:rPr>
                <w:b/>
                <w:bCs/>
                <w:i/>
                <w:iCs/>
                <w:sz w:val="20"/>
              </w:rPr>
            </w:pPr>
            <w:r w:rsidRPr="00B7760C">
              <w:rPr>
                <w:b/>
                <w:bCs/>
                <w:i/>
                <w:iCs/>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0266A60B" w14:textId="77777777" w:rsidR="003663AF" w:rsidRPr="00B7760C" w:rsidRDefault="003663AF" w:rsidP="00E804B7">
            <w:pPr>
              <w:pStyle w:val="Normal6"/>
              <w:jc w:val="right"/>
              <w:rPr>
                <w:b/>
                <w:bCs/>
                <w:i/>
                <w:iCs/>
                <w:sz w:val="20"/>
              </w:rPr>
            </w:pPr>
            <w:r w:rsidRPr="00B7760C">
              <w:rPr>
                <w:b/>
                <w:bCs/>
                <w:i/>
                <w:iCs/>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36FC92F1"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5CCF707A"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52C220D7" w14:textId="77777777" w:rsidR="003663AF" w:rsidRPr="00B7760C" w:rsidRDefault="003663AF" w:rsidP="00E804B7">
            <w:pPr>
              <w:pStyle w:val="Normal6"/>
              <w:rPr>
                <w:rStyle w:val="DeltaViewInsertion"/>
                <w:color w:val="auto"/>
              </w:rPr>
            </w:pPr>
            <w:r w:rsidRPr="00B7760C">
              <w:rPr>
                <w:sz w:val="20"/>
              </w:rPr>
              <w:t>Finska</w:t>
            </w:r>
          </w:p>
        </w:tc>
        <w:tc>
          <w:tcPr>
            <w:tcW w:w="1560" w:type="dxa"/>
            <w:tcBorders>
              <w:top w:val="single" w:sz="4" w:space="0" w:color="auto"/>
              <w:left w:val="single" w:sz="4" w:space="0" w:color="auto"/>
              <w:bottom w:val="single" w:sz="4" w:space="0" w:color="auto"/>
              <w:right w:val="single" w:sz="4" w:space="0" w:color="auto"/>
            </w:tcBorders>
            <w:hideMark/>
          </w:tcPr>
          <w:p w14:paraId="7C72A9B3" w14:textId="77777777" w:rsidR="003663AF" w:rsidRPr="00B7760C" w:rsidRDefault="003663AF" w:rsidP="00E804B7">
            <w:pPr>
              <w:pStyle w:val="Normal6"/>
              <w:jc w:val="right"/>
            </w:pPr>
            <w:r w:rsidRPr="00B7760C">
              <w:rPr>
                <w:b/>
                <w:bCs/>
                <w:i/>
                <w:iCs/>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55E530D0"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548E6DE8"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771B4F05"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6DB368AD" w14:textId="77777777" w:rsidR="003663AF" w:rsidRPr="00B7760C" w:rsidRDefault="003663AF" w:rsidP="00E804B7">
            <w:pPr>
              <w:pStyle w:val="Normal6"/>
              <w:jc w:val="right"/>
              <w:rPr>
                <w:b/>
                <w:bCs/>
                <w:i/>
                <w:iCs/>
                <w:sz w:val="20"/>
              </w:rPr>
            </w:pPr>
            <w:r w:rsidRPr="00B7760C">
              <w:rPr>
                <w:b/>
                <w:bCs/>
                <w:i/>
                <w:iCs/>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16C3AA6A" w14:textId="77777777" w:rsidR="003663AF" w:rsidRPr="00B7760C" w:rsidRDefault="003663AF" w:rsidP="00E804B7">
            <w:pPr>
              <w:pStyle w:val="Normal6"/>
              <w:jc w:val="right"/>
              <w:rPr>
                <w:b/>
                <w:bCs/>
                <w:i/>
                <w:iCs/>
                <w:sz w:val="20"/>
              </w:rPr>
            </w:pPr>
            <w:r w:rsidRPr="00B7760C">
              <w:rPr>
                <w:b/>
                <w:bCs/>
                <w:i/>
                <w:iCs/>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6B6D57D5" w14:textId="77777777" w:rsidR="003663AF" w:rsidRPr="00B7760C" w:rsidRDefault="003663AF" w:rsidP="00E804B7">
            <w:pPr>
              <w:pStyle w:val="Normal6"/>
              <w:jc w:val="right"/>
              <w:rPr>
                <w:b/>
                <w:bCs/>
                <w:i/>
                <w:iCs/>
                <w:sz w:val="20"/>
              </w:rPr>
            </w:pPr>
            <w:r w:rsidRPr="00B7760C">
              <w:rPr>
                <w:b/>
                <w:bCs/>
                <w:i/>
                <w:iCs/>
                <w:sz w:val="20"/>
              </w:rPr>
              <w:t>X</w:t>
            </w:r>
          </w:p>
        </w:tc>
      </w:tr>
      <w:tr w:rsidR="003663AF" w:rsidRPr="00B7760C" w14:paraId="4A39E32F" w14:textId="77777777" w:rsidTr="00E804B7">
        <w:trPr>
          <w:cantSplit/>
          <w:trHeight w:val="255"/>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1D1AD9F4" w14:textId="77777777" w:rsidR="003663AF" w:rsidRPr="00B7760C" w:rsidRDefault="003663AF" w:rsidP="00E804B7">
            <w:pPr>
              <w:pStyle w:val="Normal6"/>
              <w:rPr>
                <w:rStyle w:val="DeltaViewInsertion"/>
                <w:color w:val="auto"/>
              </w:rPr>
            </w:pPr>
            <w:r w:rsidRPr="00B7760C">
              <w:rPr>
                <w:sz w:val="20"/>
              </w:rPr>
              <w:t>Švedska</w:t>
            </w:r>
          </w:p>
        </w:tc>
        <w:tc>
          <w:tcPr>
            <w:tcW w:w="1560" w:type="dxa"/>
            <w:tcBorders>
              <w:top w:val="single" w:sz="4" w:space="0" w:color="auto"/>
              <w:left w:val="single" w:sz="4" w:space="0" w:color="auto"/>
              <w:bottom w:val="single" w:sz="4" w:space="0" w:color="auto"/>
              <w:right w:val="single" w:sz="4" w:space="0" w:color="auto"/>
            </w:tcBorders>
            <w:hideMark/>
          </w:tcPr>
          <w:p w14:paraId="2A28331E" w14:textId="77777777" w:rsidR="003663AF" w:rsidRPr="00B7760C" w:rsidRDefault="003663AF" w:rsidP="00E804B7">
            <w:pPr>
              <w:pStyle w:val="Normal6"/>
              <w:jc w:val="right"/>
            </w:pPr>
            <w:r w:rsidRPr="00B7760C">
              <w:rPr>
                <w:b/>
                <w:bCs/>
                <w:i/>
                <w:iCs/>
                <w:sz w:val="20"/>
              </w:rPr>
              <w:t>X</w:t>
            </w:r>
          </w:p>
        </w:tc>
        <w:tc>
          <w:tcPr>
            <w:tcW w:w="1405" w:type="dxa"/>
            <w:tcBorders>
              <w:top w:val="single" w:sz="4" w:space="0" w:color="auto"/>
              <w:left w:val="single" w:sz="4" w:space="0" w:color="auto"/>
              <w:bottom w:val="single" w:sz="4" w:space="0" w:color="auto"/>
              <w:right w:val="single" w:sz="4" w:space="0" w:color="auto"/>
            </w:tcBorders>
            <w:hideMark/>
          </w:tcPr>
          <w:p w14:paraId="633DD8B1"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56AEF37D"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10BFDF8D" w14:textId="77777777" w:rsidR="003663AF" w:rsidRPr="00B7760C" w:rsidRDefault="003663AF" w:rsidP="00E804B7">
            <w:pPr>
              <w:pStyle w:val="Normal6"/>
              <w:jc w:val="right"/>
              <w:rPr>
                <w:b/>
                <w:bCs/>
                <w:i/>
                <w:iCs/>
                <w:sz w:val="20"/>
              </w:rPr>
            </w:pPr>
            <w:r w:rsidRPr="00B7760C">
              <w:rPr>
                <w:b/>
                <w:bCs/>
                <w:i/>
                <w:iCs/>
                <w:sz w:val="20"/>
              </w:rPr>
              <w:t>X</w:t>
            </w:r>
          </w:p>
        </w:tc>
        <w:tc>
          <w:tcPr>
            <w:tcW w:w="1591" w:type="dxa"/>
            <w:tcBorders>
              <w:top w:val="single" w:sz="4" w:space="0" w:color="auto"/>
              <w:left w:val="single" w:sz="4" w:space="0" w:color="auto"/>
              <w:bottom w:val="single" w:sz="4" w:space="0" w:color="auto"/>
              <w:right w:val="single" w:sz="4" w:space="0" w:color="auto"/>
            </w:tcBorders>
            <w:hideMark/>
          </w:tcPr>
          <w:p w14:paraId="2BEFCF3C" w14:textId="77777777" w:rsidR="003663AF" w:rsidRPr="00B7760C" w:rsidRDefault="003663AF" w:rsidP="00E804B7">
            <w:pPr>
              <w:pStyle w:val="Normal6"/>
              <w:jc w:val="right"/>
              <w:rPr>
                <w:b/>
                <w:bCs/>
                <w:i/>
                <w:iCs/>
                <w:sz w:val="20"/>
              </w:rPr>
            </w:pPr>
            <w:r w:rsidRPr="00B7760C">
              <w:rPr>
                <w:b/>
                <w:bCs/>
                <w:i/>
                <w:iCs/>
                <w:sz w:val="20"/>
              </w:rPr>
              <w:t>X</w:t>
            </w:r>
          </w:p>
        </w:tc>
        <w:tc>
          <w:tcPr>
            <w:tcW w:w="1374" w:type="dxa"/>
            <w:tcBorders>
              <w:top w:val="single" w:sz="4" w:space="0" w:color="auto"/>
              <w:left w:val="single" w:sz="4" w:space="0" w:color="auto"/>
              <w:bottom w:val="single" w:sz="4" w:space="0" w:color="auto"/>
              <w:right w:val="single" w:sz="4" w:space="0" w:color="auto"/>
            </w:tcBorders>
            <w:hideMark/>
          </w:tcPr>
          <w:p w14:paraId="29EDEE51" w14:textId="77777777" w:rsidR="003663AF" w:rsidRPr="00B7760C" w:rsidRDefault="003663AF" w:rsidP="00E804B7">
            <w:pPr>
              <w:pStyle w:val="Normal6"/>
              <w:jc w:val="right"/>
              <w:rPr>
                <w:b/>
                <w:bCs/>
                <w:i/>
                <w:iCs/>
                <w:sz w:val="20"/>
              </w:rPr>
            </w:pPr>
            <w:r w:rsidRPr="00B7760C">
              <w:rPr>
                <w:b/>
                <w:bCs/>
                <w:i/>
                <w:iCs/>
                <w:sz w:val="20"/>
              </w:rPr>
              <w:t>X</w:t>
            </w:r>
          </w:p>
        </w:tc>
        <w:tc>
          <w:tcPr>
            <w:tcW w:w="1781" w:type="dxa"/>
            <w:tcBorders>
              <w:top w:val="single" w:sz="4" w:space="0" w:color="auto"/>
              <w:left w:val="single" w:sz="4" w:space="0" w:color="auto"/>
              <w:bottom w:val="single" w:sz="4" w:space="0" w:color="auto"/>
              <w:right w:val="single" w:sz="4" w:space="0" w:color="auto"/>
            </w:tcBorders>
            <w:hideMark/>
          </w:tcPr>
          <w:p w14:paraId="27DC51C6" w14:textId="77777777" w:rsidR="003663AF" w:rsidRPr="00B7760C" w:rsidRDefault="003663AF" w:rsidP="00E804B7">
            <w:pPr>
              <w:pStyle w:val="Normal6"/>
              <w:jc w:val="right"/>
              <w:rPr>
                <w:b/>
                <w:bCs/>
                <w:i/>
                <w:iCs/>
                <w:sz w:val="20"/>
              </w:rPr>
            </w:pPr>
            <w:r w:rsidRPr="00B7760C">
              <w:rPr>
                <w:b/>
                <w:bCs/>
                <w:i/>
                <w:iCs/>
                <w:sz w:val="20"/>
              </w:rPr>
              <w:t>X</w:t>
            </w:r>
          </w:p>
        </w:tc>
      </w:tr>
    </w:tbl>
    <w:p w14:paraId="29CD5C24" w14:textId="77777777" w:rsidR="003663AF" w:rsidRPr="00B7760C" w:rsidRDefault="003663AF" w:rsidP="003663AF"/>
    <w:p w14:paraId="09CBE60C" w14:textId="77777777" w:rsidR="00182609" w:rsidRPr="00B7760C" w:rsidRDefault="00182609" w:rsidP="003663AF"/>
    <w:p w14:paraId="722604BC" w14:textId="77777777" w:rsidR="003663AF" w:rsidRPr="00B7760C" w:rsidRDefault="003663AF" w:rsidP="003663AF"/>
    <w:p w14:paraId="6D1A21EB" w14:textId="77777777" w:rsidR="00182609" w:rsidRPr="00B7760C" w:rsidRDefault="00182609" w:rsidP="00182609">
      <w:pPr>
        <w:pStyle w:val="AmNumberTabs0"/>
      </w:pPr>
      <w:r w:rsidRPr="00B7760C">
        <w:t>Sprememba</w:t>
      </w:r>
      <w:r w:rsidRPr="00B7760C">
        <w:tab/>
      </w:r>
      <w:r w:rsidRPr="00B7760C">
        <w:tab/>
        <w:t>844</w:t>
      </w:r>
    </w:p>
    <w:p w14:paraId="1E94261D" w14:textId="77777777" w:rsidR="00182609" w:rsidRPr="00B7760C" w:rsidRDefault="00182609" w:rsidP="00182609">
      <w:pPr>
        <w:pStyle w:val="NormalBold12b"/>
      </w:pPr>
      <w:r w:rsidRPr="00B7760C">
        <w:t>Predlog uredbe</w:t>
      </w:r>
    </w:p>
    <w:p w14:paraId="3486F62F" w14:textId="77777777" w:rsidR="00182609" w:rsidRPr="00B7760C" w:rsidRDefault="00182609" w:rsidP="00182609">
      <w:pPr>
        <w:pStyle w:val="NormalBold"/>
      </w:pPr>
      <w:r w:rsidRPr="00B7760C">
        <w:t>Priloga XI</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182609" w:rsidRPr="00B7760C" w14:paraId="5152771E" w14:textId="77777777" w:rsidTr="00A35DEB">
        <w:trPr>
          <w:jc w:val="center"/>
        </w:trPr>
        <w:tc>
          <w:tcPr>
            <w:tcW w:w="9752" w:type="dxa"/>
            <w:gridSpan w:val="2"/>
          </w:tcPr>
          <w:p w14:paraId="389F4623" w14:textId="77777777" w:rsidR="00182609" w:rsidRPr="00B7760C" w:rsidRDefault="00182609" w:rsidP="00A35DEB">
            <w:pPr>
              <w:keepNext/>
            </w:pPr>
          </w:p>
        </w:tc>
      </w:tr>
      <w:tr w:rsidR="00182609" w:rsidRPr="00B7760C" w14:paraId="4D8A429A" w14:textId="77777777" w:rsidTr="00A35DEB">
        <w:trPr>
          <w:jc w:val="center"/>
        </w:trPr>
        <w:tc>
          <w:tcPr>
            <w:tcW w:w="4876" w:type="dxa"/>
          </w:tcPr>
          <w:p w14:paraId="63B0A1E6" w14:textId="77777777" w:rsidR="00182609" w:rsidRPr="00B7760C" w:rsidRDefault="00182609" w:rsidP="00A35DEB">
            <w:pPr>
              <w:pStyle w:val="AmColumnHeading"/>
              <w:keepNext/>
            </w:pPr>
            <w:r w:rsidRPr="00B7760C">
              <w:t>Besedilo, ki ga predlaga Komisija</w:t>
            </w:r>
          </w:p>
        </w:tc>
        <w:tc>
          <w:tcPr>
            <w:tcW w:w="4876" w:type="dxa"/>
          </w:tcPr>
          <w:p w14:paraId="0A3FD2E5" w14:textId="77777777" w:rsidR="00182609" w:rsidRPr="00B7760C" w:rsidRDefault="00182609" w:rsidP="00A35DEB">
            <w:pPr>
              <w:pStyle w:val="AmColumnHeading"/>
              <w:keepNext/>
            </w:pPr>
            <w:r w:rsidRPr="00B7760C">
              <w:t>Sprememba</w:t>
            </w:r>
          </w:p>
        </w:tc>
      </w:tr>
      <w:tr w:rsidR="00182609" w:rsidRPr="00B7760C" w14:paraId="2F48EC4C" w14:textId="77777777" w:rsidTr="00A35DEB">
        <w:trPr>
          <w:jc w:val="center"/>
        </w:trPr>
        <w:tc>
          <w:tcPr>
            <w:tcW w:w="4876" w:type="dxa"/>
          </w:tcPr>
          <w:p w14:paraId="4C29FC9D" w14:textId="77777777" w:rsidR="00182609" w:rsidRPr="00B7760C" w:rsidRDefault="00182609" w:rsidP="00A35DEB">
            <w:pPr>
              <w:pStyle w:val="Normal6a"/>
              <w:jc w:val="center"/>
            </w:pPr>
            <w:r w:rsidRPr="00B7760C">
              <w:t>PRILOGA XI</w:t>
            </w:r>
          </w:p>
        </w:tc>
        <w:tc>
          <w:tcPr>
            <w:tcW w:w="4876" w:type="dxa"/>
          </w:tcPr>
          <w:p w14:paraId="01CCF7BE" w14:textId="77777777" w:rsidR="00182609" w:rsidRPr="00B7760C" w:rsidRDefault="00182609" w:rsidP="00A35DEB">
            <w:pPr>
              <w:pStyle w:val="Normal6a"/>
              <w:jc w:val="center"/>
              <w:rPr>
                <w:szCs w:val="24"/>
              </w:rPr>
            </w:pPr>
            <w:r w:rsidRPr="00B7760C">
              <w:t>PRILOGA XI</w:t>
            </w:r>
          </w:p>
        </w:tc>
      </w:tr>
      <w:tr w:rsidR="00182609" w:rsidRPr="00B7760C" w14:paraId="5C7C465F" w14:textId="77777777" w:rsidTr="00A35DEB">
        <w:trPr>
          <w:jc w:val="center"/>
        </w:trPr>
        <w:tc>
          <w:tcPr>
            <w:tcW w:w="4876" w:type="dxa"/>
          </w:tcPr>
          <w:p w14:paraId="1B9DE2E6" w14:textId="77777777" w:rsidR="00182609" w:rsidRPr="00B7760C" w:rsidRDefault="00182609" w:rsidP="00A35DEB">
            <w:pPr>
              <w:pStyle w:val="Normal6a"/>
              <w:jc w:val="center"/>
            </w:pPr>
            <w:r w:rsidRPr="00B7760C">
              <w:t>ZAKONODAJA EU O OKOLJU IN PODNEBJU, K CILJEM KATERE BI MORALI PRISPEVATI STRATEŠKI NAČRTI SKP DRŽAV ČLANIC NA PODLAGI ČLENOV 96, 97 IN 103</w:t>
            </w:r>
          </w:p>
        </w:tc>
        <w:tc>
          <w:tcPr>
            <w:tcW w:w="4876" w:type="dxa"/>
          </w:tcPr>
          <w:p w14:paraId="13166062" w14:textId="77777777" w:rsidR="00182609" w:rsidRPr="00B7760C" w:rsidRDefault="00182609" w:rsidP="00A35DEB">
            <w:pPr>
              <w:pStyle w:val="Normal6a"/>
              <w:jc w:val="center"/>
            </w:pPr>
            <w:r w:rsidRPr="00B7760C">
              <w:t>ZAKONODAJA EU O OKOLJU IN PODNEBJU, K CILJEM KATERE BI MORALI PRISPEVATI STRATEŠKI NAČRTI SKP DRŽAV ČLANIC NA PODLAGI ČLENOV 96, 97 IN 103</w:t>
            </w:r>
          </w:p>
        </w:tc>
      </w:tr>
      <w:tr w:rsidR="00182609" w:rsidRPr="00B7760C" w14:paraId="039BF3EB" w14:textId="77777777" w:rsidTr="00A35DEB">
        <w:trPr>
          <w:jc w:val="center"/>
        </w:trPr>
        <w:tc>
          <w:tcPr>
            <w:tcW w:w="4876" w:type="dxa"/>
          </w:tcPr>
          <w:p w14:paraId="26A4A240" w14:textId="77777777" w:rsidR="00182609" w:rsidRPr="00B7760C" w:rsidRDefault="00182609" w:rsidP="00A35DEB">
            <w:pPr>
              <w:pStyle w:val="Normal6a"/>
            </w:pPr>
            <w:r w:rsidRPr="00B7760C">
              <w:t>–</w:t>
            </w:r>
            <w:r w:rsidRPr="00B7760C">
              <w:tab/>
              <w:t>Direktiva 2009/147/ES Evropskega parlamenta in Sveta z dne 30. novembra 2009 o ohranjanju prosto živečih ptic</w:t>
            </w:r>
          </w:p>
        </w:tc>
        <w:tc>
          <w:tcPr>
            <w:tcW w:w="4876" w:type="dxa"/>
          </w:tcPr>
          <w:p w14:paraId="14F12EC5" w14:textId="77777777" w:rsidR="00182609" w:rsidRPr="00B7760C" w:rsidRDefault="00182609" w:rsidP="00A35DEB">
            <w:pPr>
              <w:pStyle w:val="Normal6a"/>
            </w:pPr>
            <w:r w:rsidRPr="00B7760C">
              <w:t>–</w:t>
            </w:r>
            <w:r w:rsidRPr="00B7760C">
              <w:tab/>
              <w:t>Direktiva 2009/147/ES Evropskega parlamenta in Sveta z dne 30. novembra 2009 o ohranjanju prosto živečih ptic</w:t>
            </w:r>
          </w:p>
        </w:tc>
      </w:tr>
      <w:tr w:rsidR="00182609" w:rsidRPr="00B7760C" w14:paraId="1B6ADBFF" w14:textId="77777777" w:rsidTr="00A35DEB">
        <w:trPr>
          <w:jc w:val="center"/>
        </w:trPr>
        <w:tc>
          <w:tcPr>
            <w:tcW w:w="4876" w:type="dxa"/>
          </w:tcPr>
          <w:p w14:paraId="10E92244" w14:textId="77777777" w:rsidR="00182609" w:rsidRPr="00B7760C" w:rsidRDefault="00182609" w:rsidP="00A35DEB">
            <w:pPr>
              <w:pStyle w:val="Normal6a"/>
            </w:pPr>
            <w:r w:rsidRPr="00B7760C">
              <w:t>–</w:t>
            </w:r>
            <w:r w:rsidRPr="00B7760C">
              <w:tab/>
              <w:t xml:space="preserve">Direktiva Sveta 92/43/EGS z dne 21. maja 1992 o ohranjanju naravnih habitatov ter prosto živečih živalskih in rastlinskih vrst </w:t>
            </w:r>
          </w:p>
        </w:tc>
        <w:tc>
          <w:tcPr>
            <w:tcW w:w="4876" w:type="dxa"/>
          </w:tcPr>
          <w:p w14:paraId="5AD43E67" w14:textId="77777777" w:rsidR="00182609" w:rsidRPr="00B7760C" w:rsidRDefault="00182609" w:rsidP="00A35DEB">
            <w:pPr>
              <w:pStyle w:val="Normal6a"/>
            </w:pPr>
            <w:r w:rsidRPr="00B7760C">
              <w:t>–</w:t>
            </w:r>
            <w:r w:rsidRPr="00B7760C">
              <w:tab/>
              <w:t xml:space="preserve">Direktiva Sveta 92/43/EGS z dne 21. maja 1992 o ohranjanju naravnih habitatov ter prosto živečih živalskih in rastlinskih vrst </w:t>
            </w:r>
          </w:p>
        </w:tc>
      </w:tr>
      <w:tr w:rsidR="00182609" w:rsidRPr="00B7760C" w14:paraId="6D421A6F" w14:textId="77777777" w:rsidTr="00A35DEB">
        <w:trPr>
          <w:jc w:val="center"/>
        </w:trPr>
        <w:tc>
          <w:tcPr>
            <w:tcW w:w="4876" w:type="dxa"/>
          </w:tcPr>
          <w:p w14:paraId="6D8692A9" w14:textId="77777777" w:rsidR="00182609" w:rsidRPr="00B7760C" w:rsidRDefault="00182609" w:rsidP="00A35DEB">
            <w:pPr>
              <w:pStyle w:val="Normal6a"/>
            </w:pPr>
            <w:r w:rsidRPr="00B7760C">
              <w:t>–</w:t>
            </w:r>
            <w:r w:rsidRPr="00B7760C">
              <w:tab/>
              <w:t>Direktiva 2000/60/ES Evropskega parlamenta in Sveta z dne 23. oktobra 2000 o določitvi okvira za ukrepe Skupnosti na področju vodne politike</w:t>
            </w:r>
          </w:p>
        </w:tc>
        <w:tc>
          <w:tcPr>
            <w:tcW w:w="4876" w:type="dxa"/>
          </w:tcPr>
          <w:p w14:paraId="5EB5531B" w14:textId="77777777" w:rsidR="00182609" w:rsidRPr="00B7760C" w:rsidRDefault="00182609" w:rsidP="00A35DEB">
            <w:pPr>
              <w:pStyle w:val="Normal6a"/>
            </w:pPr>
            <w:r w:rsidRPr="00B7760C">
              <w:t>–</w:t>
            </w:r>
            <w:r w:rsidRPr="00B7760C">
              <w:tab/>
              <w:t>Direktiva 2000/60/ES Evropskega parlamenta in Sveta z dne 23. oktobra 2000 o določitvi okvira za ukrepe Skupnosti na področju vodne politike</w:t>
            </w:r>
          </w:p>
        </w:tc>
      </w:tr>
      <w:tr w:rsidR="00182609" w:rsidRPr="00B7760C" w14:paraId="260A8FE5" w14:textId="77777777" w:rsidTr="00A35DEB">
        <w:trPr>
          <w:jc w:val="center"/>
        </w:trPr>
        <w:tc>
          <w:tcPr>
            <w:tcW w:w="4876" w:type="dxa"/>
          </w:tcPr>
          <w:p w14:paraId="1BFCF62F" w14:textId="77777777" w:rsidR="00182609" w:rsidRPr="00B7760C" w:rsidRDefault="00182609" w:rsidP="00A35DEB">
            <w:pPr>
              <w:pStyle w:val="Normal6a"/>
            </w:pPr>
            <w:r w:rsidRPr="00B7760C">
              <w:t>–</w:t>
            </w:r>
            <w:r w:rsidRPr="00B7760C">
              <w:tab/>
              <w:t>Direktiva Sveta 91/676/EGS z dne 12. decembra 1991 o varstvu voda pred onesnaževanjem z nitrati iz kmetijskih virov</w:t>
            </w:r>
          </w:p>
        </w:tc>
        <w:tc>
          <w:tcPr>
            <w:tcW w:w="4876" w:type="dxa"/>
          </w:tcPr>
          <w:p w14:paraId="527D253E" w14:textId="77777777" w:rsidR="00182609" w:rsidRPr="00B7760C" w:rsidRDefault="00182609" w:rsidP="00A35DEB">
            <w:pPr>
              <w:pStyle w:val="Normal6a"/>
            </w:pPr>
            <w:r w:rsidRPr="00B7760C">
              <w:t>–</w:t>
            </w:r>
            <w:r w:rsidRPr="00B7760C">
              <w:tab/>
              <w:t>Direktiva Sveta 91/676/EGS z dne 12. decembra 1991 o varstvu voda pred onesnaževanjem z nitrati iz kmetijskih virov</w:t>
            </w:r>
          </w:p>
        </w:tc>
      </w:tr>
      <w:tr w:rsidR="00182609" w:rsidRPr="00B7760C" w14:paraId="5FF6EF9D" w14:textId="77777777" w:rsidTr="00A35DEB">
        <w:trPr>
          <w:jc w:val="center"/>
        </w:trPr>
        <w:tc>
          <w:tcPr>
            <w:tcW w:w="4876" w:type="dxa"/>
          </w:tcPr>
          <w:p w14:paraId="7E3F0BE5" w14:textId="77777777" w:rsidR="00182609" w:rsidRPr="00B7760C" w:rsidRDefault="00182609" w:rsidP="00A35DEB">
            <w:pPr>
              <w:pStyle w:val="Normal6a"/>
            </w:pPr>
            <w:r w:rsidRPr="00B7760C">
              <w:t>–</w:t>
            </w:r>
            <w:r w:rsidRPr="00B7760C">
              <w:tab/>
              <w:t>Direktiva 2008/50/ES Evropskega parlamenta in Sveta z dne 21. maja 2008 o kakovosti zunanjega zraka in čistejšem zraku za Evropo</w:t>
            </w:r>
          </w:p>
        </w:tc>
        <w:tc>
          <w:tcPr>
            <w:tcW w:w="4876" w:type="dxa"/>
          </w:tcPr>
          <w:p w14:paraId="53B849E0" w14:textId="77777777" w:rsidR="00182609" w:rsidRPr="00B7760C" w:rsidRDefault="00182609" w:rsidP="00A35DEB">
            <w:pPr>
              <w:pStyle w:val="Normal6a"/>
            </w:pPr>
            <w:r w:rsidRPr="00B7760C">
              <w:t>–</w:t>
            </w:r>
            <w:r w:rsidRPr="00B7760C">
              <w:tab/>
              <w:t>Direktiva 2008/50/ES Evropskega parlamenta in Sveta z dne 21. maja 2008 o kakovosti zunanjega zraka in čistejšem zraku za Evropo</w:t>
            </w:r>
          </w:p>
        </w:tc>
      </w:tr>
      <w:tr w:rsidR="00182609" w:rsidRPr="00B7760C" w14:paraId="189D630E" w14:textId="77777777" w:rsidTr="00A35DEB">
        <w:trPr>
          <w:jc w:val="center"/>
        </w:trPr>
        <w:tc>
          <w:tcPr>
            <w:tcW w:w="4876" w:type="dxa"/>
          </w:tcPr>
          <w:p w14:paraId="1F5340B0" w14:textId="77777777" w:rsidR="00182609" w:rsidRPr="00B7760C" w:rsidRDefault="00182609" w:rsidP="00A35DEB">
            <w:pPr>
              <w:pStyle w:val="Normal6a"/>
            </w:pPr>
            <w:r w:rsidRPr="00B7760C">
              <w:t>–</w:t>
            </w:r>
            <w:r w:rsidRPr="00B7760C">
              <w:tab/>
              <w:t>Direktiva (EU) 2016/2284 Evropskega parlamenta in Sveta z dne 14. decembra 2016 o zmanjšanju nacionalnih emisij za nekatera onesnaževala zraka, spremembi Direktive 2003/35/ES in razveljavitvi Direktive 2001/81/ES</w:t>
            </w:r>
          </w:p>
        </w:tc>
        <w:tc>
          <w:tcPr>
            <w:tcW w:w="4876" w:type="dxa"/>
          </w:tcPr>
          <w:p w14:paraId="57E573EE" w14:textId="77777777" w:rsidR="00182609" w:rsidRPr="00B7760C" w:rsidRDefault="00182609" w:rsidP="00A35DEB">
            <w:pPr>
              <w:pStyle w:val="Normal6a"/>
            </w:pPr>
            <w:r w:rsidRPr="00B7760C">
              <w:t>–</w:t>
            </w:r>
            <w:r w:rsidRPr="00B7760C">
              <w:tab/>
              <w:t>Direktiva (EU) 2016/2284 Evropskega parlamenta in Sveta z dne 14. decembra 2016 o zmanjšanju nacionalnih emisij za nekatera onesnaževala zraka, spremembi Direktive 2003/35/ES in razveljavitvi Direktive 2001/81/ES</w:t>
            </w:r>
          </w:p>
        </w:tc>
      </w:tr>
      <w:tr w:rsidR="00182609" w:rsidRPr="00B7760C" w14:paraId="760A2C61" w14:textId="77777777" w:rsidTr="00A35DEB">
        <w:trPr>
          <w:jc w:val="center"/>
        </w:trPr>
        <w:tc>
          <w:tcPr>
            <w:tcW w:w="4876" w:type="dxa"/>
          </w:tcPr>
          <w:p w14:paraId="68EDD1A5" w14:textId="76267CD6" w:rsidR="00182609" w:rsidRPr="00B7760C" w:rsidRDefault="000B4781" w:rsidP="00A35DEB">
            <w:pPr>
              <w:pStyle w:val="Normal6a"/>
              <w:rPr>
                <w:b/>
              </w:rPr>
            </w:pPr>
            <w:r w:rsidRPr="00B7760C">
              <w:t>–</w:t>
            </w:r>
            <w:r w:rsidRPr="00B7760C">
              <w:tab/>
            </w:r>
            <w:r w:rsidR="00182609" w:rsidRPr="00B7760C">
              <w:t>[Uredba XXXX Evropskega parlamenta in Sveta o vključitvi emisij toplogrednih plinov in odvzemov zaradi rabe zemljišč, spremembe rabe zemljišč in gozdarstva v okvir podnebne in energetske politike do leta 2030 ter spremembi Uredbe št. 525/2013 Evropskega parlamenta in Sveta o mehanizmu za spremljanje emisij toplogrednih plinov in poročanje o njih ter za sporočanje drugih informacij v zvezi s podnebnimi spremembami]</w:t>
            </w:r>
          </w:p>
        </w:tc>
        <w:tc>
          <w:tcPr>
            <w:tcW w:w="4876" w:type="dxa"/>
          </w:tcPr>
          <w:p w14:paraId="0690A4AD" w14:textId="25C04C0E" w:rsidR="00182609" w:rsidRPr="00B7760C" w:rsidRDefault="000B4781" w:rsidP="00A35DEB">
            <w:pPr>
              <w:pStyle w:val="Normal6a"/>
            </w:pPr>
            <w:r w:rsidRPr="00B7760C">
              <w:t>–</w:t>
            </w:r>
            <w:r w:rsidRPr="00B7760C">
              <w:tab/>
            </w:r>
            <w:r w:rsidR="00182609" w:rsidRPr="00B7760C">
              <w:t>[Uredba XXXX Evropskega parlamenta in Sveta o vključitvi emisij toplogrednih plinov in odvzemov zaradi rabe zemljišč, spremembe rabe zemljišč in gozdarstva v okvir podnebne in energetske politike do leta 2030 ter spremembi Uredbe št. 525/2013 Evropskega parlamenta in Sveta o mehanizmu za spremljanje emisij toplogrednih plinov in poročanje o njih ter za sporočanje drugih informacij v zvezi s podnebnimi spremembami]</w:t>
            </w:r>
          </w:p>
        </w:tc>
      </w:tr>
      <w:tr w:rsidR="00182609" w:rsidRPr="00B7760C" w14:paraId="4410E3CE" w14:textId="77777777" w:rsidTr="00A35DEB">
        <w:trPr>
          <w:jc w:val="center"/>
        </w:trPr>
        <w:tc>
          <w:tcPr>
            <w:tcW w:w="4876" w:type="dxa"/>
          </w:tcPr>
          <w:p w14:paraId="7F557387" w14:textId="5DD0D38A" w:rsidR="00182609" w:rsidRPr="00B7760C" w:rsidRDefault="000B4781" w:rsidP="00A35DEB">
            <w:pPr>
              <w:pStyle w:val="Normal6a"/>
            </w:pPr>
            <w:r w:rsidRPr="00B7760C">
              <w:t>–</w:t>
            </w:r>
            <w:r w:rsidRPr="00B7760C">
              <w:tab/>
            </w:r>
            <w:r w:rsidR="00182609" w:rsidRPr="00B7760C">
              <w:t>[Uredba XXX Evropskega parlamenta in Sveta o zavezujočem letnem zmanjšanju emisij toplogrednih plinov v državah članicah v obdobju 2021–2030 za trdno energetsko unijo in izpolnitev zavez iz Pariškega sporazuma ter o spremembi Uredbe št. 525/2013 Evropskega parlamenta in Sveta o mehanizmu za spremljanje emisij toplogrednih plinov in poročanje o njih ter za sporočanje drugih informacij v zvezi s podnebnimi spremembami]</w:t>
            </w:r>
          </w:p>
        </w:tc>
        <w:tc>
          <w:tcPr>
            <w:tcW w:w="4876" w:type="dxa"/>
          </w:tcPr>
          <w:p w14:paraId="0C3E10A3" w14:textId="31C23CA8" w:rsidR="00182609" w:rsidRPr="00B7760C" w:rsidRDefault="000B4781" w:rsidP="00A35DEB">
            <w:pPr>
              <w:pStyle w:val="Normal6a"/>
            </w:pPr>
            <w:r w:rsidRPr="00B7760C">
              <w:t>–</w:t>
            </w:r>
            <w:r w:rsidRPr="00B7760C">
              <w:tab/>
            </w:r>
            <w:r w:rsidR="00182609" w:rsidRPr="00B7760C">
              <w:t>[Uredba XXX Evropskega parlamenta in Sveta o zavezujočem letnem zmanjšanju emisij toplogrednih plinov v državah članicah v obdobju 2021–2030 za trdno energetsko unijo in izpolnitev zavez iz Pariškega sporazuma ter o spremembi Uredbe št. 525/2013 Evropskega parlamenta in Sveta o mehanizmu za spremljanje emisij toplogrednih plinov in poročanje o njih ter za sporočanje drugih informacij v zvezi s podnebnimi spremembami]</w:t>
            </w:r>
          </w:p>
        </w:tc>
      </w:tr>
      <w:tr w:rsidR="00182609" w:rsidRPr="00B7760C" w14:paraId="5D29542E" w14:textId="77777777" w:rsidTr="00A35DEB">
        <w:trPr>
          <w:jc w:val="center"/>
        </w:trPr>
        <w:tc>
          <w:tcPr>
            <w:tcW w:w="4876" w:type="dxa"/>
          </w:tcPr>
          <w:p w14:paraId="57001E37" w14:textId="77777777" w:rsidR="00182609" w:rsidRPr="00B7760C" w:rsidRDefault="00182609" w:rsidP="00A35DEB">
            <w:pPr>
              <w:pStyle w:val="Normal6a"/>
            </w:pPr>
            <w:r w:rsidRPr="00B7760C">
              <w:t>–</w:t>
            </w:r>
            <w:r w:rsidRPr="00B7760C">
              <w:tab/>
              <w:t xml:space="preserve">Direktiva 2009/28/ES o spodbujanju uporabe energije iz obnovljivih virov </w:t>
            </w:r>
          </w:p>
        </w:tc>
        <w:tc>
          <w:tcPr>
            <w:tcW w:w="4876" w:type="dxa"/>
          </w:tcPr>
          <w:p w14:paraId="3A940FA7" w14:textId="77777777" w:rsidR="00182609" w:rsidRPr="00B7760C" w:rsidRDefault="00182609" w:rsidP="00A35DEB">
            <w:pPr>
              <w:pStyle w:val="Normal6a"/>
            </w:pPr>
            <w:r w:rsidRPr="00B7760C">
              <w:t>–</w:t>
            </w:r>
            <w:r w:rsidRPr="00B7760C">
              <w:tab/>
              <w:t xml:space="preserve">Direktiva 2009/28/ES o spodbujanju uporabe energije iz obnovljivih virov </w:t>
            </w:r>
          </w:p>
        </w:tc>
      </w:tr>
      <w:tr w:rsidR="00182609" w:rsidRPr="00B7760C" w14:paraId="7B0E3EF6" w14:textId="77777777" w:rsidTr="00A35DEB">
        <w:trPr>
          <w:jc w:val="center"/>
        </w:trPr>
        <w:tc>
          <w:tcPr>
            <w:tcW w:w="4876" w:type="dxa"/>
          </w:tcPr>
          <w:p w14:paraId="158F52BD" w14:textId="3A348D91" w:rsidR="00182609" w:rsidRPr="00B7760C" w:rsidRDefault="00D83206" w:rsidP="00A35DEB">
            <w:pPr>
              <w:pStyle w:val="Normal6a"/>
            </w:pPr>
            <w:r w:rsidRPr="00B7760C">
              <w:t>–</w:t>
            </w:r>
            <w:r w:rsidRPr="00B7760C">
              <w:tab/>
            </w:r>
            <w:r w:rsidR="00182609" w:rsidRPr="00B7760C">
              <w:t>[Direktiva XXX Evropskega parlamenta in Sveta o spremembi Direktive 2012/27/EU o energetski učinkovitosti]</w:t>
            </w:r>
          </w:p>
        </w:tc>
        <w:tc>
          <w:tcPr>
            <w:tcW w:w="4876" w:type="dxa"/>
          </w:tcPr>
          <w:p w14:paraId="3665D0F6" w14:textId="20E121A7" w:rsidR="00182609" w:rsidRPr="00B7760C" w:rsidRDefault="00D83206" w:rsidP="00A35DEB">
            <w:pPr>
              <w:pStyle w:val="Normal6a"/>
            </w:pPr>
            <w:r w:rsidRPr="00B7760C">
              <w:t>–</w:t>
            </w:r>
            <w:r w:rsidRPr="00B7760C">
              <w:tab/>
            </w:r>
            <w:r w:rsidR="00182609" w:rsidRPr="00B7760C">
              <w:t>[Direktiva XXX Evropskega parlamenta in Sveta o spremembi Direktive 2012/27/EU o energetski učinkovitosti]</w:t>
            </w:r>
          </w:p>
        </w:tc>
      </w:tr>
      <w:tr w:rsidR="00182609" w:rsidRPr="00B7760C" w14:paraId="26FA9168" w14:textId="77777777" w:rsidTr="00A35DEB">
        <w:trPr>
          <w:jc w:val="center"/>
        </w:trPr>
        <w:tc>
          <w:tcPr>
            <w:tcW w:w="4876" w:type="dxa"/>
          </w:tcPr>
          <w:p w14:paraId="6C925C26" w14:textId="48FEA9E7" w:rsidR="00182609" w:rsidRPr="00B7760C" w:rsidRDefault="00D83206" w:rsidP="00A35DEB">
            <w:pPr>
              <w:pStyle w:val="Normal6a"/>
            </w:pPr>
            <w:r w:rsidRPr="00B7760C">
              <w:t>–</w:t>
            </w:r>
            <w:r w:rsidRPr="00B7760C">
              <w:tab/>
            </w:r>
            <w:r w:rsidR="00182609" w:rsidRPr="00B7760C">
              <w:t>[Uredba XXXX Evropskega parlamenta in Sveta o upravljanju energetske unije, spremembi Direktive 94/22/ES, Direktive 98/70/ES, Direktive 2009/31/ES, Uredbe (ES) št. 663/2009, Uredbe (ES) št. 715/2009, Direktive 2009/73/ES, Direktive Sveta 2009/119/ES, Direktive 2010/31/EU, Direktive 2012/27/EU, Direktive 2013/30/EU in Direktive Sveta (EU) 2015/652 ter razveljavitvi Uredbe (EU) št. 525/2013]</w:t>
            </w:r>
          </w:p>
        </w:tc>
        <w:tc>
          <w:tcPr>
            <w:tcW w:w="4876" w:type="dxa"/>
          </w:tcPr>
          <w:p w14:paraId="45E61684" w14:textId="346C4D20" w:rsidR="00182609" w:rsidRPr="00B7760C" w:rsidRDefault="00D83206" w:rsidP="00A35DEB">
            <w:pPr>
              <w:pStyle w:val="Normal6a"/>
            </w:pPr>
            <w:r w:rsidRPr="00B7760C">
              <w:t>–</w:t>
            </w:r>
            <w:r w:rsidRPr="00B7760C">
              <w:tab/>
            </w:r>
            <w:r w:rsidR="00182609" w:rsidRPr="00B7760C">
              <w:t>[Uredba XXXX Evropskega parlamenta in Sveta o upravljanju energetske unije, spremembi Direktive 94/22/ES, Direktive 98/70/ES, Direktive 2009/31/ES, Uredbe (ES) št. 663/2009, Uredbe (ES) št. 715/2009, Direktive 2009/73/ES, Direktive Sveta 2009/119/ES, Direktive 2010/31/EU, Direktive 2012/27/EU, Direktive 2013/30/EU in Direktive Sveta (EU) 2015/652 ter razveljavitvi Uredbe (EU) št. 525/2013]</w:t>
            </w:r>
          </w:p>
        </w:tc>
      </w:tr>
      <w:tr w:rsidR="00182609" w:rsidRPr="00B7760C" w14:paraId="24FDCBB6" w14:textId="77777777" w:rsidTr="00A35DEB">
        <w:trPr>
          <w:jc w:val="center"/>
        </w:trPr>
        <w:tc>
          <w:tcPr>
            <w:tcW w:w="4876" w:type="dxa"/>
          </w:tcPr>
          <w:p w14:paraId="75A9193F" w14:textId="77777777" w:rsidR="00182609" w:rsidRPr="00B7760C" w:rsidRDefault="00182609" w:rsidP="00A35DEB">
            <w:pPr>
              <w:pStyle w:val="Normal6a"/>
            </w:pPr>
            <w:r w:rsidRPr="00B7760C">
              <w:t>–</w:t>
            </w:r>
            <w:r w:rsidRPr="00B7760C">
              <w:tab/>
              <w:t xml:space="preserve">Direktiva 2009/128/ES Evropskega parlamenta in Sveta z dne 21. oktobra 2009 o določitvi okvira za ukrepe Skupnosti za doseganje trajnostne rabe pesticidov </w:t>
            </w:r>
          </w:p>
        </w:tc>
        <w:tc>
          <w:tcPr>
            <w:tcW w:w="4876" w:type="dxa"/>
          </w:tcPr>
          <w:p w14:paraId="733A7740" w14:textId="77777777" w:rsidR="00182609" w:rsidRPr="00B7760C" w:rsidRDefault="00182609" w:rsidP="00A35DEB">
            <w:pPr>
              <w:pStyle w:val="Normal6a"/>
            </w:pPr>
            <w:r w:rsidRPr="00B7760C">
              <w:t>–</w:t>
            </w:r>
            <w:r w:rsidRPr="00B7760C">
              <w:tab/>
              <w:t xml:space="preserve">Direktiva 2009/128/ES Evropskega parlamenta in Sveta z dne 21. oktobra 2009 o določitvi okvira za ukrepe Skupnosti za doseganje trajnostne rabe pesticidov </w:t>
            </w:r>
          </w:p>
        </w:tc>
      </w:tr>
      <w:tr w:rsidR="00182609" w:rsidRPr="00B7760C" w14:paraId="069B2F83" w14:textId="77777777" w:rsidTr="00A35DEB">
        <w:trPr>
          <w:jc w:val="center"/>
        </w:trPr>
        <w:tc>
          <w:tcPr>
            <w:tcW w:w="4876" w:type="dxa"/>
          </w:tcPr>
          <w:p w14:paraId="377CC987" w14:textId="77777777" w:rsidR="00182609" w:rsidRPr="00B7760C" w:rsidRDefault="00182609" w:rsidP="00A35DEB">
            <w:pPr>
              <w:pStyle w:val="Normal6a"/>
            </w:pPr>
          </w:p>
        </w:tc>
        <w:tc>
          <w:tcPr>
            <w:tcW w:w="4876" w:type="dxa"/>
          </w:tcPr>
          <w:p w14:paraId="494C13AA" w14:textId="77777777" w:rsidR="00182609" w:rsidRPr="00B7760C" w:rsidRDefault="00182609" w:rsidP="00A35DEB">
            <w:pPr>
              <w:pStyle w:val="Normal6a"/>
            </w:pPr>
            <w:r w:rsidRPr="00B7760C">
              <w:rPr>
                <w:b/>
                <w:i/>
              </w:rPr>
              <w:t>–</w:t>
            </w:r>
            <w:r w:rsidRPr="00B7760C">
              <w:rPr>
                <w:b/>
                <w:i/>
              </w:rPr>
              <w:tab/>
              <w:t>Uredba (EU) XX/XX Evropskega parlamenta in Sveta o minimalnih zahtevah za ponovno uporabo vode;</w:t>
            </w:r>
          </w:p>
        </w:tc>
      </w:tr>
      <w:tr w:rsidR="00182609" w:rsidRPr="00B7760C" w14:paraId="4CF98A94" w14:textId="77777777" w:rsidTr="00A35DEB">
        <w:trPr>
          <w:jc w:val="center"/>
        </w:trPr>
        <w:tc>
          <w:tcPr>
            <w:tcW w:w="4876" w:type="dxa"/>
          </w:tcPr>
          <w:p w14:paraId="0A7A6466" w14:textId="77777777" w:rsidR="00182609" w:rsidRPr="00B7760C" w:rsidRDefault="00182609" w:rsidP="00A35DEB">
            <w:pPr>
              <w:pStyle w:val="Normal6a"/>
            </w:pPr>
          </w:p>
        </w:tc>
        <w:tc>
          <w:tcPr>
            <w:tcW w:w="4876" w:type="dxa"/>
          </w:tcPr>
          <w:p w14:paraId="146A4C30" w14:textId="77777777" w:rsidR="00182609" w:rsidRPr="00B7760C" w:rsidRDefault="00182609" w:rsidP="00A35DEB">
            <w:pPr>
              <w:pStyle w:val="Normal6a"/>
              <w:rPr>
                <w:b/>
                <w:i/>
              </w:rPr>
            </w:pPr>
            <w:r w:rsidRPr="00B7760C">
              <w:rPr>
                <w:b/>
                <w:i/>
              </w:rPr>
              <w:t>–</w:t>
            </w:r>
            <w:r w:rsidRPr="00B7760C">
              <w:rPr>
                <w:b/>
                <w:i/>
              </w:rPr>
              <w:tab/>
              <w:t>Uredba (ES) št. 1107/2009 Evropskega parlamenta in Sveta z dne 21. oktobra 2009 o dajanju fitofarmacevtskih sredstev v promet in razveljavitvi direktiv Sveta 79/117/EGS in 91/414/EGS.</w:t>
            </w:r>
          </w:p>
        </w:tc>
      </w:tr>
    </w:tbl>
    <w:p w14:paraId="37909722" w14:textId="77777777" w:rsidR="003663AF" w:rsidRPr="00B7760C" w:rsidRDefault="003663AF" w:rsidP="003663AF"/>
    <w:p w14:paraId="305E8739" w14:textId="4D83D35D" w:rsidR="00E365E1" w:rsidRPr="00B7760C" w:rsidRDefault="00E365E1" w:rsidP="00BE59C0">
      <w:bookmarkStart w:id="15" w:name="TextBodyEnd"/>
      <w:bookmarkEnd w:id="15"/>
    </w:p>
    <w:p w14:paraId="0A53B7EC" w14:textId="2013A2DC" w:rsidR="00A35DEB" w:rsidRPr="00B7760C" w:rsidRDefault="00A35DEB" w:rsidP="00A35DEB">
      <w:pPr>
        <w:pStyle w:val="AmNumberTabs0"/>
      </w:pPr>
      <w:r w:rsidRPr="00B7760C">
        <w:t>Sprememba</w:t>
      </w:r>
      <w:r w:rsidRPr="00B7760C">
        <w:tab/>
        <w:t>1155</w:t>
      </w:r>
    </w:p>
    <w:p w14:paraId="48C38338" w14:textId="77777777" w:rsidR="00A35DEB" w:rsidRPr="00B7760C" w:rsidRDefault="00A35DEB" w:rsidP="00A35DEB">
      <w:pPr>
        <w:pStyle w:val="NormalBold12b"/>
      </w:pPr>
      <w:r w:rsidRPr="00B7760C">
        <w:t>Predlog uredbe</w:t>
      </w:r>
    </w:p>
    <w:p w14:paraId="0F8DD4D0" w14:textId="77777777" w:rsidR="00A35DEB" w:rsidRPr="00B7760C" w:rsidRDefault="00A35DEB" w:rsidP="00A35DEB">
      <w:pPr>
        <w:pStyle w:val="NormalBold"/>
      </w:pPr>
      <w:r w:rsidRPr="00B7760C">
        <w:t>Priloga XII</w:t>
      </w:r>
    </w:p>
    <w:tbl>
      <w:tblPr>
        <w:tblStyle w:val="Tabelamrea"/>
        <w:tblW w:w="0" w:type="auto"/>
        <w:tblLook w:val="04A0" w:firstRow="1" w:lastRow="0" w:firstColumn="1" w:lastColumn="0" w:noHBand="0" w:noVBand="1"/>
      </w:tblPr>
      <w:tblGrid>
        <w:gridCol w:w="9060"/>
      </w:tblGrid>
      <w:tr w:rsidR="00A35DEB" w:rsidRPr="00B7760C" w14:paraId="14459053" w14:textId="77777777" w:rsidTr="00A35DEB">
        <w:tc>
          <w:tcPr>
            <w:tcW w:w="9060" w:type="dxa"/>
          </w:tcPr>
          <w:p w14:paraId="4F29DE64" w14:textId="77777777" w:rsidR="00A35DEB" w:rsidRPr="00B7760C" w:rsidRDefault="00A35DEB" w:rsidP="00A35DEB">
            <w:pPr>
              <w:pStyle w:val="Annexetitre"/>
              <w:rPr>
                <w:b w:val="0"/>
                <w:i/>
                <w:szCs w:val="24"/>
                <w:u w:val="none"/>
              </w:rPr>
            </w:pPr>
            <w:r w:rsidRPr="00B7760C">
              <w:rPr>
                <w:b w:val="0"/>
                <w:i/>
                <w:szCs w:val="24"/>
                <w:u w:val="none"/>
              </w:rPr>
              <w:t>Besedilo, ki ga predlaga Komisija</w:t>
            </w:r>
          </w:p>
        </w:tc>
      </w:tr>
      <w:tr w:rsidR="00A35DEB" w:rsidRPr="00B7760C" w14:paraId="68210E39" w14:textId="77777777" w:rsidTr="00A35DEB">
        <w:tc>
          <w:tcPr>
            <w:tcW w:w="9060" w:type="dxa"/>
          </w:tcPr>
          <w:p w14:paraId="4BBE8C81" w14:textId="77777777" w:rsidR="00A35DEB" w:rsidRPr="00B7760C" w:rsidRDefault="00A35DEB" w:rsidP="00A35DEB">
            <w:pPr>
              <w:pStyle w:val="Annexetitre"/>
              <w:rPr>
                <w:u w:val="none"/>
              </w:rPr>
            </w:pPr>
            <w:r w:rsidRPr="00B7760C">
              <w:rPr>
                <w:u w:val="none"/>
              </w:rPr>
              <w:t>PRILOGA XII</w:t>
            </w:r>
          </w:p>
        </w:tc>
      </w:tr>
      <w:tr w:rsidR="00A35DEB" w:rsidRPr="00B7760C" w14:paraId="3BE64910" w14:textId="77777777" w:rsidTr="00A35DEB">
        <w:trPr>
          <w:trHeight w:val="832"/>
        </w:trPr>
        <w:tc>
          <w:tcPr>
            <w:tcW w:w="9060" w:type="dxa"/>
            <w:vAlign w:val="center"/>
          </w:tcPr>
          <w:p w14:paraId="572B86FC" w14:textId="77777777" w:rsidR="00A35DEB" w:rsidRPr="00B7760C" w:rsidRDefault="00A35DEB" w:rsidP="00A35DEB">
            <w:pPr>
              <w:jc w:val="center"/>
              <w:rPr>
                <w:b/>
                <w:bCs/>
                <w:color w:val="000000"/>
                <w:szCs w:val="24"/>
              </w:rPr>
            </w:pPr>
            <w:r w:rsidRPr="00B7760C">
              <w:rPr>
                <w:b/>
                <w:bCs/>
                <w:color w:val="000000"/>
                <w:szCs w:val="24"/>
              </w:rPr>
              <w:t>POROČANJE NA PODLAGI KLJUČNEGA NIZA KAZALNIKOV NA PODLAGI ČLENA 128</w:t>
            </w:r>
          </w:p>
        </w:tc>
      </w:tr>
      <w:tr w:rsidR="00A35DEB" w:rsidRPr="00B7760C" w14:paraId="36A401FF" w14:textId="77777777" w:rsidTr="00A35DEB">
        <w:tc>
          <w:tcPr>
            <w:tcW w:w="9060" w:type="dxa"/>
          </w:tcPr>
          <w:p w14:paraId="0C8DCAA6" w14:textId="77777777" w:rsidR="00A35DEB" w:rsidRPr="00B7760C" w:rsidRDefault="00A35DEB" w:rsidP="00A35DEB">
            <w:pPr>
              <w:pStyle w:val="AmOrLang"/>
              <w:jc w:val="center"/>
              <w:rPr>
                <w:i/>
                <w:szCs w:val="24"/>
              </w:rPr>
            </w:pPr>
            <w:r w:rsidRPr="00B7760C">
              <w:t xml:space="preserve">Kazalniki za Evropski kmetijski jamstveni sklad (EKJS) </w:t>
            </w:r>
            <w:r w:rsidRPr="00B7760C">
              <w:br/>
              <w:t>in Evropski kmetijski sklad za razvoj podeželja (EKSRP)</w:t>
            </w:r>
          </w:p>
        </w:tc>
      </w:tr>
    </w:tbl>
    <w:p w14:paraId="4CED563F" w14:textId="77777777" w:rsidR="00A35DEB" w:rsidRPr="00B7760C" w:rsidRDefault="00A35DEB" w:rsidP="00A35DEB">
      <w:pPr>
        <w:spacing w:after="160" w:line="259" w:lineRule="auto"/>
        <w:jc w:val="center"/>
        <w:rPr>
          <w:rFonts w:eastAsia="Calibri"/>
          <w:szCs w:val="24"/>
          <w:u w:val="single"/>
        </w:rPr>
      </w:pPr>
    </w:p>
    <w:tbl>
      <w:tblPr>
        <w:tblW w:w="10207" w:type="dxa"/>
        <w:tblInd w:w="-35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70" w:type="dxa"/>
          <w:right w:w="70" w:type="dxa"/>
        </w:tblCellMar>
        <w:tblLook w:val="04A0" w:firstRow="1" w:lastRow="0" w:firstColumn="1" w:lastColumn="0" w:noHBand="0" w:noVBand="1"/>
      </w:tblPr>
      <w:tblGrid>
        <w:gridCol w:w="4111"/>
        <w:gridCol w:w="6096"/>
      </w:tblGrid>
      <w:tr w:rsidR="00A35DEB" w:rsidRPr="00B7760C" w14:paraId="497C9020" w14:textId="77777777" w:rsidTr="00A35DEB">
        <w:trPr>
          <w:cantSplit/>
          <w:trHeight w:val="600"/>
          <w:tblHeader/>
        </w:trPr>
        <w:tc>
          <w:tcPr>
            <w:tcW w:w="4111" w:type="dxa"/>
            <w:shd w:val="clear" w:color="auto" w:fill="9CC2E5" w:themeFill="accent1" w:themeFillTint="99"/>
            <w:vAlign w:val="center"/>
          </w:tcPr>
          <w:p w14:paraId="48129B15" w14:textId="77777777" w:rsidR="00A35DEB" w:rsidRPr="00B7760C" w:rsidRDefault="00A35DEB" w:rsidP="00A35DEB">
            <w:pPr>
              <w:spacing w:after="160" w:line="259" w:lineRule="auto"/>
              <w:jc w:val="both"/>
              <w:rPr>
                <w:rFonts w:eastAsia="Calibri"/>
                <w:szCs w:val="24"/>
              </w:rPr>
            </w:pPr>
            <w:r w:rsidRPr="00B7760C">
              <w:rPr>
                <w:szCs w:val="24"/>
              </w:rPr>
              <w:t>Cilji</w:t>
            </w:r>
          </w:p>
        </w:tc>
        <w:tc>
          <w:tcPr>
            <w:tcW w:w="6096" w:type="dxa"/>
            <w:shd w:val="clear" w:color="auto" w:fill="E7E6E6" w:themeFill="background2"/>
            <w:vAlign w:val="center"/>
          </w:tcPr>
          <w:p w14:paraId="0CD45990" w14:textId="77777777" w:rsidR="00A35DEB" w:rsidRPr="00B7760C" w:rsidRDefault="00A35DEB" w:rsidP="00A35DEB">
            <w:pPr>
              <w:spacing w:after="160" w:line="259" w:lineRule="auto"/>
              <w:jc w:val="center"/>
              <w:rPr>
                <w:rFonts w:eastAsia="Calibri"/>
                <w:szCs w:val="24"/>
              </w:rPr>
            </w:pPr>
            <w:r w:rsidRPr="00B7760C">
              <w:t>Ključni niz kazalnikov</w:t>
            </w:r>
          </w:p>
        </w:tc>
      </w:tr>
      <w:tr w:rsidR="00A35DEB" w:rsidRPr="00B7760C" w14:paraId="25372948" w14:textId="77777777" w:rsidTr="00A35DEB">
        <w:trPr>
          <w:cantSplit/>
          <w:trHeight w:val="600"/>
        </w:trPr>
        <w:tc>
          <w:tcPr>
            <w:tcW w:w="4111" w:type="dxa"/>
            <w:vMerge w:val="restart"/>
            <w:shd w:val="clear" w:color="000000" w:fill="F2F2F2"/>
            <w:vAlign w:val="center"/>
            <w:hideMark/>
          </w:tcPr>
          <w:p w14:paraId="4AB1F8E9" w14:textId="77777777" w:rsidR="00A35DEB" w:rsidRPr="00B7760C" w:rsidRDefault="00A35DEB" w:rsidP="00A35DEB">
            <w:pPr>
              <w:tabs>
                <w:tab w:val="left" w:pos="3544"/>
              </w:tabs>
              <w:ind w:right="209"/>
              <w:jc w:val="both"/>
              <w:rPr>
                <w:bCs/>
                <w:szCs w:val="24"/>
              </w:rPr>
            </w:pPr>
            <w:r w:rsidRPr="00B7760C">
              <w:rPr>
                <w:bCs/>
                <w:szCs w:val="24"/>
              </w:rPr>
              <w:t>Podpora vzdržnim dohodkom kmetij in odpornosti po vsej Uniji za povečanje prehranske varnosti</w:t>
            </w:r>
          </w:p>
        </w:tc>
        <w:tc>
          <w:tcPr>
            <w:tcW w:w="6096" w:type="dxa"/>
            <w:vAlign w:val="center"/>
          </w:tcPr>
          <w:p w14:paraId="28A6E1F4" w14:textId="77777777" w:rsidR="00A35DEB" w:rsidRPr="00B7760C" w:rsidRDefault="00A35DEB" w:rsidP="00A35DEB">
            <w:pPr>
              <w:tabs>
                <w:tab w:val="left" w:pos="3544"/>
              </w:tabs>
              <w:spacing w:line="259" w:lineRule="auto"/>
              <w:rPr>
                <w:rFonts w:eastAsia="Calibri"/>
                <w:szCs w:val="24"/>
              </w:rPr>
            </w:pPr>
            <w:r w:rsidRPr="00B7760C">
              <w:t>O.3 Število upravičencev do podpore SKP</w:t>
            </w:r>
          </w:p>
        </w:tc>
      </w:tr>
      <w:tr w:rsidR="00A35DEB" w:rsidRPr="00B7760C" w14:paraId="44A19DDE" w14:textId="77777777" w:rsidTr="00A35DEB">
        <w:trPr>
          <w:cantSplit/>
          <w:trHeight w:val="1056"/>
        </w:trPr>
        <w:tc>
          <w:tcPr>
            <w:tcW w:w="4111" w:type="dxa"/>
            <w:vMerge/>
            <w:vAlign w:val="center"/>
            <w:hideMark/>
          </w:tcPr>
          <w:p w14:paraId="50376840" w14:textId="77777777" w:rsidR="00A35DEB" w:rsidRPr="00B7760C" w:rsidRDefault="00A35DEB" w:rsidP="00A35DEB">
            <w:pPr>
              <w:tabs>
                <w:tab w:val="left" w:pos="3544"/>
              </w:tabs>
              <w:jc w:val="both"/>
              <w:rPr>
                <w:bCs/>
                <w:szCs w:val="24"/>
                <w:lang w:eastAsia="fr-BE"/>
              </w:rPr>
            </w:pPr>
          </w:p>
        </w:tc>
        <w:tc>
          <w:tcPr>
            <w:tcW w:w="6096" w:type="dxa"/>
            <w:vAlign w:val="center"/>
          </w:tcPr>
          <w:p w14:paraId="78A748D2" w14:textId="77777777" w:rsidR="00A35DEB" w:rsidRPr="00B7760C" w:rsidRDefault="00A35DEB" w:rsidP="00A35DEB">
            <w:pPr>
              <w:tabs>
                <w:tab w:val="left" w:pos="3544"/>
              </w:tabs>
              <w:spacing w:after="160" w:line="259" w:lineRule="auto"/>
              <w:rPr>
                <w:rFonts w:eastAsia="Calibri"/>
                <w:szCs w:val="24"/>
              </w:rPr>
            </w:pPr>
            <w:r w:rsidRPr="00B7760C">
              <w:t>R.6 Prerazporeditev na manjše kmetije: odstotek dodatne podpore na hektar za upravičene kmetije pod povprečno velikostjo kmetije (v primerjavi s povprečjem)</w:t>
            </w:r>
          </w:p>
        </w:tc>
      </w:tr>
      <w:tr w:rsidR="00A35DEB" w:rsidRPr="00B7760C" w14:paraId="2F22D6F7" w14:textId="77777777" w:rsidTr="00A35DEB">
        <w:trPr>
          <w:cantSplit/>
          <w:trHeight w:val="672"/>
        </w:trPr>
        <w:tc>
          <w:tcPr>
            <w:tcW w:w="4111" w:type="dxa"/>
            <w:shd w:val="clear" w:color="000000" w:fill="F2F2F2"/>
            <w:vAlign w:val="center"/>
            <w:hideMark/>
          </w:tcPr>
          <w:p w14:paraId="073237FA" w14:textId="77777777" w:rsidR="00A35DEB" w:rsidRPr="00B7760C" w:rsidRDefault="00A35DEB" w:rsidP="00A35DEB">
            <w:pPr>
              <w:tabs>
                <w:tab w:val="left" w:pos="3544"/>
              </w:tabs>
              <w:ind w:right="209"/>
              <w:jc w:val="both"/>
              <w:rPr>
                <w:bCs/>
                <w:szCs w:val="24"/>
              </w:rPr>
            </w:pPr>
            <w:r w:rsidRPr="00B7760C">
              <w:rPr>
                <w:bCs/>
                <w:szCs w:val="24"/>
              </w:rPr>
              <w:t>Krepitev tržne usmerjenosti in povečanje konkurenčnosti, tudi z večjim poudarkom na raziskavah, inovativnih rešitvah, tehnologiji in digitalizaciji ter njihovim prevzemanjem</w:t>
            </w:r>
          </w:p>
        </w:tc>
        <w:tc>
          <w:tcPr>
            <w:tcW w:w="6096" w:type="dxa"/>
            <w:vAlign w:val="center"/>
          </w:tcPr>
          <w:p w14:paraId="2C9A1BA2" w14:textId="77777777" w:rsidR="00A35DEB" w:rsidRPr="00B7760C" w:rsidRDefault="00A35DEB" w:rsidP="00A35DEB">
            <w:pPr>
              <w:tabs>
                <w:tab w:val="left" w:pos="3544"/>
              </w:tabs>
              <w:spacing w:after="160" w:line="259" w:lineRule="auto"/>
              <w:rPr>
                <w:rFonts w:eastAsia="Calibri"/>
                <w:szCs w:val="24"/>
              </w:rPr>
            </w:pPr>
            <w:r w:rsidRPr="00B7760C">
              <w:t>R.9 Modernizacija kmetij: delež kmetov, ki prejemajo podporo za naložbe v prestrukturiranje in modernizacijo, vključno za učinkovitejšo rabo virov</w:t>
            </w:r>
          </w:p>
        </w:tc>
      </w:tr>
      <w:tr w:rsidR="00A35DEB" w:rsidRPr="00B7760C" w14:paraId="27A1CF25" w14:textId="77777777" w:rsidTr="00A35DEB">
        <w:trPr>
          <w:cantSplit/>
          <w:trHeight w:val="768"/>
        </w:trPr>
        <w:tc>
          <w:tcPr>
            <w:tcW w:w="4111" w:type="dxa"/>
            <w:shd w:val="clear" w:color="000000" w:fill="F2F2F2"/>
            <w:vAlign w:val="center"/>
            <w:hideMark/>
          </w:tcPr>
          <w:p w14:paraId="669D95A6" w14:textId="77777777" w:rsidR="00A35DEB" w:rsidRPr="00B7760C" w:rsidRDefault="00A35DEB" w:rsidP="00A35DEB">
            <w:pPr>
              <w:tabs>
                <w:tab w:val="left" w:pos="3544"/>
              </w:tabs>
              <w:ind w:right="209"/>
              <w:jc w:val="both"/>
              <w:rPr>
                <w:bCs/>
                <w:szCs w:val="24"/>
              </w:rPr>
            </w:pPr>
            <w:r w:rsidRPr="00B7760C">
              <w:rPr>
                <w:bCs/>
                <w:szCs w:val="24"/>
              </w:rPr>
              <w:t>Izboljšanje položaja kmetov v vrednostni verigi</w:t>
            </w:r>
          </w:p>
        </w:tc>
        <w:tc>
          <w:tcPr>
            <w:tcW w:w="6096" w:type="dxa"/>
            <w:vAlign w:val="center"/>
          </w:tcPr>
          <w:p w14:paraId="4682EBED" w14:textId="77777777" w:rsidR="00A35DEB" w:rsidRPr="00B7760C" w:rsidRDefault="00A35DEB" w:rsidP="00A35DEB">
            <w:pPr>
              <w:tabs>
                <w:tab w:val="left" w:pos="3544"/>
              </w:tabs>
              <w:spacing w:after="160" w:line="259" w:lineRule="auto"/>
              <w:rPr>
                <w:rFonts w:eastAsia="Calibri"/>
                <w:szCs w:val="24"/>
              </w:rPr>
            </w:pPr>
            <w:r w:rsidRPr="00B7760C">
              <w:t>R.10 Boljša organizacija dobavne verige: delež kmetov, ki sodelujejo v skupinah proizvajalcev, organizacijah proizvajalcev, na lokalnih trgih, v kratkih dobavnih verigah in shemah kakovosti, ki prejemajo podporo</w:t>
            </w:r>
          </w:p>
        </w:tc>
      </w:tr>
      <w:tr w:rsidR="00A35DEB" w:rsidRPr="00B7760C" w14:paraId="13318D90" w14:textId="77777777" w:rsidTr="00A35DEB">
        <w:trPr>
          <w:cantSplit/>
          <w:trHeight w:val="1044"/>
        </w:trPr>
        <w:tc>
          <w:tcPr>
            <w:tcW w:w="4111" w:type="dxa"/>
            <w:shd w:val="clear" w:color="000000" w:fill="F2F2F2"/>
            <w:vAlign w:val="center"/>
            <w:hideMark/>
          </w:tcPr>
          <w:p w14:paraId="05949570" w14:textId="77777777" w:rsidR="00A35DEB" w:rsidRPr="00B7760C" w:rsidRDefault="00A35DEB" w:rsidP="00A35DEB">
            <w:pPr>
              <w:tabs>
                <w:tab w:val="left" w:pos="3544"/>
              </w:tabs>
              <w:ind w:right="209"/>
              <w:jc w:val="both"/>
              <w:rPr>
                <w:bCs/>
                <w:szCs w:val="24"/>
              </w:rPr>
            </w:pPr>
            <w:r w:rsidRPr="00B7760C">
              <w:rPr>
                <w:bCs/>
                <w:szCs w:val="24"/>
              </w:rPr>
              <w:t>Prispevanje k blažitvi podnebnih sprememb in prilagajanju nanje ter k trajnostni energiji;</w:t>
            </w:r>
          </w:p>
        </w:tc>
        <w:tc>
          <w:tcPr>
            <w:tcW w:w="6096" w:type="dxa"/>
            <w:vAlign w:val="center"/>
          </w:tcPr>
          <w:p w14:paraId="303598BE" w14:textId="77777777" w:rsidR="00A35DEB" w:rsidRPr="00B7760C" w:rsidRDefault="00A35DEB" w:rsidP="00A35DEB">
            <w:pPr>
              <w:tabs>
                <w:tab w:val="left" w:pos="3544"/>
              </w:tabs>
              <w:spacing w:after="160" w:line="259" w:lineRule="auto"/>
              <w:rPr>
                <w:rFonts w:eastAsia="Calibri"/>
                <w:szCs w:val="24"/>
              </w:rPr>
            </w:pPr>
            <w:r w:rsidRPr="00B7760C">
              <w:t>R.14 Shranjevanje ogljika v tleh in biomasi: delež kmetijskih zemljišč s prevzetimi obveznostmi za zmanjšanje emisij, ohranjanje in/ali povečevanje skladiščenja ogljika (trajno travinje, kmetijska zemljišča, šotišča, gozd itn.)</w:t>
            </w:r>
          </w:p>
        </w:tc>
      </w:tr>
      <w:tr w:rsidR="00A35DEB" w:rsidRPr="00B7760C" w14:paraId="2B66C148" w14:textId="77777777" w:rsidTr="00A35DEB">
        <w:trPr>
          <w:cantSplit/>
          <w:trHeight w:val="600"/>
        </w:trPr>
        <w:tc>
          <w:tcPr>
            <w:tcW w:w="4111" w:type="dxa"/>
            <w:vMerge w:val="restart"/>
            <w:shd w:val="clear" w:color="000000" w:fill="F2F2F2"/>
            <w:vAlign w:val="center"/>
            <w:hideMark/>
          </w:tcPr>
          <w:p w14:paraId="6F108D4C" w14:textId="77777777" w:rsidR="00A35DEB" w:rsidRPr="00B7760C" w:rsidRDefault="00A35DEB" w:rsidP="00A35DEB">
            <w:pPr>
              <w:tabs>
                <w:tab w:val="left" w:pos="3544"/>
              </w:tabs>
              <w:ind w:right="209"/>
              <w:jc w:val="both"/>
              <w:rPr>
                <w:bCs/>
                <w:szCs w:val="24"/>
              </w:rPr>
            </w:pPr>
            <w:r w:rsidRPr="00B7760C">
              <w:rPr>
                <w:bCs/>
                <w:szCs w:val="24"/>
              </w:rPr>
              <w:t>Spodbujanje trajnostnega razvoja in učinkovitega upravljanja naravnih virov, kot so voda, tla in zrak;</w:t>
            </w:r>
          </w:p>
          <w:p w14:paraId="6909A174" w14:textId="77777777" w:rsidR="00A35DEB" w:rsidRPr="00B7760C" w:rsidRDefault="00A35DEB" w:rsidP="00A35DEB">
            <w:pPr>
              <w:tabs>
                <w:tab w:val="left" w:pos="3544"/>
              </w:tabs>
              <w:jc w:val="both"/>
              <w:rPr>
                <w:bCs/>
                <w:szCs w:val="24"/>
              </w:rPr>
            </w:pPr>
          </w:p>
        </w:tc>
        <w:tc>
          <w:tcPr>
            <w:tcW w:w="6096" w:type="dxa"/>
            <w:vAlign w:val="center"/>
          </w:tcPr>
          <w:p w14:paraId="3183E14B" w14:textId="77777777" w:rsidR="00A35DEB" w:rsidRPr="00B7760C" w:rsidRDefault="00A35DEB" w:rsidP="00A35DEB">
            <w:pPr>
              <w:tabs>
                <w:tab w:val="left" w:pos="3544"/>
              </w:tabs>
              <w:spacing w:line="259" w:lineRule="auto"/>
              <w:rPr>
                <w:rFonts w:eastAsia="Calibri"/>
                <w:szCs w:val="24"/>
              </w:rPr>
            </w:pPr>
            <w:r w:rsidRPr="00B7760C">
              <w:t>O.13 Število hektarov (kmetijskih zemljišč), za katere veljajo okoljske/podnebne prevzete obveznosti, ki presegajo obvezne zahteve</w:t>
            </w:r>
          </w:p>
        </w:tc>
      </w:tr>
      <w:tr w:rsidR="00A35DEB" w:rsidRPr="00B7760C" w14:paraId="1F2FED23" w14:textId="77777777" w:rsidTr="00A35DEB">
        <w:trPr>
          <w:cantSplit/>
          <w:trHeight w:val="948"/>
        </w:trPr>
        <w:tc>
          <w:tcPr>
            <w:tcW w:w="4111" w:type="dxa"/>
            <w:vMerge/>
            <w:shd w:val="clear" w:color="000000" w:fill="F2F2F2"/>
            <w:vAlign w:val="center"/>
            <w:hideMark/>
          </w:tcPr>
          <w:p w14:paraId="2011A221" w14:textId="77777777" w:rsidR="00A35DEB" w:rsidRPr="00B7760C" w:rsidRDefault="00A35DEB" w:rsidP="00A35DEB">
            <w:pPr>
              <w:tabs>
                <w:tab w:val="left" w:pos="3544"/>
              </w:tabs>
              <w:jc w:val="both"/>
              <w:rPr>
                <w:bCs/>
                <w:szCs w:val="24"/>
                <w:lang w:eastAsia="fr-BE"/>
              </w:rPr>
            </w:pPr>
          </w:p>
        </w:tc>
        <w:tc>
          <w:tcPr>
            <w:tcW w:w="6096" w:type="dxa"/>
            <w:vAlign w:val="center"/>
          </w:tcPr>
          <w:p w14:paraId="5F857D97" w14:textId="77777777" w:rsidR="00A35DEB" w:rsidRPr="00B7760C" w:rsidRDefault="00A35DEB" w:rsidP="00A35DEB">
            <w:pPr>
              <w:tabs>
                <w:tab w:val="left" w:pos="3544"/>
              </w:tabs>
              <w:spacing w:after="160" w:line="259" w:lineRule="auto"/>
              <w:rPr>
                <w:rFonts w:eastAsia="Calibri"/>
                <w:szCs w:val="24"/>
              </w:rPr>
            </w:pPr>
            <w:r w:rsidRPr="00B7760C">
              <w:t>R.4 Povezovanje dohodkovne podpore s standardi in dobrimi praksami: delež kmetijskih površin v uporabi, ki jih pokriva dohodkovna podpora in za katere velja pogojenost</w:t>
            </w:r>
          </w:p>
        </w:tc>
      </w:tr>
      <w:tr w:rsidR="00A35DEB" w:rsidRPr="00B7760C" w14:paraId="7F45379F" w14:textId="77777777" w:rsidTr="00A35DEB">
        <w:trPr>
          <w:cantSplit/>
          <w:trHeight w:val="960"/>
        </w:trPr>
        <w:tc>
          <w:tcPr>
            <w:tcW w:w="4111" w:type="dxa"/>
            <w:shd w:val="clear" w:color="000000" w:fill="F2F2F2"/>
            <w:vAlign w:val="center"/>
            <w:hideMark/>
          </w:tcPr>
          <w:p w14:paraId="0CA9250B" w14:textId="77777777" w:rsidR="00A35DEB" w:rsidRPr="00B7760C" w:rsidRDefault="00A35DEB" w:rsidP="00A35DEB">
            <w:pPr>
              <w:tabs>
                <w:tab w:val="left" w:pos="3544"/>
              </w:tabs>
              <w:ind w:right="67"/>
              <w:jc w:val="both"/>
              <w:rPr>
                <w:bCs/>
                <w:szCs w:val="24"/>
              </w:rPr>
            </w:pPr>
            <w:r w:rsidRPr="00B7760C">
              <w:rPr>
                <w:bCs/>
                <w:szCs w:val="24"/>
              </w:rPr>
              <w:t>Prispevanje k varstvu biotske raznovrstnosti, krepitev ekosistemskih storitev ter ohranjanje habitatov in krajine;</w:t>
            </w:r>
          </w:p>
        </w:tc>
        <w:tc>
          <w:tcPr>
            <w:tcW w:w="6096" w:type="dxa"/>
            <w:vAlign w:val="center"/>
          </w:tcPr>
          <w:p w14:paraId="4FFEDBDB" w14:textId="77777777" w:rsidR="00A35DEB" w:rsidRPr="00B7760C" w:rsidRDefault="00A35DEB" w:rsidP="00A35DEB">
            <w:pPr>
              <w:tabs>
                <w:tab w:val="left" w:pos="3544"/>
              </w:tabs>
              <w:spacing w:after="160" w:line="259" w:lineRule="auto"/>
              <w:rPr>
                <w:rFonts w:eastAsia="Calibri"/>
                <w:szCs w:val="24"/>
              </w:rPr>
            </w:pPr>
            <w:r w:rsidRPr="00B7760C">
              <w:t xml:space="preserve">R.27 Ohranjanje habitatov in vrst: delež kmetijskih zemljišč z upravljavskimi obveznostmi, ki podpirajo ohranjanje ali obnavljanje biotske raznovrstnosti </w:t>
            </w:r>
          </w:p>
        </w:tc>
      </w:tr>
      <w:tr w:rsidR="00A35DEB" w:rsidRPr="00B7760C" w14:paraId="583457F6" w14:textId="77777777" w:rsidTr="00A35DEB">
        <w:trPr>
          <w:cantSplit/>
          <w:trHeight w:val="600"/>
        </w:trPr>
        <w:tc>
          <w:tcPr>
            <w:tcW w:w="4111" w:type="dxa"/>
            <w:shd w:val="clear" w:color="000000" w:fill="F2F2F2"/>
            <w:vAlign w:val="center"/>
            <w:hideMark/>
          </w:tcPr>
          <w:p w14:paraId="1D73D184" w14:textId="77777777" w:rsidR="00A35DEB" w:rsidRPr="00B7760C" w:rsidRDefault="00A35DEB" w:rsidP="00A35DEB">
            <w:pPr>
              <w:tabs>
                <w:tab w:val="left" w:pos="3544"/>
              </w:tabs>
              <w:ind w:right="209"/>
              <w:jc w:val="both"/>
              <w:rPr>
                <w:bCs/>
                <w:szCs w:val="24"/>
              </w:rPr>
            </w:pPr>
            <w:r w:rsidRPr="00B7760C">
              <w:rPr>
                <w:bCs/>
                <w:szCs w:val="24"/>
              </w:rPr>
              <w:t>Privabljanje mladih kmetov in spodbujanje razvoja podjetij</w:t>
            </w:r>
          </w:p>
        </w:tc>
        <w:tc>
          <w:tcPr>
            <w:tcW w:w="6096" w:type="dxa"/>
            <w:vAlign w:val="center"/>
          </w:tcPr>
          <w:p w14:paraId="7F396714" w14:textId="44371CFD" w:rsidR="00A35DEB" w:rsidRPr="00B7760C" w:rsidRDefault="00A35DEB" w:rsidP="00A35DEB">
            <w:pPr>
              <w:tabs>
                <w:tab w:val="left" w:pos="3544"/>
              </w:tabs>
              <w:spacing w:after="160" w:line="259" w:lineRule="auto"/>
              <w:rPr>
                <w:rFonts w:eastAsia="Calibri"/>
                <w:szCs w:val="24"/>
              </w:rPr>
            </w:pPr>
            <w:r w:rsidRPr="00B7760C">
              <w:t>R.30 Generacijska pomladitev: število mladih kmetov, ki vzpostavljajo kmetijsko gospodarstvo s podporo iz SKP</w:t>
            </w:r>
            <w:r w:rsidR="009D3E2B" w:rsidRPr="00B7760C">
              <w:t xml:space="preserve"> </w:t>
            </w:r>
          </w:p>
        </w:tc>
      </w:tr>
      <w:tr w:rsidR="00A35DEB" w:rsidRPr="00B7760C" w14:paraId="34A7AE03" w14:textId="77777777" w:rsidTr="00A35DEB">
        <w:trPr>
          <w:cantSplit/>
          <w:trHeight w:val="699"/>
        </w:trPr>
        <w:tc>
          <w:tcPr>
            <w:tcW w:w="4111" w:type="dxa"/>
            <w:vMerge w:val="restart"/>
            <w:shd w:val="clear" w:color="000000" w:fill="F2F2F2"/>
            <w:vAlign w:val="center"/>
          </w:tcPr>
          <w:p w14:paraId="6B1F4F35" w14:textId="77777777" w:rsidR="00A35DEB" w:rsidRPr="00B7760C" w:rsidRDefault="00A35DEB" w:rsidP="00A35DEB">
            <w:pPr>
              <w:tabs>
                <w:tab w:val="left" w:pos="3544"/>
              </w:tabs>
              <w:ind w:right="209"/>
              <w:jc w:val="both"/>
              <w:rPr>
                <w:bCs/>
                <w:szCs w:val="24"/>
              </w:rPr>
            </w:pPr>
            <w:r w:rsidRPr="00B7760C">
              <w:rPr>
                <w:bCs/>
                <w:szCs w:val="24"/>
              </w:rPr>
              <w:t>Spodbujanje zaposlovanja, rasti, socialne vključenosti in lokalnega razvoja na podeželskih območjih, vključno z biogospodarstvom in trajnostnim gozdarstvom;</w:t>
            </w:r>
          </w:p>
        </w:tc>
        <w:tc>
          <w:tcPr>
            <w:tcW w:w="6096" w:type="dxa"/>
            <w:vAlign w:val="center"/>
          </w:tcPr>
          <w:p w14:paraId="2B2E921A" w14:textId="77777777" w:rsidR="00A35DEB" w:rsidRPr="00B7760C" w:rsidRDefault="00A35DEB" w:rsidP="00A35DEB">
            <w:pPr>
              <w:tabs>
                <w:tab w:val="left" w:pos="3544"/>
              </w:tabs>
              <w:spacing w:after="160" w:line="259" w:lineRule="auto"/>
              <w:rPr>
                <w:rFonts w:eastAsia="Calibri"/>
                <w:szCs w:val="24"/>
              </w:rPr>
            </w:pPr>
            <w:r w:rsidRPr="00B7760C">
              <w:t>R.31 Rast in delovna mesta na podeželskih območjih: nova delovna mesta pri projektih, ki prejemajo podporo</w:t>
            </w:r>
          </w:p>
        </w:tc>
      </w:tr>
      <w:tr w:rsidR="00A35DEB" w:rsidRPr="00B7760C" w14:paraId="155E2839" w14:textId="77777777" w:rsidTr="00A35DEB">
        <w:trPr>
          <w:cantSplit/>
          <w:trHeight w:val="699"/>
        </w:trPr>
        <w:tc>
          <w:tcPr>
            <w:tcW w:w="4111" w:type="dxa"/>
            <w:vMerge/>
            <w:vAlign w:val="center"/>
            <w:hideMark/>
          </w:tcPr>
          <w:p w14:paraId="1FCB7645" w14:textId="77777777" w:rsidR="00A35DEB" w:rsidRPr="00B7760C" w:rsidRDefault="00A35DEB" w:rsidP="00A35DEB">
            <w:pPr>
              <w:tabs>
                <w:tab w:val="left" w:pos="3544"/>
              </w:tabs>
              <w:jc w:val="both"/>
              <w:rPr>
                <w:bCs/>
                <w:szCs w:val="24"/>
                <w:lang w:eastAsia="fr-BE"/>
              </w:rPr>
            </w:pPr>
          </w:p>
        </w:tc>
        <w:tc>
          <w:tcPr>
            <w:tcW w:w="6096" w:type="dxa"/>
            <w:vAlign w:val="center"/>
          </w:tcPr>
          <w:p w14:paraId="5B84EBFD" w14:textId="77777777" w:rsidR="00A35DEB" w:rsidRPr="00B7760C" w:rsidRDefault="00A35DEB" w:rsidP="00A35DEB">
            <w:pPr>
              <w:tabs>
                <w:tab w:val="left" w:pos="3544"/>
              </w:tabs>
              <w:spacing w:after="160" w:line="259" w:lineRule="auto"/>
              <w:rPr>
                <w:rFonts w:eastAsia="Calibri"/>
                <w:szCs w:val="24"/>
              </w:rPr>
            </w:pPr>
            <w:r w:rsidRPr="00B7760C">
              <w:t>R. 34 Povezovanje evropskega podeželja: delež podeželskega prebivalstva, ki ima koristi od boljšega dostopa do storitev in infrastrukture zaradi podpore iz SKP</w:t>
            </w:r>
          </w:p>
        </w:tc>
      </w:tr>
      <w:tr w:rsidR="00A35DEB" w:rsidRPr="00B7760C" w14:paraId="612CC826" w14:textId="77777777" w:rsidTr="00A35DEB">
        <w:trPr>
          <w:cantSplit/>
          <w:trHeight w:val="699"/>
        </w:trPr>
        <w:tc>
          <w:tcPr>
            <w:tcW w:w="4111" w:type="dxa"/>
            <w:shd w:val="clear" w:color="000000" w:fill="F2F2F2"/>
            <w:vAlign w:val="center"/>
            <w:hideMark/>
          </w:tcPr>
          <w:p w14:paraId="5839C7FB" w14:textId="77777777" w:rsidR="00A35DEB" w:rsidRPr="00B7760C" w:rsidRDefault="00A35DEB" w:rsidP="00A35DEB">
            <w:pPr>
              <w:tabs>
                <w:tab w:val="left" w:pos="3544"/>
              </w:tabs>
              <w:ind w:right="209"/>
              <w:jc w:val="both"/>
              <w:rPr>
                <w:bCs/>
                <w:szCs w:val="24"/>
              </w:rPr>
            </w:pPr>
            <w:r w:rsidRPr="00B7760C">
              <w:rPr>
                <w:bCs/>
                <w:szCs w:val="24"/>
              </w:rPr>
              <w:t>Izboljšanje odziva kmetijstva EU na potrebe družbe po hrani in zdravju, vključno z zdravo, hranljivo in trajnostno hrano, ter dobrobiti živali.</w:t>
            </w:r>
          </w:p>
        </w:tc>
        <w:tc>
          <w:tcPr>
            <w:tcW w:w="6096" w:type="dxa"/>
            <w:vAlign w:val="center"/>
          </w:tcPr>
          <w:p w14:paraId="3BB9C7A5" w14:textId="77777777" w:rsidR="00A35DEB" w:rsidRPr="00B7760C" w:rsidRDefault="00A35DEB" w:rsidP="00A35DEB">
            <w:pPr>
              <w:tabs>
                <w:tab w:val="left" w:pos="3544"/>
              </w:tabs>
              <w:spacing w:after="160" w:line="259" w:lineRule="auto"/>
              <w:rPr>
                <w:rFonts w:eastAsia="Calibri"/>
                <w:szCs w:val="24"/>
              </w:rPr>
            </w:pPr>
            <w:r w:rsidRPr="00B7760C">
              <w:t>O.16 Število glav velike živine s podporo za dobrobit živali, zdravje ali okrepljene ukrepe za biološko zaščito</w:t>
            </w:r>
          </w:p>
        </w:tc>
      </w:tr>
    </w:tbl>
    <w:p w14:paraId="0E075763" w14:textId="77777777" w:rsidR="00A35DEB" w:rsidRPr="00B7760C" w:rsidRDefault="00A35DEB" w:rsidP="00A35DEB">
      <w:pPr>
        <w:pStyle w:val="AmOrLang"/>
      </w:pPr>
    </w:p>
    <w:p w14:paraId="4AB034ED" w14:textId="77777777" w:rsidR="00A35DEB" w:rsidRPr="00B7760C" w:rsidRDefault="00A35DEB" w:rsidP="00A35DEB">
      <w:pPr>
        <w:widowControl/>
      </w:pPr>
      <w:r w:rsidRPr="00B7760C">
        <w:br w:type="page"/>
      </w:r>
    </w:p>
    <w:tbl>
      <w:tblPr>
        <w:tblStyle w:val="Tabelamrea"/>
        <w:tblW w:w="0" w:type="auto"/>
        <w:tblLook w:val="04A0" w:firstRow="1" w:lastRow="0" w:firstColumn="1" w:lastColumn="0" w:noHBand="0" w:noVBand="1"/>
      </w:tblPr>
      <w:tblGrid>
        <w:gridCol w:w="9060"/>
      </w:tblGrid>
      <w:tr w:rsidR="00A35DEB" w:rsidRPr="00B7760C" w14:paraId="2EDA968B" w14:textId="77777777" w:rsidTr="00A35DEB">
        <w:tc>
          <w:tcPr>
            <w:tcW w:w="9060" w:type="dxa"/>
          </w:tcPr>
          <w:p w14:paraId="64EB3845" w14:textId="4A623551" w:rsidR="00A35DEB" w:rsidRPr="00B7760C" w:rsidRDefault="00A35DEB" w:rsidP="00A35DEB">
            <w:pPr>
              <w:pStyle w:val="AmOrLang"/>
              <w:jc w:val="center"/>
              <w:rPr>
                <w:i/>
                <w:szCs w:val="24"/>
              </w:rPr>
            </w:pPr>
            <w:r w:rsidRPr="00B7760C">
              <w:rPr>
                <w:i/>
                <w:szCs w:val="24"/>
              </w:rPr>
              <w:t>Sprememba</w:t>
            </w:r>
          </w:p>
        </w:tc>
      </w:tr>
      <w:tr w:rsidR="00A35DEB" w:rsidRPr="00B7760C" w14:paraId="09A49B22" w14:textId="77777777" w:rsidTr="00A35DEB">
        <w:tc>
          <w:tcPr>
            <w:tcW w:w="9060" w:type="dxa"/>
          </w:tcPr>
          <w:p w14:paraId="12CE266B" w14:textId="77777777" w:rsidR="00A35DEB" w:rsidRPr="00B7760C" w:rsidRDefault="00A35DEB" w:rsidP="00A35DEB">
            <w:pPr>
              <w:pStyle w:val="Annexetitre"/>
              <w:rPr>
                <w:u w:val="none"/>
              </w:rPr>
            </w:pPr>
            <w:r w:rsidRPr="00B7760C">
              <w:rPr>
                <w:u w:val="none"/>
              </w:rPr>
              <w:t>PRILOGA XII</w:t>
            </w:r>
          </w:p>
        </w:tc>
      </w:tr>
      <w:tr w:rsidR="00A35DEB" w:rsidRPr="00B7760C" w14:paraId="552C8943" w14:textId="77777777" w:rsidTr="00A35DEB">
        <w:trPr>
          <w:trHeight w:val="832"/>
        </w:trPr>
        <w:tc>
          <w:tcPr>
            <w:tcW w:w="9060" w:type="dxa"/>
            <w:vAlign w:val="center"/>
          </w:tcPr>
          <w:p w14:paraId="0AE02D0A" w14:textId="77777777" w:rsidR="00A35DEB" w:rsidRPr="00B7760C" w:rsidRDefault="00A35DEB" w:rsidP="00A35DEB">
            <w:pPr>
              <w:jc w:val="center"/>
              <w:rPr>
                <w:b/>
                <w:bCs/>
                <w:color w:val="000000"/>
                <w:szCs w:val="24"/>
              </w:rPr>
            </w:pPr>
            <w:r w:rsidRPr="00B7760C">
              <w:rPr>
                <w:b/>
                <w:bCs/>
                <w:color w:val="000000"/>
                <w:szCs w:val="24"/>
              </w:rPr>
              <w:t>POROČANJE NA PODLAGI KLJUČNEGA NIZA KAZALNIKOV NA PODLAGI ČLENA 128</w:t>
            </w:r>
          </w:p>
        </w:tc>
      </w:tr>
      <w:tr w:rsidR="00A35DEB" w:rsidRPr="00B7760C" w14:paraId="4FAF8303" w14:textId="77777777" w:rsidTr="00A35DEB">
        <w:tc>
          <w:tcPr>
            <w:tcW w:w="9060" w:type="dxa"/>
          </w:tcPr>
          <w:p w14:paraId="289AA4C3" w14:textId="77777777" w:rsidR="00A35DEB" w:rsidRPr="00B7760C" w:rsidRDefault="00A35DEB" w:rsidP="00A35DEB">
            <w:pPr>
              <w:pStyle w:val="AmOrLang"/>
              <w:jc w:val="center"/>
              <w:rPr>
                <w:i/>
                <w:szCs w:val="24"/>
              </w:rPr>
            </w:pPr>
            <w:r w:rsidRPr="00B7760C">
              <w:t xml:space="preserve">Kazalniki za Evropski kmetijski jamstveni sklad (EKJS) </w:t>
            </w:r>
            <w:r w:rsidRPr="00B7760C">
              <w:br/>
              <w:t>in Evropski kmetijski sklad za razvoj podeželja (EKSRP)</w:t>
            </w:r>
          </w:p>
        </w:tc>
      </w:tr>
    </w:tbl>
    <w:p w14:paraId="1B41F072" w14:textId="77777777" w:rsidR="00A35DEB" w:rsidRPr="00B7760C" w:rsidRDefault="00A35DEB" w:rsidP="00A35DEB"/>
    <w:tbl>
      <w:tblPr>
        <w:tblW w:w="9498" w:type="dxa"/>
        <w:tblInd w:w="-14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70" w:type="dxa"/>
          <w:right w:w="70" w:type="dxa"/>
        </w:tblCellMar>
        <w:tblLook w:val="04A0" w:firstRow="1" w:lastRow="0" w:firstColumn="1" w:lastColumn="0" w:noHBand="0" w:noVBand="1"/>
      </w:tblPr>
      <w:tblGrid>
        <w:gridCol w:w="3686"/>
        <w:gridCol w:w="5812"/>
      </w:tblGrid>
      <w:tr w:rsidR="00A35DEB" w:rsidRPr="00B7760C" w14:paraId="047AF11D" w14:textId="77777777" w:rsidTr="00A35DEB">
        <w:trPr>
          <w:cantSplit/>
          <w:trHeight w:val="600"/>
          <w:tblHeader/>
        </w:trPr>
        <w:tc>
          <w:tcPr>
            <w:tcW w:w="3686" w:type="dxa"/>
            <w:shd w:val="clear" w:color="auto" w:fill="FFFFFF" w:themeFill="background1"/>
            <w:vAlign w:val="center"/>
          </w:tcPr>
          <w:p w14:paraId="4BB1FD89" w14:textId="77777777" w:rsidR="00A35DEB" w:rsidRPr="00B7760C" w:rsidRDefault="00A35DEB" w:rsidP="00A35DEB">
            <w:pPr>
              <w:spacing w:after="160" w:line="259" w:lineRule="auto"/>
              <w:jc w:val="both"/>
              <w:rPr>
                <w:szCs w:val="24"/>
              </w:rPr>
            </w:pPr>
            <w:r w:rsidRPr="00B7760C">
              <w:rPr>
                <w:szCs w:val="24"/>
              </w:rPr>
              <w:t>Cilji</w:t>
            </w:r>
          </w:p>
        </w:tc>
        <w:tc>
          <w:tcPr>
            <w:tcW w:w="5812" w:type="dxa"/>
            <w:shd w:val="clear" w:color="auto" w:fill="FFFFFF" w:themeFill="background1"/>
            <w:vAlign w:val="center"/>
          </w:tcPr>
          <w:p w14:paraId="06584C7C" w14:textId="77777777" w:rsidR="00A35DEB" w:rsidRPr="00B7760C" w:rsidRDefault="00A35DEB" w:rsidP="00A35DEB">
            <w:pPr>
              <w:spacing w:after="160" w:line="259" w:lineRule="auto"/>
              <w:jc w:val="both"/>
              <w:rPr>
                <w:szCs w:val="24"/>
              </w:rPr>
            </w:pPr>
            <w:r w:rsidRPr="00B7760C">
              <w:t>Ključni niz kazalnikov</w:t>
            </w:r>
          </w:p>
        </w:tc>
      </w:tr>
      <w:tr w:rsidR="00A35DEB" w:rsidRPr="00B7760C" w14:paraId="3BA3045C" w14:textId="77777777" w:rsidTr="00A35DEB">
        <w:trPr>
          <w:cantSplit/>
          <w:trHeight w:val="600"/>
        </w:trPr>
        <w:tc>
          <w:tcPr>
            <w:tcW w:w="3686" w:type="dxa"/>
            <w:vMerge w:val="restart"/>
            <w:shd w:val="clear" w:color="auto" w:fill="FFFFFF" w:themeFill="background1"/>
            <w:vAlign w:val="center"/>
            <w:hideMark/>
          </w:tcPr>
          <w:p w14:paraId="7B80A49F" w14:textId="77777777" w:rsidR="00A35DEB" w:rsidRPr="00B7760C" w:rsidRDefault="00A35DEB" w:rsidP="00D83206">
            <w:pPr>
              <w:widowControl/>
              <w:spacing w:before="120" w:after="120" w:line="276" w:lineRule="auto"/>
              <w:rPr>
                <w:bCs/>
                <w:szCs w:val="24"/>
              </w:rPr>
            </w:pPr>
            <w:r w:rsidRPr="00B7760C">
              <w:rPr>
                <w:szCs w:val="24"/>
              </w:rPr>
              <w:t xml:space="preserve">Podpora vzdržnim dohodkom in odpornosti </w:t>
            </w:r>
            <w:r w:rsidRPr="00B7760C">
              <w:rPr>
                <w:b/>
                <w:i/>
                <w:szCs w:val="24"/>
              </w:rPr>
              <w:t>kmetijskega sektorja po</w:t>
            </w:r>
            <w:r w:rsidRPr="00B7760C">
              <w:rPr>
                <w:szCs w:val="24"/>
              </w:rPr>
              <w:t xml:space="preserve"> vsej Uniji za povečanje </w:t>
            </w:r>
            <w:r w:rsidRPr="00B7760C">
              <w:rPr>
                <w:b/>
                <w:i/>
                <w:szCs w:val="24"/>
              </w:rPr>
              <w:t>dolgoročne</w:t>
            </w:r>
            <w:r w:rsidRPr="00B7760C">
              <w:rPr>
                <w:szCs w:val="24"/>
              </w:rPr>
              <w:t xml:space="preserve"> prehranske varnosti </w:t>
            </w:r>
            <w:r w:rsidRPr="00B7760C">
              <w:rPr>
                <w:b/>
                <w:i/>
                <w:szCs w:val="24"/>
              </w:rPr>
              <w:t>in raznovrstnosti kmetijstva ob hkratnem zagotavljanju varne in visokokakovostne hrane po poštenih cenah, da bi spremenili izgubo kmetov in zagotovili ekonomsko trajnost kmetijske proizvodnje v Uniji</w:t>
            </w:r>
          </w:p>
        </w:tc>
        <w:tc>
          <w:tcPr>
            <w:tcW w:w="5812" w:type="dxa"/>
            <w:vAlign w:val="center"/>
          </w:tcPr>
          <w:p w14:paraId="113865B8" w14:textId="77777777" w:rsidR="00A35DEB" w:rsidRPr="00B7760C" w:rsidRDefault="00A35DEB" w:rsidP="00D83206">
            <w:pPr>
              <w:tabs>
                <w:tab w:val="left" w:pos="3544"/>
              </w:tabs>
              <w:spacing w:line="259" w:lineRule="auto"/>
              <w:rPr>
                <w:szCs w:val="24"/>
              </w:rPr>
            </w:pPr>
            <w:r w:rsidRPr="00B7760C">
              <w:t xml:space="preserve">O.3 Število upravičencev do podpore SKP, </w:t>
            </w:r>
            <w:r w:rsidRPr="00B7760C">
              <w:rPr>
                <w:b/>
                <w:i/>
              </w:rPr>
              <w:t>vključno z razčlenitvijo na vrsto intervencije</w:t>
            </w:r>
          </w:p>
        </w:tc>
      </w:tr>
      <w:tr w:rsidR="00A35DEB" w:rsidRPr="00B7760C" w14:paraId="4008A38F" w14:textId="77777777" w:rsidTr="00A35DEB">
        <w:trPr>
          <w:cantSplit/>
          <w:trHeight w:val="1056"/>
        </w:trPr>
        <w:tc>
          <w:tcPr>
            <w:tcW w:w="3686" w:type="dxa"/>
            <w:vMerge/>
            <w:shd w:val="clear" w:color="auto" w:fill="FFFFFF" w:themeFill="background1"/>
            <w:vAlign w:val="center"/>
            <w:hideMark/>
          </w:tcPr>
          <w:p w14:paraId="77EAFFF5" w14:textId="77777777" w:rsidR="00A35DEB" w:rsidRPr="00B7760C" w:rsidRDefault="00A35DEB" w:rsidP="00D83206">
            <w:pPr>
              <w:tabs>
                <w:tab w:val="left" w:pos="3544"/>
              </w:tabs>
              <w:rPr>
                <w:bCs/>
                <w:szCs w:val="24"/>
                <w:lang w:eastAsia="fr-BE"/>
              </w:rPr>
            </w:pPr>
          </w:p>
        </w:tc>
        <w:tc>
          <w:tcPr>
            <w:tcW w:w="5812" w:type="dxa"/>
            <w:vAlign w:val="center"/>
          </w:tcPr>
          <w:p w14:paraId="0D6A3F3C" w14:textId="77777777" w:rsidR="00A35DEB" w:rsidRPr="00B7760C" w:rsidRDefault="00A35DEB" w:rsidP="00D83206">
            <w:pPr>
              <w:tabs>
                <w:tab w:val="left" w:pos="3544"/>
              </w:tabs>
              <w:spacing w:after="160" w:line="259" w:lineRule="auto"/>
              <w:rPr>
                <w:szCs w:val="24"/>
              </w:rPr>
            </w:pPr>
            <w:r w:rsidRPr="00B7760C">
              <w:t>R.6 Prerazporeditev na manjše kmetije: odstotek dodatne podpore na hektar za upravičene kmetije pod povprečno velikostjo kmetije (v primerjavi s povprečjem)</w:t>
            </w:r>
          </w:p>
        </w:tc>
      </w:tr>
      <w:tr w:rsidR="00A35DEB" w:rsidRPr="00B7760C" w14:paraId="68B0BA54" w14:textId="77777777" w:rsidTr="00A35DEB">
        <w:trPr>
          <w:cantSplit/>
          <w:trHeight w:val="672"/>
        </w:trPr>
        <w:tc>
          <w:tcPr>
            <w:tcW w:w="3686" w:type="dxa"/>
            <w:shd w:val="clear" w:color="auto" w:fill="FFFFFF" w:themeFill="background1"/>
            <w:vAlign w:val="center"/>
            <w:hideMark/>
          </w:tcPr>
          <w:p w14:paraId="267778B9" w14:textId="77777777" w:rsidR="00A35DEB" w:rsidRPr="00B7760C" w:rsidRDefault="00A35DEB" w:rsidP="00D83206">
            <w:pPr>
              <w:tabs>
                <w:tab w:val="left" w:pos="3544"/>
              </w:tabs>
              <w:ind w:left="76" w:right="209"/>
              <w:rPr>
                <w:bCs/>
                <w:szCs w:val="24"/>
              </w:rPr>
            </w:pPr>
            <w:r w:rsidRPr="00B7760C">
              <w:rPr>
                <w:szCs w:val="24"/>
              </w:rPr>
              <w:t xml:space="preserve">Krepitev tržne usmerjenosti </w:t>
            </w:r>
            <w:r w:rsidRPr="00B7760C">
              <w:rPr>
                <w:b/>
                <w:i/>
                <w:szCs w:val="24"/>
              </w:rPr>
              <w:t>na lokalnih, nacionalnih in mednarodnih trgih ter trgih Unije, pa tudi stabilizacija trga, obvladovanje tveganj in kriz</w:t>
            </w:r>
            <w:r w:rsidRPr="00B7760C">
              <w:rPr>
                <w:szCs w:val="24"/>
              </w:rPr>
              <w:t xml:space="preserve"> in povečanje </w:t>
            </w:r>
            <w:r w:rsidRPr="00B7760C">
              <w:rPr>
                <w:b/>
                <w:i/>
                <w:szCs w:val="24"/>
              </w:rPr>
              <w:t>dolgoročne</w:t>
            </w:r>
            <w:r w:rsidRPr="00B7760C">
              <w:rPr>
                <w:szCs w:val="24"/>
              </w:rPr>
              <w:t xml:space="preserve"> konkurenčnosti </w:t>
            </w:r>
            <w:r w:rsidRPr="00B7760C">
              <w:rPr>
                <w:b/>
                <w:i/>
                <w:szCs w:val="24"/>
              </w:rPr>
              <w:t>kmetij ter zmožnosti predelave in trženja kmetijskih proizvodov z</w:t>
            </w:r>
            <w:r w:rsidRPr="00B7760C">
              <w:rPr>
                <w:szCs w:val="24"/>
              </w:rPr>
              <w:t xml:space="preserve"> večjim poudarkom na </w:t>
            </w:r>
            <w:r w:rsidRPr="00B7760C">
              <w:rPr>
                <w:b/>
                <w:i/>
                <w:szCs w:val="24"/>
              </w:rPr>
              <w:t>razlikovanju kakovosti,</w:t>
            </w:r>
            <w:r w:rsidRPr="00B7760C">
              <w:rPr>
                <w:szCs w:val="24"/>
              </w:rPr>
              <w:t xml:space="preserve"> raziskavah, </w:t>
            </w:r>
            <w:r w:rsidRPr="00B7760C">
              <w:rPr>
                <w:b/>
                <w:i/>
                <w:szCs w:val="24"/>
              </w:rPr>
              <w:t>inovacijah</w:t>
            </w:r>
            <w:r w:rsidRPr="00B7760C">
              <w:rPr>
                <w:szCs w:val="24"/>
              </w:rPr>
              <w:t xml:space="preserve">, tehnologiji, </w:t>
            </w:r>
            <w:r w:rsidRPr="00B7760C">
              <w:rPr>
                <w:b/>
                <w:i/>
                <w:szCs w:val="24"/>
              </w:rPr>
              <w:t>prenosu in izmenjavi znanja</w:t>
            </w:r>
            <w:r w:rsidRPr="00B7760C">
              <w:rPr>
                <w:szCs w:val="24"/>
              </w:rPr>
              <w:t xml:space="preserve"> in digitalizaciji </w:t>
            </w:r>
            <w:r w:rsidRPr="00B7760C">
              <w:rPr>
                <w:b/>
                <w:i/>
                <w:szCs w:val="24"/>
              </w:rPr>
              <w:t>ter olajšanje dostopa kmetov do dinamike krožnega gospodarstva.</w:t>
            </w:r>
          </w:p>
        </w:tc>
        <w:tc>
          <w:tcPr>
            <w:tcW w:w="5812" w:type="dxa"/>
            <w:vAlign w:val="center"/>
          </w:tcPr>
          <w:p w14:paraId="505F0788" w14:textId="77777777" w:rsidR="00A35DEB" w:rsidRPr="00B7760C" w:rsidRDefault="00A35DEB" w:rsidP="00D83206">
            <w:pPr>
              <w:tabs>
                <w:tab w:val="left" w:pos="3544"/>
              </w:tabs>
              <w:spacing w:after="160" w:line="259" w:lineRule="auto"/>
              <w:rPr>
                <w:szCs w:val="24"/>
              </w:rPr>
            </w:pPr>
            <w:r w:rsidRPr="00B7760C">
              <w:t>R.9 Modernizacija kmetij: delež kmetov, ki prejemajo podporo za naložbe v prestrukturiranje in modernizacijo, vključno za učinkovitejšo rabo virov</w:t>
            </w:r>
          </w:p>
        </w:tc>
      </w:tr>
      <w:tr w:rsidR="00A35DEB" w:rsidRPr="00B7760C" w14:paraId="4A098297" w14:textId="77777777" w:rsidTr="00A35DEB">
        <w:trPr>
          <w:cantSplit/>
          <w:trHeight w:val="768"/>
        </w:trPr>
        <w:tc>
          <w:tcPr>
            <w:tcW w:w="3686" w:type="dxa"/>
            <w:shd w:val="clear" w:color="auto" w:fill="FFFFFF" w:themeFill="background1"/>
            <w:vAlign w:val="center"/>
            <w:hideMark/>
          </w:tcPr>
          <w:p w14:paraId="5EE9251F" w14:textId="77777777" w:rsidR="00A35DEB" w:rsidRPr="00B7760C" w:rsidRDefault="00A35DEB" w:rsidP="00D83206">
            <w:pPr>
              <w:tabs>
                <w:tab w:val="left" w:pos="3544"/>
              </w:tabs>
              <w:ind w:left="76" w:right="209"/>
              <w:rPr>
                <w:bCs/>
                <w:szCs w:val="24"/>
              </w:rPr>
            </w:pPr>
            <w:r w:rsidRPr="00B7760C">
              <w:rPr>
                <w:szCs w:val="24"/>
              </w:rPr>
              <w:t xml:space="preserve">Izboljšanje </w:t>
            </w:r>
            <w:r w:rsidRPr="00B7760C">
              <w:rPr>
                <w:b/>
                <w:i/>
                <w:szCs w:val="24"/>
              </w:rPr>
              <w:t>pogajalskega</w:t>
            </w:r>
            <w:r w:rsidRPr="00B7760C">
              <w:rPr>
                <w:szCs w:val="24"/>
              </w:rPr>
              <w:t xml:space="preserve"> položaja kmetov v vrednostnih </w:t>
            </w:r>
            <w:r w:rsidRPr="00B7760C">
              <w:rPr>
                <w:b/>
                <w:i/>
                <w:szCs w:val="24"/>
              </w:rPr>
              <w:t>verigah s spodbujanjem združenj, organizacij proizvajalcev in kolektivnih pogajanj ter spodbujanjem kratkih dobavnih verig</w:t>
            </w:r>
          </w:p>
        </w:tc>
        <w:tc>
          <w:tcPr>
            <w:tcW w:w="5812" w:type="dxa"/>
            <w:vAlign w:val="center"/>
          </w:tcPr>
          <w:p w14:paraId="3141F2B9" w14:textId="77777777" w:rsidR="00A35DEB" w:rsidRPr="00B7760C" w:rsidRDefault="00A35DEB" w:rsidP="00D83206">
            <w:pPr>
              <w:tabs>
                <w:tab w:val="left" w:pos="3544"/>
              </w:tabs>
              <w:spacing w:after="160" w:line="259" w:lineRule="auto"/>
              <w:rPr>
                <w:szCs w:val="24"/>
              </w:rPr>
            </w:pPr>
            <w:r w:rsidRPr="00B7760C">
              <w:t>R.10 Boljša organizacija dobavne verige: delež kmetov, ki sodelujejo v skupinah proizvajalcev, organizacijah proizvajalcev, na lokalnih trgih, v kratkih dobavnih verigah in shemah kakovosti, ki prejemajo podporo</w:t>
            </w:r>
          </w:p>
        </w:tc>
      </w:tr>
      <w:tr w:rsidR="00A35DEB" w:rsidRPr="00B7760C" w14:paraId="47013BD7" w14:textId="77777777" w:rsidTr="00A35DEB">
        <w:trPr>
          <w:cantSplit/>
          <w:trHeight w:val="1044"/>
        </w:trPr>
        <w:tc>
          <w:tcPr>
            <w:tcW w:w="3686" w:type="dxa"/>
            <w:shd w:val="clear" w:color="auto" w:fill="FFFFFF" w:themeFill="background1"/>
            <w:vAlign w:val="center"/>
            <w:hideMark/>
          </w:tcPr>
          <w:p w14:paraId="69E3BD75" w14:textId="77777777" w:rsidR="00A35DEB" w:rsidRPr="00B7760C" w:rsidRDefault="00A35DEB" w:rsidP="00D83206">
            <w:pPr>
              <w:tabs>
                <w:tab w:val="left" w:pos="3544"/>
              </w:tabs>
              <w:ind w:left="76" w:right="209"/>
              <w:rPr>
                <w:bCs/>
                <w:szCs w:val="24"/>
              </w:rPr>
            </w:pPr>
            <w:r w:rsidRPr="00B7760C">
              <w:rPr>
                <w:szCs w:val="24"/>
              </w:rPr>
              <w:t xml:space="preserve">Prispevanje k blažitvi podnebnih sprememb in prilagajanju nanje </w:t>
            </w:r>
            <w:r w:rsidRPr="00B7760C">
              <w:rPr>
                <w:b/>
                <w:i/>
                <w:szCs w:val="24"/>
              </w:rPr>
              <w:t>z zmanjševanjem emisij toplogrednih plinov, vključno s povečanjem ponorov ogljika, sekvestracijo in skladiščenjem ogljika v kmetijskem in živilskem sektorju ter vključevanjem</w:t>
            </w:r>
            <w:r w:rsidRPr="00B7760C">
              <w:rPr>
                <w:szCs w:val="24"/>
              </w:rPr>
              <w:t xml:space="preserve"> trajnostne energije, </w:t>
            </w:r>
            <w:r w:rsidRPr="00B7760C">
              <w:rPr>
                <w:b/>
                <w:i/>
                <w:szCs w:val="24"/>
              </w:rPr>
              <w:t>ob zagotavljanju prehranske varnosti ter trajnostnega upravljanja in varstva gozdov v skladu s Pariškim sporazumom</w:t>
            </w:r>
            <w:r w:rsidRPr="00B7760C">
              <w:rPr>
                <w:b/>
                <w:bCs/>
                <w:i/>
                <w:szCs w:val="24"/>
              </w:rPr>
              <w:t> </w:t>
            </w:r>
          </w:p>
        </w:tc>
        <w:tc>
          <w:tcPr>
            <w:tcW w:w="5812" w:type="dxa"/>
            <w:vAlign w:val="center"/>
          </w:tcPr>
          <w:p w14:paraId="60E83334" w14:textId="77777777" w:rsidR="00A35DEB" w:rsidRPr="00B7760C" w:rsidRDefault="00A35DEB" w:rsidP="00D83206">
            <w:pPr>
              <w:tabs>
                <w:tab w:val="left" w:pos="3544"/>
              </w:tabs>
              <w:spacing w:after="160" w:line="259" w:lineRule="auto"/>
              <w:rPr>
                <w:szCs w:val="24"/>
              </w:rPr>
            </w:pPr>
            <w:r w:rsidRPr="00B7760C">
              <w:t xml:space="preserve">R.14 Shranjevanje ogljika v tleh in biomasi: delež kmetijskih zemljišč s prevzetimi obveznostmi za </w:t>
            </w:r>
            <w:r w:rsidRPr="00B7760C">
              <w:rPr>
                <w:b/>
                <w:i/>
              </w:rPr>
              <w:t>zmanjšanje</w:t>
            </w:r>
            <w:r w:rsidRPr="00B7760C">
              <w:t xml:space="preserve"> emisij, </w:t>
            </w:r>
            <w:r w:rsidRPr="00B7760C">
              <w:rPr>
                <w:b/>
                <w:i/>
              </w:rPr>
              <w:t>ohranjanje</w:t>
            </w:r>
            <w:r w:rsidRPr="00B7760C">
              <w:t xml:space="preserve"> in/ali </w:t>
            </w:r>
            <w:r w:rsidRPr="00B7760C">
              <w:rPr>
                <w:b/>
                <w:i/>
              </w:rPr>
              <w:t>povečevanje</w:t>
            </w:r>
            <w:r w:rsidRPr="00B7760C">
              <w:t xml:space="preserve"> skladiščenja ogljika (trajno travinje, </w:t>
            </w:r>
            <w:r w:rsidRPr="00B7760C">
              <w:rPr>
                <w:b/>
                <w:i/>
              </w:rPr>
              <w:t>trajni nasadi s trajno travno rušo</w:t>
            </w:r>
            <w:r w:rsidRPr="00B7760C">
              <w:t xml:space="preserve">, kmetijska zemljišča, </w:t>
            </w:r>
            <w:r w:rsidRPr="00B7760C">
              <w:rPr>
                <w:b/>
                <w:i/>
              </w:rPr>
              <w:t>mokrišča</w:t>
            </w:r>
            <w:r w:rsidRPr="00B7760C">
              <w:t>, šotišča, gozd itn.)</w:t>
            </w:r>
          </w:p>
        </w:tc>
      </w:tr>
      <w:tr w:rsidR="00A35DEB" w:rsidRPr="00B7760C" w14:paraId="379589D9" w14:textId="77777777" w:rsidTr="00A35DEB">
        <w:trPr>
          <w:cantSplit/>
          <w:trHeight w:val="600"/>
        </w:trPr>
        <w:tc>
          <w:tcPr>
            <w:tcW w:w="3686" w:type="dxa"/>
            <w:vMerge w:val="restart"/>
            <w:shd w:val="clear" w:color="auto" w:fill="FFFFFF" w:themeFill="background1"/>
            <w:vAlign w:val="center"/>
            <w:hideMark/>
          </w:tcPr>
          <w:p w14:paraId="15617ACE" w14:textId="77777777" w:rsidR="00A35DEB" w:rsidRPr="00B7760C" w:rsidRDefault="00A35DEB" w:rsidP="00D83206">
            <w:pPr>
              <w:tabs>
                <w:tab w:val="left" w:pos="3544"/>
              </w:tabs>
              <w:ind w:left="76"/>
              <w:rPr>
                <w:bCs/>
                <w:szCs w:val="24"/>
              </w:rPr>
            </w:pPr>
            <w:r w:rsidRPr="00B7760C">
              <w:rPr>
                <w:szCs w:val="24"/>
              </w:rPr>
              <w:t xml:space="preserve">Spodbujanje trajnostnega razvoja in učinkovitega upravljanja naravnih virov </w:t>
            </w:r>
            <w:r w:rsidRPr="00B7760C">
              <w:rPr>
                <w:b/>
                <w:i/>
                <w:szCs w:val="24"/>
              </w:rPr>
              <w:t>ter prispevanje k varstvu in izboljševanju kakovosti</w:t>
            </w:r>
            <w:r w:rsidRPr="00B7760C">
              <w:rPr>
                <w:szCs w:val="24"/>
              </w:rPr>
              <w:t xml:space="preserve"> vode, tal in zraka, </w:t>
            </w:r>
            <w:r w:rsidRPr="00B7760C">
              <w:rPr>
                <w:b/>
                <w:i/>
                <w:szCs w:val="24"/>
              </w:rPr>
              <w:t>vključno trajnostnim upravljanjem hranil ter manjšo uporabo fitofarmacevtskih sredstev, gnojil in antibiotikov</w:t>
            </w:r>
            <w:r w:rsidRPr="00B7760C">
              <w:rPr>
                <w:bCs/>
                <w:szCs w:val="24"/>
              </w:rPr>
              <w:t> </w:t>
            </w:r>
          </w:p>
        </w:tc>
        <w:tc>
          <w:tcPr>
            <w:tcW w:w="5812" w:type="dxa"/>
            <w:vAlign w:val="center"/>
          </w:tcPr>
          <w:p w14:paraId="57B0E031" w14:textId="77777777" w:rsidR="00A35DEB" w:rsidRPr="00B7760C" w:rsidRDefault="00A35DEB" w:rsidP="00D83206">
            <w:pPr>
              <w:tabs>
                <w:tab w:val="left" w:pos="3544"/>
              </w:tabs>
              <w:spacing w:line="259" w:lineRule="auto"/>
              <w:rPr>
                <w:szCs w:val="24"/>
              </w:rPr>
            </w:pPr>
            <w:r w:rsidRPr="00B7760C">
              <w:t xml:space="preserve">O.13 Število hektarov (kmetijskih zemljišč) </w:t>
            </w:r>
            <w:r w:rsidRPr="00B7760C">
              <w:rPr>
                <w:b/>
                <w:i/>
              </w:rPr>
              <w:t>in število drugih enot</w:t>
            </w:r>
            <w:r w:rsidRPr="00B7760C">
              <w:t xml:space="preserve">, za katere veljajo okoljske/podnebne prevzete obveznosti, ki presegajo obvezne zahteve, </w:t>
            </w:r>
            <w:r w:rsidRPr="00B7760C">
              <w:rPr>
                <w:b/>
                <w:i/>
              </w:rPr>
              <w:t>vključno z ekoshemo</w:t>
            </w:r>
          </w:p>
        </w:tc>
      </w:tr>
      <w:tr w:rsidR="00A35DEB" w:rsidRPr="00B7760C" w14:paraId="290C9ECB" w14:textId="77777777" w:rsidTr="00A35DEB">
        <w:trPr>
          <w:cantSplit/>
          <w:trHeight w:val="948"/>
        </w:trPr>
        <w:tc>
          <w:tcPr>
            <w:tcW w:w="3686" w:type="dxa"/>
            <w:vMerge/>
            <w:shd w:val="clear" w:color="auto" w:fill="FFFFFF" w:themeFill="background1"/>
            <w:vAlign w:val="center"/>
            <w:hideMark/>
          </w:tcPr>
          <w:p w14:paraId="7ED61FB2" w14:textId="77777777" w:rsidR="00A35DEB" w:rsidRPr="00B7760C" w:rsidRDefault="00A35DEB" w:rsidP="00D83206">
            <w:pPr>
              <w:tabs>
                <w:tab w:val="left" w:pos="3544"/>
              </w:tabs>
              <w:ind w:left="76"/>
              <w:rPr>
                <w:bCs/>
                <w:szCs w:val="24"/>
                <w:lang w:eastAsia="fr-BE"/>
              </w:rPr>
            </w:pPr>
          </w:p>
        </w:tc>
        <w:tc>
          <w:tcPr>
            <w:tcW w:w="5812" w:type="dxa"/>
            <w:vAlign w:val="center"/>
          </w:tcPr>
          <w:p w14:paraId="778AF602" w14:textId="77777777" w:rsidR="00A35DEB" w:rsidRPr="00B7760C" w:rsidRDefault="00A35DEB" w:rsidP="00D83206">
            <w:pPr>
              <w:tabs>
                <w:tab w:val="left" w:pos="3544"/>
              </w:tabs>
              <w:spacing w:after="160" w:line="259" w:lineRule="auto"/>
              <w:rPr>
                <w:szCs w:val="24"/>
              </w:rPr>
            </w:pPr>
            <w:r w:rsidRPr="00B7760C">
              <w:t>R.4 Povezovanje dohodkovne podpore s standardi in dobrimi praksami: delež kmetijskih površin v uporabi, ki jih pokriva dohodkovna podpora in za katere velja pogojenost</w:t>
            </w:r>
          </w:p>
        </w:tc>
      </w:tr>
      <w:tr w:rsidR="00A35DEB" w:rsidRPr="00B7760C" w14:paraId="6B1C2B4A" w14:textId="77777777" w:rsidTr="00A35DEB">
        <w:trPr>
          <w:cantSplit/>
          <w:trHeight w:val="960"/>
        </w:trPr>
        <w:tc>
          <w:tcPr>
            <w:tcW w:w="3686" w:type="dxa"/>
            <w:shd w:val="clear" w:color="auto" w:fill="FFFFFF" w:themeFill="background1"/>
            <w:vAlign w:val="center"/>
            <w:hideMark/>
          </w:tcPr>
          <w:p w14:paraId="64349328" w14:textId="77777777" w:rsidR="00A35DEB" w:rsidRPr="00B7760C" w:rsidRDefault="00A35DEB" w:rsidP="00D83206">
            <w:pPr>
              <w:tabs>
                <w:tab w:val="left" w:pos="3544"/>
              </w:tabs>
              <w:ind w:left="76" w:right="67"/>
              <w:rPr>
                <w:bCs/>
                <w:szCs w:val="24"/>
              </w:rPr>
            </w:pPr>
            <w:r w:rsidRPr="00B7760C">
              <w:rPr>
                <w:szCs w:val="24"/>
              </w:rPr>
              <w:t xml:space="preserve">Prispevanje k blažitvi podnebnih sprememb in prilagajanju nanje </w:t>
            </w:r>
            <w:r w:rsidRPr="00B7760C">
              <w:rPr>
                <w:b/>
                <w:i/>
                <w:szCs w:val="24"/>
              </w:rPr>
              <w:t>z zmanjševanjem emisij toplogrednih plinov, vključno s povečanjem ponorov ogljika, sekvestracijo in skladiščenjem ogljika v kmetijskem in živilskem sektorju ter vključevanjem</w:t>
            </w:r>
            <w:r w:rsidRPr="00B7760C">
              <w:rPr>
                <w:szCs w:val="24"/>
              </w:rPr>
              <w:t xml:space="preserve"> trajnostne energije</w:t>
            </w:r>
            <w:r w:rsidRPr="00B7760C">
              <w:rPr>
                <w:b/>
                <w:i/>
                <w:szCs w:val="24"/>
              </w:rPr>
              <w:t>, ob zagotavljanju prehranske varnosti ter trajnostnega upravljanja in varstva gozdov v skladu s Pariškim sporazumom</w:t>
            </w:r>
          </w:p>
        </w:tc>
        <w:tc>
          <w:tcPr>
            <w:tcW w:w="5812" w:type="dxa"/>
            <w:vAlign w:val="center"/>
          </w:tcPr>
          <w:p w14:paraId="4FFE5553" w14:textId="29AE1CB7" w:rsidR="00A35DEB" w:rsidRPr="00B7760C" w:rsidRDefault="00A35DEB" w:rsidP="00D83206">
            <w:pPr>
              <w:tabs>
                <w:tab w:val="left" w:pos="3544"/>
              </w:tabs>
              <w:spacing w:after="160" w:line="259" w:lineRule="auto"/>
              <w:rPr>
                <w:szCs w:val="24"/>
              </w:rPr>
            </w:pPr>
            <w:r w:rsidRPr="00B7760C">
              <w:t xml:space="preserve">R.27 Ohranjanje habitatov in vrst: delež kmetijskih zemljišč z upravljavskimi obveznostmi, ki podpirajo ohranjanje ali obnavljanje biotske raznovrstnosti, </w:t>
            </w:r>
            <w:r w:rsidRPr="00B7760C">
              <w:rPr>
                <w:b/>
                <w:i/>
              </w:rPr>
              <w:t>vključno s kmetijskimi zemljišči z visoko naravno vrednostjo</w:t>
            </w:r>
            <w:r w:rsidR="009D3E2B" w:rsidRPr="00B7760C">
              <w:t xml:space="preserve"> </w:t>
            </w:r>
          </w:p>
        </w:tc>
      </w:tr>
      <w:tr w:rsidR="00A35DEB" w:rsidRPr="00B7760C" w14:paraId="53E1831D" w14:textId="77777777" w:rsidTr="00A35DEB">
        <w:trPr>
          <w:cantSplit/>
          <w:trHeight w:val="600"/>
        </w:trPr>
        <w:tc>
          <w:tcPr>
            <w:tcW w:w="3686" w:type="dxa"/>
            <w:shd w:val="clear" w:color="auto" w:fill="FFFFFF" w:themeFill="background1"/>
            <w:vAlign w:val="center"/>
            <w:hideMark/>
          </w:tcPr>
          <w:p w14:paraId="32B5A36E" w14:textId="19341FD9" w:rsidR="00A35DEB" w:rsidRPr="00B7760C" w:rsidRDefault="00A35DEB" w:rsidP="00D83206">
            <w:pPr>
              <w:tabs>
                <w:tab w:val="left" w:pos="3544"/>
              </w:tabs>
              <w:ind w:left="76" w:right="209"/>
              <w:rPr>
                <w:bCs/>
                <w:szCs w:val="24"/>
              </w:rPr>
            </w:pPr>
            <w:r w:rsidRPr="00B7760C">
              <w:rPr>
                <w:szCs w:val="24"/>
              </w:rPr>
              <w:t xml:space="preserve">Privabljanje </w:t>
            </w:r>
            <w:r w:rsidRPr="00B7760C">
              <w:rPr>
                <w:b/>
                <w:i/>
                <w:szCs w:val="24"/>
              </w:rPr>
              <w:t>in podpora</w:t>
            </w:r>
            <w:r w:rsidRPr="00B7760C">
              <w:rPr>
                <w:szCs w:val="24"/>
              </w:rPr>
              <w:t xml:space="preserve"> mladih kmetov </w:t>
            </w:r>
            <w:r w:rsidRPr="00B7760C">
              <w:rPr>
                <w:b/>
                <w:i/>
                <w:szCs w:val="24"/>
              </w:rPr>
              <w:t>in novih kmetov ter spodbujanje udeležbe žensk v kmetijskem sektorju, zlasti na najmanj poseljenih območjih ter območjih z naravnimi omejitvami;</w:t>
            </w:r>
            <w:r w:rsidR="009D3E2B" w:rsidRPr="00B7760C">
              <w:rPr>
                <w:b/>
                <w:i/>
                <w:szCs w:val="24"/>
              </w:rPr>
              <w:t xml:space="preserve"> </w:t>
            </w:r>
            <w:r w:rsidRPr="00B7760C">
              <w:rPr>
                <w:b/>
                <w:i/>
                <w:szCs w:val="24"/>
              </w:rPr>
              <w:t>spodbujanje usposabljanja in pridobivanja izkušenj po vsej Uniji, trajnostnega</w:t>
            </w:r>
            <w:r w:rsidRPr="00B7760C">
              <w:rPr>
                <w:szCs w:val="24"/>
              </w:rPr>
              <w:t xml:space="preserve"> razvoja podjetij </w:t>
            </w:r>
            <w:r w:rsidRPr="00B7760C">
              <w:rPr>
                <w:b/>
                <w:i/>
                <w:szCs w:val="24"/>
              </w:rPr>
              <w:t>in ustvarjanja delovnih mest</w:t>
            </w:r>
            <w:r w:rsidRPr="00B7760C">
              <w:rPr>
                <w:szCs w:val="24"/>
              </w:rPr>
              <w:t xml:space="preserve"> na podeželskih območjih;</w:t>
            </w:r>
          </w:p>
        </w:tc>
        <w:tc>
          <w:tcPr>
            <w:tcW w:w="5812" w:type="dxa"/>
            <w:vAlign w:val="center"/>
          </w:tcPr>
          <w:p w14:paraId="7D4B7C03" w14:textId="16159DD7" w:rsidR="00A35DEB" w:rsidRPr="00B7760C" w:rsidRDefault="00A35DEB" w:rsidP="00D83206">
            <w:pPr>
              <w:tabs>
                <w:tab w:val="left" w:pos="3544"/>
              </w:tabs>
              <w:spacing w:after="160" w:line="259" w:lineRule="auto"/>
              <w:rPr>
                <w:szCs w:val="24"/>
              </w:rPr>
            </w:pPr>
            <w:r w:rsidRPr="00B7760C">
              <w:t xml:space="preserve">R.30 Generacijska pomladitev: Število mladih </w:t>
            </w:r>
            <w:r w:rsidRPr="00B7760C">
              <w:rPr>
                <w:b/>
                <w:i/>
              </w:rPr>
              <w:t>in novih kmetov</w:t>
            </w:r>
            <w:r w:rsidRPr="00B7760C">
              <w:t xml:space="preserve">, ki vzpostavljajo kmetijsko gospodarstvo s podporo iz SKP, </w:t>
            </w:r>
            <w:r w:rsidRPr="00B7760C">
              <w:rPr>
                <w:b/>
                <w:i/>
              </w:rPr>
              <w:t>vključno z razčlenitvijo po spolu</w:t>
            </w:r>
            <w:r w:rsidR="009D3E2B" w:rsidRPr="00B7760C">
              <w:t xml:space="preserve"> </w:t>
            </w:r>
          </w:p>
        </w:tc>
      </w:tr>
      <w:tr w:rsidR="00A35DEB" w:rsidRPr="00B7760C" w14:paraId="18991E31" w14:textId="77777777" w:rsidTr="00A35DEB">
        <w:trPr>
          <w:cantSplit/>
          <w:trHeight w:val="699"/>
        </w:trPr>
        <w:tc>
          <w:tcPr>
            <w:tcW w:w="3686" w:type="dxa"/>
            <w:vMerge w:val="restart"/>
            <w:shd w:val="clear" w:color="auto" w:fill="FFFFFF" w:themeFill="background1"/>
            <w:vAlign w:val="center"/>
          </w:tcPr>
          <w:p w14:paraId="0D6FCB7A" w14:textId="72A6FAAD" w:rsidR="00A35DEB" w:rsidRPr="00B7760C" w:rsidRDefault="00A35DEB" w:rsidP="00D83206">
            <w:pPr>
              <w:tabs>
                <w:tab w:val="left" w:pos="3544"/>
              </w:tabs>
              <w:ind w:left="76" w:right="209"/>
              <w:rPr>
                <w:bCs/>
                <w:szCs w:val="24"/>
              </w:rPr>
            </w:pPr>
            <w:r w:rsidRPr="00B7760C">
              <w:rPr>
                <w:szCs w:val="24"/>
              </w:rPr>
              <w:t xml:space="preserve">Spodbujanje </w:t>
            </w:r>
            <w:r w:rsidRPr="00B7760C">
              <w:rPr>
                <w:b/>
                <w:i/>
                <w:szCs w:val="24"/>
              </w:rPr>
              <w:t>socialne in ozemeljske kohezije na podeželskih območjih, tudi prek ustvarjanja</w:t>
            </w:r>
            <w:r w:rsidRPr="00B7760C">
              <w:rPr>
                <w:szCs w:val="24"/>
              </w:rPr>
              <w:t xml:space="preserve"> delovnih mest, rasti, </w:t>
            </w:r>
            <w:r w:rsidRPr="00B7760C">
              <w:rPr>
                <w:b/>
                <w:i/>
                <w:szCs w:val="24"/>
              </w:rPr>
              <w:t>naložb in</w:t>
            </w:r>
            <w:r w:rsidRPr="00B7760C">
              <w:rPr>
                <w:szCs w:val="24"/>
              </w:rPr>
              <w:t xml:space="preserve"> socialne vključenosti, </w:t>
            </w:r>
            <w:r w:rsidRPr="00B7760C">
              <w:rPr>
                <w:b/>
                <w:i/>
                <w:szCs w:val="24"/>
              </w:rPr>
              <w:t>boja proti revščini na podeželju</w:t>
            </w:r>
            <w:r w:rsidRPr="00B7760C">
              <w:rPr>
                <w:szCs w:val="24"/>
              </w:rPr>
              <w:t xml:space="preserve"> in </w:t>
            </w:r>
            <w:r w:rsidRPr="00B7760C">
              <w:rPr>
                <w:b/>
                <w:i/>
                <w:szCs w:val="24"/>
              </w:rPr>
              <w:t>prek</w:t>
            </w:r>
            <w:r w:rsidRPr="00B7760C">
              <w:rPr>
                <w:szCs w:val="24"/>
              </w:rPr>
              <w:t xml:space="preserve"> lokalnega razvoja, </w:t>
            </w:r>
            <w:r w:rsidRPr="00B7760C">
              <w:rPr>
                <w:b/>
                <w:i/>
                <w:szCs w:val="24"/>
              </w:rPr>
              <w:t>vključno z visokokakovostnimi lokalnimi storitvami za podeželske skupnosti, s posebnim poudarkom na območjih z naravnimi omejitvami</w:t>
            </w:r>
            <w:r w:rsidRPr="00B7760C">
              <w:rPr>
                <w:szCs w:val="24"/>
              </w:rPr>
              <w:t>;</w:t>
            </w:r>
            <w:r w:rsidR="009D3E2B" w:rsidRPr="00B7760C">
              <w:rPr>
                <w:b/>
                <w:i/>
                <w:szCs w:val="24"/>
              </w:rPr>
              <w:t xml:space="preserve"> </w:t>
            </w:r>
            <w:r w:rsidRPr="00B7760C">
              <w:rPr>
                <w:b/>
                <w:i/>
                <w:szCs w:val="24"/>
              </w:rPr>
              <w:t>spodbujanje dostojnih življenjskih, delovnih in gospodarskih pogojev; diverzifikacija dejavnosti in dohodka</w:t>
            </w:r>
            <w:r w:rsidRPr="00B7760C">
              <w:rPr>
                <w:szCs w:val="24"/>
              </w:rPr>
              <w:t xml:space="preserve">, vključno </w:t>
            </w:r>
            <w:r w:rsidRPr="00B7760C">
              <w:rPr>
                <w:b/>
                <w:i/>
                <w:szCs w:val="24"/>
              </w:rPr>
              <w:t>s kmečkim turizmom,</w:t>
            </w:r>
            <w:r w:rsidRPr="00B7760C">
              <w:rPr>
                <w:szCs w:val="24"/>
              </w:rPr>
              <w:t xml:space="preserve"> biogospodarstvom, </w:t>
            </w:r>
            <w:r w:rsidRPr="00B7760C">
              <w:rPr>
                <w:b/>
                <w:i/>
                <w:szCs w:val="24"/>
              </w:rPr>
              <w:t>krožnim gospodarstvom</w:t>
            </w:r>
            <w:r w:rsidRPr="00B7760C">
              <w:rPr>
                <w:szCs w:val="24"/>
              </w:rPr>
              <w:t xml:space="preserve"> in trajnostnim gozdarstvom, </w:t>
            </w:r>
            <w:r w:rsidRPr="00B7760C">
              <w:rPr>
                <w:b/>
                <w:i/>
                <w:szCs w:val="24"/>
              </w:rPr>
              <w:t>ob spoštovanju enakosti med spoloma; spodbujanje enakih možnosti na podeželskih območjih s posebnimi ukrepi za podpiranje in priznavanje dela žensk v kmetijstvu, rokodelstvu, turizmu ter lokalnih storitvah</w:t>
            </w:r>
          </w:p>
        </w:tc>
        <w:tc>
          <w:tcPr>
            <w:tcW w:w="5812" w:type="dxa"/>
            <w:vAlign w:val="center"/>
          </w:tcPr>
          <w:p w14:paraId="14DDB5EE" w14:textId="77777777" w:rsidR="00A35DEB" w:rsidRPr="00B7760C" w:rsidRDefault="00A35DEB" w:rsidP="00D83206">
            <w:pPr>
              <w:tabs>
                <w:tab w:val="left" w:pos="3544"/>
              </w:tabs>
              <w:spacing w:after="160" w:line="259" w:lineRule="auto"/>
              <w:rPr>
                <w:szCs w:val="24"/>
              </w:rPr>
            </w:pPr>
            <w:r w:rsidRPr="00B7760C">
              <w:t xml:space="preserve">R.31 Rast in delovna mesta na podeželskih območjih: nova delovna mesta pri projektih, ki prejemajo podporo, </w:t>
            </w:r>
            <w:r w:rsidRPr="00B7760C">
              <w:rPr>
                <w:b/>
                <w:i/>
              </w:rPr>
              <w:t>vključno z razčlenitvijo po spolu</w:t>
            </w:r>
          </w:p>
        </w:tc>
      </w:tr>
      <w:tr w:rsidR="00A35DEB" w:rsidRPr="00B7760C" w14:paraId="102B3443" w14:textId="77777777" w:rsidTr="00A35DEB">
        <w:trPr>
          <w:cantSplit/>
          <w:trHeight w:val="699"/>
        </w:trPr>
        <w:tc>
          <w:tcPr>
            <w:tcW w:w="3686" w:type="dxa"/>
            <w:vMerge/>
            <w:shd w:val="clear" w:color="auto" w:fill="FFFFFF" w:themeFill="background1"/>
            <w:vAlign w:val="center"/>
            <w:hideMark/>
          </w:tcPr>
          <w:p w14:paraId="4527F027" w14:textId="77777777" w:rsidR="00A35DEB" w:rsidRPr="00B7760C" w:rsidRDefault="00A35DEB" w:rsidP="00D83206">
            <w:pPr>
              <w:tabs>
                <w:tab w:val="left" w:pos="3544"/>
              </w:tabs>
              <w:ind w:left="76"/>
              <w:rPr>
                <w:bCs/>
                <w:szCs w:val="24"/>
                <w:lang w:eastAsia="fr-BE"/>
              </w:rPr>
            </w:pPr>
          </w:p>
        </w:tc>
        <w:tc>
          <w:tcPr>
            <w:tcW w:w="5812" w:type="dxa"/>
            <w:vAlign w:val="center"/>
          </w:tcPr>
          <w:p w14:paraId="2834E468" w14:textId="77777777" w:rsidR="00A35DEB" w:rsidRPr="00B7760C" w:rsidRDefault="00A35DEB" w:rsidP="00D83206">
            <w:pPr>
              <w:tabs>
                <w:tab w:val="left" w:pos="3544"/>
              </w:tabs>
              <w:spacing w:after="160" w:line="259" w:lineRule="auto"/>
              <w:rPr>
                <w:szCs w:val="24"/>
              </w:rPr>
            </w:pPr>
            <w:r w:rsidRPr="00B7760C">
              <w:t>R. 34 Povezovanje evropskega podeželja: delež podeželskega prebivalstva, ki ima koristi od boljšega dostopa do storitev in infrastrukture zaradi podpore iz SKP</w:t>
            </w:r>
          </w:p>
        </w:tc>
      </w:tr>
      <w:tr w:rsidR="00A35DEB" w:rsidRPr="00443628" w14:paraId="7FCA8C23" w14:textId="77777777" w:rsidTr="00A35DEB">
        <w:trPr>
          <w:cantSplit/>
          <w:trHeight w:val="699"/>
        </w:trPr>
        <w:tc>
          <w:tcPr>
            <w:tcW w:w="3686" w:type="dxa"/>
            <w:shd w:val="clear" w:color="auto" w:fill="FFFFFF" w:themeFill="background1"/>
            <w:vAlign w:val="center"/>
            <w:hideMark/>
          </w:tcPr>
          <w:p w14:paraId="6480B6F2" w14:textId="77777777" w:rsidR="00A35DEB" w:rsidRPr="00B7760C" w:rsidRDefault="00A35DEB" w:rsidP="00D83206">
            <w:pPr>
              <w:tabs>
                <w:tab w:val="left" w:pos="3544"/>
              </w:tabs>
              <w:ind w:left="76" w:right="209"/>
              <w:rPr>
                <w:bCs/>
                <w:szCs w:val="24"/>
              </w:rPr>
            </w:pPr>
            <w:r w:rsidRPr="00B7760C">
              <w:rPr>
                <w:szCs w:val="24"/>
              </w:rPr>
              <w:t xml:space="preserve">Izboljšanje odziva kmetijstva EU na potrebe družbe na področju hrane in zdravja, vključno z varno, hranljivo, </w:t>
            </w:r>
            <w:r w:rsidRPr="00B7760C">
              <w:rPr>
                <w:b/>
                <w:i/>
                <w:szCs w:val="24"/>
              </w:rPr>
              <w:t>visokokakovostno</w:t>
            </w:r>
            <w:r w:rsidRPr="00B7760C">
              <w:rPr>
                <w:szCs w:val="24"/>
              </w:rPr>
              <w:t xml:space="preserve"> in trajnostno hrano, </w:t>
            </w:r>
            <w:r w:rsidRPr="00B7760C">
              <w:rPr>
                <w:b/>
                <w:i/>
                <w:szCs w:val="24"/>
              </w:rPr>
              <w:t>ekološkim kmetijstvom, zavrženo hrano in okoljsko trajnostjo, odpornostjo na antimikrobike in izboljšanjem zdravja in dobrobiti živali, ter večja ozaveščenost državljanov o pomenu kmetijstva in podeželskih območij ob prispevanju k izvajanju agende za trajnostni razvoj do leta 2030</w:t>
            </w:r>
          </w:p>
        </w:tc>
        <w:tc>
          <w:tcPr>
            <w:tcW w:w="5812" w:type="dxa"/>
            <w:vAlign w:val="center"/>
          </w:tcPr>
          <w:p w14:paraId="38F73C21" w14:textId="77777777" w:rsidR="00A35DEB" w:rsidRPr="00443628" w:rsidRDefault="00A35DEB" w:rsidP="00DC0FE0">
            <w:pPr>
              <w:tabs>
                <w:tab w:val="left" w:pos="3544"/>
              </w:tabs>
              <w:spacing w:after="160" w:line="259" w:lineRule="auto"/>
              <w:rPr>
                <w:szCs w:val="24"/>
              </w:rPr>
            </w:pPr>
            <w:r w:rsidRPr="00B7760C">
              <w:t>O.16 Število glav velike živine s podporo za dobrobit živali, zdravje ali okrepljene ukrepe za biološko zaščito</w:t>
            </w:r>
          </w:p>
        </w:tc>
      </w:tr>
    </w:tbl>
    <w:p w14:paraId="555072DF" w14:textId="77777777" w:rsidR="00A35DEB" w:rsidRPr="005915CF" w:rsidRDefault="00A35DEB" w:rsidP="003721AD"/>
    <w:sectPr w:rsidR="00A35DEB" w:rsidRPr="005915CF" w:rsidSect="005915CF">
      <w:headerReference w:type="even" r:id="rId11"/>
      <w:headerReference w:type="default" r:id="rId12"/>
      <w:footerReference w:type="even" r:id="rId13"/>
      <w:footerReference w:type="default" r:id="rId14"/>
      <w:headerReference w:type="first" r:id="rId15"/>
      <w:footerReference w:type="first" r:id="rId16"/>
      <w:footnotePr>
        <w:numRestart w:val="eachPage"/>
      </w:footnotePr>
      <w:endnotePr>
        <w:numFmt w:val="decimal"/>
      </w:endnotePr>
      <w:pgSz w:w="11906" w:h="16838" w:code="9"/>
      <w:pgMar w:top="1134" w:right="1418" w:bottom="1418" w:left="1418" w:header="1134"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A3BA2" w14:textId="77777777" w:rsidR="00645D34" w:rsidRPr="005915CF" w:rsidRDefault="00645D34">
      <w:r w:rsidRPr="005915CF">
        <w:separator/>
      </w:r>
    </w:p>
  </w:endnote>
  <w:endnote w:type="continuationSeparator" w:id="0">
    <w:p w14:paraId="2AC23B49" w14:textId="77777777" w:rsidR="00645D34" w:rsidRPr="005915CF" w:rsidRDefault="00645D34">
      <w:r w:rsidRPr="005915C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DokChampa">
    <w:panose1 w:val="020B0604020202020204"/>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B6710" w14:textId="77777777" w:rsidR="006A3A9D" w:rsidRPr="005915CF" w:rsidRDefault="006A3A9D" w:rsidP="00E804B7">
    <w:pPr>
      <w:pStyle w:val="Noga"/>
    </w:pPr>
    <w:r w:rsidRPr="005915CF">
      <w:t>PE</w:t>
    </w:r>
    <w:r w:rsidRPr="005915CF">
      <w:rPr>
        <w:rStyle w:val="HideTWBExt"/>
        <w:noProof w:val="0"/>
      </w:rPr>
      <w:t>&lt;NoPE&gt;</w:t>
    </w:r>
    <w:r w:rsidRPr="005915CF">
      <w:t>627.760</w:t>
    </w:r>
    <w:r w:rsidRPr="005915CF">
      <w:rPr>
        <w:rStyle w:val="HideTWBExt"/>
        <w:noProof w:val="0"/>
      </w:rPr>
      <w:t>&lt;/NoPE&gt;&lt;Version&gt;</w:t>
    </w:r>
    <w:r w:rsidRPr="005915CF">
      <w:t>v03-00</w:t>
    </w:r>
    <w:r w:rsidRPr="005915CF">
      <w:rPr>
        <w:rStyle w:val="HideTWBExt"/>
        <w:noProof w:val="0"/>
      </w:rPr>
      <w:t>&lt;/Version&gt;</w:t>
    </w:r>
    <w:r w:rsidRPr="005915CF">
      <w:tab/>
    </w:r>
    <w:r w:rsidRPr="005915CF">
      <w:fldChar w:fldCharType="begin"/>
    </w:r>
    <w:r w:rsidRPr="005915CF">
      <w:instrText xml:space="preserve"> PAGE  \* MERGEFORMAT </w:instrText>
    </w:r>
    <w:r w:rsidRPr="005915CF">
      <w:fldChar w:fldCharType="separate"/>
    </w:r>
    <w:r w:rsidRPr="005915CF">
      <w:t>298</w:t>
    </w:r>
    <w:r w:rsidRPr="005915CF">
      <w:fldChar w:fldCharType="end"/>
    </w:r>
    <w:r w:rsidRPr="005915CF">
      <w:t>/</w:t>
    </w:r>
    <w:fldSimple w:instr=" NUMPAGES  \* MERGEFORMAT ">
      <w:r w:rsidRPr="005915CF">
        <w:t>298</w:t>
      </w:r>
    </w:fldSimple>
    <w:r w:rsidRPr="005915CF">
      <w:tab/>
    </w:r>
    <w:r w:rsidRPr="005915CF">
      <w:rPr>
        <w:rStyle w:val="HideTWBExt"/>
        <w:noProof w:val="0"/>
      </w:rPr>
      <w:t>&lt;PathFdR&gt;</w:t>
    </w:r>
    <w:r w:rsidRPr="005915CF">
      <w:t>RR\1184165SL.docx</w:t>
    </w:r>
    <w:r w:rsidRPr="005915CF">
      <w:rPr>
        <w:rStyle w:val="HideTWBExt"/>
        <w:noProof w:val="0"/>
      </w:rPr>
      <w:t>&lt;/PathFdR&gt;</w:t>
    </w:r>
  </w:p>
  <w:p w14:paraId="755D894E" w14:textId="77777777" w:rsidR="006A3A9D" w:rsidRPr="005915CF" w:rsidRDefault="006A3A9D" w:rsidP="00E804B7">
    <w:pPr>
      <w:pStyle w:val="Footer2"/>
    </w:pPr>
    <w:r w:rsidRPr="005915CF">
      <w:t>SL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3531" w14:textId="77777777" w:rsidR="006A3A9D" w:rsidRPr="005915CF" w:rsidRDefault="006A3A9D" w:rsidP="00E804B7">
    <w:pPr>
      <w:pStyle w:val="Noga"/>
    </w:pPr>
    <w:r w:rsidRPr="005915CF">
      <w:rPr>
        <w:rStyle w:val="HideTWBExt"/>
        <w:noProof w:val="0"/>
      </w:rPr>
      <w:t>&lt;PathFdR&gt;</w:t>
    </w:r>
    <w:r w:rsidRPr="005915CF">
      <w:t>RR\1184165SL.docx</w:t>
    </w:r>
    <w:r w:rsidRPr="005915CF">
      <w:rPr>
        <w:rStyle w:val="HideTWBExt"/>
        <w:noProof w:val="0"/>
      </w:rPr>
      <w:t>&lt;/PathFdR&gt;</w:t>
    </w:r>
    <w:r w:rsidRPr="005915CF">
      <w:tab/>
    </w:r>
    <w:r w:rsidRPr="005915CF">
      <w:tab/>
      <w:t>PE</w:t>
    </w:r>
    <w:r w:rsidRPr="005915CF">
      <w:rPr>
        <w:rStyle w:val="HideTWBExt"/>
        <w:noProof w:val="0"/>
      </w:rPr>
      <w:t>&lt;NoPE&gt;</w:t>
    </w:r>
    <w:r w:rsidRPr="005915CF">
      <w:t>627.760</w:t>
    </w:r>
    <w:r w:rsidRPr="005915CF">
      <w:rPr>
        <w:rStyle w:val="HideTWBExt"/>
        <w:noProof w:val="0"/>
      </w:rPr>
      <w:t>&lt;/NoPE&gt;&lt;Version&gt;</w:t>
    </w:r>
    <w:r w:rsidRPr="005915CF">
      <w:t>v03-00</w:t>
    </w:r>
    <w:r w:rsidRPr="005915CF">
      <w:rPr>
        <w:rStyle w:val="HideTWBExt"/>
        <w:noProof w:val="0"/>
      </w:rPr>
      <w:t>&lt;/Version&gt;</w:t>
    </w:r>
  </w:p>
  <w:p w14:paraId="42EF623B" w14:textId="77777777" w:rsidR="006A3A9D" w:rsidRPr="005915CF" w:rsidRDefault="006A3A9D" w:rsidP="00E804B7">
    <w:pPr>
      <w:pStyle w:val="Footer2"/>
      <w:tabs>
        <w:tab w:val="center" w:pos="4535"/>
      </w:tabs>
    </w:pPr>
    <w:r w:rsidRPr="005915CF">
      <w:t>SL</w:t>
    </w:r>
    <w:r w:rsidRPr="005915CF">
      <w:tab/>
    </w:r>
    <w:r w:rsidRPr="005915CF">
      <w:rPr>
        <w:b w:val="0"/>
        <w:i/>
        <w:color w:val="C0C0C0"/>
        <w:sz w:val="22"/>
      </w:rPr>
      <w:t>Združena v raznolikosti</w:t>
    </w:r>
    <w:r w:rsidRPr="005915CF">
      <w:tab/>
      <w:t>SL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6B8EB" w14:textId="77777777" w:rsidR="006A3A9D" w:rsidRPr="005915CF" w:rsidRDefault="006A3A9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A978B" w14:textId="77777777" w:rsidR="006A3A9D" w:rsidRPr="005915CF" w:rsidRDefault="006A3A9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AF8C5" w14:textId="77777777" w:rsidR="006A3A9D" w:rsidRPr="005915CF" w:rsidRDefault="006A3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A259B" w14:textId="77777777" w:rsidR="00645D34" w:rsidRPr="005915CF" w:rsidRDefault="00645D34">
      <w:r w:rsidRPr="005915CF">
        <w:separator/>
      </w:r>
    </w:p>
  </w:footnote>
  <w:footnote w:type="continuationSeparator" w:id="0">
    <w:p w14:paraId="59B6F077" w14:textId="77777777" w:rsidR="00645D34" w:rsidRPr="005915CF" w:rsidRDefault="00645D34">
      <w:r w:rsidRPr="005915CF">
        <w:continuationSeparator/>
      </w:r>
    </w:p>
  </w:footnote>
  <w:footnote w:id="1">
    <w:p w14:paraId="36326808" w14:textId="459AEFFB" w:rsidR="006A3A9D" w:rsidRPr="009138B2" w:rsidRDefault="006A3A9D" w:rsidP="00D83206">
      <w:pPr>
        <w:pStyle w:val="Sprotnaopomba-besedilo"/>
        <w:ind w:left="567" w:hanging="567"/>
        <w:rPr>
          <w:sz w:val="24"/>
          <w:szCs w:val="24"/>
          <w:lang w:val="sl-SI"/>
        </w:rPr>
      </w:pPr>
      <w:r w:rsidRPr="009138B2">
        <w:rPr>
          <w:rStyle w:val="Sprotnaopomba-sklic"/>
          <w:sz w:val="24"/>
          <w:szCs w:val="24"/>
          <w:lang w:val="sl-SI"/>
        </w:rPr>
        <w:sym w:font="Symbol" w:char="F02A"/>
      </w:r>
      <w:r w:rsidRPr="009138B2">
        <w:rPr>
          <w:sz w:val="24"/>
          <w:szCs w:val="24"/>
          <w:lang w:val="sl-SI"/>
        </w:rPr>
        <w:tab/>
        <w:t>To je začasna različica sprejetega besedila, ki je bila pripravljena takoj po končnem glasovanju 23. oktobra 2020.</w:t>
      </w:r>
    </w:p>
  </w:footnote>
  <w:footnote w:id="2">
    <w:p w14:paraId="29FC11A0" w14:textId="53176602" w:rsidR="006A3A9D" w:rsidRPr="009138B2" w:rsidRDefault="006A3A9D" w:rsidP="00480F16">
      <w:pPr>
        <w:pStyle w:val="Sprotnaopomba-besedilo"/>
        <w:ind w:left="567" w:hanging="567"/>
        <w:rPr>
          <w:sz w:val="24"/>
          <w:szCs w:val="24"/>
          <w:lang w:val="sl-SI"/>
        </w:rPr>
      </w:pPr>
      <w:r w:rsidRPr="009138B2">
        <w:rPr>
          <w:rStyle w:val="Sprotnaopomba-sklic"/>
          <w:sz w:val="24"/>
          <w:szCs w:val="24"/>
          <w:lang w:val="sl-SI"/>
        </w:rPr>
        <w:sym w:font="Symbol" w:char="F02A"/>
      </w:r>
      <w:r w:rsidRPr="009138B2">
        <w:rPr>
          <w:rStyle w:val="Sprotnaopomba-sklic"/>
          <w:sz w:val="24"/>
          <w:szCs w:val="24"/>
          <w:lang w:val="sl-SI"/>
        </w:rPr>
        <w:sym w:font="Symbol" w:char="F02A"/>
      </w:r>
      <w:r w:rsidRPr="009138B2">
        <w:rPr>
          <w:sz w:val="24"/>
          <w:szCs w:val="24"/>
          <w:lang w:val="sl-SI"/>
        </w:rPr>
        <w:tab/>
        <w:t>Sklic</w:t>
      </w:r>
      <w:r w:rsidR="00480F16" w:rsidRPr="009138B2">
        <w:rPr>
          <w:sz w:val="24"/>
          <w:szCs w:val="24"/>
          <w:lang w:val="sl-SI"/>
        </w:rPr>
        <w:t>i</w:t>
      </w:r>
      <w:r w:rsidRPr="009138B2">
        <w:rPr>
          <w:sz w:val="24"/>
          <w:szCs w:val="24"/>
          <w:lang w:val="sl-SI"/>
        </w:rPr>
        <w:t xml:space="preserve"> na „cp“ v naslovih sprejetih sprememb se razumejo kot ustrezni deli </w:t>
      </w:r>
      <w:r w:rsidR="00480F16" w:rsidRPr="009138B2">
        <w:rPr>
          <w:sz w:val="24"/>
          <w:szCs w:val="24"/>
          <w:lang w:val="sl-SI"/>
        </w:rPr>
        <w:t>navedenih</w:t>
      </w:r>
      <w:r w:rsidRPr="009138B2">
        <w:rPr>
          <w:sz w:val="24"/>
          <w:szCs w:val="24"/>
          <w:lang w:val="sl-SI"/>
        </w:rPr>
        <w:t xml:space="preserve"> sprememb.</w:t>
      </w:r>
    </w:p>
  </w:footnote>
  <w:footnote w:id="3">
    <w:p w14:paraId="1B39A8BE" w14:textId="37498DC2" w:rsidR="006A3A9D" w:rsidRPr="009138B2" w:rsidRDefault="006A3A9D" w:rsidP="00D83206">
      <w:pPr>
        <w:pStyle w:val="Sprotnaopomba-besedilo"/>
        <w:ind w:left="567" w:hanging="567"/>
        <w:rPr>
          <w:sz w:val="24"/>
          <w:lang w:val="sl-SI"/>
        </w:rPr>
      </w:pPr>
      <w:r w:rsidRPr="009138B2">
        <w:rPr>
          <w:rStyle w:val="Sprotnaopomba-sklic"/>
          <w:sz w:val="24"/>
          <w:lang w:val="sl-SI"/>
        </w:rPr>
        <w:footnoteRef/>
      </w:r>
      <w:r w:rsidRPr="009138B2">
        <w:rPr>
          <w:sz w:val="24"/>
          <w:lang w:val="sl-SI"/>
        </w:rPr>
        <w:tab/>
        <w:t>Zadeva je bila v skladu s četrtim pododstavkom člena 59(4) Poslovnika vrnjena pristojnemu odboru v medinstitucionalna pogajanja (A8-0200/2019).</w:t>
      </w:r>
    </w:p>
  </w:footnote>
  <w:footnote w:id="4">
    <w:p w14:paraId="6828EF72" w14:textId="77777777" w:rsidR="006A3A9D" w:rsidRPr="00B7760C" w:rsidRDefault="006A3A9D" w:rsidP="00D83206">
      <w:pPr>
        <w:pStyle w:val="Sprotnaopomba-besedilo"/>
        <w:ind w:left="567" w:hanging="567"/>
        <w:rPr>
          <w:lang w:val="sl-SI"/>
        </w:rPr>
      </w:pPr>
      <w:r w:rsidRPr="00B7760C">
        <w:rPr>
          <w:rStyle w:val="Sprotnaopomba-sklic"/>
          <w:lang w:val="sl-SI"/>
        </w:rPr>
        <w:footnoteRef/>
      </w:r>
      <w:r w:rsidRPr="00B7760C">
        <w:rPr>
          <w:lang w:val="sl-SI"/>
        </w:rPr>
        <w:tab/>
        <w:t>Varovalni pasovi v okviru dobrih kmetijskih in okoljskih pogojev morajo na ranljivih območjih, določenih v skladu s členom 3(2) Direktive 91/676/EGS, in zunaj njih izpolnjevati vsaj zahteve v zvezi s pogoji za vnos gnojil v tla blizu vodotokov, navedene v točki A.4 Priloge II k Direktivi 91/676/EGS, ki jih je treba uporabljati v skladu z delovnimi programi, ki jih države članice določijo v skladu s členom 5(4) Direktive 91/676/EGS.</w:t>
      </w:r>
    </w:p>
  </w:footnote>
  <w:footnote w:id="5">
    <w:p w14:paraId="0576D656" w14:textId="77777777" w:rsidR="006A3A9D" w:rsidRPr="00B7760C" w:rsidRDefault="006A3A9D" w:rsidP="00D83206">
      <w:pPr>
        <w:pStyle w:val="Sprotnaopomba-besedilo"/>
        <w:ind w:left="567" w:hanging="567"/>
        <w:rPr>
          <w:b/>
          <w:i/>
          <w:lang w:val="sl-SI"/>
        </w:rPr>
      </w:pPr>
      <w:r w:rsidRPr="00B7760C">
        <w:rPr>
          <w:rStyle w:val="Sprotnaopomba-sklic"/>
          <w:b/>
          <w:i/>
          <w:lang w:val="sl-SI"/>
        </w:rPr>
        <w:footnoteRef/>
      </w:r>
      <w:r w:rsidRPr="00B7760C">
        <w:rPr>
          <w:b/>
          <w:i/>
          <w:lang w:val="sl-SI"/>
        </w:rPr>
        <w:tab/>
        <w:t xml:space="preserve">Orodje zagotavlja vsaj naslednje elemente in funkcije: </w:t>
      </w:r>
    </w:p>
    <w:p w14:paraId="3B0966A0" w14:textId="77777777" w:rsidR="006A3A9D" w:rsidRPr="00B7760C" w:rsidRDefault="006A3A9D" w:rsidP="00D83206">
      <w:pPr>
        <w:pStyle w:val="Sprotnaopomba-besedilo"/>
        <w:ind w:left="567" w:hanging="567"/>
        <w:rPr>
          <w:b/>
          <w:i/>
          <w:lang w:val="sl-SI"/>
        </w:rPr>
      </w:pPr>
      <w:r w:rsidRPr="00B7760C">
        <w:rPr>
          <w:b/>
          <w:i/>
          <w:lang w:val="sl-SI"/>
        </w:rPr>
        <w:t>a) elementi</w:t>
      </w:r>
    </w:p>
    <w:p w14:paraId="72B2E99B" w14:textId="77777777" w:rsidR="006A3A9D" w:rsidRPr="00B7760C" w:rsidRDefault="006A3A9D" w:rsidP="00D83206">
      <w:pPr>
        <w:pStyle w:val="Sprotnaopomba-besedilo"/>
        <w:ind w:left="567" w:hanging="567"/>
        <w:rPr>
          <w:b/>
          <w:i/>
          <w:lang w:val="sl-SI"/>
        </w:rPr>
      </w:pPr>
      <w:r w:rsidRPr="00B7760C">
        <w:rPr>
          <w:b/>
          <w:i/>
          <w:lang w:val="sl-SI"/>
        </w:rPr>
        <w:t>•</w:t>
      </w:r>
      <w:r w:rsidRPr="00B7760C">
        <w:rPr>
          <w:b/>
          <w:i/>
          <w:lang w:val="sl-SI"/>
        </w:rPr>
        <w:tab/>
        <w:t>ustrezne informacije o kmetijah na podlagi LPIS in IAKS;</w:t>
      </w:r>
    </w:p>
    <w:p w14:paraId="54B8C536" w14:textId="77777777" w:rsidR="006A3A9D" w:rsidRPr="00B7760C" w:rsidRDefault="006A3A9D" w:rsidP="00D83206">
      <w:pPr>
        <w:pStyle w:val="Sprotnaopomba-besedilo"/>
        <w:ind w:left="567" w:hanging="567"/>
        <w:rPr>
          <w:b/>
          <w:i/>
          <w:lang w:val="sl-SI"/>
        </w:rPr>
      </w:pPr>
      <w:r w:rsidRPr="00B7760C">
        <w:rPr>
          <w:b/>
          <w:i/>
          <w:lang w:val="sl-SI"/>
        </w:rPr>
        <w:t>•</w:t>
      </w:r>
      <w:r w:rsidRPr="00B7760C">
        <w:rPr>
          <w:b/>
          <w:i/>
          <w:lang w:val="sl-SI"/>
        </w:rPr>
        <w:tab/>
        <w:t>informacije, pridobljene pri vzorčenju tal, o primernem prostorskem in časovnem obsegu;</w:t>
      </w:r>
    </w:p>
    <w:p w14:paraId="4F7283A8" w14:textId="77777777" w:rsidR="006A3A9D" w:rsidRPr="00B7760C" w:rsidRDefault="006A3A9D" w:rsidP="00D83206">
      <w:pPr>
        <w:pStyle w:val="Sprotnaopomba-besedilo"/>
        <w:ind w:left="567" w:hanging="567"/>
        <w:rPr>
          <w:b/>
          <w:i/>
          <w:lang w:val="sl-SI"/>
        </w:rPr>
      </w:pPr>
      <w:r w:rsidRPr="00B7760C">
        <w:rPr>
          <w:b/>
          <w:i/>
          <w:lang w:val="sl-SI"/>
        </w:rPr>
        <w:t>•</w:t>
      </w:r>
      <w:r w:rsidRPr="00B7760C">
        <w:rPr>
          <w:b/>
          <w:i/>
          <w:lang w:val="sl-SI"/>
        </w:rPr>
        <w:tab/>
        <w:t>informacije o ustreznih praksah upravljanja, zgodovini zasaditve in ciljih glede pridelka;</w:t>
      </w:r>
    </w:p>
    <w:p w14:paraId="7731921A" w14:textId="77777777" w:rsidR="006A3A9D" w:rsidRPr="00B7760C" w:rsidRDefault="006A3A9D" w:rsidP="00D83206">
      <w:pPr>
        <w:pStyle w:val="Sprotnaopomba-besedilo"/>
        <w:ind w:left="567" w:hanging="567"/>
        <w:rPr>
          <w:b/>
          <w:i/>
          <w:lang w:val="sl-SI"/>
        </w:rPr>
      </w:pPr>
      <w:r w:rsidRPr="00B7760C">
        <w:rPr>
          <w:b/>
          <w:i/>
          <w:lang w:val="sl-SI"/>
        </w:rPr>
        <w:t>•</w:t>
      </w:r>
      <w:r w:rsidRPr="00B7760C">
        <w:rPr>
          <w:b/>
          <w:i/>
          <w:lang w:val="sl-SI"/>
        </w:rPr>
        <w:tab/>
        <w:t>označbe o pravnih omejitvah in zahtevah, relevantnih za upravljanje hranil na kmetijskih gospodarstvih;</w:t>
      </w:r>
    </w:p>
    <w:p w14:paraId="43BEF9FD" w14:textId="77777777" w:rsidR="006A3A9D" w:rsidRPr="00B7760C" w:rsidRDefault="006A3A9D" w:rsidP="00D83206">
      <w:pPr>
        <w:pStyle w:val="Sprotnaopomba-besedilo"/>
        <w:ind w:left="567" w:hanging="567"/>
        <w:rPr>
          <w:b/>
          <w:i/>
          <w:lang w:val="sl-SI"/>
        </w:rPr>
      </w:pPr>
      <w:r w:rsidRPr="00B7760C">
        <w:rPr>
          <w:b/>
          <w:i/>
          <w:lang w:val="sl-SI"/>
        </w:rPr>
        <w:t>•</w:t>
      </w:r>
      <w:r w:rsidRPr="00B7760C">
        <w:rPr>
          <w:b/>
          <w:i/>
          <w:lang w:val="sl-SI"/>
        </w:rPr>
        <w:tab/>
        <w:t>celotni bilančni presežek hranil;</w:t>
      </w:r>
    </w:p>
    <w:p w14:paraId="10893335" w14:textId="77777777" w:rsidR="006A3A9D" w:rsidRPr="00B7760C" w:rsidRDefault="006A3A9D" w:rsidP="00D83206">
      <w:pPr>
        <w:pStyle w:val="Sprotnaopomba-besedilo"/>
        <w:ind w:left="567" w:hanging="567"/>
        <w:rPr>
          <w:lang w:val="sl-SI"/>
        </w:rPr>
      </w:pPr>
    </w:p>
    <w:p w14:paraId="7A7E38FD" w14:textId="77777777" w:rsidR="006A3A9D" w:rsidRPr="00B7760C" w:rsidRDefault="006A3A9D" w:rsidP="00D83206">
      <w:pPr>
        <w:pStyle w:val="Sprotnaopomba-besedilo"/>
        <w:ind w:left="567" w:hanging="567"/>
        <w:rPr>
          <w:b/>
          <w:i/>
          <w:lang w:val="sl-SI"/>
        </w:rPr>
      </w:pPr>
      <w:r w:rsidRPr="00B7760C">
        <w:rPr>
          <w:b/>
          <w:i/>
          <w:lang w:val="sl-SI"/>
        </w:rPr>
        <w:t xml:space="preserve">b) funkcije </w:t>
      </w:r>
    </w:p>
    <w:p w14:paraId="575D3FB7" w14:textId="77777777" w:rsidR="006A3A9D" w:rsidRPr="00B7760C" w:rsidRDefault="006A3A9D" w:rsidP="00D83206">
      <w:pPr>
        <w:pStyle w:val="Sprotnaopomba-besedilo"/>
        <w:ind w:left="567" w:hanging="567"/>
        <w:rPr>
          <w:b/>
          <w:i/>
          <w:lang w:val="sl-SI"/>
        </w:rPr>
      </w:pPr>
      <w:r w:rsidRPr="00B7760C">
        <w:rPr>
          <w:b/>
          <w:i/>
          <w:lang w:val="sl-SI"/>
        </w:rPr>
        <w:t>•</w:t>
      </w:r>
      <w:r w:rsidRPr="00B7760C">
        <w:rPr>
          <w:b/>
          <w:i/>
          <w:lang w:val="sl-SI"/>
        </w:rPr>
        <w:tab/>
        <w:t>samodejno povezovanje podatkov iz različnih virov (LPIS in IAKS; podatki, ki jih ustvarijo kmetje; analize tal itn.) v čim večji meri, da se kmetje izognejo podvajanju vnašanja podatkov;</w:t>
      </w:r>
    </w:p>
    <w:p w14:paraId="2F62286C" w14:textId="77777777" w:rsidR="006A3A9D" w:rsidRPr="00B7760C" w:rsidRDefault="006A3A9D" w:rsidP="00D83206">
      <w:pPr>
        <w:pStyle w:val="Sprotnaopomba-besedilo"/>
        <w:ind w:left="567" w:hanging="567"/>
        <w:rPr>
          <w:b/>
          <w:i/>
          <w:lang w:val="sl-SI"/>
        </w:rPr>
      </w:pPr>
      <w:r w:rsidRPr="00B7760C">
        <w:rPr>
          <w:b/>
          <w:i/>
          <w:lang w:val="sl-SI"/>
        </w:rPr>
        <w:t>•</w:t>
      </w:r>
      <w:r w:rsidRPr="00B7760C">
        <w:rPr>
          <w:b/>
          <w:i/>
          <w:lang w:val="sl-SI"/>
        </w:rPr>
        <w:tab/>
        <w:t>dovoljena dvosmerna komunikacija med plačilno agencijo/organi upravljanja in kmeti;</w:t>
      </w:r>
    </w:p>
    <w:p w14:paraId="63B58203" w14:textId="77777777" w:rsidR="006A3A9D" w:rsidRPr="00B7760C" w:rsidRDefault="006A3A9D" w:rsidP="00D83206">
      <w:pPr>
        <w:pStyle w:val="Sprotnaopomba-besedilo"/>
        <w:ind w:left="567" w:hanging="567"/>
        <w:rPr>
          <w:b/>
          <w:i/>
          <w:lang w:val="sl-SI"/>
        </w:rPr>
      </w:pPr>
      <w:r w:rsidRPr="00B7760C">
        <w:rPr>
          <w:b/>
          <w:i/>
          <w:lang w:val="sl-SI"/>
        </w:rPr>
        <w:t>•</w:t>
      </w:r>
      <w:r w:rsidRPr="00B7760C">
        <w:rPr>
          <w:b/>
          <w:i/>
          <w:lang w:val="sl-SI"/>
        </w:rPr>
        <w:tab/>
        <w:t>modularnost in možnost nadaljnje podpore trajnostnih ciljev (npr. upravljanje emisij, gospodarjenje z vodo);</w:t>
      </w:r>
    </w:p>
    <w:p w14:paraId="45499192" w14:textId="77777777" w:rsidR="006A3A9D" w:rsidRPr="00B7760C" w:rsidRDefault="006A3A9D" w:rsidP="00D83206">
      <w:pPr>
        <w:pStyle w:val="Sprotnaopomba-besedilo"/>
        <w:ind w:left="567" w:hanging="567"/>
        <w:rPr>
          <w:b/>
          <w:i/>
          <w:lang w:val="sl-SI"/>
        </w:rPr>
      </w:pPr>
      <w:r w:rsidRPr="00B7760C">
        <w:rPr>
          <w:b/>
          <w:i/>
          <w:lang w:val="sl-SI"/>
        </w:rPr>
        <w:t>•</w:t>
      </w:r>
      <w:r w:rsidRPr="00B7760C">
        <w:rPr>
          <w:b/>
          <w:i/>
          <w:lang w:val="sl-SI"/>
        </w:rPr>
        <w:tab/>
        <w:t xml:space="preserve"> spoštovanje načel interoperabilnosti, odprtosti in ponovne uporabe podatkov EU; </w:t>
      </w:r>
    </w:p>
    <w:p w14:paraId="326257C5" w14:textId="77777777" w:rsidR="006A3A9D" w:rsidRPr="00B7760C" w:rsidRDefault="006A3A9D" w:rsidP="00D83206">
      <w:pPr>
        <w:pStyle w:val="Sprotnaopomba-besedilo"/>
        <w:ind w:left="567" w:hanging="567"/>
        <w:rPr>
          <w:b/>
          <w:i/>
          <w:lang w:val="sl-SI"/>
        </w:rPr>
      </w:pPr>
      <w:r w:rsidRPr="00B7760C">
        <w:rPr>
          <w:b/>
          <w:i/>
          <w:lang w:val="sl-SI"/>
        </w:rPr>
        <w:t>•</w:t>
      </w:r>
      <w:r w:rsidRPr="00B7760C">
        <w:rPr>
          <w:b/>
          <w:i/>
          <w:lang w:val="sl-SI"/>
        </w:rPr>
        <w:tab/>
        <w:t>jamstva za varstvo in zasebnost podatkov v skladu z najboljšimi sodobnimi standardi.</w:t>
      </w:r>
    </w:p>
  </w:footnote>
  <w:footnote w:id="6">
    <w:p w14:paraId="01CDF038" w14:textId="77777777" w:rsidR="006A3A9D" w:rsidRPr="00B7760C" w:rsidRDefault="006A3A9D" w:rsidP="00D83206">
      <w:pPr>
        <w:pStyle w:val="Footno"/>
        <w:ind w:left="567" w:hanging="567"/>
        <w:rPr>
          <w:lang w:val="sl-SI"/>
        </w:rPr>
      </w:pPr>
      <w:r w:rsidRPr="00B7760C">
        <w:rPr>
          <w:rStyle w:val="Sprotnaopomba-sklic"/>
          <w:lang w:val="sl-SI"/>
        </w:rPr>
        <w:footnoteRef/>
      </w:r>
      <w:r w:rsidRPr="00B7760C">
        <w:rPr>
          <w:lang w:val="sl-SI"/>
        </w:rPr>
        <w:tab/>
        <w:t>Kot se izvaja zlasti:</w:t>
      </w:r>
    </w:p>
    <w:p w14:paraId="54854B0A" w14:textId="77777777" w:rsidR="006A3A9D" w:rsidRPr="00B7760C" w:rsidRDefault="006A3A9D" w:rsidP="00D83206">
      <w:pPr>
        <w:pStyle w:val="Footno"/>
        <w:ind w:left="567" w:hanging="567"/>
        <w:rPr>
          <w:lang w:val="sl-SI"/>
        </w:rPr>
      </w:pPr>
      <w:r w:rsidRPr="00B7760C">
        <w:rPr>
          <w:lang w:val="sl-SI"/>
        </w:rPr>
        <w:t>– s členom 14 Uredbe (ES) št. 470/2009 in Prilogo k Uredbi (ES) št. 37/2010;</w:t>
      </w:r>
    </w:p>
    <w:p w14:paraId="189CAF68" w14:textId="77777777" w:rsidR="006A3A9D" w:rsidRPr="00B7760C" w:rsidRDefault="006A3A9D" w:rsidP="00D83206">
      <w:pPr>
        <w:pStyle w:val="Footno"/>
        <w:ind w:left="567" w:hanging="567"/>
        <w:rPr>
          <w:lang w:val="sl-SI"/>
        </w:rPr>
      </w:pPr>
      <w:r w:rsidRPr="00B7760C">
        <w:rPr>
          <w:lang w:val="sl-SI"/>
        </w:rPr>
        <w:t>– z Uredbo (ES) št. 852/2004: člen 4(1) in del A Priloge I (II 4 (g, h, j), 5 (f, h), 6; III 8 (a, b, d, e), 9 (a, c));</w:t>
      </w:r>
    </w:p>
    <w:p w14:paraId="4E01DB0F" w14:textId="77777777" w:rsidR="006A3A9D" w:rsidRPr="00B7760C" w:rsidRDefault="006A3A9D" w:rsidP="00D83206">
      <w:pPr>
        <w:pStyle w:val="Footno"/>
        <w:ind w:left="567" w:hanging="567"/>
        <w:rPr>
          <w:lang w:val="sl-SI"/>
        </w:rPr>
      </w:pPr>
      <w:r w:rsidRPr="00B7760C">
        <w:rPr>
          <w:lang w:val="sl-SI"/>
        </w:rPr>
        <w:t>– z Uredbo (ES) št. 853/2004: člen 3(1) in poglavje 1 oddelka IX Priloge III (I-1 b, c, d, e; I-2 a (i, ii, iii), b (i, ii), c; I-3; I-4; I-5; II-A 1, 2, 3, 4; II-B 1(a, d), 2, 4(a, b)), poglavje 1(1) oddelka X Priloge III;</w:t>
      </w:r>
    </w:p>
    <w:p w14:paraId="383DA3B8" w14:textId="77777777" w:rsidR="006A3A9D" w:rsidRPr="00B7760C" w:rsidRDefault="006A3A9D" w:rsidP="00D83206">
      <w:pPr>
        <w:pStyle w:val="Footno"/>
        <w:ind w:left="567" w:hanging="567"/>
        <w:rPr>
          <w:lang w:val="sl-SI"/>
        </w:rPr>
      </w:pPr>
      <w:r w:rsidRPr="00B7760C">
        <w:rPr>
          <w:lang w:val="sl-SI"/>
        </w:rPr>
        <w:t>– z Uredbo (ES) št. 183/2005: člen 5(1) in del A Priloge I (I-4 e, g; II-2 a, b, e), člen 5(5) in Priloga III (naslov „KRMLJENJE“, točka 1 „Shranjevanje“, prvi in zadnji stavek, ter točka 2 „Distribucija“, tretji stavek), člen 5(6) ter</w:t>
      </w:r>
    </w:p>
    <w:p w14:paraId="2FBE9872" w14:textId="77777777" w:rsidR="006A3A9D" w:rsidRPr="00B7760C" w:rsidRDefault="006A3A9D" w:rsidP="00D83206">
      <w:pPr>
        <w:pStyle w:val="Footno"/>
        <w:ind w:left="567" w:hanging="567"/>
        <w:rPr>
          <w:lang w:val="sl-SI"/>
        </w:rPr>
      </w:pPr>
      <w:r w:rsidRPr="00B7760C">
        <w:rPr>
          <w:lang w:val="sl-SI"/>
        </w:rPr>
        <w:t>– z Uredbo (ES) št. 396/2005: člen 18.</w:t>
      </w:r>
    </w:p>
  </w:footnote>
  <w:footnote w:id="7">
    <w:p w14:paraId="3DEB15A5" w14:textId="6FA44A00" w:rsidR="006A3A9D" w:rsidRPr="009138B2" w:rsidRDefault="006A3A9D" w:rsidP="00D83206">
      <w:pPr>
        <w:spacing w:before="60" w:after="60"/>
        <w:ind w:left="567" w:hanging="567"/>
        <w:rPr>
          <w:b/>
          <w:i/>
          <w:sz w:val="20"/>
        </w:rPr>
      </w:pPr>
      <w:r w:rsidRPr="00B7760C">
        <w:rPr>
          <w:b/>
          <w:i/>
          <w:sz w:val="16"/>
          <w:vertAlign w:val="superscript"/>
        </w:rPr>
        <w:footnoteRef/>
      </w:r>
      <w:r w:rsidRPr="009138B2">
        <w:rPr>
          <w:b/>
          <w:i/>
          <w:sz w:val="20"/>
        </w:rPr>
        <w:tab/>
        <w:t>Zagotoviti je treba, da ne bo prišlo do izgube celotnega trajnega travinja na regionalni in/ali nacionalni ravni.</w:t>
      </w:r>
    </w:p>
  </w:footnote>
  <w:footnote w:id="8">
    <w:p w14:paraId="634D279A" w14:textId="2721152D" w:rsidR="006A3A9D" w:rsidRPr="00B7760C" w:rsidRDefault="006A3A9D" w:rsidP="00D83206">
      <w:pPr>
        <w:pStyle w:val="Sprotnaopomba-besedilo"/>
        <w:ind w:left="567" w:hanging="567"/>
        <w:rPr>
          <w:lang w:val="sl-SI"/>
        </w:rPr>
      </w:pPr>
      <w:r w:rsidRPr="00B7760C">
        <w:rPr>
          <w:rStyle w:val="Sprotnaopomba-sklic"/>
          <w:lang w:val="sl-SI"/>
        </w:rPr>
        <w:footnoteRef/>
      </w:r>
      <w:r w:rsidRPr="00B7760C">
        <w:rPr>
          <w:b/>
          <w:i/>
          <w:lang w:val="sl-SI"/>
        </w:rPr>
        <w:t xml:space="preserve"> </w:t>
      </w:r>
      <w:r w:rsidRPr="009138B2">
        <w:rPr>
          <w:b/>
          <w:i/>
          <w:lang w:val="sl-SI"/>
        </w:rPr>
        <w:tab/>
      </w:r>
      <w:r w:rsidRPr="00B7760C">
        <w:rPr>
          <w:b/>
          <w:i/>
          <w:lang w:val="sl-SI"/>
        </w:rPr>
        <w:t>Države članice z obsežnimi jarki za odtekanje in namakanje lahko, če je to za posamezno območje ustrezno utemeljeno, prilagodijo najmanjšo širino posebnim lokalnim okoliščinam države članice.</w:t>
      </w:r>
    </w:p>
  </w:footnote>
  <w:footnote w:id="9">
    <w:p w14:paraId="21F5285F" w14:textId="77777777" w:rsidR="006A3A9D" w:rsidRPr="009138B2" w:rsidRDefault="006A3A9D" w:rsidP="00D83206">
      <w:pPr>
        <w:pStyle w:val="Sprotnaopomba-besedilo"/>
        <w:ind w:left="567" w:hanging="567"/>
        <w:rPr>
          <w:b/>
          <w:i/>
          <w:lang w:val="sl-SI"/>
        </w:rPr>
      </w:pPr>
      <w:r w:rsidRPr="009138B2">
        <w:rPr>
          <w:rStyle w:val="Sprotnaopomba-sklic"/>
          <w:b/>
          <w:i/>
          <w:lang w:val="sl-SI"/>
        </w:rPr>
        <w:footnoteRef/>
      </w:r>
      <w:r w:rsidRPr="009138B2">
        <w:rPr>
          <w:b/>
          <w:i/>
          <w:lang w:val="sl-SI"/>
        </w:rPr>
        <w:t xml:space="preserve"> </w:t>
      </w:r>
      <w:r w:rsidRPr="009138B2">
        <w:rPr>
          <w:b/>
          <w:i/>
          <w:lang w:val="sl-SI"/>
        </w:rPr>
        <w:tab/>
        <w:t>Uporaba obstoječe prožnosti Uredbe (EU) št. 1307/2013, člen 46</w:t>
      </w:r>
    </w:p>
  </w:footnote>
  <w:footnote w:id="10">
    <w:p w14:paraId="551A8DCA" w14:textId="77777777" w:rsidR="006A3A9D" w:rsidRPr="009138B2" w:rsidRDefault="006A3A9D" w:rsidP="00D83206">
      <w:pPr>
        <w:pStyle w:val="Footno"/>
        <w:ind w:left="567" w:hanging="567"/>
        <w:rPr>
          <w:lang w:val="sl-SI"/>
        </w:rPr>
      </w:pPr>
      <w:r w:rsidRPr="009138B2">
        <w:rPr>
          <w:rStyle w:val="Sprotnaopomba-sklic"/>
          <w:lang w:val="sl-SI"/>
        </w:rPr>
        <w:footnoteRef/>
      </w:r>
      <w:r w:rsidRPr="009138B2">
        <w:rPr>
          <w:lang w:val="sl-SI"/>
        </w:rPr>
        <w:tab/>
        <w:t>Kot se izvaja zlasti:</w:t>
      </w:r>
    </w:p>
    <w:p w14:paraId="76BE70F2" w14:textId="5FFB6D5E" w:rsidR="006A3A9D" w:rsidRPr="009138B2" w:rsidRDefault="006A3A9D" w:rsidP="00D83206">
      <w:pPr>
        <w:pStyle w:val="Footno"/>
        <w:ind w:left="567" w:hanging="567"/>
        <w:rPr>
          <w:lang w:val="sl-SI"/>
        </w:rPr>
      </w:pPr>
      <w:r w:rsidRPr="009138B2">
        <w:rPr>
          <w:lang w:val="sl-SI"/>
        </w:rPr>
        <w:t xml:space="preserve">– </w:t>
      </w:r>
      <w:r w:rsidRPr="009138B2">
        <w:rPr>
          <w:lang w:val="sl-SI"/>
        </w:rPr>
        <w:tab/>
        <w:t>s členom 14 Uredbe (ES) št. 470/2009 in Prilogo k Uredbi (ES) št. 37/2010;</w:t>
      </w:r>
    </w:p>
    <w:p w14:paraId="02FFE9B5" w14:textId="4B9F88EA" w:rsidR="006A3A9D" w:rsidRPr="009138B2" w:rsidRDefault="006A3A9D" w:rsidP="00D83206">
      <w:pPr>
        <w:pStyle w:val="Footno"/>
        <w:ind w:left="567" w:hanging="567"/>
        <w:rPr>
          <w:lang w:val="sl-SI"/>
        </w:rPr>
      </w:pPr>
      <w:r w:rsidRPr="009138B2">
        <w:rPr>
          <w:lang w:val="sl-SI"/>
        </w:rPr>
        <w:t xml:space="preserve">– </w:t>
      </w:r>
      <w:r w:rsidRPr="009138B2">
        <w:rPr>
          <w:lang w:val="sl-SI"/>
        </w:rPr>
        <w:tab/>
        <w:t>z Uredbo (ES) št. 852/2004: člen 4(1) in del A Priloge I (II 4 (g, h, j), 5 (f, h), 6; III 8 (a, b, d, e), 9 (a, c));</w:t>
      </w:r>
    </w:p>
    <w:p w14:paraId="2EB5668C" w14:textId="425443B6" w:rsidR="006A3A9D" w:rsidRPr="009138B2" w:rsidRDefault="006A3A9D" w:rsidP="00D83206">
      <w:pPr>
        <w:pStyle w:val="Footno"/>
        <w:ind w:left="567" w:hanging="567"/>
        <w:rPr>
          <w:lang w:val="sl-SI"/>
        </w:rPr>
      </w:pPr>
      <w:r w:rsidRPr="009138B2">
        <w:rPr>
          <w:lang w:val="sl-SI"/>
        </w:rPr>
        <w:t xml:space="preserve">– </w:t>
      </w:r>
      <w:r w:rsidRPr="009138B2">
        <w:rPr>
          <w:lang w:val="sl-SI"/>
        </w:rPr>
        <w:tab/>
        <w:t>z Uredbo (ES) št. 853/2004: člen 3(1) in poglavje 1 oddelka IX Priloge III (I-1 b, c, d, e; I-2 a (i, ii, iii), b (i, ii), c; I-3; I-4; I-5; II-A 1, 2, 3, 4; II-B 1(a, d), 2, 4(a, b)), poglavje 1(1) oddelka X Priloge III;</w:t>
      </w:r>
    </w:p>
    <w:p w14:paraId="002BDFA2" w14:textId="35B67AA1" w:rsidR="006A3A9D" w:rsidRPr="009138B2" w:rsidRDefault="006A3A9D" w:rsidP="00D83206">
      <w:pPr>
        <w:pStyle w:val="Footno"/>
        <w:ind w:left="567" w:hanging="567"/>
        <w:rPr>
          <w:lang w:val="sl-SI"/>
        </w:rPr>
      </w:pPr>
      <w:r w:rsidRPr="009138B2">
        <w:rPr>
          <w:lang w:val="sl-SI"/>
        </w:rPr>
        <w:t xml:space="preserve">– </w:t>
      </w:r>
      <w:r w:rsidRPr="009138B2">
        <w:rPr>
          <w:lang w:val="sl-SI"/>
        </w:rPr>
        <w:tab/>
        <w:t>z Uredbo (ES) št. 183/2005: člen 5(1) in del A Priloge I (I-4 e, g; II-2 a, b, e), člen 5(5) in Priloga III (naslov „KRMLJENJE“, točka 1 „Shranjevanje“, prvi in zadnji stavek, ter točka 2 „Distribucija“, tretji stavek), člen 5(6) ter</w:t>
      </w:r>
    </w:p>
    <w:p w14:paraId="2E2EFB02" w14:textId="7A1138CB" w:rsidR="006A3A9D" w:rsidRPr="009138B2" w:rsidRDefault="006A3A9D" w:rsidP="00D83206">
      <w:pPr>
        <w:pStyle w:val="Footno"/>
        <w:ind w:left="567" w:hanging="567"/>
        <w:rPr>
          <w:lang w:val="sl-SI"/>
        </w:rPr>
      </w:pPr>
      <w:r w:rsidRPr="009138B2">
        <w:rPr>
          <w:lang w:val="sl-SI"/>
        </w:rPr>
        <w:t xml:space="preserve">– </w:t>
      </w:r>
      <w:r w:rsidRPr="009138B2">
        <w:rPr>
          <w:lang w:val="sl-SI"/>
        </w:rPr>
        <w:tab/>
        <w:t>z Uredbo (ES) št. 396/2005: člen 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80D96" w14:textId="77777777" w:rsidR="006A3A9D" w:rsidRPr="005915CF" w:rsidRDefault="006A3A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E6484" w14:textId="77777777" w:rsidR="006A3A9D" w:rsidRPr="005915CF" w:rsidRDefault="006A3A9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E091E" w14:textId="77777777" w:rsidR="006A3A9D" w:rsidRPr="005915CF" w:rsidRDefault="006A3A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07672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5489D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1A48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2BEEB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4C85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62459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943E0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5CB7F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044ED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6AEA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A51B0"/>
    <w:multiLevelType w:val="hybridMultilevel"/>
    <w:tmpl w:val="47087A00"/>
    <w:lvl w:ilvl="0" w:tplc="0294428C">
      <w:start w:val="1"/>
      <w:numFmt w:val="bullet"/>
      <w:lvlText w:val=""/>
      <w:lvlJc w:val="left"/>
      <w:pPr>
        <w:ind w:left="720" w:hanging="360"/>
      </w:pPr>
      <w:rPr>
        <w:rFonts w:ascii="Symbol" w:hAnsi="Symbol" w:hint="default"/>
      </w:rPr>
    </w:lvl>
    <w:lvl w:ilvl="1" w:tplc="69D0C230" w:tentative="1">
      <w:start w:val="1"/>
      <w:numFmt w:val="bullet"/>
      <w:lvlText w:val="o"/>
      <w:lvlJc w:val="left"/>
      <w:pPr>
        <w:ind w:left="1440" w:hanging="360"/>
      </w:pPr>
      <w:rPr>
        <w:rFonts w:ascii="Courier New" w:hAnsi="Courier New" w:cs="Courier New" w:hint="default"/>
      </w:rPr>
    </w:lvl>
    <w:lvl w:ilvl="2" w:tplc="2960BD56" w:tentative="1">
      <w:start w:val="1"/>
      <w:numFmt w:val="bullet"/>
      <w:lvlText w:val=""/>
      <w:lvlJc w:val="left"/>
      <w:pPr>
        <w:ind w:left="2160" w:hanging="360"/>
      </w:pPr>
      <w:rPr>
        <w:rFonts w:ascii="Wingdings" w:hAnsi="Wingdings" w:hint="default"/>
      </w:rPr>
    </w:lvl>
    <w:lvl w:ilvl="3" w:tplc="468A8752" w:tentative="1">
      <w:start w:val="1"/>
      <w:numFmt w:val="bullet"/>
      <w:lvlText w:val=""/>
      <w:lvlJc w:val="left"/>
      <w:pPr>
        <w:ind w:left="2880" w:hanging="360"/>
      </w:pPr>
      <w:rPr>
        <w:rFonts w:ascii="Symbol" w:hAnsi="Symbol" w:hint="default"/>
      </w:rPr>
    </w:lvl>
    <w:lvl w:ilvl="4" w:tplc="CC3CCCEA" w:tentative="1">
      <w:start w:val="1"/>
      <w:numFmt w:val="bullet"/>
      <w:lvlText w:val="o"/>
      <w:lvlJc w:val="left"/>
      <w:pPr>
        <w:ind w:left="3600" w:hanging="360"/>
      </w:pPr>
      <w:rPr>
        <w:rFonts w:ascii="Courier New" w:hAnsi="Courier New" w:cs="Courier New" w:hint="default"/>
      </w:rPr>
    </w:lvl>
    <w:lvl w:ilvl="5" w:tplc="C8CE2270" w:tentative="1">
      <w:start w:val="1"/>
      <w:numFmt w:val="bullet"/>
      <w:lvlText w:val=""/>
      <w:lvlJc w:val="left"/>
      <w:pPr>
        <w:ind w:left="4320" w:hanging="360"/>
      </w:pPr>
      <w:rPr>
        <w:rFonts w:ascii="Wingdings" w:hAnsi="Wingdings" w:hint="default"/>
      </w:rPr>
    </w:lvl>
    <w:lvl w:ilvl="6" w:tplc="82DEE762" w:tentative="1">
      <w:start w:val="1"/>
      <w:numFmt w:val="bullet"/>
      <w:lvlText w:val=""/>
      <w:lvlJc w:val="left"/>
      <w:pPr>
        <w:ind w:left="5040" w:hanging="360"/>
      </w:pPr>
      <w:rPr>
        <w:rFonts w:ascii="Symbol" w:hAnsi="Symbol" w:hint="default"/>
      </w:rPr>
    </w:lvl>
    <w:lvl w:ilvl="7" w:tplc="44C6CBD0" w:tentative="1">
      <w:start w:val="1"/>
      <w:numFmt w:val="bullet"/>
      <w:lvlText w:val="o"/>
      <w:lvlJc w:val="left"/>
      <w:pPr>
        <w:ind w:left="5760" w:hanging="360"/>
      </w:pPr>
      <w:rPr>
        <w:rFonts w:ascii="Courier New" w:hAnsi="Courier New" w:cs="Courier New" w:hint="default"/>
      </w:rPr>
    </w:lvl>
    <w:lvl w:ilvl="8" w:tplc="83B083FE" w:tentative="1">
      <w:start w:val="1"/>
      <w:numFmt w:val="bullet"/>
      <w:lvlText w:val=""/>
      <w:lvlJc w:val="left"/>
      <w:pPr>
        <w:ind w:left="6480" w:hanging="360"/>
      </w:pPr>
      <w:rPr>
        <w:rFonts w:ascii="Wingdings" w:hAnsi="Wingdings" w:hint="default"/>
      </w:rPr>
    </w:lvl>
  </w:abstractNum>
  <w:abstractNum w:abstractNumId="11" w15:restartNumberingAfterBreak="0">
    <w:nsid w:val="093C6E60"/>
    <w:multiLevelType w:val="multilevel"/>
    <w:tmpl w:val="BC64E536"/>
    <w:lvl w:ilvl="0">
      <w:start w:val="1"/>
      <w:numFmt w:val="decimal"/>
      <w:lvlText w:val="%1."/>
      <w:lvlJc w:val="left"/>
      <w:pPr>
        <w:tabs>
          <w:tab w:val="num" w:pos="360"/>
        </w:tabs>
        <w:ind w:left="360" w:hanging="360"/>
      </w:pPr>
    </w:lvl>
    <w:lvl w:ilvl="1">
      <w:start w:val="1"/>
      <w:numFmt w:val="decimal"/>
      <w:pStyle w:val="Naslov2"/>
      <w:lvlText w:val="%1.%2."/>
      <w:lvlJc w:val="left"/>
      <w:pPr>
        <w:tabs>
          <w:tab w:val="num" w:pos="792"/>
        </w:tabs>
        <w:ind w:left="792" w:hanging="792"/>
      </w:pPr>
    </w:lvl>
    <w:lvl w:ilvl="2">
      <w:start w:val="1"/>
      <w:numFmt w:val="decimal"/>
      <w:pStyle w:val="Naslov3"/>
      <w:lvlText w:val="%1.%2.%3."/>
      <w:lvlJc w:val="left"/>
      <w:pPr>
        <w:tabs>
          <w:tab w:val="num" w:pos="1224"/>
        </w:tabs>
        <w:ind w:left="1224" w:hanging="1224"/>
      </w:pPr>
    </w:lvl>
    <w:lvl w:ilvl="3">
      <w:start w:val="1"/>
      <w:numFmt w:val="decimal"/>
      <w:pStyle w:val="Naslov4"/>
      <w:lvlText w:val="%1.%2.%3.%4."/>
      <w:lvlJc w:val="left"/>
      <w:pPr>
        <w:tabs>
          <w:tab w:val="num" w:pos="1728"/>
        </w:tabs>
        <w:ind w:left="1728" w:hanging="1728"/>
      </w:pPr>
    </w:lvl>
    <w:lvl w:ilvl="4">
      <w:start w:val="1"/>
      <w:numFmt w:val="decimal"/>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12"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15:restartNumberingAfterBreak="0">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Naslov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num w:numId="1">
    <w:abstractNumId w:val="11"/>
  </w:num>
  <w:num w:numId="2">
    <w:abstractNumId w:val="13"/>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docse" w:val="A8-0200/2019"/>
    <w:docVar w:name="dvlangue" w:val="SL"/>
    <w:docVar w:name="dvnumam" w:val="1396"/>
    <w:docVar w:name="dvpe" w:val="627.760"/>
    <w:docVar w:name="dvrapporteur" w:val="Poročevalec: "/>
    <w:docVar w:name="dvtitre" w:val="Zakonodajna resolucija Evropskega parlamenta z dne … 2020 o predlogu uredbe Evropskega parlamenta in Sveta o določitvi pravil o podpori za strateške načrte, ki jih pripravijo države članice v okviru skupne kmetijske politike (strateški načrti SKP) in se financirajo iz Evropskega kmetijskega jamstvenega sklada (EKJS) in Evropskega kmetijskega sklada za razvoj podeželja (EKSRP) ter o razveljavitvi Uredbe (EU) št. 1305/2013 Evropskega parlamenta in Sveta in Uredbe (EU) št. 1307/2013 Evropskega parlamenta in Sveta(COM(2018)0392 – C8-0248/2018 – 2018/0216(COD))"/>
  </w:docVars>
  <w:rsids>
    <w:rsidRoot w:val="006D1BCF"/>
    <w:rsid w:val="00002272"/>
    <w:rsid w:val="00055599"/>
    <w:rsid w:val="00060A4C"/>
    <w:rsid w:val="00061B62"/>
    <w:rsid w:val="00061D4C"/>
    <w:rsid w:val="00064002"/>
    <w:rsid w:val="000677B9"/>
    <w:rsid w:val="00077A7C"/>
    <w:rsid w:val="00080F58"/>
    <w:rsid w:val="000831BA"/>
    <w:rsid w:val="0008604B"/>
    <w:rsid w:val="000A42CC"/>
    <w:rsid w:val="000B4781"/>
    <w:rsid w:val="000C7A94"/>
    <w:rsid w:val="000D1296"/>
    <w:rsid w:val="000D6036"/>
    <w:rsid w:val="000E7DD9"/>
    <w:rsid w:val="000F7FA6"/>
    <w:rsid w:val="0010095E"/>
    <w:rsid w:val="00101BE8"/>
    <w:rsid w:val="0010623A"/>
    <w:rsid w:val="00125B37"/>
    <w:rsid w:val="00130CC4"/>
    <w:rsid w:val="00164A23"/>
    <w:rsid w:val="00182609"/>
    <w:rsid w:val="00187494"/>
    <w:rsid w:val="001A613A"/>
    <w:rsid w:val="001E1226"/>
    <w:rsid w:val="001F32AE"/>
    <w:rsid w:val="001F4F12"/>
    <w:rsid w:val="00201401"/>
    <w:rsid w:val="00202E2D"/>
    <w:rsid w:val="0020339A"/>
    <w:rsid w:val="00240E71"/>
    <w:rsid w:val="00255347"/>
    <w:rsid w:val="00262443"/>
    <w:rsid w:val="002767FF"/>
    <w:rsid w:val="00286BF3"/>
    <w:rsid w:val="002923FF"/>
    <w:rsid w:val="002A1672"/>
    <w:rsid w:val="002A3ED7"/>
    <w:rsid w:val="002A460B"/>
    <w:rsid w:val="002A6C93"/>
    <w:rsid w:val="002A6F8D"/>
    <w:rsid w:val="002B18FE"/>
    <w:rsid w:val="002B5493"/>
    <w:rsid w:val="002C0EDF"/>
    <w:rsid w:val="002C1847"/>
    <w:rsid w:val="002C4693"/>
    <w:rsid w:val="002E2EB0"/>
    <w:rsid w:val="002E755E"/>
    <w:rsid w:val="002F66C3"/>
    <w:rsid w:val="00311854"/>
    <w:rsid w:val="00321951"/>
    <w:rsid w:val="003268E2"/>
    <w:rsid w:val="003324C1"/>
    <w:rsid w:val="0033738D"/>
    <w:rsid w:val="00337F1D"/>
    <w:rsid w:val="00343214"/>
    <w:rsid w:val="003524CA"/>
    <w:rsid w:val="003548F6"/>
    <w:rsid w:val="00361C00"/>
    <w:rsid w:val="003663AF"/>
    <w:rsid w:val="003721AD"/>
    <w:rsid w:val="00372E97"/>
    <w:rsid w:val="00395FA1"/>
    <w:rsid w:val="003E15D4"/>
    <w:rsid w:val="003F5478"/>
    <w:rsid w:val="003F6479"/>
    <w:rsid w:val="00403DF8"/>
    <w:rsid w:val="00411CCE"/>
    <w:rsid w:val="00412461"/>
    <w:rsid w:val="0041666E"/>
    <w:rsid w:val="00421060"/>
    <w:rsid w:val="00441375"/>
    <w:rsid w:val="0044746B"/>
    <w:rsid w:val="0045607F"/>
    <w:rsid w:val="00471C19"/>
    <w:rsid w:val="00471D9E"/>
    <w:rsid w:val="00480F16"/>
    <w:rsid w:val="00482ACC"/>
    <w:rsid w:val="00487290"/>
    <w:rsid w:val="00494A28"/>
    <w:rsid w:val="00497D69"/>
    <w:rsid w:val="004C0004"/>
    <w:rsid w:val="004C2912"/>
    <w:rsid w:val="004C5D52"/>
    <w:rsid w:val="004D7917"/>
    <w:rsid w:val="004F0B88"/>
    <w:rsid w:val="0050519A"/>
    <w:rsid w:val="005072A1"/>
    <w:rsid w:val="0051236E"/>
    <w:rsid w:val="00514517"/>
    <w:rsid w:val="00517642"/>
    <w:rsid w:val="00530C4C"/>
    <w:rsid w:val="00545827"/>
    <w:rsid w:val="00553D8B"/>
    <w:rsid w:val="00560270"/>
    <w:rsid w:val="005705AE"/>
    <w:rsid w:val="0057403D"/>
    <w:rsid w:val="005847CC"/>
    <w:rsid w:val="005915CF"/>
    <w:rsid w:val="005C2568"/>
    <w:rsid w:val="005C593D"/>
    <w:rsid w:val="005D023B"/>
    <w:rsid w:val="005D097D"/>
    <w:rsid w:val="005D1503"/>
    <w:rsid w:val="006037C0"/>
    <w:rsid w:val="00615734"/>
    <w:rsid w:val="006174EB"/>
    <w:rsid w:val="0063673F"/>
    <w:rsid w:val="00644713"/>
    <w:rsid w:val="00645D34"/>
    <w:rsid w:val="006631B6"/>
    <w:rsid w:val="0066535D"/>
    <w:rsid w:val="00672BF3"/>
    <w:rsid w:val="00680577"/>
    <w:rsid w:val="006833F2"/>
    <w:rsid w:val="006A3A9D"/>
    <w:rsid w:val="006B241B"/>
    <w:rsid w:val="006B5A41"/>
    <w:rsid w:val="006C08ED"/>
    <w:rsid w:val="006D1BCF"/>
    <w:rsid w:val="006D33E3"/>
    <w:rsid w:val="006E7C64"/>
    <w:rsid w:val="006F0B5B"/>
    <w:rsid w:val="006F74FA"/>
    <w:rsid w:val="00702D84"/>
    <w:rsid w:val="00731ADD"/>
    <w:rsid w:val="00734777"/>
    <w:rsid w:val="00743602"/>
    <w:rsid w:val="00747932"/>
    <w:rsid w:val="00751A4A"/>
    <w:rsid w:val="00753E5D"/>
    <w:rsid w:val="00756632"/>
    <w:rsid w:val="00762C74"/>
    <w:rsid w:val="007768A6"/>
    <w:rsid w:val="00786EC0"/>
    <w:rsid w:val="00797D39"/>
    <w:rsid w:val="007C10C0"/>
    <w:rsid w:val="007C5504"/>
    <w:rsid w:val="007D0B95"/>
    <w:rsid w:val="007D1690"/>
    <w:rsid w:val="007D3A00"/>
    <w:rsid w:val="007E22AD"/>
    <w:rsid w:val="007E34A5"/>
    <w:rsid w:val="00817416"/>
    <w:rsid w:val="008313BF"/>
    <w:rsid w:val="00842779"/>
    <w:rsid w:val="00845938"/>
    <w:rsid w:val="00847668"/>
    <w:rsid w:val="00865F67"/>
    <w:rsid w:val="00877691"/>
    <w:rsid w:val="00881A7B"/>
    <w:rsid w:val="0088275F"/>
    <w:rsid w:val="008840E5"/>
    <w:rsid w:val="00887B3E"/>
    <w:rsid w:val="008A0166"/>
    <w:rsid w:val="008A70F3"/>
    <w:rsid w:val="008C2AC6"/>
    <w:rsid w:val="008C44C1"/>
    <w:rsid w:val="008C66AC"/>
    <w:rsid w:val="008D23C1"/>
    <w:rsid w:val="008D4463"/>
    <w:rsid w:val="008E16DC"/>
    <w:rsid w:val="008E6F75"/>
    <w:rsid w:val="00904DA3"/>
    <w:rsid w:val="00907BA7"/>
    <w:rsid w:val="009138B2"/>
    <w:rsid w:val="00930C23"/>
    <w:rsid w:val="0093193B"/>
    <w:rsid w:val="009350D5"/>
    <w:rsid w:val="009379FE"/>
    <w:rsid w:val="00945FD0"/>
    <w:rsid w:val="00947116"/>
    <w:rsid w:val="009473FB"/>
    <w:rsid w:val="009509D8"/>
    <w:rsid w:val="00950B64"/>
    <w:rsid w:val="0098144C"/>
    <w:rsid w:val="00981893"/>
    <w:rsid w:val="00996582"/>
    <w:rsid w:val="00996AD7"/>
    <w:rsid w:val="009A1B1D"/>
    <w:rsid w:val="009A2A4B"/>
    <w:rsid w:val="009A469A"/>
    <w:rsid w:val="009A7B0F"/>
    <w:rsid w:val="009C270A"/>
    <w:rsid w:val="009D3E2B"/>
    <w:rsid w:val="009E085B"/>
    <w:rsid w:val="009F04AE"/>
    <w:rsid w:val="009F6B49"/>
    <w:rsid w:val="00A10435"/>
    <w:rsid w:val="00A10B55"/>
    <w:rsid w:val="00A1687D"/>
    <w:rsid w:val="00A248DD"/>
    <w:rsid w:val="00A2590D"/>
    <w:rsid w:val="00A3092B"/>
    <w:rsid w:val="00A35DEB"/>
    <w:rsid w:val="00A43E52"/>
    <w:rsid w:val="00A4678D"/>
    <w:rsid w:val="00A778C7"/>
    <w:rsid w:val="00A94D0F"/>
    <w:rsid w:val="00AA0E62"/>
    <w:rsid w:val="00AA1D8A"/>
    <w:rsid w:val="00AB1DA6"/>
    <w:rsid w:val="00AB441E"/>
    <w:rsid w:val="00AB6293"/>
    <w:rsid w:val="00AD1DD2"/>
    <w:rsid w:val="00AD6DD8"/>
    <w:rsid w:val="00AE0928"/>
    <w:rsid w:val="00AE5FC3"/>
    <w:rsid w:val="00AF3B82"/>
    <w:rsid w:val="00B12E95"/>
    <w:rsid w:val="00B2260C"/>
    <w:rsid w:val="00B22876"/>
    <w:rsid w:val="00B34ADF"/>
    <w:rsid w:val="00B54600"/>
    <w:rsid w:val="00B558F0"/>
    <w:rsid w:val="00B60AB6"/>
    <w:rsid w:val="00B64899"/>
    <w:rsid w:val="00B7760C"/>
    <w:rsid w:val="00B83DC9"/>
    <w:rsid w:val="00BC1010"/>
    <w:rsid w:val="00BD48FE"/>
    <w:rsid w:val="00BD7BD8"/>
    <w:rsid w:val="00BE59C0"/>
    <w:rsid w:val="00BE6ADC"/>
    <w:rsid w:val="00C01886"/>
    <w:rsid w:val="00C05BFE"/>
    <w:rsid w:val="00C11DA9"/>
    <w:rsid w:val="00C23CD4"/>
    <w:rsid w:val="00C3202E"/>
    <w:rsid w:val="00C61C0C"/>
    <w:rsid w:val="00C6578F"/>
    <w:rsid w:val="00C7565D"/>
    <w:rsid w:val="00C941CB"/>
    <w:rsid w:val="00C971CB"/>
    <w:rsid w:val="00CC2357"/>
    <w:rsid w:val="00CC51B6"/>
    <w:rsid w:val="00CE6271"/>
    <w:rsid w:val="00CF071A"/>
    <w:rsid w:val="00D02D17"/>
    <w:rsid w:val="00D058B8"/>
    <w:rsid w:val="00D12A9D"/>
    <w:rsid w:val="00D37D1B"/>
    <w:rsid w:val="00D56C11"/>
    <w:rsid w:val="00D83206"/>
    <w:rsid w:val="00D834A0"/>
    <w:rsid w:val="00D872DF"/>
    <w:rsid w:val="00D90AAD"/>
    <w:rsid w:val="00D91E21"/>
    <w:rsid w:val="00DA5E52"/>
    <w:rsid w:val="00DA6A03"/>
    <w:rsid w:val="00DA7FCD"/>
    <w:rsid w:val="00DB605E"/>
    <w:rsid w:val="00DC0FE0"/>
    <w:rsid w:val="00DC6803"/>
    <w:rsid w:val="00DD0F2B"/>
    <w:rsid w:val="00E00C1D"/>
    <w:rsid w:val="00E02E58"/>
    <w:rsid w:val="00E22643"/>
    <w:rsid w:val="00E22DE5"/>
    <w:rsid w:val="00E26570"/>
    <w:rsid w:val="00E3561C"/>
    <w:rsid w:val="00E365E1"/>
    <w:rsid w:val="00E54195"/>
    <w:rsid w:val="00E75B00"/>
    <w:rsid w:val="00E804B7"/>
    <w:rsid w:val="00E820A4"/>
    <w:rsid w:val="00EB006A"/>
    <w:rsid w:val="00EB36AB"/>
    <w:rsid w:val="00EB4772"/>
    <w:rsid w:val="00EB559D"/>
    <w:rsid w:val="00EC7264"/>
    <w:rsid w:val="00ED169E"/>
    <w:rsid w:val="00ED4235"/>
    <w:rsid w:val="00EE51BC"/>
    <w:rsid w:val="00EF2FD5"/>
    <w:rsid w:val="00EF759E"/>
    <w:rsid w:val="00F04346"/>
    <w:rsid w:val="00F05203"/>
    <w:rsid w:val="00F075DC"/>
    <w:rsid w:val="00F149E9"/>
    <w:rsid w:val="00F35FCF"/>
    <w:rsid w:val="00F413F2"/>
    <w:rsid w:val="00F5134D"/>
    <w:rsid w:val="00F51A2F"/>
    <w:rsid w:val="00F54922"/>
    <w:rsid w:val="00F55CDD"/>
    <w:rsid w:val="00F624DF"/>
    <w:rsid w:val="00F72FE9"/>
    <w:rsid w:val="00F87713"/>
    <w:rsid w:val="00FA425F"/>
    <w:rsid w:val="00FA4356"/>
    <w:rsid w:val="00FB4360"/>
    <w:rsid w:val="00FB68E1"/>
    <w:rsid w:val="00FC0B97"/>
    <w:rsid w:val="00FC7E29"/>
    <w:rsid w:val="00FD0C70"/>
    <w:rsid w:val="00FE3BE4"/>
    <w:rsid w:val="00FF5B68"/>
    <w:rsid w:val="00FF6159"/>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987B2"/>
  <w15:chartTrackingRefBased/>
  <w15:docId w15:val="{5CC3DB44-F2F4-4300-BE82-A753D6AD4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List Number 3" w:uiPriority="99"/>
    <w:lsdException w:name="Title" w:uiPriority="10" w:qFormat="1"/>
    <w:lsdException w:name="Subtitle" w:uiPriority="11" w:qFormat="1"/>
    <w:lsdException w:name="Strong" w:uiPriority="22" w:qFormat="1"/>
    <w:lsdException w:name="Emphasis" w:uiPriority="20" w:qFormat="1"/>
    <w:lsdException w:name="Plain Text"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54195"/>
    <w:pPr>
      <w:widowControl w:val="0"/>
    </w:pPr>
    <w:rPr>
      <w:sz w:val="24"/>
      <w:lang w:val="sl-SI"/>
    </w:rPr>
  </w:style>
  <w:style w:type="paragraph" w:styleId="Naslov1">
    <w:name w:val="heading 1"/>
    <w:basedOn w:val="Navaden"/>
    <w:next w:val="Navaden"/>
    <w:link w:val="Naslov1Znak"/>
    <w:qFormat/>
    <w:rsid w:val="00395FA1"/>
    <w:pPr>
      <w:keepNext/>
      <w:keepLines/>
      <w:widowControl/>
      <w:spacing w:after="120"/>
      <w:ind w:left="510" w:hanging="510"/>
      <w:outlineLvl w:val="0"/>
    </w:pPr>
    <w:rPr>
      <w:b/>
      <w:kern w:val="28"/>
      <w:sz w:val="28"/>
      <w:lang w:val="fr-FR" w:eastAsia="fr-FR"/>
    </w:rPr>
  </w:style>
  <w:style w:type="paragraph" w:styleId="Naslov2">
    <w:name w:val="heading 2"/>
    <w:basedOn w:val="Navaden"/>
    <w:next w:val="Navaden"/>
    <w:link w:val="Naslov2Znak"/>
    <w:qFormat/>
    <w:rsid w:val="00395FA1"/>
    <w:pPr>
      <w:keepNext/>
      <w:widowControl/>
      <w:numPr>
        <w:ilvl w:val="1"/>
        <w:numId w:val="1"/>
      </w:numPr>
      <w:spacing w:before="240" w:after="60"/>
      <w:outlineLvl w:val="1"/>
    </w:pPr>
    <w:rPr>
      <w:lang w:val="fr-FR" w:eastAsia="fr-FR"/>
    </w:rPr>
  </w:style>
  <w:style w:type="paragraph" w:styleId="Naslov3">
    <w:name w:val="heading 3"/>
    <w:basedOn w:val="Navaden"/>
    <w:next w:val="Navaden"/>
    <w:link w:val="Naslov3Znak"/>
    <w:qFormat/>
    <w:rsid w:val="00395FA1"/>
    <w:pPr>
      <w:keepNext/>
      <w:widowControl/>
      <w:numPr>
        <w:ilvl w:val="2"/>
        <w:numId w:val="1"/>
      </w:numPr>
      <w:spacing w:before="240" w:after="60"/>
      <w:outlineLvl w:val="2"/>
    </w:pPr>
    <w:rPr>
      <w:rFonts w:ascii="Arial" w:hAnsi="Arial"/>
      <w:lang w:val="fr-FR" w:eastAsia="fr-FR"/>
    </w:rPr>
  </w:style>
  <w:style w:type="paragraph" w:styleId="Naslov4">
    <w:name w:val="heading 4"/>
    <w:basedOn w:val="Navaden"/>
    <w:next w:val="Navaden"/>
    <w:link w:val="Naslov4Znak"/>
    <w:qFormat/>
    <w:rsid w:val="00395FA1"/>
    <w:pPr>
      <w:keepNext/>
      <w:widowControl/>
      <w:numPr>
        <w:ilvl w:val="3"/>
        <w:numId w:val="1"/>
      </w:numPr>
      <w:spacing w:before="240" w:after="60"/>
      <w:outlineLvl w:val="3"/>
    </w:pPr>
    <w:rPr>
      <w:lang w:val="en-US" w:eastAsia="fr-FR"/>
    </w:rPr>
  </w:style>
  <w:style w:type="paragraph" w:styleId="Naslov5">
    <w:name w:val="heading 5"/>
    <w:basedOn w:val="Navaden"/>
    <w:next w:val="Navaden"/>
    <w:link w:val="Naslov5Znak"/>
    <w:qFormat/>
    <w:rsid w:val="00395FA1"/>
    <w:pPr>
      <w:widowControl/>
      <w:numPr>
        <w:ilvl w:val="4"/>
        <w:numId w:val="2"/>
      </w:numPr>
      <w:spacing w:before="240" w:after="60"/>
      <w:outlineLvl w:val="4"/>
    </w:pPr>
    <w:rPr>
      <w:lang w:val="en-US" w:eastAsia="fr-FR"/>
    </w:rPr>
  </w:style>
  <w:style w:type="paragraph" w:styleId="Naslov6">
    <w:name w:val="heading 6"/>
    <w:basedOn w:val="Navaden"/>
    <w:next w:val="Navaden"/>
    <w:link w:val="Naslov6Znak"/>
    <w:qFormat/>
    <w:pPr>
      <w:spacing w:before="240" w:after="60"/>
      <w:outlineLvl w:val="5"/>
    </w:pPr>
    <w:rPr>
      <w:i/>
      <w:sz w:val="22"/>
    </w:rPr>
  </w:style>
  <w:style w:type="paragraph" w:styleId="Naslov7">
    <w:name w:val="heading 7"/>
    <w:basedOn w:val="Navaden"/>
    <w:next w:val="Navaden"/>
    <w:link w:val="Naslov7Znak"/>
    <w:qFormat/>
    <w:pPr>
      <w:spacing w:before="240" w:after="60"/>
      <w:outlineLvl w:val="6"/>
    </w:pPr>
    <w:rPr>
      <w:rFonts w:ascii="Arial" w:hAnsi="Arial"/>
    </w:rPr>
  </w:style>
  <w:style w:type="paragraph" w:styleId="Naslov8">
    <w:name w:val="heading 8"/>
    <w:basedOn w:val="Navaden"/>
    <w:next w:val="Navaden"/>
    <w:link w:val="Naslov8Znak"/>
    <w:qFormat/>
    <w:pPr>
      <w:spacing w:before="240" w:after="60"/>
      <w:outlineLvl w:val="7"/>
    </w:pPr>
    <w:rPr>
      <w:rFonts w:ascii="Arial" w:hAnsi="Arial"/>
      <w:i/>
    </w:rPr>
  </w:style>
  <w:style w:type="paragraph" w:styleId="Naslov9">
    <w:name w:val="heading 9"/>
    <w:basedOn w:val="Navaden"/>
    <w:next w:val="Navaden"/>
    <w:link w:val="Naslov9Znak"/>
    <w:qFormat/>
    <w:pPr>
      <w:spacing w:before="240" w:after="60"/>
      <w:outlineLvl w:val="8"/>
    </w:pPr>
    <w:rPr>
      <w:rFonts w:ascii="Arial" w:hAnsi="Arial"/>
      <w:b/>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HideTWBExt">
    <w:name w:val="HideTWBExt"/>
    <w:rPr>
      <w:rFonts w:ascii="Arial" w:hAnsi="Arial"/>
      <w:noProof/>
      <w:vanish/>
      <w:color w:val="000080"/>
      <w:sz w:val="20"/>
    </w:rPr>
  </w:style>
  <w:style w:type="paragraph" w:styleId="Kazalovsebine1">
    <w:name w:val="toc 1"/>
    <w:basedOn w:val="Navaden"/>
    <w:next w:val="Navaden"/>
    <w:autoRedefine/>
    <w:uiPriority w:val="39"/>
    <w:rsid w:val="00395FA1"/>
    <w:pPr>
      <w:keepNext/>
      <w:keepLines/>
      <w:widowControl/>
      <w:spacing w:before="200"/>
    </w:pPr>
    <w:rPr>
      <w:b/>
      <w:noProof/>
      <w:lang w:val="fr-FR" w:eastAsia="fr-FR"/>
    </w:rPr>
  </w:style>
  <w:style w:type="character" w:customStyle="1" w:styleId="HideTWBInt">
    <w:name w:val="HideTWBInt"/>
    <w:rPr>
      <w:rFonts w:ascii="Arial" w:hAnsi="Arial" w:cs="Arial"/>
      <w:vanish/>
      <w:color w:val="808080"/>
      <w:sz w:val="20"/>
    </w:rPr>
  </w:style>
  <w:style w:type="paragraph" w:customStyle="1" w:styleId="EPBodyTA2">
    <w:name w:val="EPBodyTA2"/>
    <w:basedOn w:val="Navaden"/>
    <w:rsid w:val="00AE0928"/>
    <w:pPr>
      <w:jc w:val="center"/>
    </w:pPr>
    <w:rPr>
      <w:rFonts w:ascii="Arial" w:hAnsi="Arial"/>
      <w:bCs/>
      <w:i/>
      <w:sz w:val="20"/>
    </w:rPr>
  </w:style>
  <w:style w:type="table" w:styleId="Tabelamrea">
    <w:name w:val="Table Grid"/>
    <w:basedOn w:val="Navadnatabela"/>
    <w:rsid w:val="00D05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TA1">
    <w:name w:val="EPBodyTA1"/>
    <w:basedOn w:val="Navaden"/>
    <w:rsid w:val="00AE0928"/>
    <w:pPr>
      <w:jc w:val="center"/>
    </w:pPr>
    <w:rPr>
      <w:rFonts w:ascii="Arial" w:hAnsi="Arial" w:cs="Arial"/>
      <w:b/>
      <w:sz w:val="22"/>
      <w:szCs w:val="22"/>
    </w:rPr>
  </w:style>
  <w:style w:type="paragraph" w:customStyle="1" w:styleId="LineTop">
    <w:name w:val="LineTop"/>
    <w:basedOn w:val="Navaden"/>
    <w:next w:val="Navaden"/>
    <w:rsid w:val="00D058B8"/>
    <w:pPr>
      <w:pBdr>
        <w:top w:val="single" w:sz="4" w:space="1" w:color="auto"/>
      </w:pBdr>
      <w:jc w:val="center"/>
    </w:pPr>
    <w:rPr>
      <w:rFonts w:ascii="Arial" w:hAnsi="Arial" w:cs="Arial"/>
      <w:sz w:val="16"/>
      <w:szCs w:val="16"/>
    </w:rPr>
  </w:style>
  <w:style w:type="paragraph" w:customStyle="1" w:styleId="LineBottom">
    <w:name w:val="LineBottom"/>
    <w:basedOn w:val="Navaden"/>
    <w:next w:val="Navaden"/>
    <w:rsid w:val="00A1687D"/>
    <w:pPr>
      <w:pBdr>
        <w:bottom w:val="single" w:sz="4" w:space="1" w:color="auto"/>
      </w:pBdr>
      <w:spacing w:after="240"/>
      <w:jc w:val="center"/>
    </w:pPr>
    <w:rPr>
      <w:rFonts w:ascii="Arial" w:hAnsi="Arial" w:cs="Arial"/>
      <w:sz w:val="16"/>
      <w:szCs w:val="16"/>
    </w:rPr>
  </w:style>
  <w:style w:type="paragraph" w:customStyle="1" w:styleId="ATHeading1">
    <w:name w:val="AT Heading 1"/>
    <w:basedOn w:val="Navaden"/>
    <w:next w:val="Navaden"/>
    <w:rsid w:val="00F5134D"/>
    <w:pPr>
      <w:keepNext/>
      <w:keepLines/>
      <w:widowControl/>
      <w:spacing w:before="480" w:after="120"/>
      <w:outlineLvl w:val="0"/>
    </w:pPr>
    <w:rPr>
      <w:b/>
      <w:sz w:val="28"/>
      <w:lang w:eastAsia="fr-FR"/>
    </w:rPr>
  </w:style>
  <w:style w:type="paragraph" w:customStyle="1" w:styleId="ATHeading2">
    <w:name w:val="AT Heading 2"/>
    <w:basedOn w:val="Navaden"/>
    <w:next w:val="Navaden"/>
    <w:rsid w:val="00395FA1"/>
    <w:pPr>
      <w:widowControl/>
      <w:spacing w:before="120" w:after="120"/>
      <w:outlineLvl w:val="1"/>
    </w:pPr>
    <w:rPr>
      <w:b/>
      <w:sz w:val="28"/>
      <w:lang w:eastAsia="fr-FR"/>
    </w:rPr>
  </w:style>
  <w:style w:type="paragraph" w:customStyle="1" w:styleId="ATHeading3">
    <w:name w:val="AT Heading 3"/>
    <w:basedOn w:val="Navaden"/>
    <w:next w:val="Navaden"/>
    <w:rsid w:val="00395FA1"/>
    <w:pPr>
      <w:keepNext/>
      <w:keepLines/>
      <w:widowControl/>
      <w:spacing w:before="120" w:after="120"/>
      <w:outlineLvl w:val="2"/>
    </w:pPr>
    <w:rPr>
      <w:b/>
      <w:lang w:eastAsia="fr-FR"/>
    </w:rPr>
  </w:style>
  <w:style w:type="paragraph" w:customStyle="1" w:styleId="ATHeadingMotiv">
    <w:name w:val="AT Heading Motiv"/>
    <w:basedOn w:val="Navaden"/>
    <w:next w:val="Navaden"/>
    <w:rsid w:val="00395FA1"/>
    <w:pPr>
      <w:keepNext/>
      <w:widowControl/>
      <w:spacing w:before="60" w:after="60"/>
      <w:jc w:val="center"/>
    </w:pPr>
    <w:rPr>
      <w:i/>
      <w:lang w:eastAsia="fr-FR"/>
    </w:rPr>
  </w:style>
  <w:style w:type="character" w:styleId="Sprotnaopomba-sklic">
    <w:name w:val="footnote reference"/>
    <w:aliases w:val="Footnote symbol,Footnote reference number,Footnote,Times 10 Point,Exposant 3 Point,Ref,de nota al pie,note TESI,SUPERS,EN Footnote text,EN Footnote Reference,Voetnootverwijzing,Footnote number,fr,o,Footnotemark,FR,Footnotemark1,F"/>
    <w:rsid w:val="00395FA1"/>
    <w:rPr>
      <w:b w:val="0"/>
      <w:vertAlign w:val="superscript"/>
    </w:rPr>
  </w:style>
  <w:style w:type="paragraph" w:styleId="Sprotnaopomba-besedilo">
    <w:name w:val="footnote text"/>
    <w:aliases w:val=" Char Char Char Char"/>
    <w:basedOn w:val="Navaden"/>
    <w:link w:val="Sprotnaopomba-besediloZnak"/>
    <w:rsid w:val="00395FA1"/>
    <w:pPr>
      <w:keepLines/>
      <w:widowControl/>
      <w:spacing w:line="260" w:lineRule="exact"/>
      <w:ind w:left="425" w:hanging="425"/>
    </w:pPr>
    <w:rPr>
      <w:sz w:val="22"/>
      <w:lang w:val="fr-FR" w:eastAsia="fr-FR"/>
    </w:rPr>
  </w:style>
  <w:style w:type="character" w:customStyle="1" w:styleId="Sprotnaopomba-besediloZnak">
    <w:name w:val="Sprotna opomba - besedilo Znak"/>
    <w:aliases w:val=" Char Char Char Char Znak"/>
    <w:link w:val="Sprotnaopomba-besedilo"/>
    <w:rsid w:val="00762C74"/>
    <w:rPr>
      <w:sz w:val="22"/>
      <w:lang w:val="fr-FR" w:eastAsia="fr-FR"/>
    </w:rPr>
  </w:style>
  <w:style w:type="character" w:styleId="tevilkastrani">
    <w:name w:val="page number"/>
    <w:rsid w:val="00395FA1"/>
  </w:style>
  <w:style w:type="paragraph" w:styleId="Kazalovsebine2">
    <w:name w:val="toc 2"/>
    <w:basedOn w:val="Navaden"/>
    <w:next w:val="Navaden"/>
    <w:autoRedefine/>
    <w:semiHidden/>
    <w:rsid w:val="00395FA1"/>
    <w:pPr>
      <w:keepNext/>
      <w:keepLines/>
      <w:widowControl/>
    </w:pPr>
    <w:rPr>
      <w:b/>
      <w:noProof/>
      <w:lang w:val="fr-FR" w:eastAsia="fr-FR"/>
    </w:rPr>
  </w:style>
  <w:style w:type="paragraph" w:styleId="Kazalovsebine3">
    <w:name w:val="toc 3"/>
    <w:basedOn w:val="Navaden"/>
    <w:next w:val="Navaden"/>
    <w:autoRedefine/>
    <w:semiHidden/>
    <w:rsid w:val="00395FA1"/>
    <w:pPr>
      <w:keepLines/>
      <w:widowControl/>
      <w:ind w:right="510"/>
    </w:pPr>
    <w:rPr>
      <w:noProof/>
      <w:lang w:val="fr-FR" w:eastAsia="fr-FR"/>
    </w:rPr>
  </w:style>
  <w:style w:type="paragraph" w:customStyle="1" w:styleId="EPName">
    <w:name w:val="EPName"/>
    <w:basedOn w:val="Navaden"/>
    <w:rsid w:val="00751A4A"/>
    <w:pPr>
      <w:spacing w:before="80" w:after="80"/>
    </w:pPr>
    <w:rPr>
      <w:rFonts w:ascii="Arial Narrow" w:hAnsi="Arial Narrow" w:cs="Arial"/>
      <w:b/>
      <w:sz w:val="32"/>
      <w:szCs w:val="22"/>
    </w:rPr>
  </w:style>
  <w:style w:type="paragraph" w:customStyle="1" w:styleId="EPTerm">
    <w:name w:val="EPTerm"/>
    <w:basedOn w:val="Navaden"/>
    <w:next w:val="Navaden"/>
    <w:rsid w:val="00751A4A"/>
    <w:pPr>
      <w:spacing w:after="80"/>
    </w:pPr>
    <w:rPr>
      <w:rFonts w:ascii="Arial" w:hAnsi="Arial" w:cs="Arial"/>
      <w:sz w:val="20"/>
      <w:szCs w:val="22"/>
    </w:rPr>
  </w:style>
  <w:style w:type="paragraph" w:customStyle="1" w:styleId="EPLogo">
    <w:name w:val="EPLogo"/>
    <w:basedOn w:val="Navaden"/>
    <w:qFormat/>
    <w:rsid w:val="00751A4A"/>
    <w:pPr>
      <w:jc w:val="right"/>
    </w:pPr>
  </w:style>
  <w:style w:type="character" w:customStyle="1" w:styleId="Naslov1Znak">
    <w:name w:val="Naslov 1 Znak"/>
    <w:basedOn w:val="Privzetapisavaodstavka"/>
    <w:link w:val="Naslov1"/>
    <w:rsid w:val="003663AF"/>
    <w:rPr>
      <w:b/>
      <w:kern w:val="28"/>
      <w:sz w:val="28"/>
      <w:lang w:val="fr-FR" w:eastAsia="fr-FR"/>
    </w:rPr>
  </w:style>
  <w:style w:type="character" w:customStyle="1" w:styleId="Naslov2Znak">
    <w:name w:val="Naslov 2 Znak"/>
    <w:basedOn w:val="Privzetapisavaodstavka"/>
    <w:link w:val="Naslov2"/>
    <w:rsid w:val="003663AF"/>
    <w:rPr>
      <w:sz w:val="24"/>
      <w:lang w:val="fr-FR" w:eastAsia="fr-FR"/>
    </w:rPr>
  </w:style>
  <w:style w:type="character" w:customStyle="1" w:styleId="Naslov3Znak">
    <w:name w:val="Naslov 3 Znak"/>
    <w:basedOn w:val="Privzetapisavaodstavka"/>
    <w:link w:val="Naslov3"/>
    <w:rsid w:val="003663AF"/>
    <w:rPr>
      <w:rFonts w:ascii="Arial" w:hAnsi="Arial"/>
      <w:sz w:val="24"/>
      <w:lang w:val="fr-FR" w:eastAsia="fr-FR"/>
    </w:rPr>
  </w:style>
  <w:style w:type="character" w:customStyle="1" w:styleId="Naslov4Znak">
    <w:name w:val="Naslov 4 Znak"/>
    <w:basedOn w:val="Privzetapisavaodstavka"/>
    <w:link w:val="Naslov4"/>
    <w:rsid w:val="003663AF"/>
    <w:rPr>
      <w:sz w:val="24"/>
      <w:lang w:val="en-US" w:eastAsia="fr-FR"/>
    </w:rPr>
  </w:style>
  <w:style w:type="character" w:customStyle="1" w:styleId="Naslov5Znak">
    <w:name w:val="Naslov 5 Znak"/>
    <w:basedOn w:val="Privzetapisavaodstavka"/>
    <w:link w:val="Naslov5"/>
    <w:rsid w:val="003663AF"/>
    <w:rPr>
      <w:sz w:val="24"/>
      <w:lang w:val="en-US" w:eastAsia="fr-FR"/>
    </w:rPr>
  </w:style>
  <w:style w:type="character" w:customStyle="1" w:styleId="Naslov6Znak">
    <w:name w:val="Naslov 6 Znak"/>
    <w:basedOn w:val="Privzetapisavaodstavka"/>
    <w:link w:val="Naslov6"/>
    <w:rsid w:val="003663AF"/>
    <w:rPr>
      <w:i/>
      <w:sz w:val="22"/>
      <w:lang w:val="sl-SI"/>
    </w:rPr>
  </w:style>
  <w:style w:type="character" w:customStyle="1" w:styleId="Naslov7Znak">
    <w:name w:val="Naslov 7 Znak"/>
    <w:basedOn w:val="Privzetapisavaodstavka"/>
    <w:link w:val="Naslov7"/>
    <w:rsid w:val="003663AF"/>
    <w:rPr>
      <w:rFonts w:ascii="Arial" w:hAnsi="Arial"/>
      <w:sz w:val="24"/>
      <w:lang w:val="sl-SI"/>
    </w:rPr>
  </w:style>
  <w:style w:type="character" w:customStyle="1" w:styleId="Naslov8Znak">
    <w:name w:val="Naslov 8 Znak"/>
    <w:basedOn w:val="Privzetapisavaodstavka"/>
    <w:link w:val="Naslov8"/>
    <w:rsid w:val="003663AF"/>
    <w:rPr>
      <w:rFonts w:ascii="Arial" w:hAnsi="Arial"/>
      <w:i/>
      <w:sz w:val="24"/>
      <w:lang w:val="sl-SI"/>
    </w:rPr>
  </w:style>
  <w:style w:type="character" w:customStyle="1" w:styleId="Naslov9Znak">
    <w:name w:val="Naslov 9 Znak"/>
    <w:basedOn w:val="Privzetapisavaodstavka"/>
    <w:link w:val="Naslov9"/>
    <w:rsid w:val="003663AF"/>
    <w:rPr>
      <w:rFonts w:ascii="Arial" w:hAnsi="Arial"/>
      <w:b/>
      <w:i/>
      <w:sz w:val="18"/>
      <w:lang w:val="sl-SI"/>
    </w:rPr>
  </w:style>
  <w:style w:type="paragraph" w:styleId="NaslovTOC">
    <w:name w:val="TOC Heading"/>
    <w:basedOn w:val="Navaden"/>
    <w:next w:val="Navaden"/>
    <w:uiPriority w:val="39"/>
    <w:unhideWhenUsed/>
    <w:qFormat/>
    <w:rsid w:val="003663AF"/>
    <w:pPr>
      <w:widowControl/>
      <w:spacing w:after="240"/>
    </w:pPr>
    <w:rPr>
      <w:lang w:val="en-GB"/>
    </w:rPr>
  </w:style>
  <w:style w:type="paragraph" w:styleId="Noga">
    <w:name w:val="footer"/>
    <w:basedOn w:val="Navaden"/>
    <w:link w:val="NogaZnak"/>
    <w:rsid w:val="003663AF"/>
    <w:pPr>
      <w:tabs>
        <w:tab w:val="center" w:pos="4535"/>
        <w:tab w:val="right" w:pos="9071"/>
      </w:tabs>
      <w:spacing w:before="240" w:after="240"/>
    </w:pPr>
    <w:rPr>
      <w:sz w:val="22"/>
    </w:rPr>
  </w:style>
  <w:style w:type="character" w:customStyle="1" w:styleId="NogaZnak">
    <w:name w:val="Noga Znak"/>
    <w:basedOn w:val="Privzetapisavaodstavka"/>
    <w:link w:val="Noga"/>
    <w:rsid w:val="003663AF"/>
    <w:rPr>
      <w:sz w:val="22"/>
      <w:lang w:val="sl-SI"/>
    </w:rPr>
  </w:style>
  <w:style w:type="paragraph" w:customStyle="1" w:styleId="Normal12a12b">
    <w:name w:val="Normal12a12b"/>
    <w:basedOn w:val="Navaden"/>
    <w:rsid w:val="003663AF"/>
    <w:pPr>
      <w:spacing w:before="240" w:after="240"/>
    </w:pPr>
  </w:style>
  <w:style w:type="paragraph" w:customStyle="1" w:styleId="Footer2">
    <w:name w:val="Footer2"/>
    <w:basedOn w:val="Navaden"/>
    <w:link w:val="Footer2Char"/>
    <w:rsid w:val="003663AF"/>
    <w:pPr>
      <w:widowControl/>
      <w:tabs>
        <w:tab w:val="right" w:pos="9921"/>
      </w:tabs>
      <w:spacing w:after="240"/>
      <w:ind w:left="-850" w:right="-850"/>
    </w:pPr>
    <w:rPr>
      <w:rFonts w:ascii="Arial" w:hAnsi="Arial" w:cs="Arial"/>
      <w:b/>
      <w:sz w:val="48"/>
    </w:rPr>
  </w:style>
  <w:style w:type="paragraph" w:customStyle="1" w:styleId="Normal12">
    <w:name w:val="Normal12"/>
    <w:basedOn w:val="Navaden"/>
    <w:link w:val="Normal12Char"/>
    <w:qFormat/>
    <w:rsid w:val="003663AF"/>
    <w:pPr>
      <w:spacing w:after="240"/>
    </w:pPr>
  </w:style>
  <w:style w:type="paragraph" w:customStyle="1" w:styleId="TOCPage">
    <w:name w:val="TOC Page"/>
    <w:basedOn w:val="Normal12"/>
    <w:next w:val="Kazalovsebine1"/>
    <w:rsid w:val="003663AF"/>
    <w:pPr>
      <w:keepNext/>
      <w:jc w:val="right"/>
    </w:pPr>
    <w:rPr>
      <w:rFonts w:ascii="Arial" w:hAnsi="Arial"/>
      <w:b/>
    </w:rPr>
  </w:style>
  <w:style w:type="paragraph" w:customStyle="1" w:styleId="TableofEntries">
    <w:name w:val="Table of Entries"/>
    <w:basedOn w:val="Normal12"/>
    <w:rsid w:val="003663AF"/>
    <w:pPr>
      <w:widowControl/>
      <w:tabs>
        <w:tab w:val="right" w:leader="dot" w:pos="9072"/>
      </w:tabs>
      <w:jc w:val="both"/>
    </w:pPr>
  </w:style>
  <w:style w:type="paragraph" w:customStyle="1" w:styleId="Normal6">
    <w:name w:val="Normal6"/>
    <w:basedOn w:val="Navaden"/>
    <w:link w:val="Normal6Char"/>
    <w:rsid w:val="003663AF"/>
    <w:pPr>
      <w:spacing w:after="120"/>
    </w:pPr>
  </w:style>
  <w:style w:type="character" w:customStyle="1" w:styleId="Normal6Char">
    <w:name w:val="Normal6 Char"/>
    <w:link w:val="Normal6"/>
    <w:rsid w:val="003663AF"/>
    <w:rPr>
      <w:sz w:val="24"/>
      <w:lang w:val="sl-SI"/>
    </w:rPr>
  </w:style>
  <w:style w:type="paragraph" w:customStyle="1" w:styleId="PageHeading">
    <w:name w:val="PageHeading"/>
    <w:basedOn w:val="Normal12a12b"/>
    <w:rsid w:val="003663AF"/>
    <w:pPr>
      <w:keepNext/>
      <w:jc w:val="center"/>
    </w:pPr>
    <w:rPr>
      <w:rFonts w:ascii="Arial" w:hAnsi="Arial"/>
      <w:b/>
    </w:rPr>
  </w:style>
  <w:style w:type="paragraph" w:customStyle="1" w:styleId="NormalBold">
    <w:name w:val="NormalBold"/>
    <w:basedOn w:val="Navaden"/>
    <w:link w:val="NormalBoldChar"/>
    <w:rsid w:val="003663AF"/>
    <w:rPr>
      <w:b/>
    </w:rPr>
  </w:style>
  <w:style w:type="character" w:customStyle="1" w:styleId="NormalBoldChar">
    <w:name w:val="NormalBold Char"/>
    <w:link w:val="NormalBold"/>
    <w:rsid w:val="003663AF"/>
    <w:rPr>
      <w:b/>
      <w:sz w:val="24"/>
      <w:lang w:val="sl-SI"/>
    </w:rPr>
  </w:style>
  <w:style w:type="paragraph" w:customStyle="1" w:styleId="Normal12Bold">
    <w:name w:val="Normal12Bold"/>
    <w:basedOn w:val="Normal12"/>
    <w:rsid w:val="003663AF"/>
    <w:rPr>
      <w:b/>
    </w:rPr>
  </w:style>
  <w:style w:type="paragraph" w:customStyle="1" w:styleId="Normal12Italic">
    <w:name w:val="Normal12Italic"/>
    <w:basedOn w:val="Navaden"/>
    <w:rsid w:val="003663AF"/>
    <w:pPr>
      <w:spacing w:before="240"/>
    </w:pPr>
    <w:rPr>
      <w:i/>
    </w:rPr>
  </w:style>
  <w:style w:type="paragraph" w:customStyle="1" w:styleId="Normal12Hanging">
    <w:name w:val="Normal12Hanging"/>
    <w:basedOn w:val="Normal12"/>
    <w:rsid w:val="003663AF"/>
    <w:pPr>
      <w:ind w:left="567" w:hanging="567"/>
    </w:pPr>
  </w:style>
  <w:style w:type="paragraph" w:customStyle="1" w:styleId="Normal24">
    <w:name w:val="Normal24"/>
    <w:basedOn w:val="Navaden"/>
    <w:rsid w:val="003663AF"/>
    <w:pPr>
      <w:spacing w:after="480"/>
    </w:pPr>
  </w:style>
  <w:style w:type="paragraph" w:customStyle="1" w:styleId="Cover24">
    <w:name w:val="Cover24"/>
    <w:basedOn w:val="Normal24"/>
    <w:rsid w:val="003663AF"/>
    <w:pPr>
      <w:ind w:left="1418"/>
    </w:pPr>
  </w:style>
  <w:style w:type="paragraph" w:customStyle="1" w:styleId="CoverNormal">
    <w:name w:val="CoverNormal"/>
    <w:basedOn w:val="Navaden"/>
    <w:rsid w:val="003663AF"/>
    <w:pPr>
      <w:ind w:left="1418"/>
    </w:pPr>
  </w:style>
  <w:style w:type="paragraph" w:customStyle="1" w:styleId="CrossRef">
    <w:name w:val="CrossRef"/>
    <w:basedOn w:val="Navaden"/>
    <w:rsid w:val="003663AF"/>
    <w:pPr>
      <w:spacing w:before="240"/>
      <w:jc w:val="center"/>
    </w:pPr>
    <w:rPr>
      <w:i/>
    </w:rPr>
  </w:style>
  <w:style w:type="paragraph" w:customStyle="1" w:styleId="JustificationTitle">
    <w:name w:val="JustificationTitle"/>
    <w:basedOn w:val="Navaden"/>
    <w:next w:val="Normal12"/>
    <w:rsid w:val="003663AF"/>
    <w:pPr>
      <w:keepNext/>
      <w:spacing w:before="240"/>
      <w:jc w:val="center"/>
    </w:pPr>
    <w:rPr>
      <w:i/>
    </w:rPr>
  </w:style>
  <w:style w:type="paragraph" w:customStyle="1" w:styleId="Normal12Centre">
    <w:name w:val="Normal12Centre"/>
    <w:basedOn w:val="Normal12"/>
    <w:rsid w:val="003663AF"/>
    <w:pPr>
      <w:jc w:val="center"/>
    </w:pPr>
  </w:style>
  <w:style w:type="paragraph" w:customStyle="1" w:styleId="Normal12Keep">
    <w:name w:val="Normal12Keep"/>
    <w:basedOn w:val="Normal12"/>
    <w:rsid w:val="003663AF"/>
    <w:pPr>
      <w:keepNext/>
    </w:pPr>
  </w:style>
  <w:style w:type="paragraph" w:customStyle="1" w:styleId="Normal12Tab">
    <w:name w:val="Normal12Tab"/>
    <w:basedOn w:val="Normal12"/>
    <w:rsid w:val="003663AF"/>
    <w:pPr>
      <w:tabs>
        <w:tab w:val="left" w:pos="567"/>
      </w:tabs>
    </w:pPr>
  </w:style>
  <w:style w:type="paragraph" w:customStyle="1" w:styleId="RefProc">
    <w:name w:val="RefProc"/>
    <w:basedOn w:val="Navaden"/>
    <w:rsid w:val="003663AF"/>
    <w:pPr>
      <w:spacing w:before="240" w:after="240"/>
      <w:jc w:val="right"/>
    </w:pPr>
    <w:rPr>
      <w:rFonts w:ascii="Arial" w:hAnsi="Arial"/>
      <w:b/>
      <w:caps/>
    </w:rPr>
  </w:style>
  <w:style w:type="paragraph" w:customStyle="1" w:styleId="StarsAndIs">
    <w:name w:val="StarsAndIs"/>
    <w:basedOn w:val="Navaden"/>
    <w:rsid w:val="003663AF"/>
    <w:pPr>
      <w:ind w:left="1418"/>
    </w:pPr>
    <w:rPr>
      <w:rFonts w:ascii="Arial" w:hAnsi="Arial"/>
      <w:b/>
      <w:sz w:val="48"/>
    </w:rPr>
  </w:style>
  <w:style w:type="paragraph" w:customStyle="1" w:styleId="Lgendesigne">
    <w:name w:val="Légende signe"/>
    <w:basedOn w:val="Navaden"/>
    <w:rsid w:val="003663AF"/>
    <w:pPr>
      <w:tabs>
        <w:tab w:val="right" w:pos="454"/>
        <w:tab w:val="left" w:pos="737"/>
      </w:tabs>
      <w:ind w:left="737" w:hanging="737"/>
    </w:pPr>
    <w:rPr>
      <w:snapToGrid w:val="0"/>
      <w:sz w:val="18"/>
      <w:lang w:val="en-US" w:eastAsia="en-US"/>
    </w:rPr>
  </w:style>
  <w:style w:type="paragraph" w:customStyle="1" w:styleId="TypeDoc">
    <w:name w:val="TypeDoc"/>
    <w:basedOn w:val="Normal24"/>
    <w:rsid w:val="003663AF"/>
    <w:pPr>
      <w:ind w:left="1418"/>
    </w:pPr>
    <w:rPr>
      <w:rFonts w:ascii="Arial" w:hAnsi="Arial"/>
      <w:b/>
      <w:sz w:val="48"/>
    </w:rPr>
  </w:style>
  <w:style w:type="paragraph" w:customStyle="1" w:styleId="ZDate">
    <w:name w:val="ZDate"/>
    <w:basedOn w:val="Navaden"/>
    <w:rsid w:val="003663AF"/>
    <w:pPr>
      <w:spacing w:after="1200"/>
    </w:pPr>
  </w:style>
  <w:style w:type="paragraph" w:styleId="Glava">
    <w:name w:val="header"/>
    <w:basedOn w:val="Navaden"/>
    <w:link w:val="GlavaZnak"/>
    <w:rsid w:val="003663AF"/>
    <w:pPr>
      <w:tabs>
        <w:tab w:val="center" w:pos="4153"/>
        <w:tab w:val="right" w:pos="8306"/>
      </w:tabs>
    </w:pPr>
  </w:style>
  <w:style w:type="character" w:customStyle="1" w:styleId="GlavaZnak">
    <w:name w:val="Glava Znak"/>
    <w:basedOn w:val="Privzetapisavaodstavka"/>
    <w:link w:val="Glava"/>
    <w:rsid w:val="003663AF"/>
    <w:rPr>
      <w:sz w:val="24"/>
      <w:lang w:val="sl-SI"/>
    </w:rPr>
  </w:style>
  <w:style w:type="paragraph" w:customStyle="1" w:styleId="Olang">
    <w:name w:val="Olang"/>
    <w:basedOn w:val="Navaden"/>
    <w:rsid w:val="003663AF"/>
    <w:pPr>
      <w:spacing w:before="240" w:after="240"/>
      <w:jc w:val="right"/>
    </w:pPr>
    <w:rPr>
      <w:noProof/>
    </w:rPr>
  </w:style>
  <w:style w:type="paragraph" w:customStyle="1" w:styleId="ColumnHeading">
    <w:name w:val="ColumnHeading"/>
    <w:basedOn w:val="Navaden"/>
    <w:rsid w:val="003663AF"/>
    <w:pPr>
      <w:spacing w:after="240"/>
      <w:jc w:val="center"/>
    </w:pPr>
    <w:rPr>
      <w:i/>
    </w:rPr>
  </w:style>
  <w:style w:type="paragraph" w:customStyle="1" w:styleId="AMNumberTabs">
    <w:name w:val="AMNumberTabs"/>
    <w:basedOn w:val="Navaden"/>
    <w:rsid w:val="003663AF"/>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rPr>
  </w:style>
  <w:style w:type="paragraph" w:customStyle="1" w:styleId="NormalBold12b">
    <w:name w:val="NormalBold12b"/>
    <w:basedOn w:val="Navaden"/>
    <w:link w:val="NormalBold12bChar"/>
    <w:rsid w:val="003663AF"/>
    <w:pPr>
      <w:spacing w:before="240"/>
    </w:pPr>
    <w:rPr>
      <w:b/>
    </w:rPr>
  </w:style>
  <w:style w:type="paragraph" w:customStyle="1" w:styleId="ZCommittee">
    <w:name w:val="ZCommittee"/>
    <w:basedOn w:val="Navaden"/>
    <w:next w:val="Navaden"/>
    <w:rsid w:val="003663AF"/>
    <w:pPr>
      <w:jc w:val="center"/>
    </w:pPr>
    <w:rPr>
      <w:rFonts w:ascii="Arial" w:hAnsi="Arial" w:cs="Arial"/>
      <w:i/>
      <w:sz w:val="22"/>
      <w:szCs w:val="22"/>
      <w:lang w:val="fr-FR"/>
    </w:rPr>
  </w:style>
  <w:style w:type="paragraph" w:customStyle="1" w:styleId="Lgendetitre">
    <w:name w:val="Légende titre"/>
    <w:basedOn w:val="Navaden"/>
    <w:rsid w:val="003663AF"/>
    <w:pPr>
      <w:spacing w:before="240" w:after="240"/>
    </w:pPr>
    <w:rPr>
      <w:b/>
      <w:i/>
      <w:snapToGrid w:val="0"/>
      <w:lang w:val="en-US" w:eastAsia="en-US"/>
    </w:rPr>
  </w:style>
  <w:style w:type="paragraph" w:customStyle="1" w:styleId="Lgendestandard">
    <w:name w:val="Légende standard"/>
    <w:basedOn w:val="Lgendesigne"/>
    <w:rsid w:val="003663AF"/>
    <w:pPr>
      <w:ind w:left="0" w:firstLine="0"/>
    </w:pPr>
  </w:style>
  <w:style w:type="paragraph" w:customStyle="1" w:styleId="msonormal0">
    <w:name w:val="msonormal"/>
    <w:basedOn w:val="Navaden"/>
    <w:rsid w:val="003663AF"/>
    <w:pPr>
      <w:widowControl/>
      <w:spacing w:before="100" w:beforeAutospacing="1" w:after="100" w:afterAutospacing="1"/>
    </w:pPr>
    <w:rPr>
      <w:szCs w:val="24"/>
    </w:rPr>
  </w:style>
  <w:style w:type="paragraph" w:styleId="Besedilooblaka">
    <w:name w:val="Balloon Text"/>
    <w:basedOn w:val="Navaden"/>
    <w:link w:val="BesedilooblakaZnak"/>
    <w:unhideWhenUsed/>
    <w:rsid w:val="003663AF"/>
    <w:pPr>
      <w:widowControl/>
    </w:pPr>
    <w:rPr>
      <w:rFonts w:ascii="Tahoma" w:hAnsi="Tahoma" w:cs="Tahoma"/>
      <w:sz w:val="16"/>
      <w:szCs w:val="16"/>
    </w:rPr>
  </w:style>
  <w:style w:type="character" w:customStyle="1" w:styleId="BesedilooblakaZnak">
    <w:name w:val="Besedilo oblačka Znak"/>
    <w:basedOn w:val="Privzetapisavaodstavka"/>
    <w:link w:val="Besedilooblaka"/>
    <w:rsid w:val="003663AF"/>
    <w:rPr>
      <w:rFonts w:ascii="Tahoma" w:hAnsi="Tahoma" w:cs="Tahoma"/>
      <w:sz w:val="16"/>
      <w:szCs w:val="16"/>
      <w:lang w:val="sl-SI"/>
    </w:rPr>
  </w:style>
  <w:style w:type="character" w:customStyle="1" w:styleId="BalloonTextChar0">
    <w:name w:val="Balloon Text Char_0"/>
    <w:link w:val="BalloonText0"/>
    <w:locked/>
    <w:rsid w:val="003663AF"/>
    <w:rPr>
      <w:rFonts w:ascii="Tahoma" w:hAnsi="Tahoma" w:cs="Tahoma"/>
      <w:sz w:val="16"/>
      <w:szCs w:val="16"/>
    </w:rPr>
  </w:style>
  <w:style w:type="paragraph" w:customStyle="1" w:styleId="BalloonText0">
    <w:name w:val="Balloon Text_0"/>
    <w:basedOn w:val="Navaden"/>
    <w:link w:val="BalloonTextChar0"/>
    <w:rsid w:val="003663AF"/>
    <w:pPr>
      <w:widowControl/>
    </w:pPr>
    <w:rPr>
      <w:rFonts w:ascii="Tahoma" w:hAnsi="Tahoma" w:cs="Tahoma"/>
      <w:sz w:val="16"/>
      <w:szCs w:val="16"/>
      <w:lang w:val="en-GB"/>
    </w:rPr>
  </w:style>
  <w:style w:type="paragraph" w:customStyle="1" w:styleId="Center">
    <w:name w:val="Center"/>
    <w:rsid w:val="003663AF"/>
    <w:pPr>
      <w:spacing w:after="120"/>
      <w:jc w:val="center"/>
    </w:pPr>
    <w:rPr>
      <w:color w:val="000000"/>
    </w:rPr>
  </w:style>
  <w:style w:type="paragraph" w:customStyle="1" w:styleId="CoverBold">
    <w:name w:val="CoverBold"/>
    <w:rsid w:val="003663AF"/>
    <w:pPr>
      <w:ind w:left="1418"/>
    </w:pPr>
    <w:rPr>
      <w:b/>
      <w:color w:val="000000"/>
      <w:sz w:val="24"/>
      <w:szCs w:val="24"/>
    </w:rPr>
  </w:style>
  <w:style w:type="paragraph" w:customStyle="1" w:styleId="Footer1">
    <w:name w:val="Footer1"/>
    <w:rsid w:val="003663AF"/>
    <w:pPr>
      <w:tabs>
        <w:tab w:val="center" w:pos="4536"/>
        <w:tab w:val="right" w:pos="9072"/>
      </w:tabs>
      <w:spacing w:before="240" w:after="240" w:line="218" w:lineRule="auto"/>
    </w:pPr>
    <w:rPr>
      <w:color w:val="000000"/>
      <w:sz w:val="22"/>
      <w:szCs w:val="24"/>
    </w:rPr>
  </w:style>
  <w:style w:type="paragraph" w:customStyle="1" w:styleId="Footer2Landscape">
    <w:name w:val="Footer2Landscape"/>
    <w:qFormat/>
    <w:rsid w:val="003663AF"/>
    <w:pPr>
      <w:tabs>
        <w:tab w:val="center" w:pos="4535"/>
        <w:tab w:val="center" w:pos="6804"/>
        <w:tab w:val="center" w:pos="13608"/>
      </w:tabs>
      <w:spacing w:after="240"/>
      <w:ind w:left="-851"/>
    </w:pPr>
    <w:rPr>
      <w:rFonts w:ascii="Arial" w:eastAsia="Arial" w:hAnsi="Arial" w:cs="Arial"/>
      <w:b/>
      <w:color w:val="000000"/>
      <w:sz w:val="48"/>
      <w:szCs w:val="24"/>
    </w:rPr>
  </w:style>
  <w:style w:type="paragraph" w:customStyle="1" w:styleId="FooterLandscape">
    <w:name w:val="FooterLandscape"/>
    <w:qFormat/>
    <w:rsid w:val="003663AF"/>
    <w:pPr>
      <w:tabs>
        <w:tab w:val="center" w:pos="6804"/>
        <w:tab w:val="center" w:pos="13608"/>
      </w:tabs>
    </w:pPr>
    <w:rPr>
      <w:color w:val="000000"/>
      <w:sz w:val="22"/>
      <w:szCs w:val="24"/>
    </w:rPr>
  </w:style>
  <w:style w:type="paragraph" w:customStyle="1" w:styleId="NRAMS">
    <w:name w:val="NRAMS"/>
    <w:rsid w:val="003663AF"/>
    <w:pPr>
      <w:spacing w:after="480" w:line="458" w:lineRule="auto"/>
      <w:ind w:left="1418"/>
    </w:pPr>
    <w:rPr>
      <w:rFonts w:ascii="Arial" w:eastAsia="Arial" w:hAnsi="Arial" w:cs="Arial"/>
      <w:b/>
      <w:color w:val="000000"/>
      <w:sz w:val="46"/>
      <w:szCs w:val="24"/>
    </w:rPr>
  </w:style>
  <w:style w:type="paragraph" w:customStyle="1" w:styleId="Normal0">
    <w:name w:val="Normal_0"/>
    <w:next w:val="Navaden"/>
    <w:qFormat/>
    <w:rsid w:val="003663AF"/>
    <w:rPr>
      <w:sz w:val="24"/>
      <w:szCs w:val="24"/>
    </w:rPr>
  </w:style>
  <w:style w:type="paragraph" w:customStyle="1" w:styleId="Normal6Center">
    <w:name w:val="Normal6 + Center"/>
    <w:qFormat/>
    <w:rsid w:val="003663AF"/>
    <w:pPr>
      <w:spacing w:after="120"/>
      <w:jc w:val="center"/>
    </w:pPr>
    <w:rPr>
      <w:b/>
      <w:i/>
      <w:color w:val="000000"/>
      <w:sz w:val="24"/>
      <w:szCs w:val="24"/>
    </w:rPr>
  </w:style>
  <w:style w:type="paragraph" w:customStyle="1" w:styleId="Normal6Italic">
    <w:name w:val="Normal6Italic"/>
    <w:basedOn w:val="Navaden"/>
    <w:rsid w:val="003663AF"/>
    <w:pPr>
      <w:widowControl/>
      <w:spacing w:after="120"/>
    </w:pPr>
    <w:rPr>
      <w:i/>
      <w:color w:val="000000"/>
      <w:szCs w:val="24"/>
    </w:rPr>
  </w:style>
  <w:style w:type="paragraph" w:customStyle="1" w:styleId="RefPE">
    <w:name w:val="RefPE"/>
    <w:basedOn w:val="Navaden"/>
    <w:rsid w:val="003663AF"/>
    <w:pPr>
      <w:widowControl/>
      <w:spacing w:after="240"/>
      <w:jc w:val="right"/>
    </w:pPr>
    <w:rPr>
      <w:rFonts w:ascii="Arial" w:hAnsi="Arial"/>
      <w:b/>
      <w:szCs w:val="24"/>
    </w:rPr>
  </w:style>
  <w:style w:type="paragraph" w:customStyle="1" w:styleId="StyleNormal6TimesNewRomanBoldItalic">
    <w:name w:val="Style Normal6 + TimesNewRoman Bold Italic"/>
    <w:rsid w:val="003663AF"/>
    <w:pPr>
      <w:spacing w:after="120"/>
    </w:pPr>
    <w:rPr>
      <w:b/>
      <w:i/>
      <w:color w:val="000000"/>
      <w:sz w:val="24"/>
      <w:szCs w:val="24"/>
    </w:rPr>
  </w:style>
  <w:style w:type="paragraph" w:customStyle="1" w:styleId="StyleNormalBoldNotBold">
    <w:name w:val="Style NormalBold + Not Bold"/>
    <w:rsid w:val="003663AF"/>
    <w:rPr>
      <w:color w:val="000000"/>
      <w:sz w:val="24"/>
      <w:szCs w:val="24"/>
    </w:rPr>
  </w:style>
  <w:style w:type="paragraph" w:customStyle="1" w:styleId="TypeDocAM">
    <w:name w:val="TypeDocAM"/>
    <w:basedOn w:val="Navaden"/>
    <w:rsid w:val="003663AF"/>
    <w:pPr>
      <w:widowControl/>
      <w:ind w:left="1418"/>
    </w:pPr>
    <w:rPr>
      <w:rFonts w:ascii="Arial" w:eastAsia="Arial" w:hAnsi="Arial" w:cs="Arial"/>
      <w:b/>
      <w:color w:val="000000"/>
      <w:sz w:val="48"/>
      <w:szCs w:val="24"/>
    </w:rPr>
  </w:style>
  <w:style w:type="character" w:customStyle="1" w:styleId="Bold">
    <w:name w:val="Bold"/>
    <w:uiPriority w:val="1"/>
    <w:qFormat/>
    <w:rsid w:val="003663AF"/>
    <w:rPr>
      <w:rFonts w:ascii="Times New Roman" w:hAnsi="Times New Roman" w:cs="Times New Roman" w:hint="default"/>
      <w:b/>
      <w:bCs w:val="0"/>
      <w:sz w:val="24"/>
      <w:lang w:val="fr-FR"/>
    </w:rPr>
  </w:style>
  <w:style w:type="character" w:customStyle="1" w:styleId="BoldItalic">
    <w:name w:val="BoldItalic"/>
    <w:uiPriority w:val="1"/>
    <w:qFormat/>
    <w:rsid w:val="003663AF"/>
    <w:rPr>
      <w:rFonts w:ascii="Times New Roman" w:hAnsi="Times New Roman" w:cs="Times New Roman" w:hint="default"/>
      <w:b/>
      <w:bCs w:val="0"/>
      <w:i/>
      <w:iCs w:val="0"/>
      <w:sz w:val="24"/>
    </w:rPr>
  </w:style>
  <w:style w:type="character" w:customStyle="1" w:styleId="DefaultParagraphFont0">
    <w:name w:val="Default Paragraph Font_0"/>
    <w:uiPriority w:val="1"/>
    <w:semiHidden/>
    <w:rsid w:val="003663AF"/>
  </w:style>
  <w:style w:type="character" w:customStyle="1" w:styleId="FootNoteMarker">
    <w:name w:val="FootNoteMarker"/>
    <w:rsid w:val="003663AF"/>
    <w:rPr>
      <w:color w:val="000000"/>
      <w:vertAlign w:val="superscript"/>
    </w:rPr>
  </w:style>
  <w:style w:type="character" w:customStyle="1" w:styleId="Footer2Middle">
    <w:name w:val="Footer2Middle"/>
    <w:rsid w:val="003663AF"/>
    <w:rPr>
      <w:rFonts w:ascii="Arial" w:eastAsia="Arial" w:hAnsi="Arial" w:cs="Arial" w:hint="default"/>
      <w:b w:val="0"/>
      <w:bCs w:val="0"/>
      <w:i/>
      <w:iCs w:val="0"/>
      <w:color w:val="C0C0C0"/>
      <w:sz w:val="22"/>
    </w:rPr>
  </w:style>
  <w:style w:type="character" w:customStyle="1" w:styleId="Italic">
    <w:name w:val="Italic"/>
    <w:uiPriority w:val="1"/>
    <w:qFormat/>
    <w:rsid w:val="003663AF"/>
    <w:rPr>
      <w:rFonts w:ascii="Times New Roman" w:hAnsi="Times New Roman" w:cs="Times New Roman" w:hint="default"/>
      <w:i/>
      <w:iCs w:val="0"/>
      <w:sz w:val="24"/>
    </w:rPr>
  </w:style>
  <w:style w:type="character" w:customStyle="1" w:styleId="Normal6RomanBI">
    <w:name w:val="Normal6RomanBI"/>
    <w:rsid w:val="003663AF"/>
    <w:rPr>
      <w:rFonts w:ascii="Times New Roman" w:eastAsia="Times New Roman" w:hAnsi="Times New Roman" w:cs="Times New Roman" w:hint="default"/>
      <w:b/>
      <w:bCs w:val="0"/>
      <w:i/>
      <w:iCs w:val="0"/>
      <w:color w:val="000000"/>
      <w:sz w:val="24"/>
    </w:rPr>
  </w:style>
  <w:style w:type="character" w:customStyle="1" w:styleId="Sub">
    <w:name w:val="Sub"/>
    <w:rsid w:val="003663AF"/>
    <w:rPr>
      <w:color w:val="000000"/>
      <w:vertAlign w:val="subscript"/>
    </w:rPr>
  </w:style>
  <w:style w:type="character" w:customStyle="1" w:styleId="SubBold">
    <w:name w:val="SubBold"/>
    <w:rsid w:val="003663AF"/>
    <w:rPr>
      <w:b/>
      <w:bCs w:val="0"/>
      <w:color w:val="000000"/>
      <w:vertAlign w:val="subscript"/>
    </w:rPr>
  </w:style>
  <w:style w:type="character" w:customStyle="1" w:styleId="SubBoldItalic">
    <w:name w:val="SubBoldItalic"/>
    <w:rsid w:val="003663AF"/>
    <w:rPr>
      <w:b/>
      <w:bCs w:val="0"/>
      <w:i/>
      <w:iCs w:val="0"/>
      <w:color w:val="000000"/>
      <w:vertAlign w:val="subscript"/>
    </w:rPr>
  </w:style>
  <w:style w:type="character" w:customStyle="1" w:styleId="SubItalic">
    <w:name w:val="SubItalic"/>
    <w:rsid w:val="003663AF"/>
    <w:rPr>
      <w:i/>
      <w:iCs w:val="0"/>
      <w:color w:val="000000"/>
      <w:vertAlign w:val="subscript"/>
    </w:rPr>
  </w:style>
  <w:style w:type="character" w:customStyle="1" w:styleId="Sup">
    <w:name w:val="Sup"/>
    <w:uiPriority w:val="1"/>
    <w:qFormat/>
    <w:rsid w:val="003663AF"/>
    <w:rPr>
      <w:color w:val="000000"/>
      <w:vertAlign w:val="superscript"/>
    </w:rPr>
  </w:style>
  <w:style w:type="character" w:customStyle="1" w:styleId="SupBold">
    <w:name w:val="SupBold"/>
    <w:rsid w:val="003663AF"/>
    <w:rPr>
      <w:b/>
      <w:bCs w:val="0"/>
      <w:color w:val="000000"/>
      <w:vertAlign w:val="superscript"/>
    </w:rPr>
  </w:style>
  <w:style w:type="character" w:customStyle="1" w:styleId="SupBoldItalic">
    <w:name w:val="SupBoldItalic"/>
    <w:uiPriority w:val="1"/>
    <w:qFormat/>
    <w:rsid w:val="003663AF"/>
    <w:rPr>
      <w:b/>
      <w:bCs w:val="0"/>
      <w:i/>
      <w:iCs w:val="0"/>
      <w:color w:val="000000"/>
      <w:vertAlign w:val="superscript"/>
    </w:rPr>
  </w:style>
  <w:style w:type="character" w:customStyle="1" w:styleId="SupItalic">
    <w:name w:val="SupItalic"/>
    <w:rsid w:val="003663AF"/>
    <w:rPr>
      <w:i/>
      <w:iCs w:val="0"/>
      <w:color w:val="000000"/>
      <w:vertAlign w:val="superscript"/>
    </w:rPr>
  </w:style>
  <w:style w:type="character" w:customStyle="1" w:styleId="Underline">
    <w:name w:val="Underline"/>
    <w:uiPriority w:val="1"/>
    <w:qFormat/>
    <w:rsid w:val="003663AF"/>
    <w:rPr>
      <w:rFonts w:ascii="Times New Roman" w:hAnsi="Times New Roman" w:cs="Times New Roman" w:hint="default"/>
      <w:sz w:val="24"/>
      <w:u w:val="single"/>
    </w:rPr>
  </w:style>
  <w:style w:type="table" w:customStyle="1" w:styleId="TableNormal0">
    <w:name w:val="Table Normal_0"/>
    <w:uiPriority w:val="99"/>
    <w:semiHidden/>
    <w:rsid w:val="003663AF"/>
    <w:tblPr>
      <w:tblCellMar>
        <w:top w:w="0" w:type="dxa"/>
        <w:left w:w="108" w:type="dxa"/>
        <w:bottom w:w="0" w:type="dxa"/>
        <w:right w:w="108" w:type="dxa"/>
      </w:tblCellMar>
    </w:tblPr>
  </w:style>
  <w:style w:type="character" w:customStyle="1" w:styleId="DeltaViewInsertion">
    <w:name w:val="DeltaView Insertion"/>
    <w:rsid w:val="003663AF"/>
    <w:rPr>
      <w:b/>
      <w:bCs/>
      <w:i/>
      <w:iCs/>
      <w:color w:val="000000"/>
    </w:rPr>
  </w:style>
  <w:style w:type="paragraph" w:customStyle="1" w:styleId="Annexetitre">
    <w:name w:val="Annexe titre"/>
    <w:basedOn w:val="Navaden"/>
    <w:next w:val="Navaden"/>
    <w:rsid w:val="003663AF"/>
    <w:pPr>
      <w:widowControl/>
      <w:spacing w:before="120" w:after="120"/>
      <w:jc w:val="center"/>
    </w:pPr>
    <w:rPr>
      <w:rFonts w:eastAsia="Calibri"/>
      <w:b/>
      <w:szCs w:val="22"/>
      <w:u w:val="single"/>
      <w:lang w:eastAsia="en-US"/>
    </w:rPr>
  </w:style>
  <w:style w:type="paragraph" w:styleId="Otevilenseznam3">
    <w:name w:val="List Number 3"/>
    <w:basedOn w:val="Navaden"/>
    <w:uiPriority w:val="99"/>
    <w:unhideWhenUsed/>
    <w:rsid w:val="003663AF"/>
    <w:pPr>
      <w:widowControl/>
      <w:tabs>
        <w:tab w:val="num" w:pos="1209"/>
      </w:tabs>
      <w:spacing w:before="120" w:after="120"/>
      <w:ind w:left="1209" w:hanging="360"/>
      <w:contextualSpacing/>
      <w:jc w:val="both"/>
    </w:pPr>
    <w:rPr>
      <w:rFonts w:eastAsia="Calibri"/>
      <w:szCs w:val="22"/>
      <w:lang w:val="es-ES_tradnl" w:eastAsia="es-ES" w:bidi="es-ES"/>
    </w:rPr>
  </w:style>
  <w:style w:type="numbering" w:customStyle="1" w:styleId="NoList0">
    <w:name w:val="No List_0"/>
    <w:next w:val="Brezseznama"/>
    <w:uiPriority w:val="99"/>
    <w:semiHidden/>
    <w:unhideWhenUsed/>
    <w:rsid w:val="003663AF"/>
  </w:style>
  <w:style w:type="character" w:styleId="Pripombasklic">
    <w:name w:val="annotation reference"/>
    <w:basedOn w:val="Privzetapisavaodstavka"/>
    <w:rsid w:val="003663AF"/>
    <w:rPr>
      <w:sz w:val="16"/>
      <w:szCs w:val="16"/>
    </w:rPr>
  </w:style>
  <w:style w:type="paragraph" w:styleId="Pripombabesedilo">
    <w:name w:val="annotation text"/>
    <w:basedOn w:val="Navaden"/>
    <w:link w:val="PripombabesediloZnak"/>
    <w:rsid w:val="003663AF"/>
    <w:rPr>
      <w:sz w:val="20"/>
    </w:rPr>
  </w:style>
  <w:style w:type="character" w:customStyle="1" w:styleId="PripombabesediloZnak">
    <w:name w:val="Pripomba – besedilo Znak"/>
    <w:basedOn w:val="Privzetapisavaodstavka"/>
    <w:link w:val="Pripombabesedilo"/>
    <w:rsid w:val="003663AF"/>
    <w:rPr>
      <w:lang w:val="sl-SI"/>
    </w:rPr>
  </w:style>
  <w:style w:type="paragraph" w:styleId="Zadevapripombe">
    <w:name w:val="annotation subject"/>
    <w:basedOn w:val="Pripombabesedilo"/>
    <w:next w:val="Pripombabesedilo"/>
    <w:link w:val="ZadevapripombeZnak"/>
    <w:rsid w:val="003663AF"/>
    <w:rPr>
      <w:b/>
      <w:bCs/>
    </w:rPr>
  </w:style>
  <w:style w:type="character" w:customStyle="1" w:styleId="ZadevapripombeZnak">
    <w:name w:val="Zadeva pripombe Znak"/>
    <w:basedOn w:val="PripombabesediloZnak"/>
    <w:link w:val="Zadevapripombe"/>
    <w:rsid w:val="003663AF"/>
    <w:rPr>
      <w:b/>
      <w:bCs/>
      <w:lang w:val="sl-SI"/>
    </w:rPr>
  </w:style>
  <w:style w:type="paragraph" w:styleId="Revizija">
    <w:name w:val="Revision"/>
    <w:hidden/>
    <w:uiPriority w:val="99"/>
    <w:semiHidden/>
    <w:rsid w:val="003663AF"/>
    <w:rPr>
      <w:sz w:val="24"/>
    </w:rPr>
  </w:style>
  <w:style w:type="table" w:customStyle="1" w:styleId="TableGridLight1">
    <w:name w:val="Table Grid Light1"/>
    <w:basedOn w:val="Navadnatabela"/>
    <w:uiPriority w:val="40"/>
    <w:rsid w:val="003663AF"/>
    <w:rPr>
      <w:rFonts w:ascii="Calibri" w:eastAsia="Calibri" w:hAnsi="Calibri"/>
      <w:sz w:val="22"/>
      <w:szCs w:val="22"/>
      <w:lang w:val="fr-BE"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Odstavekseznama">
    <w:name w:val="List Paragraph"/>
    <w:basedOn w:val="Navaden"/>
    <w:uiPriority w:val="34"/>
    <w:qFormat/>
    <w:rsid w:val="003663AF"/>
    <w:pPr>
      <w:widowControl/>
      <w:spacing w:after="200" w:line="276" w:lineRule="auto"/>
      <w:ind w:left="720"/>
      <w:contextualSpacing/>
    </w:pPr>
    <w:rPr>
      <w:rFonts w:ascii="Calibri" w:eastAsia="Calibri" w:hAnsi="Calibri"/>
      <w:sz w:val="22"/>
      <w:szCs w:val="22"/>
      <w:lang w:val="fr-FR" w:eastAsia="en-US"/>
    </w:rPr>
  </w:style>
  <w:style w:type="paragraph" w:customStyle="1" w:styleId="Footno">
    <w:name w:val="Footno"/>
    <w:basedOn w:val="Navaden"/>
    <w:rsid w:val="003663AF"/>
    <w:pPr>
      <w:widowControl/>
      <w:jc w:val="both"/>
    </w:pPr>
    <w:rPr>
      <w:rFonts w:eastAsia="Arial Unicode MS"/>
      <w:color w:val="000000"/>
      <w:sz w:val="20"/>
      <w:lang w:val="fr-FR"/>
    </w:rPr>
  </w:style>
  <w:style w:type="paragraph" w:customStyle="1" w:styleId="TableParagraph">
    <w:name w:val="Table Paragraph"/>
    <w:basedOn w:val="Navaden"/>
    <w:uiPriority w:val="1"/>
    <w:qFormat/>
    <w:rsid w:val="003663AF"/>
    <w:pPr>
      <w:autoSpaceDE w:val="0"/>
      <w:autoSpaceDN w:val="0"/>
      <w:spacing w:before="113"/>
      <w:jc w:val="right"/>
    </w:pPr>
    <w:rPr>
      <w:sz w:val="22"/>
      <w:szCs w:val="22"/>
      <w:lang w:val="en-US" w:eastAsia="en-US" w:bidi="en-US"/>
    </w:rPr>
  </w:style>
  <w:style w:type="character" w:styleId="Hiperpovezava">
    <w:name w:val="Hyperlink"/>
    <w:basedOn w:val="Privzetapisavaodstavka"/>
    <w:rsid w:val="003663AF"/>
    <w:rPr>
      <w:color w:val="0563C1" w:themeColor="hyperlink"/>
      <w:u w:val="single"/>
    </w:rPr>
  </w:style>
  <w:style w:type="paragraph" w:customStyle="1" w:styleId="Point0number">
    <w:name w:val="Point 0 (number)"/>
    <w:basedOn w:val="Navaden"/>
    <w:rsid w:val="003663AF"/>
    <w:pPr>
      <w:widowControl/>
      <w:numPr>
        <w:numId w:val="3"/>
      </w:numPr>
      <w:tabs>
        <w:tab w:val="clear" w:pos="850"/>
        <w:tab w:val="num" w:pos="360"/>
      </w:tabs>
      <w:spacing w:before="120" w:after="120"/>
      <w:ind w:left="0" w:firstLine="0"/>
      <w:jc w:val="both"/>
    </w:pPr>
    <w:rPr>
      <w:rFonts w:eastAsia="Calibri"/>
      <w:szCs w:val="22"/>
      <w:lang w:val="fr-FR" w:eastAsia="en-US"/>
    </w:rPr>
  </w:style>
  <w:style w:type="paragraph" w:customStyle="1" w:styleId="Point1number">
    <w:name w:val="Point 1 (number)"/>
    <w:basedOn w:val="Navaden"/>
    <w:rsid w:val="003663AF"/>
    <w:pPr>
      <w:widowControl/>
      <w:numPr>
        <w:ilvl w:val="2"/>
        <w:numId w:val="3"/>
      </w:numPr>
      <w:tabs>
        <w:tab w:val="clear" w:pos="1417"/>
        <w:tab w:val="num" w:pos="360"/>
      </w:tabs>
      <w:spacing w:before="120" w:after="120"/>
      <w:ind w:left="0" w:firstLine="0"/>
      <w:jc w:val="both"/>
    </w:pPr>
    <w:rPr>
      <w:rFonts w:eastAsia="Calibri"/>
      <w:szCs w:val="22"/>
      <w:lang w:val="fr-FR" w:eastAsia="en-US"/>
    </w:rPr>
  </w:style>
  <w:style w:type="paragraph" w:customStyle="1" w:styleId="Point2number">
    <w:name w:val="Point 2 (number)"/>
    <w:basedOn w:val="Navaden"/>
    <w:rsid w:val="003663AF"/>
    <w:pPr>
      <w:widowControl/>
      <w:numPr>
        <w:ilvl w:val="4"/>
        <w:numId w:val="3"/>
      </w:numPr>
      <w:tabs>
        <w:tab w:val="clear" w:pos="1984"/>
        <w:tab w:val="num" w:pos="360"/>
      </w:tabs>
      <w:spacing w:before="120" w:after="120"/>
      <w:ind w:left="0" w:firstLine="0"/>
      <w:jc w:val="both"/>
    </w:pPr>
    <w:rPr>
      <w:rFonts w:eastAsia="Calibri"/>
      <w:szCs w:val="22"/>
      <w:lang w:val="fr-FR" w:eastAsia="en-US"/>
    </w:rPr>
  </w:style>
  <w:style w:type="paragraph" w:customStyle="1" w:styleId="Point3number">
    <w:name w:val="Point 3 (number)"/>
    <w:basedOn w:val="Navaden"/>
    <w:rsid w:val="003663AF"/>
    <w:pPr>
      <w:widowControl/>
      <w:numPr>
        <w:ilvl w:val="6"/>
        <w:numId w:val="3"/>
      </w:numPr>
      <w:tabs>
        <w:tab w:val="clear" w:pos="2551"/>
        <w:tab w:val="num" w:pos="360"/>
      </w:tabs>
      <w:spacing w:before="120" w:after="120"/>
      <w:ind w:left="0" w:firstLine="0"/>
      <w:jc w:val="both"/>
    </w:pPr>
    <w:rPr>
      <w:rFonts w:eastAsia="Calibri"/>
      <w:szCs w:val="22"/>
      <w:lang w:val="fr-FR" w:eastAsia="en-US"/>
    </w:rPr>
  </w:style>
  <w:style w:type="paragraph" w:customStyle="1" w:styleId="Point0letter">
    <w:name w:val="Point 0 (letter)"/>
    <w:basedOn w:val="Navaden"/>
    <w:rsid w:val="003663AF"/>
    <w:pPr>
      <w:widowControl/>
      <w:numPr>
        <w:ilvl w:val="1"/>
        <w:numId w:val="3"/>
      </w:numPr>
      <w:tabs>
        <w:tab w:val="clear" w:pos="850"/>
        <w:tab w:val="num" w:pos="360"/>
      </w:tabs>
      <w:spacing w:before="120" w:after="120"/>
      <w:ind w:left="0" w:firstLine="0"/>
      <w:jc w:val="both"/>
    </w:pPr>
    <w:rPr>
      <w:rFonts w:eastAsia="Calibri"/>
      <w:szCs w:val="22"/>
      <w:lang w:val="fr-FR" w:eastAsia="en-US"/>
    </w:rPr>
  </w:style>
  <w:style w:type="paragraph" w:customStyle="1" w:styleId="Point1letter">
    <w:name w:val="Point 1 (letter)"/>
    <w:basedOn w:val="Navaden"/>
    <w:rsid w:val="003663AF"/>
    <w:pPr>
      <w:widowControl/>
      <w:numPr>
        <w:ilvl w:val="3"/>
        <w:numId w:val="3"/>
      </w:numPr>
      <w:tabs>
        <w:tab w:val="clear" w:pos="1417"/>
        <w:tab w:val="num" w:pos="360"/>
      </w:tabs>
      <w:spacing w:before="120" w:after="120"/>
      <w:ind w:left="0" w:firstLine="0"/>
      <w:jc w:val="both"/>
    </w:pPr>
    <w:rPr>
      <w:rFonts w:eastAsia="Calibri"/>
      <w:szCs w:val="22"/>
      <w:lang w:val="fr-FR" w:eastAsia="en-US"/>
    </w:rPr>
  </w:style>
  <w:style w:type="paragraph" w:customStyle="1" w:styleId="Point2letter">
    <w:name w:val="Point 2 (letter)"/>
    <w:basedOn w:val="Navaden"/>
    <w:rsid w:val="003663AF"/>
    <w:pPr>
      <w:widowControl/>
      <w:numPr>
        <w:ilvl w:val="5"/>
        <w:numId w:val="3"/>
      </w:numPr>
      <w:tabs>
        <w:tab w:val="clear" w:pos="1984"/>
        <w:tab w:val="num" w:pos="360"/>
      </w:tabs>
      <w:spacing w:before="120" w:after="120"/>
      <w:ind w:left="0" w:firstLine="0"/>
      <w:jc w:val="both"/>
    </w:pPr>
    <w:rPr>
      <w:rFonts w:eastAsia="Calibri"/>
      <w:szCs w:val="22"/>
      <w:lang w:val="fr-FR" w:eastAsia="en-US"/>
    </w:rPr>
  </w:style>
  <w:style w:type="paragraph" w:customStyle="1" w:styleId="Point3letter">
    <w:name w:val="Point 3 (letter)"/>
    <w:basedOn w:val="Navaden"/>
    <w:rsid w:val="003663AF"/>
    <w:pPr>
      <w:widowControl/>
      <w:numPr>
        <w:ilvl w:val="7"/>
        <w:numId w:val="3"/>
      </w:numPr>
      <w:tabs>
        <w:tab w:val="clear" w:pos="2551"/>
        <w:tab w:val="num" w:pos="360"/>
      </w:tabs>
      <w:spacing w:before="120" w:after="120"/>
      <w:ind w:left="0" w:firstLine="0"/>
      <w:jc w:val="both"/>
    </w:pPr>
    <w:rPr>
      <w:rFonts w:eastAsia="Calibri"/>
      <w:szCs w:val="22"/>
      <w:lang w:val="fr-FR" w:eastAsia="en-US"/>
    </w:rPr>
  </w:style>
  <w:style w:type="paragraph" w:customStyle="1" w:styleId="Point4letter">
    <w:name w:val="Point 4 (letter)"/>
    <w:basedOn w:val="Navaden"/>
    <w:rsid w:val="003663AF"/>
    <w:pPr>
      <w:widowControl/>
      <w:numPr>
        <w:ilvl w:val="8"/>
        <w:numId w:val="3"/>
      </w:numPr>
      <w:tabs>
        <w:tab w:val="clear" w:pos="3118"/>
        <w:tab w:val="num" w:pos="360"/>
      </w:tabs>
      <w:spacing w:before="120" w:after="120"/>
      <w:ind w:left="0" w:firstLine="0"/>
      <w:jc w:val="both"/>
    </w:pPr>
    <w:rPr>
      <w:rFonts w:eastAsia="Calibri"/>
      <w:szCs w:val="22"/>
      <w:lang w:val="fr-FR" w:eastAsia="en-US"/>
    </w:rPr>
  </w:style>
  <w:style w:type="paragraph" w:customStyle="1" w:styleId="PageHeadingNotTOC">
    <w:name w:val="PageHeadingNotTOC"/>
    <w:basedOn w:val="Navaden"/>
    <w:rsid w:val="003663AF"/>
    <w:pPr>
      <w:keepNext/>
      <w:spacing w:before="240" w:after="240"/>
      <w:jc w:val="center"/>
    </w:pPr>
    <w:rPr>
      <w:rFonts w:ascii="Arial" w:hAnsi="Arial"/>
      <w:b/>
      <w:lang w:val="fr-FR"/>
    </w:rPr>
  </w:style>
  <w:style w:type="paragraph" w:customStyle="1" w:styleId="NormalTabs">
    <w:name w:val="NormalTabs"/>
    <w:basedOn w:val="Navaden"/>
    <w:qFormat/>
    <w:rsid w:val="003663AF"/>
    <w:pPr>
      <w:tabs>
        <w:tab w:val="center" w:pos="284"/>
        <w:tab w:val="left" w:pos="426"/>
      </w:tabs>
    </w:pPr>
    <w:rPr>
      <w:snapToGrid w:val="0"/>
      <w:lang w:val="en-US" w:eastAsia="en-US"/>
    </w:rPr>
  </w:style>
  <w:style w:type="paragraph" w:customStyle="1" w:styleId="ConclusionsPA">
    <w:name w:val="ConclusionsPA"/>
    <w:basedOn w:val="Normal12"/>
    <w:rsid w:val="003663AF"/>
    <w:pPr>
      <w:spacing w:before="480"/>
      <w:jc w:val="center"/>
    </w:pPr>
    <w:rPr>
      <w:rFonts w:ascii="Arial" w:hAnsi="Arial"/>
      <w:b/>
      <w:caps/>
      <w:snapToGrid w:val="0"/>
      <w:lang w:val="en-US" w:eastAsia="en-US"/>
    </w:rPr>
  </w:style>
  <w:style w:type="paragraph" w:customStyle="1" w:styleId="Olang1">
    <w:name w:val="Olang1"/>
    <w:rsid w:val="003663AF"/>
    <w:pPr>
      <w:jc w:val="right"/>
    </w:pPr>
  </w:style>
  <w:style w:type="paragraph" w:customStyle="1" w:styleId="Body">
    <w:name w:val="Body"/>
    <w:rsid w:val="003663AF"/>
    <w:pPr>
      <w:jc w:val="both"/>
    </w:pPr>
    <w:rPr>
      <w:rFonts w:eastAsia="Arial Unicode MS" w:cs="Arial Unicode MS"/>
      <w:color w:val="000000"/>
      <w:sz w:val="24"/>
      <w:szCs w:val="24"/>
      <w:u w:color="000000"/>
      <w:lang w:val="en-US"/>
    </w:rPr>
  </w:style>
  <w:style w:type="character" w:customStyle="1" w:styleId="gti-match">
    <w:name w:val="gti-match"/>
    <w:rsid w:val="003663AF"/>
  </w:style>
  <w:style w:type="character" w:customStyle="1" w:styleId="Normal12Char">
    <w:name w:val="Normal12 Char"/>
    <w:link w:val="Normal12"/>
    <w:locked/>
    <w:rsid w:val="003663AF"/>
    <w:rPr>
      <w:sz w:val="24"/>
      <w:lang w:val="sl-SI"/>
    </w:rPr>
  </w:style>
  <w:style w:type="paragraph" w:customStyle="1" w:styleId="Default">
    <w:name w:val="Default"/>
    <w:rsid w:val="003663AF"/>
    <w:pPr>
      <w:autoSpaceDE w:val="0"/>
      <w:autoSpaceDN w:val="0"/>
      <w:adjustRightInd w:val="0"/>
    </w:pPr>
    <w:rPr>
      <w:color w:val="000000"/>
      <w:sz w:val="24"/>
      <w:szCs w:val="24"/>
    </w:rPr>
  </w:style>
  <w:style w:type="paragraph" w:styleId="Golobesedilo">
    <w:name w:val="Plain Text"/>
    <w:basedOn w:val="Navaden"/>
    <w:link w:val="GolobesediloZnak"/>
    <w:uiPriority w:val="99"/>
    <w:unhideWhenUsed/>
    <w:rsid w:val="003663AF"/>
    <w:pPr>
      <w:widowControl/>
    </w:pPr>
    <w:rPr>
      <w:rFonts w:ascii="Calibri" w:eastAsia="Calibri" w:hAnsi="Calibri"/>
      <w:sz w:val="22"/>
      <w:szCs w:val="21"/>
      <w:lang w:val="fr-FR" w:eastAsia="en-US"/>
    </w:rPr>
  </w:style>
  <w:style w:type="character" w:customStyle="1" w:styleId="GolobesediloZnak">
    <w:name w:val="Golo besedilo Znak"/>
    <w:basedOn w:val="Privzetapisavaodstavka"/>
    <w:link w:val="Golobesedilo"/>
    <w:uiPriority w:val="99"/>
    <w:rsid w:val="003663AF"/>
    <w:rPr>
      <w:rFonts w:ascii="Calibri" w:eastAsia="Calibri" w:hAnsi="Calibri"/>
      <w:sz w:val="22"/>
      <w:szCs w:val="21"/>
      <w:lang w:val="fr-FR" w:eastAsia="en-US"/>
    </w:rPr>
  </w:style>
  <w:style w:type="paragraph" w:customStyle="1" w:styleId="DocRef">
    <w:name w:val="DocRef"/>
    <w:basedOn w:val="Navaden"/>
    <w:rsid w:val="003663AF"/>
    <w:pPr>
      <w:spacing w:after="960"/>
      <w:jc w:val="center"/>
    </w:pPr>
    <w:rPr>
      <w:rFonts w:ascii="Arial" w:hAnsi="Arial"/>
      <w:b/>
      <w:lang w:val="fr-FR"/>
    </w:rPr>
  </w:style>
  <w:style w:type="character" w:styleId="Poudarek">
    <w:name w:val="Emphasis"/>
    <w:uiPriority w:val="20"/>
    <w:qFormat/>
    <w:rsid w:val="003663AF"/>
    <w:rPr>
      <w:i/>
      <w:iCs/>
    </w:rPr>
  </w:style>
  <w:style w:type="paragraph" w:customStyle="1" w:styleId="CommitteeAM">
    <w:name w:val="CommitteeAM"/>
    <w:basedOn w:val="Navaden"/>
    <w:rsid w:val="003663AF"/>
    <w:pPr>
      <w:spacing w:before="240" w:after="600"/>
      <w:jc w:val="center"/>
    </w:pPr>
    <w:rPr>
      <w:i/>
      <w:lang w:val="fr-FR"/>
    </w:rPr>
  </w:style>
  <w:style w:type="paragraph" w:customStyle="1" w:styleId="EntPE">
    <w:name w:val="EntPE"/>
    <w:basedOn w:val="Normal12"/>
    <w:rsid w:val="003663AF"/>
    <w:pPr>
      <w:jc w:val="center"/>
    </w:pPr>
    <w:rPr>
      <w:sz w:val="56"/>
      <w:lang w:val="fr-FR"/>
    </w:rPr>
  </w:style>
  <w:style w:type="paragraph" w:customStyle="1" w:styleId="ZDateAM">
    <w:name w:val="ZDateAM"/>
    <w:basedOn w:val="Navaden"/>
    <w:rsid w:val="003663AF"/>
    <w:pPr>
      <w:tabs>
        <w:tab w:val="right" w:pos="9356"/>
      </w:tabs>
      <w:spacing w:after="480"/>
    </w:pPr>
    <w:rPr>
      <w:noProof/>
      <w:lang w:val="fr-FR"/>
    </w:rPr>
  </w:style>
  <w:style w:type="paragraph" w:customStyle="1" w:styleId="ProjRap">
    <w:name w:val="ProjRap"/>
    <w:basedOn w:val="Navaden"/>
    <w:rsid w:val="003663AF"/>
    <w:pPr>
      <w:tabs>
        <w:tab w:val="right" w:pos="9356"/>
      </w:tabs>
    </w:pPr>
    <w:rPr>
      <w:b/>
      <w:noProof/>
      <w:lang w:val="fr-FR"/>
    </w:rPr>
  </w:style>
  <w:style w:type="paragraph" w:customStyle="1" w:styleId="PELeft">
    <w:name w:val="PELeft"/>
    <w:basedOn w:val="Navaden"/>
    <w:rsid w:val="003663AF"/>
    <w:pPr>
      <w:spacing w:before="40" w:after="40"/>
    </w:pPr>
    <w:rPr>
      <w:rFonts w:ascii="Arial" w:hAnsi="Arial" w:cs="Arial"/>
      <w:sz w:val="22"/>
      <w:szCs w:val="22"/>
      <w:lang w:val="fr-FR"/>
    </w:rPr>
  </w:style>
  <w:style w:type="paragraph" w:customStyle="1" w:styleId="PERight">
    <w:name w:val="PERight"/>
    <w:basedOn w:val="Navaden"/>
    <w:next w:val="Navaden"/>
    <w:rsid w:val="003663AF"/>
    <w:pPr>
      <w:jc w:val="right"/>
    </w:pPr>
    <w:rPr>
      <w:rFonts w:ascii="Arial" w:hAnsi="Arial" w:cs="Arial"/>
      <w:sz w:val="22"/>
      <w:szCs w:val="22"/>
      <w:lang w:val="fr-FR"/>
    </w:rPr>
  </w:style>
  <w:style w:type="numbering" w:customStyle="1" w:styleId="NoList1">
    <w:name w:val="No List1"/>
    <w:next w:val="Brezseznama"/>
    <w:uiPriority w:val="99"/>
    <w:semiHidden/>
    <w:unhideWhenUsed/>
    <w:rsid w:val="003663AF"/>
  </w:style>
  <w:style w:type="paragraph" w:styleId="Naslov">
    <w:name w:val="Title"/>
    <w:basedOn w:val="Navaden"/>
    <w:next w:val="Navaden"/>
    <w:link w:val="NaslovZnak"/>
    <w:uiPriority w:val="10"/>
    <w:qFormat/>
    <w:rsid w:val="003663AF"/>
    <w:pPr>
      <w:widowControl/>
      <w:spacing w:before="240" w:after="60"/>
      <w:jc w:val="center"/>
      <w:outlineLvl w:val="0"/>
    </w:pPr>
    <w:rPr>
      <w:rFonts w:ascii="Arial" w:hAnsi="Arial" w:cs="Arial"/>
      <w:b/>
      <w:bCs/>
      <w:kern w:val="28"/>
      <w:sz w:val="32"/>
      <w:szCs w:val="32"/>
      <w:lang w:eastAsia="en-US"/>
    </w:rPr>
  </w:style>
  <w:style w:type="character" w:customStyle="1" w:styleId="NaslovZnak">
    <w:name w:val="Naslov Znak"/>
    <w:basedOn w:val="Privzetapisavaodstavka"/>
    <w:link w:val="Naslov"/>
    <w:uiPriority w:val="10"/>
    <w:rsid w:val="003663AF"/>
    <w:rPr>
      <w:rFonts w:ascii="Arial" w:hAnsi="Arial" w:cs="Arial"/>
      <w:b/>
      <w:bCs/>
      <w:kern w:val="28"/>
      <w:sz w:val="32"/>
      <w:szCs w:val="32"/>
      <w:lang w:val="sl-SI" w:eastAsia="en-US"/>
    </w:rPr>
  </w:style>
  <w:style w:type="paragraph" w:styleId="Podnaslov">
    <w:name w:val="Subtitle"/>
    <w:basedOn w:val="Navaden"/>
    <w:next w:val="Navaden"/>
    <w:link w:val="PodnaslovZnak"/>
    <w:uiPriority w:val="11"/>
    <w:qFormat/>
    <w:rsid w:val="003663AF"/>
    <w:pPr>
      <w:widowControl/>
      <w:spacing w:after="60"/>
      <w:jc w:val="center"/>
      <w:outlineLvl w:val="1"/>
    </w:pPr>
    <w:rPr>
      <w:rFonts w:ascii="Arial" w:hAnsi="Arial" w:cs="Arial"/>
      <w:szCs w:val="24"/>
      <w:lang w:eastAsia="en-US"/>
    </w:rPr>
  </w:style>
  <w:style w:type="character" w:customStyle="1" w:styleId="PodnaslovZnak">
    <w:name w:val="Podnaslov Znak"/>
    <w:basedOn w:val="Privzetapisavaodstavka"/>
    <w:link w:val="Podnaslov"/>
    <w:uiPriority w:val="11"/>
    <w:rsid w:val="003663AF"/>
    <w:rPr>
      <w:rFonts w:ascii="Arial" w:hAnsi="Arial" w:cs="Arial"/>
      <w:sz w:val="24"/>
      <w:szCs w:val="24"/>
      <w:lang w:val="sl-SI" w:eastAsia="en-US"/>
    </w:rPr>
  </w:style>
  <w:style w:type="character" w:styleId="Krepko">
    <w:name w:val="Strong"/>
    <w:uiPriority w:val="22"/>
    <w:qFormat/>
    <w:rsid w:val="003663AF"/>
    <w:rPr>
      <w:b/>
      <w:bCs/>
    </w:rPr>
  </w:style>
  <w:style w:type="paragraph" w:styleId="Brezrazmikov">
    <w:name w:val="No Spacing"/>
    <w:basedOn w:val="Navaden"/>
    <w:uiPriority w:val="1"/>
    <w:qFormat/>
    <w:rsid w:val="003663AF"/>
    <w:pPr>
      <w:widowControl/>
      <w:jc w:val="both"/>
    </w:pPr>
    <w:rPr>
      <w:rFonts w:eastAsia="Calibri"/>
      <w:szCs w:val="32"/>
      <w:lang w:eastAsia="en-US"/>
    </w:rPr>
  </w:style>
  <w:style w:type="paragraph" w:styleId="Citat">
    <w:name w:val="Quote"/>
    <w:basedOn w:val="Navaden"/>
    <w:next w:val="Navaden"/>
    <w:link w:val="CitatZnak"/>
    <w:uiPriority w:val="29"/>
    <w:qFormat/>
    <w:rsid w:val="003663AF"/>
    <w:pPr>
      <w:widowControl/>
      <w:jc w:val="both"/>
    </w:pPr>
    <w:rPr>
      <w:rFonts w:eastAsia="Calibri"/>
      <w:i/>
      <w:szCs w:val="24"/>
      <w:lang w:eastAsia="en-US"/>
    </w:rPr>
  </w:style>
  <w:style w:type="character" w:customStyle="1" w:styleId="CitatZnak">
    <w:name w:val="Citat Znak"/>
    <w:basedOn w:val="Privzetapisavaodstavka"/>
    <w:link w:val="Citat"/>
    <w:uiPriority w:val="29"/>
    <w:rsid w:val="003663AF"/>
    <w:rPr>
      <w:rFonts w:eastAsia="Calibri"/>
      <w:i/>
      <w:sz w:val="24"/>
      <w:szCs w:val="24"/>
      <w:lang w:val="sl-SI" w:eastAsia="en-US"/>
    </w:rPr>
  </w:style>
  <w:style w:type="paragraph" w:styleId="Intenzivencitat">
    <w:name w:val="Intense Quote"/>
    <w:basedOn w:val="Navaden"/>
    <w:next w:val="Navaden"/>
    <w:link w:val="IntenzivencitatZnak"/>
    <w:uiPriority w:val="30"/>
    <w:qFormat/>
    <w:rsid w:val="003663AF"/>
    <w:pPr>
      <w:widowControl/>
      <w:ind w:left="720" w:right="720"/>
      <w:jc w:val="both"/>
    </w:pPr>
    <w:rPr>
      <w:rFonts w:eastAsia="Calibri"/>
      <w:b/>
      <w:i/>
      <w:szCs w:val="22"/>
      <w:lang w:eastAsia="en-US"/>
    </w:rPr>
  </w:style>
  <w:style w:type="character" w:customStyle="1" w:styleId="IntenzivencitatZnak">
    <w:name w:val="Intenziven citat Znak"/>
    <w:basedOn w:val="Privzetapisavaodstavka"/>
    <w:link w:val="Intenzivencitat"/>
    <w:uiPriority w:val="30"/>
    <w:rsid w:val="003663AF"/>
    <w:rPr>
      <w:rFonts w:eastAsia="Calibri"/>
      <w:b/>
      <w:i/>
      <w:sz w:val="24"/>
      <w:szCs w:val="22"/>
      <w:lang w:val="sl-SI" w:eastAsia="en-US"/>
    </w:rPr>
  </w:style>
  <w:style w:type="character" w:styleId="Neenpoudarek">
    <w:name w:val="Subtle Emphasis"/>
    <w:uiPriority w:val="19"/>
    <w:qFormat/>
    <w:rsid w:val="003663AF"/>
    <w:rPr>
      <w:i/>
      <w:color w:val="5A5A5A"/>
    </w:rPr>
  </w:style>
  <w:style w:type="character" w:styleId="Intenzivenpoudarek">
    <w:name w:val="Intense Emphasis"/>
    <w:uiPriority w:val="21"/>
    <w:qFormat/>
    <w:rsid w:val="003663AF"/>
    <w:rPr>
      <w:b/>
      <w:i/>
      <w:sz w:val="24"/>
      <w:szCs w:val="24"/>
      <w:u w:val="single"/>
    </w:rPr>
  </w:style>
  <w:style w:type="character" w:styleId="Neensklic">
    <w:name w:val="Subtle Reference"/>
    <w:uiPriority w:val="31"/>
    <w:qFormat/>
    <w:rsid w:val="003663AF"/>
    <w:rPr>
      <w:sz w:val="24"/>
      <w:szCs w:val="24"/>
      <w:u w:val="single"/>
    </w:rPr>
  </w:style>
  <w:style w:type="character" w:styleId="Intenzivensklic">
    <w:name w:val="Intense Reference"/>
    <w:uiPriority w:val="32"/>
    <w:qFormat/>
    <w:rsid w:val="003663AF"/>
    <w:rPr>
      <w:b/>
      <w:sz w:val="24"/>
      <w:u w:val="single"/>
    </w:rPr>
  </w:style>
  <w:style w:type="character" w:styleId="Naslovknjige">
    <w:name w:val="Book Title"/>
    <w:uiPriority w:val="33"/>
    <w:qFormat/>
    <w:rsid w:val="003663AF"/>
    <w:rPr>
      <w:rFonts w:ascii="Calibri Light" w:eastAsia="Times New Roman" w:hAnsi="Calibri Light"/>
      <w:b/>
      <w:i/>
      <w:sz w:val="24"/>
      <w:szCs w:val="24"/>
    </w:rPr>
  </w:style>
  <w:style w:type="character" w:customStyle="1" w:styleId="Footer2Char">
    <w:name w:val="Footer2 Char"/>
    <w:link w:val="Footer2"/>
    <w:locked/>
    <w:rsid w:val="003663AF"/>
    <w:rPr>
      <w:rFonts w:ascii="Arial" w:hAnsi="Arial" w:cs="Arial"/>
      <w:b/>
      <w:sz w:val="48"/>
      <w:lang w:val="sl-SI"/>
    </w:rPr>
  </w:style>
  <w:style w:type="paragraph" w:customStyle="1" w:styleId="Normal6a">
    <w:name w:val="Normal6a"/>
    <w:basedOn w:val="Navaden"/>
    <w:rsid w:val="006C08ED"/>
    <w:pPr>
      <w:spacing w:after="120"/>
    </w:pPr>
  </w:style>
  <w:style w:type="paragraph" w:customStyle="1" w:styleId="AmColumnHeading">
    <w:name w:val="AmColumnHeading"/>
    <w:basedOn w:val="Navaden"/>
    <w:rsid w:val="006C08ED"/>
    <w:pPr>
      <w:spacing w:after="240"/>
      <w:jc w:val="center"/>
    </w:pPr>
    <w:rPr>
      <w:i/>
    </w:rPr>
  </w:style>
  <w:style w:type="paragraph" w:customStyle="1" w:styleId="AmNumberTabs0">
    <w:name w:val="AmNumberTabs"/>
    <w:basedOn w:val="Navaden"/>
    <w:rsid w:val="006C08ED"/>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rPr>
  </w:style>
  <w:style w:type="character" w:customStyle="1" w:styleId="NormalBold12bChar">
    <w:name w:val="NormalBold12b Char"/>
    <w:basedOn w:val="Privzetapisavaodstavka"/>
    <w:link w:val="NormalBold12b"/>
    <w:rsid w:val="006C08ED"/>
    <w:rPr>
      <w:b/>
      <w:sz w:val="24"/>
      <w:lang w:val="sl-SI"/>
    </w:rPr>
  </w:style>
  <w:style w:type="paragraph" w:customStyle="1" w:styleId="AmOrLang">
    <w:name w:val="AmOrLang"/>
    <w:basedOn w:val="Navaden"/>
    <w:rsid w:val="006D33E3"/>
    <w:pPr>
      <w:spacing w:before="240" w:after="240"/>
      <w:jc w:val="right"/>
    </w:pPr>
  </w:style>
  <w:style w:type="paragraph" w:customStyle="1" w:styleId="NormalBoldItalicCenter6a">
    <w:name w:val="NormalBoldItalicCenter6a"/>
    <w:basedOn w:val="Normal6a"/>
    <w:qFormat/>
    <w:rsid w:val="00847668"/>
    <w:pPr>
      <w:jc w:val="center"/>
    </w:pPr>
    <w:rPr>
      <w:b/>
      <w:i/>
    </w:rPr>
  </w:style>
  <w:style w:type="paragraph" w:customStyle="1" w:styleId="AmDocTypeTab">
    <w:name w:val="AmDocTypeTab"/>
    <w:basedOn w:val="Navaden"/>
    <w:rsid w:val="00182609"/>
    <w:pPr>
      <w:tabs>
        <w:tab w:val="right" w:pos="9072"/>
      </w:tabs>
    </w:pPr>
    <w:rPr>
      <w:b/>
    </w:rPr>
  </w:style>
  <w:style w:type="paragraph" w:customStyle="1" w:styleId="Normal12a">
    <w:name w:val="Normal12a"/>
    <w:basedOn w:val="Navaden"/>
    <w:rsid w:val="00182609"/>
    <w:pPr>
      <w:spacing w:after="240"/>
    </w:pPr>
  </w:style>
  <w:style w:type="paragraph" w:customStyle="1" w:styleId="EPFooter2">
    <w:name w:val="EPFooter2"/>
    <w:basedOn w:val="Navaden"/>
    <w:next w:val="Navaden"/>
    <w:rsid w:val="00182609"/>
    <w:pPr>
      <w:widowControl/>
      <w:tabs>
        <w:tab w:val="center" w:pos="4535"/>
        <w:tab w:val="right" w:pos="9921"/>
      </w:tabs>
      <w:ind w:left="-850" w:right="-850"/>
    </w:pPr>
    <w:rPr>
      <w:rFonts w:ascii="Arial" w:hAnsi="Arial" w:cs="Arial"/>
      <w:b/>
      <w:sz w:val="48"/>
    </w:rPr>
  </w:style>
  <w:style w:type="paragraph" w:customStyle="1" w:styleId="AmCrossRef">
    <w:name w:val="AmCrossRef"/>
    <w:basedOn w:val="Navaden"/>
    <w:rsid w:val="00182609"/>
    <w:pPr>
      <w:spacing w:before="240" w:after="240"/>
      <w:jc w:val="center"/>
    </w:pPr>
    <w:rPr>
      <w:i/>
    </w:rPr>
  </w:style>
  <w:style w:type="paragraph" w:customStyle="1" w:styleId="AmJustTitle">
    <w:name w:val="AmJustTitle"/>
    <w:basedOn w:val="Navaden"/>
    <w:next w:val="AmJustText"/>
    <w:rsid w:val="00182609"/>
    <w:pPr>
      <w:keepNext/>
      <w:spacing w:before="240" w:after="240"/>
      <w:jc w:val="center"/>
    </w:pPr>
    <w:rPr>
      <w:i/>
    </w:rPr>
  </w:style>
  <w:style w:type="paragraph" w:customStyle="1" w:styleId="AmDateTab">
    <w:name w:val="AmDateTab"/>
    <w:basedOn w:val="Navaden"/>
    <w:link w:val="AmDateTabChar"/>
    <w:rsid w:val="00182609"/>
    <w:pPr>
      <w:tabs>
        <w:tab w:val="right" w:pos="9072"/>
      </w:tabs>
    </w:pPr>
  </w:style>
  <w:style w:type="paragraph" w:customStyle="1" w:styleId="AmJustText">
    <w:name w:val="AmJustText"/>
    <w:basedOn w:val="Navaden"/>
    <w:rsid w:val="00182609"/>
    <w:pPr>
      <w:spacing w:after="240"/>
    </w:pPr>
    <w:rPr>
      <w:i/>
    </w:rPr>
  </w:style>
  <w:style w:type="paragraph" w:customStyle="1" w:styleId="EPFooter">
    <w:name w:val="EPFooter"/>
    <w:basedOn w:val="Navaden"/>
    <w:rsid w:val="00182609"/>
    <w:pPr>
      <w:tabs>
        <w:tab w:val="center" w:pos="4535"/>
        <w:tab w:val="right" w:pos="9071"/>
      </w:tabs>
      <w:spacing w:before="240" w:after="240"/>
    </w:pPr>
    <w:rPr>
      <w:color w:val="010000"/>
      <w:sz w:val="22"/>
    </w:rPr>
  </w:style>
  <w:style w:type="table" w:customStyle="1" w:styleId="TableGridLight11">
    <w:name w:val="Table Grid Light11"/>
    <w:basedOn w:val="Navadnatabela"/>
    <w:uiPriority w:val="40"/>
    <w:rsid w:val="00182609"/>
    <w:rPr>
      <w:rFonts w:ascii="Calibri" w:eastAsia="Calibri" w:hAnsi="Calibri"/>
      <w:sz w:val="22"/>
      <w:szCs w:val="22"/>
      <w:lang w:val="sl-SI"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mDateTabChar">
    <w:name w:val="AmDateTab Char"/>
    <w:basedOn w:val="Privzetapisavaodstavka"/>
    <w:link w:val="AmDateTab"/>
    <w:rsid w:val="00182609"/>
    <w:rPr>
      <w:sz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171079">
      <w:bodyDiv w:val="1"/>
      <w:marLeft w:val="0"/>
      <w:marRight w:val="0"/>
      <w:marTop w:val="0"/>
      <w:marBottom w:val="0"/>
      <w:divBdr>
        <w:top w:val="none" w:sz="0" w:space="0" w:color="auto"/>
        <w:left w:val="none" w:sz="0" w:space="0" w:color="auto"/>
        <w:bottom w:val="none" w:sz="0" w:space="0" w:color="auto"/>
        <w:right w:val="none" w:sz="0" w:space="0" w:color="auto"/>
      </w:divBdr>
      <w:divsChild>
        <w:div w:id="99224059">
          <w:marLeft w:val="0"/>
          <w:marRight w:val="0"/>
          <w:marTop w:val="0"/>
          <w:marBottom w:val="0"/>
          <w:divBdr>
            <w:top w:val="none" w:sz="0" w:space="0" w:color="auto"/>
            <w:left w:val="none" w:sz="0" w:space="0" w:color="auto"/>
            <w:bottom w:val="none" w:sz="0" w:space="0" w:color="auto"/>
            <w:right w:val="none" w:sz="0" w:space="0" w:color="auto"/>
          </w:divBdr>
        </w:div>
        <w:div w:id="1804618345">
          <w:marLeft w:val="0"/>
          <w:marRight w:val="0"/>
          <w:marTop w:val="0"/>
          <w:marBottom w:val="0"/>
          <w:divBdr>
            <w:top w:val="none" w:sz="0" w:space="0" w:color="auto"/>
            <w:left w:val="none" w:sz="0" w:space="0" w:color="auto"/>
            <w:bottom w:val="none" w:sz="0" w:space="0" w:color="auto"/>
            <w:right w:val="none" w:sz="0" w:space="0" w:color="auto"/>
          </w:divBdr>
        </w:div>
        <w:div w:id="642999958">
          <w:marLeft w:val="0"/>
          <w:marRight w:val="0"/>
          <w:marTop w:val="0"/>
          <w:marBottom w:val="0"/>
          <w:divBdr>
            <w:top w:val="none" w:sz="0" w:space="0" w:color="auto"/>
            <w:left w:val="none" w:sz="0" w:space="0" w:color="auto"/>
            <w:bottom w:val="none" w:sz="0" w:space="0" w:color="auto"/>
            <w:right w:val="none" w:sz="0" w:space="0" w:color="auto"/>
          </w:divBdr>
          <w:divsChild>
            <w:div w:id="1828131579">
              <w:marLeft w:val="-105"/>
              <w:marRight w:val="0"/>
              <w:marTop w:val="0"/>
              <w:marBottom w:val="0"/>
              <w:divBdr>
                <w:top w:val="none" w:sz="0" w:space="0" w:color="auto"/>
                <w:left w:val="dotted" w:sz="6" w:space="0" w:color="0B76C3"/>
                <w:bottom w:val="none" w:sz="0" w:space="0" w:color="auto"/>
                <w:right w:val="none" w:sz="0" w:space="0" w:color="auto"/>
              </w:divBdr>
              <w:divsChild>
                <w:div w:id="7595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EFFA9-1EFB-460F-869F-E0A909920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84310</Words>
  <Characters>480572</Characters>
  <Application>Microsoft Office Word</Application>
  <DocSecurity>0</DocSecurity>
  <Lines>4004</Lines>
  <Paragraphs>1127</Paragraphs>
  <ScaleCrop>false</ScaleCrop>
  <HeadingPairs>
    <vt:vector size="2" baseType="variant">
      <vt:variant>
        <vt:lpstr>Title</vt:lpstr>
      </vt:variant>
      <vt:variant>
        <vt:i4>1</vt:i4>
      </vt:variant>
    </vt:vector>
  </HeadingPairs>
  <TitlesOfParts>
    <vt:vector size="1" baseType="lpstr">
      <vt:lpstr>TA</vt:lpstr>
    </vt:vector>
  </TitlesOfParts>
  <Company/>
  <LinksUpToDate>false</LinksUpToDate>
  <CharactersWithSpaces>563755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dc:title>
  <dc:subject/>
  <dc:creator>GOROPECNIK Tina</dc:creator>
  <cp:keywords/>
  <cp:lastModifiedBy>Helena Gašperlin Pertovt</cp:lastModifiedBy>
  <cp:revision>3</cp:revision>
  <cp:lastPrinted>2004-11-19T15:42:00Z</cp:lastPrinted>
  <dcterms:created xsi:type="dcterms:W3CDTF">2020-10-26T06:54:00Z</dcterms:created>
  <dcterms:modified xsi:type="dcterms:W3CDTF">2020-10-26T06:54:00Z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SL</vt:lpwstr>
  </property>
  <property fmtid="{D5CDD505-2E9C-101B-9397-08002B2CF9AE}" pid="3" name="&lt;FdR&gt;">
    <vt:lpwstr>A8-0200/2019</vt:lpwstr>
  </property>
  <property fmtid="{D5CDD505-2E9C-101B-9397-08002B2CF9AE}" pid="4" name="&lt;Type&gt;">
    <vt:lpwstr>RR</vt:lpwstr>
  </property>
</Properties>
</file>